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4FE0A"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44022D8">
      <w:pPr>
        <w:widowControl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3CA3F2F">
      <w:pPr>
        <w:widowControl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山西省土壤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地下水污染防治</w:t>
      </w:r>
    </w:p>
    <w:p w14:paraId="7FE7F157">
      <w:pPr>
        <w:widowControl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专家库管理办法（试行）</w:t>
      </w:r>
    </w:p>
    <w:p w14:paraId="04F3E5BE">
      <w:pPr>
        <w:widowControl/>
        <w:spacing w:before="190" w:beforeLines="50" w:after="190" w:afterLines="50" w:line="560" w:lineRule="exact"/>
        <w:jc w:val="center"/>
        <w:rPr>
          <w:rFonts w:ascii="黑体" w:hAnsi="宋体" w:eastAsia="黑体" w:cs="黑体"/>
          <w:color w:val="000000" w:themeColor="text1"/>
          <w:kern w:val="0"/>
          <w:sz w:val="31"/>
          <w:szCs w:val="31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color w:val="000000" w:themeColor="text1"/>
          <w:kern w:val="0"/>
          <w:sz w:val="31"/>
          <w:szCs w:val="31"/>
          <w:highlight w:val="none"/>
          <w:lang w:bidi="ar"/>
          <w14:textFill>
            <w14:solidFill>
              <w14:schemeClr w14:val="tx1"/>
            </w14:solidFill>
          </w14:textFill>
        </w:rPr>
        <w:t>第一章 总则</w:t>
      </w:r>
    </w:p>
    <w:p w14:paraId="0E01CB6A">
      <w:pPr>
        <w:widowControl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第一条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为加强山西省土壤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和地下水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污染防治专家管理，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充分发挥专家在科学民主决策、高效技术咨询、严把评审质量等方面的重要作用，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根据《中华人民共和国土壤污染防治法》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山西省土壤污染防治条例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山西省水污染防治条例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《污染地块土壤环境管理办法（试行）》和《建设用地土壤污染状况调查、风险评估、风险管控及修复效果评估报告评审指南》等有关规定，结合实际，制定本办法。</w:t>
      </w:r>
    </w:p>
    <w:p w14:paraId="63D9ADCC">
      <w:pPr>
        <w:widowControl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第二条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本办法适用于山西省行政区域内建设用地土壤污染状况调查、风险评估、风险管控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修复、风险管控及修复效果评估等技术评审专家库的设立和管理。各市可依据本办法的规定及当地实际情况，设立本辖区专家库。</w:t>
      </w:r>
    </w:p>
    <w:p w14:paraId="7B147DEF">
      <w:pPr>
        <w:widowControl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第三条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本办法所称专家，是指符合本办法规定的条件和要求，以独立身份参加山西省建设用地土壤污染状况调查、风险评估、风险管控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修复、风险管控及修复效果评估的评审专业人员。</w:t>
      </w:r>
    </w:p>
    <w:p w14:paraId="3CF38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第四条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山西省生态环境厅会同山西省自然资源厅共同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委托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山西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省生态环境规划和技术研究院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以下简称“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专家库管理部门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负责专家库的设立、日常管理和专家考核工作。</w:t>
      </w:r>
    </w:p>
    <w:p w14:paraId="4AE4863C">
      <w:pPr>
        <w:widowControl w:val="0"/>
        <w:spacing w:before="190" w:beforeLines="50" w:after="190" w:afterLines="50" w:line="560" w:lineRule="exact"/>
        <w:jc w:val="center"/>
        <w:rPr>
          <w:rFonts w:ascii="黑体" w:hAnsi="宋体" w:eastAsia="黑体" w:cs="黑体"/>
          <w:color w:val="000000" w:themeColor="text1"/>
          <w:kern w:val="0"/>
          <w:sz w:val="31"/>
          <w:szCs w:val="31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color w:val="000000" w:themeColor="text1"/>
          <w:kern w:val="0"/>
          <w:sz w:val="31"/>
          <w:szCs w:val="31"/>
          <w:highlight w:val="none"/>
          <w:lang w:bidi="ar"/>
          <w14:textFill>
            <w14:solidFill>
              <w14:schemeClr w14:val="tx1"/>
            </w14:solidFill>
          </w14:textFill>
        </w:rPr>
        <w:t>第二章 专家的入库遴选</w:t>
      </w:r>
    </w:p>
    <w:p w14:paraId="5563A9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第五条 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专家库实行动态入库、出库管理，原则上每年调整一次，出现严重问题及时移出专家库。</w:t>
      </w:r>
      <w:r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专家入选专家库，采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取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单位推荐方式向专家库管理部门提出申请，单位应当事先征得被推荐人同意。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退休人员</w:t>
      </w:r>
      <w:r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入选专家库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可由本人申请。</w:t>
      </w:r>
    </w:p>
    <w:p w14:paraId="6E401AFA"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山西省生态环境厅、山西省自然资源厅根据实际需求，可邀请相关领域专家入库。</w:t>
      </w:r>
    </w:p>
    <w:p w14:paraId="42EE5B73"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第六条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入选专家库的专家应当具备下列条件：</w:t>
      </w:r>
    </w:p>
    <w:p w14:paraId="65922D85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（一）具有良好职业道德，能坚持科学、客观、公正、高效、廉洁的评审原则，做出独立、公平、公正的判断和评价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 w14:paraId="4C3E2A1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具有相关的专业素质，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熟悉土壤环境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地下水环境污染防治相关法律法规、政策、标准和规范，掌握建设用地土壤污染状况调查、风险评估、风险管控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修复、风险管控及修复效果评估的技术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评审指南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等相关要求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 w14:paraId="4E6B9B36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（三）从事建设用地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土壤或地下水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污染防治规划、污染调查监测、风险评估、风险管控、治理修复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风险管控和修复效果评估及相关技术文件评审；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从事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色金属冶炼、石油加工、化工、焦化、电镀、制革等行业领域内污染防治工作五年以上；且具有高级专业技术职称或同等专业水平及以上。</w:t>
      </w:r>
    </w:p>
    <w:p w14:paraId="28ECBD8C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（四）健康状况良好，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能够履行专家职责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外出踏勘现场和评审工作，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年龄原则上不超过65周岁（截止2024年6月30日），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特别需要的资深权威专家年龄可适当放宽。</w:t>
      </w:r>
    </w:p>
    <w:p w14:paraId="7494099D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（五）无违法犯罪以及违反职业道德记录；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5年内无被通报批评、暂停专家资格等不良行为记录，无因业务水平、工作态度或廉洁自律等问题存在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移出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专家库记录。</w:t>
      </w:r>
    </w:p>
    <w:p w14:paraId="1FB92795"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（六）自愿参加评审活动，接受统一管理，自愿签订保密协议、廉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承诺书等。</w:t>
      </w:r>
    </w:p>
    <w:p w14:paraId="09B71101">
      <w:pPr>
        <w:widowControl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第七条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申请入库的专家应当提供以下材料：</w:t>
      </w:r>
    </w:p>
    <w:p w14:paraId="0572C890"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（一）经所在单位签章（退休人员除外）的专家申请表（附件1）；</w:t>
      </w:r>
    </w:p>
    <w:p w14:paraId="45785D2E"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（二）从事专业工作的简历材料；</w:t>
      </w:r>
    </w:p>
    <w:p w14:paraId="5A64D41C"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（三）学历证书及技术职称、职业资格证书（复印件）；</w:t>
      </w:r>
    </w:p>
    <w:p w14:paraId="510130A6"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（四）证明本人身份的有效证件（复印件）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；</w:t>
      </w:r>
    </w:p>
    <w:p w14:paraId="77FBBA7D">
      <w:pPr>
        <w:widowControl/>
        <w:spacing w:line="560" w:lineRule="exact"/>
        <w:ind w:firstLine="640" w:firstLineChars="200"/>
        <w:jc w:val="both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专家承诺书（附件2）。</w:t>
      </w:r>
    </w:p>
    <w:p w14:paraId="2CAD2AC7">
      <w:pPr>
        <w:widowControl w:val="0"/>
        <w:spacing w:line="560" w:lineRule="exact"/>
        <w:ind w:firstLine="643" w:firstLineChars="200"/>
        <w:jc w:val="both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专家库管理部门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负责对入库专家的资格进行评审，满足入库条件要求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，经公示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5个工作日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无异议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予以公告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并报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山西省生态环境厅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山西省自然资源厅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备案后，可入选专家库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 w14:paraId="2BC6FC4A">
      <w:pPr>
        <w:widowControl/>
        <w:spacing w:before="190" w:beforeLines="50" w:after="190" w:afterLines="50"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color w:val="000000" w:themeColor="text1"/>
          <w:kern w:val="0"/>
          <w:sz w:val="31"/>
          <w:szCs w:val="31"/>
          <w:highlight w:val="none"/>
          <w:lang w:bidi="ar"/>
          <w14:textFill>
            <w14:solidFill>
              <w14:schemeClr w14:val="tx1"/>
            </w14:solidFill>
          </w14:textFill>
        </w:rPr>
        <w:t>第三章 专家的权利与义务</w:t>
      </w:r>
    </w:p>
    <w:p w14:paraId="6166FA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第九条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专家享有下列权利：</w:t>
      </w:r>
    </w:p>
    <w:p w14:paraId="5025F8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（一）自愿加入和退出专家库；</w:t>
      </w:r>
    </w:p>
    <w:p w14:paraId="1EB4C6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（二）对所评审的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文件及相关情况的知情权；对所负责审查的相关技术报告和现场踏勘情况独立发表意见，不受任何单位或者个人的干预；</w:t>
      </w:r>
    </w:p>
    <w:p w14:paraId="4F4238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（三）完成评审工作后按照规定获得相应的专家咨询费；</w:t>
      </w:r>
    </w:p>
    <w:p w14:paraId="0DC946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（四）向主管部门提出意见和建议；</w:t>
      </w:r>
    </w:p>
    <w:p w14:paraId="4906E9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（五）法律、法规和规章规定的其他权利。</w:t>
      </w:r>
    </w:p>
    <w:p w14:paraId="1949A4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第十条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专家承担以下义务：</w:t>
      </w:r>
    </w:p>
    <w:p w14:paraId="0F7223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（一）在职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在承担技术评审工作前，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征得所在单位同意；</w:t>
      </w:r>
    </w:p>
    <w:p w14:paraId="322C2C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（二）对参加的技术评审工作认真对待，提前研阅技术评审相关材料，及时提供客观、公正、具体、明确的书面意见，并对所提的书面和口头意见负责；</w:t>
      </w:r>
    </w:p>
    <w:p w14:paraId="47C3CD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（三）严格遵守保密规定。不得泄露在参与技术评审工作过程中知悉的国家秘密、工作秘密、商业秘密（含技术秘密）以及其他不宜公开的信息；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所参与的评审工作的成果和有关资料，不得以任何形式发表、转交他人或外传；</w:t>
      </w:r>
    </w:p>
    <w:p w14:paraId="4972DF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严格遵守回避规定。本人参与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评审项目技术文件编制的，本人与土地所有权人（或土壤污染责任人）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、文件编制单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施工单位、监理单位（以下简称“利益相关单位”）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负责人或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技术文件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编制人员有夫妻、直系血亲、三代以内旁系血亲以及近姻亲关系的，所在单位牵头或参与编制评审项目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文件的，须主动提出回避；</w:t>
      </w:r>
    </w:p>
    <w:p w14:paraId="06586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按时参加评审，特殊情况不能参加评审的，应及时告知技术评审机构，不得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利用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线上（或线下）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等方式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同时参加其他项目的技术评审活动；</w:t>
      </w:r>
    </w:p>
    <w:p w14:paraId="35B753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参加技术评审的专家应在技术文件报请省生态环境厅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前，协助其核实技术文件修改情况，确保满足质量要求；</w:t>
      </w:r>
    </w:p>
    <w:p w14:paraId="67E921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（七）接受有关监督、考核和管理；</w:t>
      </w:r>
    </w:p>
    <w:p w14:paraId="5D7E1B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（八）法律、法规和规章规定的其他相关义务。</w:t>
      </w:r>
    </w:p>
    <w:p w14:paraId="339D39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第十一条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专家在参与技术评审工作中应严格遵守廉洁纪律和职业道德规范。</w:t>
      </w:r>
    </w:p>
    <w:p w14:paraId="4892A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（一）专家咨询费由技术评审机构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根据省财政厅发布的科研项目经费管理相关规定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予以发放。禁止收受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利益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相关单位及其工作人员给予、赠送的礼品、礼金、有价证券、购物卡等；</w:t>
      </w:r>
    </w:p>
    <w:p w14:paraId="495DD2F0">
      <w:pPr>
        <w:widowControl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（二）禁止参加与评审有关的相关单位组织的营业性娱乐活动或旅游等；</w:t>
      </w:r>
    </w:p>
    <w:p w14:paraId="56C78AFB">
      <w:pPr>
        <w:widowControl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（三）禁止在与评审有关的相关单位报销应由个人支付的费用；</w:t>
      </w:r>
    </w:p>
    <w:p w14:paraId="2FB17B3A"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（四）禁止利用评审工作之便招揽工程、谋取不正当利益，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不得在技术文件评审修改过程中，刁难企业、吃拿卡要，向土地所有权人（或土壤污染责任人）承揽业务；</w:t>
      </w:r>
    </w:p>
    <w:p w14:paraId="1A035FDA"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（五）不得在技术评审工作中有明显的偏袒或者歧视现象，干预、影响评审过程和结果；</w:t>
      </w:r>
    </w:p>
    <w:p w14:paraId="4BD6EAC3"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（六）不得利用评审工作之便向土地所有权人（或土壤污染责任人）推荐、指定技术单位，推销环保产品，引荐环保设计、环保设施运营等单位，参与有偿中介活动；</w:t>
      </w:r>
    </w:p>
    <w:p w14:paraId="0BB30AC1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（七）不得出具模糊笼统、缺乏针对性的专家意见，不得对明显存在严重质量问题的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文件出具同意通过评审的意见。</w:t>
      </w:r>
    </w:p>
    <w:p w14:paraId="3161BB07">
      <w:pPr>
        <w:widowControl/>
        <w:spacing w:before="190" w:beforeLines="50" w:after="190" w:afterLines="50" w:line="560" w:lineRule="exact"/>
        <w:jc w:val="center"/>
        <w:rPr>
          <w:rFonts w:ascii="黑体" w:hAnsi="宋体" w:eastAsia="黑体" w:cs="黑体"/>
          <w:color w:val="000000" w:themeColor="text1"/>
          <w:kern w:val="0"/>
          <w:sz w:val="31"/>
          <w:szCs w:val="31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color w:val="000000" w:themeColor="text1"/>
          <w:kern w:val="0"/>
          <w:sz w:val="31"/>
          <w:szCs w:val="31"/>
          <w:highlight w:val="none"/>
          <w:lang w:bidi="ar"/>
          <w14:textFill>
            <w14:solidFill>
              <w14:schemeClr w14:val="tx1"/>
            </w14:solidFill>
          </w14:textFill>
        </w:rPr>
        <w:t>第四章 专家库的使用和管理</w:t>
      </w:r>
    </w:p>
    <w:p w14:paraId="34B8B8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第十二条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参加技术评审工作的专家人选，应严格按照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单一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行业领域+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单一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领域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从专家库系统中随机抽取，征得专家本人同意后确定评审专家。参与项目评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审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的专家应来自不同单位。</w:t>
      </w:r>
    </w:p>
    <w:p w14:paraId="2C6686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如有特殊需要，可在库外临时选用专家，库外选用专家人数不得超过所聘请专家总数的三分之一，库外临时选聘专家的应书面说明理由并存档备查。</w:t>
      </w:r>
    </w:p>
    <w:p w14:paraId="3ADDE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专家库实行动态管理、定期调整，并公布调整结果。如在库专家职称、单位、业绩成果有变动时，应及时进行信息申报，专家信息档案应及时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更新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 w14:paraId="0D335A95">
      <w:pPr>
        <w:widowControl/>
        <w:spacing w:line="240" w:lineRule="auto"/>
        <w:ind w:firstLine="643" w:firstLineChars="200"/>
        <w:jc w:val="left"/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入库专家具有下列第（一）（二）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种情形之一的，予以调整出库；</w:t>
      </w:r>
    </w:p>
    <w:p w14:paraId="37BF1042">
      <w:pPr>
        <w:spacing w:line="560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（一）专家年龄达到7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岁或因身体原因不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宜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再胜任技术评审工作的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60A975C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（二）本人申请不再担任专家的；</w:t>
      </w:r>
    </w:p>
    <w:p w14:paraId="1E416518">
      <w:pPr>
        <w:widowControl/>
        <w:spacing w:line="240" w:lineRule="auto"/>
        <w:ind w:firstLine="640" w:firstLineChars="200"/>
        <w:jc w:val="left"/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不满足第六条规定的。</w:t>
      </w:r>
    </w:p>
    <w:p w14:paraId="70A87895">
      <w:pPr>
        <w:widowControl/>
        <w:spacing w:line="240" w:lineRule="auto"/>
        <w:ind w:firstLine="643" w:firstLineChars="200"/>
        <w:jc w:val="left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第十五条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入库专家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具有下列第（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）至（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）种情形之一的，予以警告，情节严重的，取消其在库资格并予以通报，且2年内不得再次申请入库；具有下列第（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）至（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）种情形之一的，取消其在库资格并予以通报，且5年内不得再次申请入库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违反国家有关法律规定的，依法追究法律责任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3500171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）被选定并已接受邀请参加技术评审的专家，一年内无正当理由不踏勘现场或者不参加技术评审会议两次以上的；</w:t>
      </w:r>
    </w:p>
    <w:p w14:paraId="11C86E3F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）参与技术评审时，在评审会上未执行一次性告知，在评审会后再次提出修改意见，一年内发生两次以上的；</w:t>
      </w:r>
    </w:p>
    <w:p w14:paraId="017A5B63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）未严格按照程序和规范要求开展技术评审工作，个人出具的专家意见不认真负责，缺乏针对性，遗漏项目关键内容或重大环境问题，致使技术文件存在严重质量问题或者重大质量纰漏的；</w:t>
      </w:r>
    </w:p>
    <w:p w14:paraId="1E1939C6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）参与技术评审时，在规定的咨询服务费外，违反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第十一条廉洁纪律和职业道德规范规定的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384F746B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）与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利益相关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单位存在利益关系或者利害关系，在参与技术评审时未主动提出回避的；</w:t>
      </w:r>
    </w:p>
    <w:p w14:paraId="4B8CDDE4">
      <w:pPr>
        <w:widowControl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）泄露在技术评审过程中知悉的技术秘密、商业秘密以及其他不宜公开信息的。</w:t>
      </w:r>
    </w:p>
    <w:p w14:paraId="043BBFDC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专家库建立痕迹管理机制。专家抽取和技术文件日常考核表填报等应全程留痕，做到相关记录可查询、可追溯。</w:t>
      </w:r>
    </w:p>
    <w:p w14:paraId="7BA8ED1D">
      <w:pPr>
        <w:widowControl/>
        <w:spacing w:before="190" w:beforeLines="50" w:after="190" w:afterLines="50" w:line="560" w:lineRule="exact"/>
        <w:jc w:val="center"/>
        <w:rPr>
          <w:rFonts w:ascii="黑体" w:hAnsi="宋体" w:eastAsia="黑体" w:cs="黑体"/>
          <w:color w:val="000000" w:themeColor="text1"/>
          <w:kern w:val="0"/>
          <w:sz w:val="31"/>
          <w:szCs w:val="31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color w:val="000000" w:themeColor="text1"/>
          <w:kern w:val="0"/>
          <w:sz w:val="31"/>
          <w:szCs w:val="31"/>
          <w:highlight w:val="none"/>
          <w:lang w:bidi="ar"/>
          <w14:textFill>
            <w14:solidFill>
              <w14:schemeClr w14:val="tx1"/>
            </w14:solidFill>
          </w14:textFill>
        </w:rPr>
        <w:t>第五章 附则</w:t>
      </w:r>
    </w:p>
    <w:p w14:paraId="0CDC8E69"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本办法由山西省生态环境厅负责解释。</w:t>
      </w:r>
    </w:p>
    <w:p w14:paraId="68F7D54C"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本办法自印发之日起施行。</w:t>
      </w:r>
    </w:p>
    <w:p w14:paraId="577E1E5B">
      <w:pPr>
        <w:spacing w:line="56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br w:type="page"/>
      </w:r>
    </w:p>
    <w:p w14:paraId="176098B7">
      <w:pPr>
        <w:spacing w:line="500" w:lineRule="exact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</w:t>
      </w:r>
    </w:p>
    <w:p w14:paraId="0C870F83">
      <w:pPr>
        <w:jc w:val="center"/>
        <w:rPr>
          <w:rFonts w:ascii="方正小标宋简体" w:hAnsi="方正小标宋简体" w:eastAsia="方正小标宋简体"/>
          <w:color w:val="000000" w:themeColor="text1"/>
          <w:sz w:val="36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6"/>
          <w:szCs w:val="32"/>
          <w:highlight w:val="none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方正小标宋简体" w:hAnsi="方正小标宋简体" w:eastAsia="方正小标宋简体"/>
          <w:color w:val="000000" w:themeColor="text1"/>
          <w:sz w:val="36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入库</w:t>
      </w:r>
      <w:r>
        <w:rPr>
          <w:rFonts w:hint="eastAsia" w:ascii="方正小标宋简体" w:hAnsi="方正小标宋简体" w:eastAsia="方正小标宋简体"/>
          <w:color w:val="000000" w:themeColor="text1"/>
          <w:sz w:val="36"/>
          <w:szCs w:val="32"/>
          <w:highlight w:val="none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758"/>
        <w:gridCol w:w="1377"/>
        <w:gridCol w:w="1685"/>
        <w:gridCol w:w="1853"/>
      </w:tblGrid>
      <w:tr w14:paraId="7863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16" w:type="pct"/>
            <w:vAlign w:val="center"/>
          </w:tcPr>
          <w:p w14:paraId="0395D449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504" w:type="pct"/>
            <w:vAlign w:val="center"/>
          </w:tcPr>
          <w:p w14:paraId="5F4F9AC9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" w:type="pct"/>
            <w:vAlign w:val="center"/>
          </w:tcPr>
          <w:p w14:paraId="09788705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19" w:type="pct"/>
            <w:vAlign w:val="center"/>
          </w:tcPr>
          <w:p w14:paraId="7003ABD9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pct"/>
            <w:vMerge w:val="restart"/>
            <w:vAlign w:val="center"/>
          </w:tcPr>
          <w:p w14:paraId="6D0D279F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寸红底照片</w:t>
            </w:r>
          </w:p>
        </w:tc>
      </w:tr>
      <w:tr w14:paraId="405C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pct"/>
            <w:vAlign w:val="center"/>
          </w:tcPr>
          <w:p w14:paraId="623F17AB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04" w:type="pct"/>
            <w:vAlign w:val="center"/>
          </w:tcPr>
          <w:p w14:paraId="16C9FA72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" w:type="pct"/>
            <w:vAlign w:val="center"/>
          </w:tcPr>
          <w:p w14:paraId="5DE4B358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19" w:type="pct"/>
            <w:vAlign w:val="center"/>
          </w:tcPr>
          <w:p w14:paraId="04B18F7C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pct"/>
            <w:vMerge w:val="continue"/>
            <w:vAlign w:val="center"/>
          </w:tcPr>
          <w:p w14:paraId="1BA57C11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A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16" w:type="pct"/>
            <w:vAlign w:val="center"/>
          </w:tcPr>
          <w:p w14:paraId="7100A19F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04" w:type="pct"/>
            <w:vAlign w:val="center"/>
          </w:tcPr>
          <w:p w14:paraId="70E9F69A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" w:type="pct"/>
            <w:vAlign w:val="center"/>
          </w:tcPr>
          <w:p w14:paraId="186A8140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是否在职</w:t>
            </w:r>
          </w:p>
        </w:tc>
        <w:tc>
          <w:tcPr>
            <w:tcW w:w="919" w:type="pct"/>
            <w:vAlign w:val="center"/>
          </w:tcPr>
          <w:p w14:paraId="342DBF98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pct"/>
            <w:vMerge w:val="continue"/>
            <w:vAlign w:val="center"/>
          </w:tcPr>
          <w:p w14:paraId="4CC09DD1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12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pct"/>
            <w:vAlign w:val="center"/>
          </w:tcPr>
          <w:p w14:paraId="6ECAD27C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04" w:type="pct"/>
            <w:vAlign w:val="center"/>
          </w:tcPr>
          <w:p w14:paraId="3F66C464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" w:type="pct"/>
            <w:vAlign w:val="center"/>
          </w:tcPr>
          <w:p w14:paraId="734611AC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927" w:type="pct"/>
            <w:gridSpan w:val="2"/>
            <w:vAlign w:val="center"/>
          </w:tcPr>
          <w:p w14:paraId="7D6642AF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9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pct"/>
            <w:vAlign w:val="center"/>
          </w:tcPr>
          <w:p w14:paraId="49FD17B0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04" w:type="pct"/>
            <w:vAlign w:val="center"/>
          </w:tcPr>
          <w:p w14:paraId="3CEA0A60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" w:type="pct"/>
            <w:vAlign w:val="center"/>
          </w:tcPr>
          <w:p w14:paraId="19B811AA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27" w:type="pct"/>
            <w:gridSpan w:val="2"/>
            <w:vAlign w:val="center"/>
          </w:tcPr>
          <w:p w14:paraId="5B5C6759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48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pct"/>
            <w:vAlign w:val="center"/>
          </w:tcPr>
          <w:p w14:paraId="5F1793CD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现从事</w:t>
            </w:r>
          </w:p>
          <w:p w14:paraId="6E3DB348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04" w:type="pct"/>
            <w:vAlign w:val="center"/>
          </w:tcPr>
          <w:p w14:paraId="56AA1B68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" w:type="pct"/>
            <w:vAlign w:val="center"/>
          </w:tcPr>
          <w:p w14:paraId="32A8BBA7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从事时间</w:t>
            </w:r>
          </w:p>
        </w:tc>
        <w:tc>
          <w:tcPr>
            <w:tcW w:w="1927" w:type="pct"/>
            <w:gridSpan w:val="2"/>
            <w:vAlign w:val="center"/>
          </w:tcPr>
          <w:p w14:paraId="27774B57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B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pct"/>
            <w:vAlign w:val="center"/>
          </w:tcPr>
          <w:p w14:paraId="565E642D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 w14:paraId="7B17AE6E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16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（固话或手机）</w:t>
            </w:r>
          </w:p>
        </w:tc>
        <w:tc>
          <w:tcPr>
            <w:tcW w:w="1504" w:type="pct"/>
            <w:vAlign w:val="center"/>
          </w:tcPr>
          <w:p w14:paraId="07D5B5EE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" w:type="pct"/>
            <w:vAlign w:val="center"/>
          </w:tcPr>
          <w:p w14:paraId="6B65ABD6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27" w:type="pct"/>
            <w:gridSpan w:val="2"/>
            <w:vAlign w:val="center"/>
          </w:tcPr>
          <w:p w14:paraId="1EB1B852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F4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pct"/>
            <w:vAlign w:val="center"/>
          </w:tcPr>
          <w:p w14:paraId="711AC105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通讯地址及邮编</w:t>
            </w:r>
          </w:p>
        </w:tc>
        <w:tc>
          <w:tcPr>
            <w:tcW w:w="4183" w:type="pct"/>
            <w:gridSpan w:val="4"/>
            <w:vAlign w:val="center"/>
          </w:tcPr>
          <w:p w14:paraId="41747C91"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2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816" w:type="pct"/>
            <w:vAlign w:val="center"/>
          </w:tcPr>
          <w:p w14:paraId="5C099667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熟悉的专业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（不超过3项）</w:t>
            </w:r>
          </w:p>
        </w:tc>
        <w:tc>
          <w:tcPr>
            <w:tcW w:w="4183" w:type="pct"/>
            <w:gridSpan w:val="4"/>
            <w:vAlign w:val="center"/>
          </w:tcPr>
          <w:p w14:paraId="2CA94C13">
            <w:pPr>
              <w:spacing w:line="480" w:lineRule="exact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□土壤/地下水污染防治及政策研究 </w:t>
            </w:r>
            <w:r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□土壤/地下水污染调查与风险评估   □土壤/地下水污染风险管控与治理修复 </w:t>
            </w:r>
            <w:r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□土壤/地下水环境监测与应急管理   □土壤/地下水风险管控与修复效果评估及验收 </w:t>
            </w:r>
            <w:r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□土壤/地下水修复工程施工及管理</w:t>
            </w:r>
          </w:p>
        </w:tc>
      </w:tr>
      <w:tr w14:paraId="5459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16" w:type="pct"/>
            <w:shd w:val="clear" w:color="auto" w:fill="auto"/>
            <w:vAlign w:val="center"/>
          </w:tcPr>
          <w:p w14:paraId="66359EA1">
            <w:pPr>
              <w:adjustRightInd w:val="0"/>
              <w:spacing w:line="4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行业领域</w:t>
            </w:r>
          </w:p>
          <w:p w14:paraId="28BC1D69">
            <w:pPr>
              <w:adjustRightInd w:val="0"/>
              <w:spacing w:line="4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（限选八项）</w:t>
            </w:r>
          </w:p>
        </w:tc>
        <w:tc>
          <w:tcPr>
            <w:tcW w:w="4183" w:type="pct"/>
            <w:gridSpan w:val="4"/>
            <w:shd w:val="clear" w:color="auto" w:fill="auto"/>
            <w:vAlign w:val="center"/>
          </w:tcPr>
          <w:p w14:paraId="061643D6">
            <w:pPr>
              <w:adjustRightInd w:val="0"/>
              <w:spacing w:line="480" w:lineRule="exact"/>
              <w:rPr>
                <w:rFonts w:ascii="仿宋_GB2312" w:hAnsi="宋体" w:eastAsia="仿宋_GB2312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□石油和天然气开采 □石油、煤炭及其他燃料加工（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精制石油产品制造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□炼焦 □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煤制合成气和液体燃料生产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生物质燃料加工） 化学原料及化学制品制造（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无机酸、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无机碱、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无机盐制造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有机化学原料制造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□肥料制造  □农药制造  □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涂料、油墨、颜料及类似产品制造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□合成材料制造  □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专用化学品制造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炸药、火工及焰火产品制造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日用化学产品制造） □医药制造 □化学纤维制造 □橡胶和塑料制品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有色金属冶炼及压延加工 □废弃资源综合利用 □燃气生产和供应  □研究和试验发展 生态保护和环境治理（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□一般固废集中处置  □危险废物集中处置  □医疗废物处置、病死及病害动物处理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公共设施管理（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生活垃圾转运、集中处置） □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卫生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□其他（注明具体行业领域）</w:t>
            </w:r>
          </w:p>
        </w:tc>
      </w:tr>
      <w:tr w14:paraId="3B85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16" w:type="pct"/>
            <w:shd w:val="clear" w:color="auto" w:fill="auto"/>
            <w:vAlign w:val="center"/>
          </w:tcPr>
          <w:p w14:paraId="79CE889E">
            <w:pPr>
              <w:adjustRightInd w:val="0"/>
              <w:spacing w:line="4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专业领域</w:t>
            </w:r>
          </w:p>
          <w:p w14:paraId="77C7E08A">
            <w:pPr>
              <w:adjustRightInd w:val="0"/>
              <w:spacing w:line="4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（限选三项）</w:t>
            </w:r>
          </w:p>
        </w:tc>
        <w:tc>
          <w:tcPr>
            <w:tcW w:w="4183" w:type="pct"/>
            <w:gridSpan w:val="4"/>
            <w:shd w:val="clear" w:color="auto" w:fill="auto"/>
          </w:tcPr>
          <w:p w14:paraId="331BF2C2">
            <w:pPr>
              <w:adjustRightInd w:val="0"/>
              <w:spacing w:line="480" w:lineRule="exact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□地表水环境  □地下水环境  □环境风险 □环境监测  □电磁辐射  环境工程（□废水  □废气  □固体废物）  环境管理（□环境影响评价管理  □排污许可  □环境执法  □环境信息）</w:t>
            </w:r>
          </w:p>
          <w:p w14:paraId="7646B675">
            <w:pPr>
              <w:adjustRightInd w:val="0"/>
              <w:spacing w:line="480" w:lineRule="exact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□环境地质  □水文地质  □其他（注明具体专业领域）</w:t>
            </w:r>
          </w:p>
        </w:tc>
      </w:tr>
      <w:tr w14:paraId="3F8D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00" w:type="pct"/>
            <w:gridSpan w:val="5"/>
            <w:vAlign w:val="center"/>
          </w:tcPr>
          <w:p w14:paraId="0B3D6863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</w:tr>
      <w:tr w14:paraId="50EE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5000" w:type="pct"/>
            <w:gridSpan w:val="5"/>
            <w:vAlign w:val="center"/>
          </w:tcPr>
          <w:p w14:paraId="4DCDDCD8">
            <w:pPr>
              <w:adjustRightInd w:val="0"/>
              <w:spacing w:line="460" w:lineRule="exact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（教育背景（大学以上）、工作经历、主要成果，不超过800字）</w:t>
            </w:r>
          </w:p>
          <w:p w14:paraId="41FD22CA">
            <w:pPr>
              <w:adjustRightInd w:val="0"/>
              <w:spacing w:line="460" w:lineRule="exact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3A12BCF">
            <w:pPr>
              <w:adjustRightInd w:val="0"/>
              <w:spacing w:line="460" w:lineRule="exact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0294D65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2CAC67A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4D10CBA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54039FE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86C8E14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F3FE940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B43A417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1F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gridSpan w:val="5"/>
            <w:vAlign w:val="center"/>
          </w:tcPr>
          <w:p w14:paraId="2CDB00F5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近5年来主要工作业绩和成果</w:t>
            </w:r>
          </w:p>
        </w:tc>
      </w:tr>
      <w:tr w14:paraId="31B6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000" w:type="pct"/>
            <w:gridSpan w:val="5"/>
            <w:vAlign w:val="center"/>
          </w:tcPr>
          <w:p w14:paraId="43B2B92E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133E79A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AAD243A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7BE4472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5AF4232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76BE694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100B51A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9911287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60D718C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177A817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8A43A65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73158E0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D6D2802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BC4B4B0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728DED0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60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5"/>
            <w:vAlign w:val="center"/>
          </w:tcPr>
          <w:p w14:paraId="67F661B7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专家承诺</w:t>
            </w:r>
          </w:p>
        </w:tc>
      </w:tr>
      <w:tr w14:paraId="4772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5000" w:type="pct"/>
            <w:gridSpan w:val="5"/>
            <w:vAlign w:val="center"/>
          </w:tcPr>
          <w:p w14:paraId="6F8E61CD">
            <w:pPr>
              <w:spacing w:before="190" w:beforeLines="50" w:line="480" w:lineRule="exact"/>
              <w:ind w:firstLine="480" w:firstLineChars="200"/>
              <w:jc w:val="lef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本人承诺所填报内容真实有效，愿意按照山西省土壤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和地下水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污染防治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专家库管理办法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要求履行专家职责，在参与监督检查、评审论证工作中做到认真、负责、科学、客观、公正，严格遵守有关规定。</w:t>
            </w:r>
          </w:p>
          <w:p w14:paraId="415E1D95">
            <w:pPr>
              <w:wordWrap w:val="0"/>
              <w:spacing w:before="381" w:beforeLines="100"/>
              <w:ind w:firstLine="480" w:firstLineChars="200"/>
              <w:jc w:val="righ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专家签字：              </w:t>
            </w:r>
          </w:p>
          <w:p w14:paraId="702BEB37">
            <w:pPr>
              <w:wordWrap w:val="0"/>
              <w:spacing w:before="190" w:beforeLines="50"/>
              <w:ind w:firstLine="480" w:firstLineChars="200"/>
              <w:jc w:val="right"/>
              <w:rPr>
                <w:rFonts w:ascii="仿宋_GB2312" w:hAnsi="仿宋_GB2312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年   月   日 </w:t>
            </w:r>
          </w:p>
        </w:tc>
      </w:tr>
      <w:tr w14:paraId="4904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000" w:type="pct"/>
            <w:gridSpan w:val="5"/>
            <w:vAlign w:val="center"/>
          </w:tcPr>
          <w:p w14:paraId="4E632F6F">
            <w:pPr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</w:tr>
      <w:tr w14:paraId="3B23E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5000" w:type="pct"/>
            <w:gridSpan w:val="5"/>
            <w:vAlign w:val="center"/>
          </w:tcPr>
          <w:p w14:paraId="5FBD8264">
            <w:pPr>
              <w:spacing w:before="190" w:beforeLines="50" w:line="360" w:lineRule="auto"/>
              <w:ind w:firstLine="480" w:firstLineChars="200"/>
              <w:jc w:val="left"/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同意推荐该同志加入山西省土壤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和地下水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污染防治专家库。</w:t>
            </w:r>
          </w:p>
          <w:p w14:paraId="646DAE0B">
            <w:pPr>
              <w:spacing w:before="190" w:beforeLines="50" w:line="360" w:lineRule="auto"/>
              <w:ind w:firstLine="480" w:firstLineChars="200"/>
              <w:jc w:val="left"/>
              <w:rPr>
                <w:rFonts w:hint="eastAsia" w:ascii="仿宋_GB2312" w:hAnsi="仿宋_GB2312"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A268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1" w:beforeLines="100" w:line="400" w:lineRule="exact"/>
              <w:ind w:firstLine="5040" w:firstLineChars="2100"/>
              <w:jc w:val="both"/>
              <w:textAlignment w:val="auto"/>
              <w:rPr>
                <w:rFonts w:ascii="仿宋_GB2312" w:hAnsi="仿宋_GB2312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推荐单位盖章：        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4912D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年   月   日  </w:t>
            </w:r>
          </w:p>
        </w:tc>
      </w:tr>
    </w:tbl>
    <w:p w14:paraId="584F8842">
      <w:pPr>
        <w:adjustRightInd w:val="0"/>
        <w:spacing w:line="460" w:lineRule="exact"/>
        <w:ind w:firstLine="480" w:firstLineChars="200"/>
        <w:jc w:val="left"/>
        <w:rPr>
          <w:rFonts w:ascii="仿宋_GB2312" w:hAnsi="宋体" w:eastAsia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相关证明材料:</w:t>
      </w:r>
    </w:p>
    <w:p w14:paraId="2F3C2C3B">
      <w:pPr>
        <w:adjustRightInd w:val="0"/>
        <w:spacing w:line="460" w:lineRule="exact"/>
        <w:ind w:firstLine="480" w:firstLineChars="200"/>
        <w:jc w:val="left"/>
        <w:outlineLvl w:val="9"/>
        <w:rPr>
          <w:rFonts w:hint="eastAsia" w:ascii="仿宋_GB2312" w:hAnsi="宋体" w:eastAsia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1.身份证复印件扫描件;2.技术职称证书扫描件;3.退休证明(仅退休人员提供)。</w:t>
      </w:r>
    </w:p>
    <w:p w14:paraId="27E54A02">
      <w:pPr>
        <w:adjustRightInd/>
        <w:spacing w:line="240" w:lineRule="auto"/>
        <w:ind w:firstLine="0" w:firstLineChars="0"/>
        <w:jc w:val="left"/>
        <w:outlineLvl w:val="9"/>
        <w:rPr>
          <w:rFonts w:hint="eastAsia" w:ascii="仿宋_GB2312" w:hAnsi="宋体" w:eastAsia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45644025">
      <w:pPr>
        <w:adjustRightInd w:val="0"/>
        <w:spacing w:line="460" w:lineRule="exact"/>
        <w:jc w:val="left"/>
        <w:outlineLvl w:val="0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 w14:paraId="4113321A">
      <w:pPr>
        <w:snapToGrid w:val="0"/>
        <w:jc w:val="center"/>
        <w:rPr>
          <w:rFonts w:ascii="方正小标宋简体" w:eastAsia="方正小标宋简体"/>
          <w:bCs/>
          <w:color w:val="000000" w:themeColor="text1"/>
          <w:sz w:val="36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6FCB7653">
      <w:pPr>
        <w:snapToGrid w:val="0"/>
        <w:jc w:val="center"/>
        <w:rPr>
          <w:rFonts w:ascii="方正小标宋简体" w:eastAsia="方正小标宋简体"/>
          <w:bCs/>
          <w:color w:val="000000" w:themeColor="text1"/>
          <w:sz w:val="40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eastAsia="方正小标宋简体"/>
          <w:bCs/>
          <w:color w:val="000000" w:themeColor="text1"/>
          <w:sz w:val="40"/>
          <w:szCs w:val="44"/>
          <w:highlight w:val="none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方正小标宋简体" w:eastAsia="方正小标宋简体"/>
          <w:bCs/>
          <w:color w:val="000000" w:themeColor="text1"/>
          <w:sz w:val="40"/>
          <w:szCs w:val="44"/>
          <w:highlight w:val="none"/>
          <w14:textFill>
            <w14:solidFill>
              <w14:schemeClr w14:val="tx1"/>
            </w14:solidFill>
          </w14:textFill>
        </w:rPr>
        <w:t>承诺书</w:t>
      </w:r>
    </w:p>
    <w:p w14:paraId="21C65034">
      <w:pPr>
        <w:snapToGrid w:val="0"/>
        <w:jc w:val="center"/>
        <w:rPr>
          <w:rFonts w:ascii="方正小标宋简体" w:eastAsia="方正小标宋简体"/>
          <w:bCs/>
          <w:color w:val="000000" w:themeColor="text1"/>
          <w:sz w:val="36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315762E5">
      <w:pPr>
        <w:spacing w:line="6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入选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山西省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土壤和地下水污染防治专家库，我将认真学习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贯彻落实习近平生态文明思想，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严格遵守并认真执行专家库各项规章制度，并作出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如下承诺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43AF41C1">
      <w:pPr>
        <w:spacing w:line="6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1.忠于职守，客观公正。在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土壤和地下水相关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文件评审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工作中坚持原则，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不受任何权势、利益主体和人情的左右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，科学、公正地提供咨询；在评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审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项目与专家利益相关或可能使专家失去公正性和客观性时，主动回避参与该项目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1253DB7E">
      <w:pPr>
        <w:spacing w:line="6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2.科学严谨，谨言慎行。技术评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审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会前认真研读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文件并严格把关；会前起草书面意见，意见明确、具体，并对提出的意见负责；不对外泄露国家秘密、工作秘密、商业秘密（含技术秘密）以及尚未公开的评估信息。</w:t>
      </w:r>
    </w:p>
    <w:p w14:paraId="1F1B1956">
      <w:pPr>
        <w:spacing w:line="62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3.克己奉公，廉洁自律。不收取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利益相关方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给予的礼金、有价证券、银行卡、购物卡等；不参加利益相关方组织的营业性娱乐活动和旅游；不在利益相关方报销应由个人支付的费用。</w:t>
      </w:r>
    </w:p>
    <w:p w14:paraId="7791DFE0">
      <w:pPr>
        <w:tabs>
          <w:tab w:val="left" w:pos="6019"/>
        </w:tabs>
        <w:spacing w:line="62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ab/>
      </w:r>
    </w:p>
    <w:p w14:paraId="779C239C">
      <w:pPr>
        <w:spacing w:line="62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B96D954">
      <w:pPr>
        <w:spacing w:line="620" w:lineRule="exact"/>
        <w:ind w:firstLine="176" w:firstLineChars="55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签名：</w:t>
      </w:r>
    </w:p>
    <w:p w14:paraId="13227D27">
      <w:pPr>
        <w:adjustRightInd w:val="0"/>
        <w:spacing w:line="460" w:lineRule="exact"/>
        <w:ind w:firstLine="640" w:firstLineChars="200"/>
        <w:jc w:val="left"/>
        <w:outlineLvl w:val="9"/>
        <w:rPr>
          <w:rFonts w:hint="default" w:ascii="仿宋_GB2312" w:hAnsi="宋体" w:eastAsia="仿宋_GB2312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headerReference r:id="rId3" w:type="default"/>
      <w:footerReference r:id="rId4" w:type="default"/>
      <w:pgSz w:w="11906" w:h="16838"/>
      <w:pgMar w:top="1757" w:right="1474" w:bottom="158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0B7A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1654B">
                          <w:pPr>
                            <w:pStyle w:val="3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>- 12 -</w: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71654B">
                    <w:pPr>
                      <w:pStyle w:val="3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t>- 12 -</w:t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DCF7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YWIxNjI2ZmNlMjk3NzljNTIwMDcwY2RjMzRhNzkifQ=="/>
  </w:docVars>
  <w:rsids>
    <w:rsidRoot w:val="00C121C8"/>
    <w:rsid w:val="003A4777"/>
    <w:rsid w:val="00B54DA2"/>
    <w:rsid w:val="00C121C8"/>
    <w:rsid w:val="00C74537"/>
    <w:rsid w:val="00E75291"/>
    <w:rsid w:val="024E446A"/>
    <w:rsid w:val="04951A77"/>
    <w:rsid w:val="04BB20A2"/>
    <w:rsid w:val="0C987C02"/>
    <w:rsid w:val="0F046FDD"/>
    <w:rsid w:val="12753A2E"/>
    <w:rsid w:val="14FF1497"/>
    <w:rsid w:val="18F0371D"/>
    <w:rsid w:val="1A257B0B"/>
    <w:rsid w:val="1EC865D9"/>
    <w:rsid w:val="20692E24"/>
    <w:rsid w:val="24112C6E"/>
    <w:rsid w:val="242157C3"/>
    <w:rsid w:val="261E020C"/>
    <w:rsid w:val="2B2B2ED2"/>
    <w:rsid w:val="2BCB151D"/>
    <w:rsid w:val="2E165E8F"/>
    <w:rsid w:val="2E1836C6"/>
    <w:rsid w:val="309F26AF"/>
    <w:rsid w:val="31343C1E"/>
    <w:rsid w:val="341D7396"/>
    <w:rsid w:val="34213A8B"/>
    <w:rsid w:val="37BE719F"/>
    <w:rsid w:val="39B238A7"/>
    <w:rsid w:val="3B7A3CF2"/>
    <w:rsid w:val="3C0B2B89"/>
    <w:rsid w:val="3EA44447"/>
    <w:rsid w:val="400C7CE2"/>
    <w:rsid w:val="417F06C8"/>
    <w:rsid w:val="43121181"/>
    <w:rsid w:val="44456805"/>
    <w:rsid w:val="4DBA1C58"/>
    <w:rsid w:val="4F1F09CE"/>
    <w:rsid w:val="507F57D7"/>
    <w:rsid w:val="51171410"/>
    <w:rsid w:val="54387E3C"/>
    <w:rsid w:val="549C661D"/>
    <w:rsid w:val="54F22651"/>
    <w:rsid w:val="551C70B5"/>
    <w:rsid w:val="56221777"/>
    <w:rsid w:val="56566B54"/>
    <w:rsid w:val="56F73FDE"/>
    <w:rsid w:val="59E25258"/>
    <w:rsid w:val="5A7859C5"/>
    <w:rsid w:val="5A9536FB"/>
    <w:rsid w:val="5BFD3E45"/>
    <w:rsid w:val="5E9436A9"/>
    <w:rsid w:val="5F3202A9"/>
    <w:rsid w:val="5FE3445C"/>
    <w:rsid w:val="650C50F9"/>
    <w:rsid w:val="699A7EDC"/>
    <w:rsid w:val="6CE93F71"/>
    <w:rsid w:val="6DFF6E29"/>
    <w:rsid w:val="6F8055F8"/>
    <w:rsid w:val="71B44B4E"/>
    <w:rsid w:val="76784254"/>
    <w:rsid w:val="784F58A0"/>
    <w:rsid w:val="7A86354E"/>
    <w:rsid w:val="7CD90610"/>
    <w:rsid w:val="7D3A4867"/>
    <w:rsid w:val="7E575C9F"/>
    <w:rsid w:val="7EFE469D"/>
    <w:rsid w:val="7F8E08CD"/>
    <w:rsid w:val="7FE89DCA"/>
    <w:rsid w:val="BB2D63A5"/>
    <w:rsid w:val="D9FFF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4548</Words>
  <Characters>4565</Characters>
  <Lines>36</Lines>
  <Paragraphs>10</Paragraphs>
  <TotalTime>269</TotalTime>
  <ScaleCrop>false</ScaleCrop>
  <LinksUpToDate>false</LinksUpToDate>
  <CharactersWithSpaces>4888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2024-07-27T09:06:00Z</dcterms:created>
  <dc:creator>Administrator</dc:creator>
  <cp:lastModifiedBy>孙泽辉</cp:lastModifiedBy>
  <cp:lastPrinted>2024-11-15T08:07:00Z</cp:lastPrinted>
  <dcterms:modified xsi:type="dcterms:W3CDTF">2024-11-18T03:38:19Z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94F7BF7E25EC1FD785BD3667B8FE9D06_43</vt:lpwstr>
  </property>
</Properties>
</file>