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eastAsia="方正小标宋简体"/>
          <w:sz w:val="28"/>
          <w:szCs w:val="28"/>
        </w:rPr>
      </w:pPr>
    </w:p>
    <w:p>
      <w:pPr>
        <w:jc w:val="center"/>
        <w:rPr>
          <w:rFonts w:eastAsia="方正小标宋简体"/>
          <w:sz w:val="28"/>
          <w:szCs w:val="28"/>
        </w:rPr>
      </w:pPr>
    </w:p>
    <w:p>
      <w:pPr>
        <w:adjustRightInd w:val="0"/>
        <w:snapToGrid w:val="0"/>
        <w:jc w:val="center"/>
        <w:rPr>
          <w:rFonts w:eastAsia="方正小标宋简体"/>
          <w:bCs/>
          <w:caps/>
          <w:kern w:val="44"/>
          <w:sz w:val="44"/>
          <w:szCs w:val="44"/>
        </w:rPr>
      </w:pPr>
    </w:p>
    <w:p>
      <w:pPr>
        <w:adjustRightInd w:val="0"/>
        <w:snapToGrid w:val="0"/>
        <w:jc w:val="center"/>
        <w:rPr>
          <w:rFonts w:eastAsia="方正小标宋简体"/>
          <w:bCs/>
          <w:caps/>
          <w:kern w:val="44"/>
          <w:sz w:val="44"/>
          <w:szCs w:val="44"/>
        </w:rPr>
      </w:pPr>
      <w:bookmarkStart w:id="0" w:name="_Toc4465"/>
      <w:bookmarkStart w:id="1" w:name="_Toc30902"/>
      <w:r>
        <w:rPr>
          <w:rFonts w:eastAsia="方正小标宋简体"/>
          <w:bCs/>
          <w:caps/>
          <w:kern w:val="44"/>
          <w:sz w:val="44"/>
          <w:szCs w:val="44"/>
        </w:rPr>
        <w:t>山西省静乐县国家生态文明建设示范区</w:t>
      </w:r>
      <w:bookmarkEnd w:id="0"/>
      <w:bookmarkEnd w:id="1"/>
      <w:r>
        <w:rPr>
          <w:rFonts w:eastAsia="方正小标宋简体"/>
          <w:bCs/>
          <w:caps/>
          <w:kern w:val="44"/>
          <w:sz w:val="44"/>
          <w:szCs w:val="44"/>
        </w:rPr>
        <w:t>规划（202</w:t>
      </w:r>
      <w:r>
        <w:rPr>
          <w:rFonts w:hint="eastAsia" w:eastAsia="方正小标宋简体"/>
          <w:bCs/>
          <w:caps/>
          <w:kern w:val="44"/>
          <w:sz w:val="44"/>
          <w:szCs w:val="44"/>
        </w:rPr>
        <w:t>3</w:t>
      </w:r>
      <w:r>
        <w:rPr>
          <w:rFonts w:eastAsia="方正小标宋简体"/>
          <w:bCs/>
          <w:caps/>
          <w:kern w:val="44"/>
          <w:sz w:val="44"/>
          <w:szCs w:val="44"/>
        </w:rPr>
        <w:t>-2030年）</w:t>
      </w:r>
    </w:p>
    <w:p>
      <w:pPr>
        <w:adjustRightInd w:val="0"/>
        <w:snapToGrid w:val="0"/>
        <w:jc w:val="center"/>
        <w:rPr>
          <w:rFonts w:eastAsia="方正小标宋简体"/>
          <w:bCs/>
          <w:caps/>
          <w:color w:val="000000" w:themeColor="text1"/>
          <w:kern w:val="44"/>
          <w:sz w:val="36"/>
          <w:szCs w:val="36"/>
        </w:rPr>
      </w:pPr>
      <w:r>
        <w:rPr>
          <w:rFonts w:hint="eastAsia" w:eastAsia="方正小标宋简体"/>
          <w:bCs/>
          <w:caps/>
          <w:color w:val="000000" w:themeColor="text1"/>
          <w:kern w:val="44"/>
          <w:sz w:val="36"/>
          <w:szCs w:val="36"/>
        </w:rPr>
        <w:t>（简  本）</w:t>
      </w:r>
    </w:p>
    <w:p>
      <w:pPr>
        <w:pStyle w:val="2"/>
      </w:pPr>
    </w:p>
    <w:p>
      <w:pPr>
        <w:jc w:val="center"/>
        <w:rPr>
          <w:rFonts w:eastAsia="楷体"/>
          <w:sz w:val="28"/>
          <w:szCs w:val="28"/>
        </w:rPr>
      </w:pPr>
    </w:p>
    <w:p>
      <w:pPr>
        <w:pStyle w:val="39"/>
      </w:pPr>
    </w:p>
    <w:p>
      <w:pPr>
        <w:jc w:val="center"/>
        <w:rPr>
          <w:rFonts w:eastAsia="楷体"/>
          <w:sz w:val="28"/>
          <w:szCs w:val="28"/>
        </w:rPr>
      </w:pPr>
      <w:r>
        <w:rPr>
          <w:rFonts w:hint="eastAsia" w:eastAsia="楷体"/>
          <w:sz w:val="28"/>
          <w:szCs w:val="28"/>
        </w:rPr>
        <w:drawing>
          <wp:anchor distT="0" distB="0" distL="114300" distR="114300" simplePos="0" relativeHeight="251659264" behindDoc="0" locked="0" layoutInCell="1" allowOverlap="1">
            <wp:simplePos x="0" y="0"/>
            <wp:positionH relativeFrom="column">
              <wp:posOffset>-537210</wp:posOffset>
            </wp:positionH>
            <wp:positionV relativeFrom="paragraph">
              <wp:posOffset>173355</wp:posOffset>
            </wp:positionV>
            <wp:extent cx="6480175" cy="3641090"/>
            <wp:effectExtent l="0" t="0" r="15875" b="16510"/>
            <wp:wrapNone/>
            <wp:docPr id="3" name="图片 3" descr="汾河国家湿地公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汾河国家湿地公园"/>
                    <pic:cNvPicPr>
                      <a:picLocks noChangeAspect="1"/>
                    </pic:cNvPicPr>
                  </pic:nvPicPr>
                  <pic:blipFill>
                    <a:blip r:embed="rId9"/>
                    <a:stretch>
                      <a:fillRect/>
                    </a:stretch>
                  </pic:blipFill>
                  <pic:spPr>
                    <a:xfrm>
                      <a:off x="0" y="0"/>
                      <a:ext cx="6480175" cy="3641090"/>
                    </a:xfrm>
                    <a:prstGeom prst="rect">
                      <a:avLst/>
                    </a:prstGeom>
                  </pic:spPr>
                </pic:pic>
              </a:graphicData>
            </a:graphic>
          </wp:anchor>
        </w:drawing>
      </w:r>
    </w:p>
    <w:p>
      <w:pPr>
        <w:jc w:val="center"/>
        <w:rPr>
          <w:rFonts w:eastAsia="楷体"/>
          <w:sz w:val="28"/>
          <w:szCs w:val="28"/>
        </w:rPr>
      </w:pPr>
    </w:p>
    <w:p>
      <w:pPr>
        <w:pStyle w:val="2"/>
        <w:ind w:firstLine="560"/>
        <w:rPr>
          <w:rFonts w:eastAsia="楷体"/>
          <w:sz w:val="28"/>
          <w:szCs w:val="28"/>
        </w:rPr>
      </w:pPr>
    </w:p>
    <w:p>
      <w:pPr>
        <w:rPr>
          <w:rFonts w:eastAsia="楷体"/>
          <w:sz w:val="28"/>
          <w:szCs w:val="28"/>
        </w:rPr>
      </w:pPr>
    </w:p>
    <w:p>
      <w:pPr>
        <w:pStyle w:val="2"/>
        <w:ind w:firstLine="560"/>
        <w:rPr>
          <w:rFonts w:eastAsia="楷体"/>
          <w:sz w:val="28"/>
          <w:szCs w:val="28"/>
        </w:rPr>
      </w:pPr>
    </w:p>
    <w:p>
      <w:pPr>
        <w:rPr>
          <w:rFonts w:eastAsia="楷体"/>
          <w:sz w:val="28"/>
          <w:szCs w:val="28"/>
        </w:rPr>
      </w:pPr>
    </w:p>
    <w:p>
      <w:pPr>
        <w:pStyle w:val="2"/>
      </w:pPr>
    </w:p>
    <w:p>
      <w:pPr>
        <w:jc w:val="center"/>
        <w:rPr>
          <w:rFonts w:eastAsia="楷体"/>
          <w:sz w:val="28"/>
          <w:szCs w:val="28"/>
        </w:rPr>
      </w:pPr>
    </w:p>
    <w:p>
      <w:pPr>
        <w:jc w:val="center"/>
        <w:rPr>
          <w:rFonts w:eastAsia="楷体"/>
          <w:sz w:val="28"/>
          <w:szCs w:val="28"/>
        </w:rPr>
      </w:pPr>
    </w:p>
    <w:p>
      <w:pPr>
        <w:pStyle w:val="27"/>
        <w:ind w:firstLine="560"/>
        <w:rPr>
          <w:rFonts w:eastAsia="楷体"/>
          <w:sz w:val="28"/>
          <w:szCs w:val="28"/>
        </w:rPr>
      </w:pPr>
    </w:p>
    <w:p>
      <w:pPr>
        <w:pStyle w:val="27"/>
        <w:ind w:firstLine="560"/>
        <w:rPr>
          <w:rFonts w:eastAsia="楷体"/>
          <w:sz w:val="28"/>
          <w:szCs w:val="28"/>
        </w:rPr>
      </w:pPr>
    </w:p>
    <w:p>
      <w:pPr>
        <w:spacing w:line="600" w:lineRule="exact"/>
        <w:jc w:val="center"/>
        <w:rPr>
          <w:rFonts w:eastAsia="楷体"/>
          <w:b/>
          <w:sz w:val="36"/>
          <w:szCs w:val="36"/>
        </w:rPr>
      </w:pPr>
      <w:r>
        <w:rPr>
          <w:rFonts w:hint="eastAsia" w:eastAsia="楷体"/>
          <w:b/>
          <w:sz w:val="36"/>
          <w:szCs w:val="36"/>
        </w:rPr>
        <w:t>静乐县</w:t>
      </w:r>
      <w:r>
        <w:rPr>
          <w:rFonts w:eastAsia="楷体"/>
          <w:b/>
          <w:sz w:val="36"/>
          <w:szCs w:val="36"/>
        </w:rPr>
        <w:t>人民政府</w:t>
      </w:r>
    </w:p>
    <w:p>
      <w:pPr>
        <w:spacing w:line="600" w:lineRule="exact"/>
        <w:jc w:val="center"/>
        <w:rPr>
          <w:rFonts w:eastAsia="楷体"/>
          <w:b/>
          <w:sz w:val="36"/>
          <w:szCs w:val="36"/>
        </w:rPr>
      </w:pPr>
      <w:r>
        <w:rPr>
          <w:rFonts w:eastAsia="楷体"/>
          <w:b/>
          <w:sz w:val="36"/>
          <w:szCs w:val="36"/>
        </w:rPr>
        <w:t>202</w:t>
      </w:r>
      <w:r>
        <w:rPr>
          <w:rFonts w:hint="eastAsia" w:eastAsia="楷体"/>
          <w:b/>
          <w:sz w:val="36"/>
          <w:szCs w:val="36"/>
        </w:rPr>
        <w:t>3</w:t>
      </w:r>
      <w:r>
        <w:rPr>
          <w:rFonts w:eastAsia="楷体"/>
          <w:b/>
          <w:sz w:val="36"/>
          <w:szCs w:val="36"/>
        </w:rPr>
        <w:t>年</w:t>
      </w:r>
      <w:r>
        <w:rPr>
          <w:rFonts w:hint="eastAsia" w:eastAsia="楷体"/>
          <w:b/>
          <w:sz w:val="36"/>
          <w:szCs w:val="36"/>
        </w:rPr>
        <w:t>5</w:t>
      </w:r>
      <w:r>
        <w:rPr>
          <w:rFonts w:eastAsia="楷体"/>
          <w:b/>
          <w:sz w:val="36"/>
          <w:szCs w:val="36"/>
        </w:rPr>
        <w:t>月</w:t>
      </w:r>
    </w:p>
    <w:p>
      <w:pPr>
        <w:spacing w:line="600" w:lineRule="exact"/>
        <w:jc w:val="center"/>
        <w:rPr>
          <w:rFonts w:eastAsia="楷体"/>
          <w:b/>
          <w:sz w:val="36"/>
          <w:szCs w:val="36"/>
        </w:rPr>
      </w:pPr>
    </w:p>
    <w:p>
      <w:pPr>
        <w:spacing w:line="600" w:lineRule="exact"/>
        <w:jc w:val="center"/>
        <w:rPr>
          <w:rFonts w:eastAsia="楷体"/>
          <w:b/>
          <w:sz w:val="36"/>
          <w:szCs w:val="36"/>
        </w:rPr>
        <w:sectPr>
          <w:footerReference r:id="rId5" w:type="first"/>
          <w:headerReference r:id="rId3" w:type="default"/>
          <w:footerReference r:id="rId4" w:type="default"/>
          <w:pgSz w:w="11906" w:h="16838"/>
          <w:pgMar w:top="1440" w:right="1701" w:bottom="1440" w:left="1701" w:header="851" w:footer="992" w:gutter="0"/>
          <w:cols w:space="720" w:num="1"/>
          <w:titlePg/>
          <w:docGrid w:type="lines" w:linePitch="312" w:charSpace="0"/>
        </w:sectPr>
      </w:pPr>
    </w:p>
    <w:sdt>
      <w:sdtPr>
        <w:rPr>
          <w:rFonts w:ascii="宋体" w:hAnsi="宋体"/>
        </w:rPr>
        <w:id w:val="147475921"/>
        <w:docPartObj>
          <w:docPartGallery w:val="Table of Contents"/>
          <w:docPartUnique/>
        </w:docPartObj>
      </w:sdtPr>
      <w:sdtEndPr>
        <w:rPr>
          <w:rFonts w:ascii="Times New Roman" w:hAnsi="Times New Roman" w:eastAsia="楷体"/>
          <w:szCs w:val="36"/>
        </w:rPr>
      </w:sdtEndPr>
      <w:sdtContent>
        <w:p>
          <w:pPr>
            <w:jc w:val="center"/>
            <w:rPr>
              <w:rFonts w:ascii="黑体" w:hAnsi="黑体" w:eastAsia="黑体" w:cs="黑体"/>
              <w:sz w:val="36"/>
              <w:szCs w:val="36"/>
            </w:rPr>
          </w:pPr>
          <w:r>
            <w:rPr>
              <w:rFonts w:hint="eastAsia" w:ascii="黑体" w:hAnsi="黑体" w:eastAsia="黑体" w:cs="黑体"/>
              <w:sz w:val="36"/>
              <w:szCs w:val="36"/>
            </w:rPr>
            <w:t>目  录</w:t>
          </w:r>
        </w:p>
        <w:p>
          <w:pPr>
            <w:pStyle w:val="25"/>
            <w:tabs>
              <w:tab w:val="right" w:leader="dot" w:pos="8306"/>
              <w:tab w:val="clear" w:pos="8296"/>
            </w:tabs>
            <w:adjustRightInd w:val="0"/>
            <w:snapToGrid w:val="0"/>
            <w:spacing w:line="500" w:lineRule="exact"/>
            <w:ind w:left="618" w:hanging="618"/>
            <w:rPr>
              <w:sz w:val="28"/>
            </w:rPr>
          </w:pPr>
          <w:r>
            <w:rPr>
              <w:rFonts w:eastAsia="楷体"/>
              <w:b/>
              <w:sz w:val="28"/>
            </w:rPr>
            <w:fldChar w:fldCharType="begin"/>
          </w:r>
          <w:r>
            <w:rPr>
              <w:rFonts w:eastAsia="楷体"/>
              <w:b/>
              <w:sz w:val="28"/>
            </w:rPr>
            <w:instrText xml:space="preserve">TOC \o "1-3" \h \u </w:instrText>
          </w:r>
          <w:r>
            <w:rPr>
              <w:rFonts w:eastAsia="楷体"/>
              <w:b/>
              <w:sz w:val="28"/>
            </w:rPr>
            <w:fldChar w:fldCharType="separate"/>
          </w:r>
          <w:r>
            <w:fldChar w:fldCharType="begin"/>
          </w:r>
          <w:r>
            <w:instrText xml:space="preserve"> HYPERLINK \l "_Toc13934" </w:instrText>
          </w:r>
          <w:r>
            <w:fldChar w:fldCharType="separate"/>
          </w:r>
          <w:r>
            <w:rPr>
              <w:kern w:val="32"/>
              <w:sz w:val="28"/>
            </w:rPr>
            <w:t>一、工作基础与形势分析</w:t>
          </w:r>
          <w:r>
            <w:rPr>
              <w:sz w:val="28"/>
            </w:rPr>
            <w:tab/>
          </w:r>
          <w:r>
            <w:rPr>
              <w:sz w:val="28"/>
            </w:rPr>
            <w:fldChar w:fldCharType="begin"/>
          </w:r>
          <w:r>
            <w:rPr>
              <w:sz w:val="28"/>
            </w:rPr>
            <w:instrText xml:space="preserve"> PAGEREF _Toc13934 \h </w:instrText>
          </w:r>
          <w:r>
            <w:rPr>
              <w:sz w:val="28"/>
            </w:rPr>
            <w:fldChar w:fldCharType="separate"/>
          </w:r>
          <w:r>
            <w:rPr>
              <w:sz w:val="28"/>
            </w:rPr>
            <w:t>1</w:t>
          </w:r>
          <w:r>
            <w:rPr>
              <w:sz w:val="28"/>
            </w:rPr>
            <w:fldChar w:fldCharType="end"/>
          </w:r>
          <w:r>
            <w:rPr>
              <w:sz w:val="28"/>
            </w:rP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"_Toc19591" </w:instrText>
          </w:r>
          <w:r>
            <w:fldChar w:fldCharType="separate"/>
          </w:r>
          <w:r>
            <w:rPr>
              <w:rFonts w:eastAsia="楷体_GB2312"/>
              <w:kern w:val="0"/>
            </w:rPr>
            <w:t>（一）建设基础</w:t>
          </w:r>
          <w:r>
            <w:tab/>
          </w:r>
          <w:r>
            <w:fldChar w:fldCharType="begin"/>
          </w:r>
          <w:r>
            <w:instrText xml:space="preserve"> PAGEREF _Toc19591 \h </w:instrText>
          </w:r>
          <w:r>
            <w:fldChar w:fldCharType="separate"/>
          </w:r>
          <w:r>
            <w:t>1</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"_Toc8173" </w:instrText>
          </w:r>
          <w:r>
            <w:fldChar w:fldCharType="separate"/>
          </w:r>
          <w:r>
            <w:rPr>
              <w:rFonts w:eastAsia="楷体_GB2312"/>
              <w:kern w:val="0"/>
            </w:rPr>
            <w:t>（二）存在问题与机遇挑战</w:t>
          </w:r>
          <w:r>
            <w:tab/>
          </w:r>
          <w:r>
            <w:fldChar w:fldCharType="begin"/>
          </w:r>
          <w:r>
            <w:instrText xml:space="preserve"> PAGEREF _Toc8173 \h </w:instrText>
          </w:r>
          <w:r>
            <w:fldChar w:fldCharType="separate"/>
          </w:r>
          <w:r>
            <w:t>7</w:t>
          </w:r>
          <w:r>
            <w:fldChar w:fldCharType="end"/>
          </w:r>
          <w:r>
            <w:fldChar w:fldCharType="end"/>
          </w:r>
        </w:p>
        <w:p>
          <w:pPr>
            <w:pStyle w:val="25"/>
            <w:tabs>
              <w:tab w:val="right" w:leader="dot" w:pos="8306"/>
              <w:tab w:val="clear" w:pos="8296"/>
            </w:tabs>
            <w:adjustRightInd w:val="0"/>
            <w:snapToGrid w:val="0"/>
            <w:spacing w:line="500" w:lineRule="exact"/>
            <w:ind w:left="704" w:hanging="704"/>
            <w:rPr>
              <w:sz w:val="28"/>
            </w:rPr>
          </w:pPr>
          <w:r>
            <w:fldChar w:fldCharType="begin"/>
          </w:r>
          <w:r>
            <w:instrText xml:space="preserve"> HYPERLINK \l "_Toc21796" </w:instrText>
          </w:r>
          <w:r>
            <w:fldChar w:fldCharType="separate"/>
          </w:r>
          <w:r>
            <w:rPr>
              <w:kern w:val="32"/>
              <w:sz w:val="28"/>
            </w:rPr>
            <w:t>二、规划总则</w:t>
          </w:r>
          <w:r>
            <w:rPr>
              <w:sz w:val="28"/>
            </w:rPr>
            <w:tab/>
          </w:r>
          <w:r>
            <w:rPr>
              <w:sz w:val="28"/>
            </w:rPr>
            <w:fldChar w:fldCharType="begin"/>
          </w:r>
          <w:r>
            <w:rPr>
              <w:sz w:val="28"/>
            </w:rPr>
            <w:instrText xml:space="preserve"> PAGEREF _Toc21796 \h </w:instrText>
          </w:r>
          <w:r>
            <w:rPr>
              <w:sz w:val="28"/>
            </w:rPr>
            <w:fldChar w:fldCharType="separate"/>
          </w:r>
          <w:r>
            <w:rPr>
              <w:sz w:val="28"/>
            </w:rPr>
            <w:t>11</w:t>
          </w:r>
          <w:r>
            <w:rPr>
              <w:sz w:val="28"/>
            </w:rPr>
            <w:fldChar w:fldCharType="end"/>
          </w:r>
          <w:r>
            <w:rPr>
              <w:sz w:val="28"/>
            </w:rP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"_Toc12444" </w:instrText>
          </w:r>
          <w:r>
            <w:fldChar w:fldCharType="separate"/>
          </w:r>
          <w:r>
            <w:rPr>
              <w:rFonts w:eastAsia="楷体_GB2312"/>
              <w:kern w:val="0"/>
            </w:rPr>
            <w:t>（一）指导思想</w:t>
          </w:r>
          <w:r>
            <w:tab/>
          </w:r>
          <w:r>
            <w:fldChar w:fldCharType="begin"/>
          </w:r>
          <w:r>
            <w:instrText xml:space="preserve"> PAGEREF _Toc12444 \h </w:instrText>
          </w:r>
          <w:r>
            <w:fldChar w:fldCharType="separate"/>
          </w:r>
          <w:r>
            <w:t>11</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"_Toc3998" </w:instrText>
          </w:r>
          <w:r>
            <w:fldChar w:fldCharType="separate"/>
          </w:r>
          <w:r>
            <w:rPr>
              <w:rFonts w:eastAsia="楷体_GB2312"/>
              <w:kern w:val="0"/>
            </w:rPr>
            <w:t>（二）规划原则</w:t>
          </w:r>
          <w:r>
            <w:tab/>
          </w:r>
          <w:r>
            <w:fldChar w:fldCharType="begin"/>
          </w:r>
          <w:r>
            <w:instrText xml:space="preserve"> PAGEREF _Toc3998 \h </w:instrText>
          </w:r>
          <w:r>
            <w:fldChar w:fldCharType="separate"/>
          </w:r>
          <w:r>
            <w:t>11</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"_Toc16007" </w:instrText>
          </w:r>
          <w:r>
            <w:fldChar w:fldCharType="separate"/>
          </w:r>
          <w:r>
            <w:rPr>
              <w:rFonts w:eastAsia="楷体_GB2312"/>
              <w:kern w:val="0"/>
            </w:rPr>
            <w:t>（三）规划范围</w:t>
          </w:r>
          <w:r>
            <w:tab/>
          </w:r>
          <w:r>
            <w:fldChar w:fldCharType="begin"/>
          </w:r>
          <w:r>
            <w:instrText xml:space="preserve"> PAGEREF _Toc16007 \h </w:instrText>
          </w:r>
          <w:r>
            <w:fldChar w:fldCharType="separate"/>
          </w:r>
          <w:r>
            <w:t>12</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"_Toc11625" </w:instrText>
          </w:r>
          <w:r>
            <w:fldChar w:fldCharType="separate"/>
          </w:r>
          <w:r>
            <w:rPr>
              <w:rFonts w:eastAsia="楷体_GB2312"/>
              <w:kern w:val="0"/>
            </w:rPr>
            <w:t>（四）规划期限</w:t>
          </w:r>
          <w:r>
            <w:tab/>
          </w:r>
          <w:r>
            <w:fldChar w:fldCharType="begin"/>
          </w:r>
          <w:r>
            <w:instrText xml:space="preserve"> PAGEREF _Toc11625 \h </w:instrText>
          </w:r>
          <w:r>
            <w:fldChar w:fldCharType="separate"/>
          </w:r>
          <w:r>
            <w:t>12</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"_Toc14177" </w:instrText>
          </w:r>
          <w:r>
            <w:fldChar w:fldCharType="separate"/>
          </w:r>
          <w:r>
            <w:rPr>
              <w:rFonts w:eastAsia="楷体_GB2312"/>
              <w:kern w:val="0"/>
            </w:rPr>
            <w:t>（五）</w:t>
          </w:r>
          <w:r>
            <w:rPr>
              <w:rFonts w:hint="eastAsia" w:eastAsia="楷体_GB2312"/>
              <w:kern w:val="0"/>
            </w:rPr>
            <w:t>规划</w:t>
          </w:r>
          <w:r>
            <w:rPr>
              <w:rFonts w:eastAsia="楷体_GB2312"/>
              <w:kern w:val="0"/>
            </w:rPr>
            <w:t>目标</w:t>
          </w:r>
          <w:r>
            <w:tab/>
          </w:r>
          <w:r>
            <w:fldChar w:fldCharType="begin"/>
          </w:r>
          <w:r>
            <w:instrText xml:space="preserve"> PAGEREF _Toc14177 \h </w:instrText>
          </w:r>
          <w:r>
            <w:fldChar w:fldCharType="separate"/>
          </w:r>
          <w:r>
            <w:t>13</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"_Toc31176" </w:instrText>
          </w:r>
          <w:r>
            <w:fldChar w:fldCharType="separate"/>
          </w:r>
          <w:r>
            <w:rPr>
              <w:rFonts w:eastAsia="楷体_GB2312"/>
            </w:rPr>
            <w:t>（六）</w:t>
          </w:r>
          <w:r>
            <w:rPr>
              <w:rFonts w:hint="eastAsia" w:eastAsia="楷体_GB2312"/>
            </w:rPr>
            <w:t>建设指标</w:t>
          </w:r>
          <w:r>
            <w:tab/>
          </w:r>
          <w:r>
            <w:fldChar w:fldCharType="begin"/>
          </w:r>
          <w:r>
            <w:instrText xml:space="preserve"> PAGEREF _Toc31176 \h </w:instrText>
          </w:r>
          <w:r>
            <w:fldChar w:fldCharType="separate"/>
          </w:r>
          <w:r>
            <w:t>14</w:t>
          </w:r>
          <w:r>
            <w:fldChar w:fldCharType="end"/>
          </w:r>
          <w:r>
            <w:fldChar w:fldCharType="end"/>
          </w:r>
        </w:p>
        <w:p>
          <w:pPr>
            <w:pStyle w:val="25"/>
            <w:tabs>
              <w:tab w:val="right" w:leader="dot" w:pos="8306"/>
              <w:tab w:val="clear" w:pos="8296"/>
            </w:tabs>
            <w:adjustRightInd w:val="0"/>
            <w:snapToGrid w:val="0"/>
            <w:spacing w:line="500" w:lineRule="exact"/>
            <w:ind w:left="704" w:hanging="704"/>
            <w:rPr>
              <w:sz w:val="28"/>
            </w:rPr>
          </w:pPr>
          <w:r>
            <w:fldChar w:fldCharType="begin"/>
          </w:r>
          <w:r>
            <w:instrText xml:space="preserve"> HYPERLINK \l "_Toc32191" </w:instrText>
          </w:r>
          <w:r>
            <w:fldChar w:fldCharType="separate"/>
          </w:r>
          <w:r>
            <w:rPr>
              <w:kern w:val="32"/>
              <w:sz w:val="28"/>
            </w:rPr>
            <w:t>三、规划任务</w:t>
          </w:r>
          <w:r>
            <w:rPr>
              <w:sz w:val="28"/>
            </w:rPr>
            <w:tab/>
          </w:r>
          <w:r>
            <w:rPr>
              <w:sz w:val="28"/>
            </w:rPr>
            <w:fldChar w:fldCharType="begin"/>
          </w:r>
          <w:r>
            <w:rPr>
              <w:sz w:val="28"/>
            </w:rPr>
            <w:instrText xml:space="preserve"> PAGEREF _Toc32191 \h </w:instrText>
          </w:r>
          <w:r>
            <w:rPr>
              <w:sz w:val="28"/>
            </w:rPr>
            <w:fldChar w:fldCharType="separate"/>
          </w:r>
          <w:r>
            <w:rPr>
              <w:sz w:val="28"/>
            </w:rPr>
            <w:t>18</w:t>
          </w:r>
          <w:r>
            <w:rPr>
              <w:sz w:val="28"/>
            </w:rPr>
            <w:fldChar w:fldCharType="end"/>
          </w:r>
          <w:r>
            <w:rPr>
              <w:sz w:val="28"/>
            </w:rP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"_Toc12727" </w:instrText>
          </w:r>
          <w:r>
            <w:fldChar w:fldCharType="separate"/>
          </w:r>
          <w:r>
            <w:rPr>
              <w:rFonts w:eastAsia="楷体_GB2312"/>
              <w:kern w:val="0"/>
            </w:rPr>
            <w:t>（一）生态制度体系建设</w:t>
          </w:r>
          <w:r>
            <w:tab/>
          </w:r>
          <w:r>
            <w:fldChar w:fldCharType="begin"/>
          </w:r>
          <w:r>
            <w:instrText xml:space="preserve"> PAGEREF _Toc12727 \h </w:instrText>
          </w:r>
          <w:r>
            <w:fldChar w:fldCharType="separate"/>
          </w:r>
          <w:r>
            <w:t>18</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"_Toc12857" </w:instrText>
          </w:r>
          <w:r>
            <w:fldChar w:fldCharType="separate"/>
          </w:r>
          <w:r>
            <w:rPr>
              <w:rFonts w:eastAsia="楷体_GB2312"/>
              <w:kern w:val="0"/>
            </w:rPr>
            <w:t>（二）生态安全体系建设</w:t>
          </w:r>
          <w:r>
            <w:tab/>
          </w:r>
          <w:r>
            <w:fldChar w:fldCharType="begin"/>
          </w:r>
          <w:r>
            <w:instrText xml:space="preserve"> PAGEREF _Toc12857 \h </w:instrText>
          </w:r>
          <w:r>
            <w:fldChar w:fldCharType="separate"/>
          </w:r>
          <w:r>
            <w:t>20</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"_Toc27036" </w:instrText>
          </w:r>
          <w:r>
            <w:fldChar w:fldCharType="separate"/>
          </w:r>
          <w:r>
            <w:rPr>
              <w:rFonts w:eastAsia="楷体_GB2312"/>
              <w:kern w:val="0"/>
            </w:rPr>
            <w:t>（三）生态空间体系建设</w:t>
          </w:r>
          <w:r>
            <w:tab/>
          </w:r>
          <w:r>
            <w:fldChar w:fldCharType="begin"/>
          </w:r>
          <w:r>
            <w:instrText xml:space="preserve"> PAGEREF _Toc27036 \h </w:instrText>
          </w:r>
          <w:r>
            <w:fldChar w:fldCharType="separate"/>
          </w:r>
          <w:r>
            <w:t>23</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"_Toc5124" </w:instrText>
          </w:r>
          <w:r>
            <w:fldChar w:fldCharType="separate"/>
          </w:r>
          <w:r>
            <w:rPr>
              <w:rFonts w:eastAsia="楷体_GB2312"/>
              <w:kern w:val="0"/>
            </w:rPr>
            <w:t>（四）生态经济体系建设</w:t>
          </w:r>
          <w:r>
            <w:tab/>
          </w:r>
          <w:r>
            <w:fldChar w:fldCharType="begin"/>
          </w:r>
          <w:r>
            <w:instrText xml:space="preserve"> PAGEREF _Toc5124 \h </w:instrText>
          </w:r>
          <w:r>
            <w:fldChar w:fldCharType="separate"/>
          </w:r>
          <w:r>
            <w:t>26</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"_Toc2078" </w:instrText>
          </w:r>
          <w:r>
            <w:fldChar w:fldCharType="separate"/>
          </w:r>
          <w:r>
            <w:rPr>
              <w:rFonts w:eastAsia="楷体_GB2312"/>
              <w:kern w:val="0"/>
            </w:rPr>
            <w:t>（五）生态生活体系建设</w:t>
          </w:r>
          <w:r>
            <w:tab/>
          </w:r>
          <w:r>
            <w:fldChar w:fldCharType="begin"/>
          </w:r>
          <w:r>
            <w:instrText xml:space="preserve"> PAGEREF _Toc2078 \h </w:instrText>
          </w:r>
          <w:r>
            <w:fldChar w:fldCharType="separate"/>
          </w:r>
          <w:r>
            <w:t>29</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"_Toc5188" </w:instrText>
          </w:r>
          <w:r>
            <w:fldChar w:fldCharType="separate"/>
          </w:r>
          <w:r>
            <w:rPr>
              <w:rFonts w:eastAsia="楷体_GB2312"/>
              <w:kern w:val="0"/>
            </w:rPr>
            <w:t>（六）生态文化体系建设</w:t>
          </w:r>
          <w:r>
            <w:tab/>
          </w:r>
          <w:r>
            <w:fldChar w:fldCharType="begin"/>
          </w:r>
          <w:r>
            <w:instrText xml:space="preserve"> PAGEREF _Toc5188 \h </w:instrText>
          </w:r>
          <w:r>
            <w:fldChar w:fldCharType="separate"/>
          </w:r>
          <w:r>
            <w:t>31</w:t>
          </w:r>
          <w:r>
            <w:fldChar w:fldCharType="end"/>
          </w:r>
          <w:r>
            <w:fldChar w:fldCharType="end"/>
          </w:r>
        </w:p>
        <w:p>
          <w:pPr>
            <w:pStyle w:val="25"/>
            <w:tabs>
              <w:tab w:val="right" w:leader="dot" w:pos="8306"/>
              <w:tab w:val="clear" w:pos="8296"/>
            </w:tabs>
            <w:adjustRightInd w:val="0"/>
            <w:snapToGrid w:val="0"/>
            <w:spacing w:line="500" w:lineRule="exact"/>
            <w:ind w:left="704" w:hanging="704"/>
            <w:rPr>
              <w:sz w:val="28"/>
            </w:rPr>
          </w:pPr>
          <w:r>
            <w:fldChar w:fldCharType="begin"/>
          </w:r>
          <w:r>
            <w:instrText xml:space="preserve"> HYPERLINK \l "_Toc25229" </w:instrText>
          </w:r>
          <w:r>
            <w:fldChar w:fldCharType="separate"/>
          </w:r>
          <w:r>
            <w:rPr>
              <w:rFonts w:hint="eastAsia" w:ascii="Times New Roman" w:hAnsi="Times New Roman"/>
              <w:kern w:val="32"/>
              <w:sz w:val="28"/>
              <w:lang w:val="en-US"/>
            </w:rPr>
            <w:t>四</w:t>
          </w:r>
          <w:r>
            <w:rPr>
              <w:rFonts w:ascii="Times New Roman" w:hAnsi="Times New Roman"/>
              <w:kern w:val="32"/>
              <w:sz w:val="28"/>
            </w:rPr>
            <w:t>、保障措施</w:t>
          </w:r>
          <w:r>
            <w:rPr>
              <w:sz w:val="28"/>
            </w:rPr>
            <w:tab/>
          </w:r>
          <w:r>
            <w:rPr>
              <w:sz w:val="28"/>
            </w:rPr>
            <w:fldChar w:fldCharType="begin"/>
          </w:r>
          <w:r>
            <w:rPr>
              <w:sz w:val="28"/>
            </w:rPr>
            <w:instrText xml:space="preserve"> PAGEREF _Toc25229 \h </w:instrText>
          </w:r>
          <w:r>
            <w:rPr>
              <w:sz w:val="28"/>
            </w:rPr>
            <w:fldChar w:fldCharType="separate"/>
          </w:r>
          <w:r>
            <w:rPr>
              <w:sz w:val="28"/>
            </w:rPr>
            <w:t>33</w:t>
          </w:r>
          <w:r>
            <w:rPr>
              <w:sz w:val="28"/>
            </w:rPr>
            <w:fldChar w:fldCharType="end"/>
          </w:r>
          <w:r>
            <w:rPr>
              <w:sz w:val="28"/>
            </w:rP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"_Toc21492" </w:instrText>
          </w:r>
          <w:r>
            <w:fldChar w:fldCharType="separate"/>
          </w:r>
          <w:r>
            <w:rPr>
              <w:rFonts w:eastAsia="楷体_GB2312"/>
            </w:rPr>
            <w:t>（一）加强组织领导</w:t>
          </w:r>
          <w:r>
            <w:tab/>
          </w:r>
          <w:r>
            <w:fldChar w:fldCharType="begin"/>
          </w:r>
          <w:r>
            <w:instrText xml:space="preserve"> PAGEREF _Toc21492 \h </w:instrText>
          </w:r>
          <w:r>
            <w:fldChar w:fldCharType="separate"/>
          </w:r>
          <w:r>
            <w:t>33</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"_Toc5497" </w:instrText>
          </w:r>
          <w:r>
            <w:fldChar w:fldCharType="separate"/>
          </w:r>
          <w:r>
            <w:rPr>
              <w:rFonts w:eastAsia="楷体_GB2312"/>
            </w:rPr>
            <w:t>（二）严格监督考核</w:t>
          </w:r>
          <w:r>
            <w:tab/>
          </w:r>
          <w:r>
            <w:fldChar w:fldCharType="begin"/>
          </w:r>
          <w:r>
            <w:instrText xml:space="preserve"> PAGEREF _Toc5497 \h </w:instrText>
          </w:r>
          <w:r>
            <w:fldChar w:fldCharType="separate"/>
          </w:r>
          <w:r>
            <w:t>33</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"_Toc25965" </w:instrText>
          </w:r>
          <w:r>
            <w:fldChar w:fldCharType="separate"/>
          </w:r>
          <w:r>
            <w:rPr>
              <w:rFonts w:eastAsia="楷体_GB2312"/>
            </w:rPr>
            <w:t>（三）促进资金统筹</w:t>
          </w:r>
          <w:r>
            <w:tab/>
          </w:r>
          <w:r>
            <w:fldChar w:fldCharType="begin"/>
          </w:r>
          <w:r>
            <w:instrText xml:space="preserve"> PAGEREF _Toc25965 \h </w:instrText>
          </w:r>
          <w:r>
            <w:fldChar w:fldCharType="separate"/>
          </w:r>
          <w:r>
            <w:t>33</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"_Toc30456" </w:instrText>
          </w:r>
          <w:r>
            <w:fldChar w:fldCharType="separate"/>
          </w:r>
          <w:r>
            <w:rPr>
              <w:rFonts w:eastAsia="楷体_GB2312"/>
            </w:rPr>
            <w:t>（四）强化科技支撑</w:t>
          </w:r>
          <w:r>
            <w:tab/>
          </w:r>
          <w:r>
            <w:fldChar w:fldCharType="begin"/>
          </w:r>
          <w:r>
            <w:instrText xml:space="preserve"> PAGEREF _Toc30456 \h </w:instrText>
          </w:r>
          <w:r>
            <w:fldChar w:fldCharType="separate"/>
          </w:r>
          <w:r>
            <w:t>34</w:t>
          </w:r>
          <w:r>
            <w:fldChar w:fldCharType="end"/>
          </w:r>
          <w:r>
            <w:fldChar w:fldCharType="end"/>
          </w:r>
        </w:p>
        <w:p>
          <w:pPr>
            <w:pStyle w:val="29"/>
            <w:tabs>
              <w:tab w:val="right" w:leader="dot" w:pos="8306"/>
              <w:tab w:val="clear" w:pos="8296"/>
            </w:tabs>
            <w:adjustRightInd w:val="0"/>
            <w:snapToGrid w:val="0"/>
            <w:spacing w:line="500" w:lineRule="exact"/>
          </w:pPr>
          <w:r>
            <w:fldChar w:fldCharType="begin"/>
          </w:r>
          <w:r>
            <w:instrText xml:space="preserve"> HYPERLINK \l "_Toc16723" </w:instrText>
          </w:r>
          <w:r>
            <w:fldChar w:fldCharType="separate"/>
          </w:r>
          <w:r>
            <w:rPr>
              <w:rFonts w:eastAsia="楷体_GB2312"/>
            </w:rPr>
            <w:t>（五）鼓励社会参与</w:t>
          </w:r>
          <w:r>
            <w:tab/>
          </w:r>
          <w:r>
            <w:fldChar w:fldCharType="begin"/>
          </w:r>
          <w:r>
            <w:instrText xml:space="preserve"> PAGEREF _Toc16723 \h </w:instrText>
          </w:r>
          <w:r>
            <w:fldChar w:fldCharType="separate"/>
          </w:r>
          <w:r>
            <w:t>34</w:t>
          </w:r>
          <w:r>
            <w:fldChar w:fldCharType="end"/>
          </w:r>
          <w:r>
            <w:fldChar w:fldCharType="end"/>
          </w:r>
        </w:p>
        <w:p>
          <w:pPr>
            <w:adjustRightInd w:val="0"/>
            <w:snapToGrid w:val="0"/>
            <w:spacing w:line="500" w:lineRule="exact"/>
            <w:rPr>
              <w:rFonts w:eastAsia="楷体"/>
              <w:szCs w:val="36"/>
            </w:rPr>
            <w:sectPr>
              <w:pgSz w:w="11906" w:h="16838"/>
              <w:pgMar w:top="1440" w:right="1800" w:bottom="1440" w:left="1800" w:header="851" w:footer="992" w:gutter="0"/>
              <w:pgNumType w:fmt="upperRoman" w:start="1"/>
              <w:cols w:space="720" w:num="1"/>
              <w:docGrid w:type="lines" w:linePitch="312" w:charSpace="0"/>
            </w:sectPr>
          </w:pPr>
          <w:r>
            <w:rPr>
              <w:rFonts w:eastAsia="楷体"/>
              <w:sz w:val="28"/>
              <w:szCs w:val="28"/>
            </w:rPr>
            <w:fldChar w:fldCharType="end"/>
          </w:r>
        </w:p>
      </w:sdtContent>
    </w:sdt>
    <w:p>
      <w:pPr>
        <w:pStyle w:val="9"/>
        <w:keepLines w:val="0"/>
        <w:adjustRightInd w:val="0"/>
        <w:snapToGrid w:val="0"/>
        <w:spacing w:before="0" w:after="0" w:line="600" w:lineRule="exact"/>
        <w:ind w:firstLine="640" w:firstLineChars="200"/>
        <w:jc w:val="left"/>
        <w:rPr>
          <w:rFonts w:eastAsia="黑体"/>
          <w:b w:val="0"/>
          <w:kern w:val="32"/>
          <w:sz w:val="32"/>
          <w:szCs w:val="32"/>
        </w:rPr>
      </w:pPr>
      <w:bookmarkStart w:id="2" w:name="_Toc92877691"/>
      <w:bookmarkStart w:id="3" w:name="_Toc96633562"/>
      <w:bookmarkStart w:id="4" w:name="_Toc25088"/>
      <w:bookmarkStart w:id="5" w:name="_Toc13934"/>
      <w:bookmarkStart w:id="6" w:name="_Toc30506"/>
      <w:bookmarkStart w:id="7" w:name="_Toc2910"/>
      <w:bookmarkStart w:id="8" w:name="_Toc13627"/>
      <w:bookmarkStart w:id="9" w:name="_Toc31939"/>
      <w:bookmarkStart w:id="10" w:name="_Toc21775"/>
      <w:bookmarkStart w:id="11" w:name="_Toc26207"/>
      <w:bookmarkStart w:id="12" w:name="_Toc15127"/>
      <w:bookmarkStart w:id="13" w:name="_Toc17886"/>
      <w:bookmarkStart w:id="14" w:name="_Toc97293457"/>
      <w:bookmarkStart w:id="15" w:name="_Toc977"/>
      <w:bookmarkStart w:id="16" w:name="_Toc92877694"/>
      <w:r>
        <w:rPr>
          <w:rFonts w:eastAsia="黑体"/>
          <w:b w:val="0"/>
          <w:kern w:val="32"/>
          <w:sz w:val="32"/>
          <w:szCs w:val="32"/>
        </w:rPr>
        <w:t>一、工作基础</w:t>
      </w:r>
      <w:bookmarkEnd w:id="2"/>
      <w:bookmarkEnd w:id="3"/>
      <w:r>
        <w:rPr>
          <w:rFonts w:eastAsia="黑体"/>
          <w:b w:val="0"/>
          <w:kern w:val="32"/>
          <w:sz w:val="32"/>
          <w:szCs w:val="32"/>
        </w:rPr>
        <w:t>与形势分析</w:t>
      </w:r>
      <w:bookmarkEnd w:id="4"/>
      <w:bookmarkEnd w:id="5"/>
      <w:bookmarkEnd w:id="6"/>
      <w:bookmarkEnd w:id="7"/>
      <w:bookmarkEnd w:id="8"/>
      <w:bookmarkEnd w:id="9"/>
      <w:bookmarkEnd w:id="10"/>
      <w:bookmarkEnd w:id="11"/>
      <w:bookmarkEnd w:id="12"/>
      <w:bookmarkEnd w:id="13"/>
      <w:bookmarkEnd w:id="14"/>
      <w:bookmarkEnd w:id="15"/>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17" w:name="_Toc4083"/>
      <w:bookmarkStart w:id="18" w:name="_Toc19591"/>
      <w:bookmarkStart w:id="19" w:name="_Toc19975"/>
      <w:bookmarkStart w:id="20" w:name="_Toc1742"/>
      <w:bookmarkStart w:id="21" w:name="_Toc13718"/>
      <w:bookmarkStart w:id="22" w:name="_Toc16642"/>
      <w:bookmarkStart w:id="23" w:name="_Toc97293458"/>
      <w:bookmarkStart w:id="24" w:name="_Toc5609"/>
      <w:bookmarkStart w:id="25" w:name="_Toc2017"/>
      <w:bookmarkStart w:id="26" w:name="_Toc12965"/>
      <w:bookmarkStart w:id="27" w:name="_Toc4840"/>
      <w:bookmarkStart w:id="28" w:name="_Toc3330"/>
      <w:bookmarkStart w:id="29" w:name="_Toc96633563"/>
      <w:bookmarkStart w:id="30" w:name="_Toc92877692"/>
      <w:r>
        <w:rPr>
          <w:rFonts w:ascii="Times New Roman" w:hAnsi="Times New Roman" w:eastAsia="楷体_GB2312"/>
          <w:kern w:val="0"/>
          <w:sz w:val="30"/>
          <w:szCs w:val="30"/>
        </w:rPr>
        <w:t>（一）建设基础</w:t>
      </w:r>
      <w:bookmarkEnd w:id="17"/>
      <w:bookmarkEnd w:id="18"/>
      <w:bookmarkEnd w:id="19"/>
      <w:bookmarkEnd w:id="20"/>
      <w:bookmarkEnd w:id="21"/>
      <w:bookmarkEnd w:id="22"/>
      <w:bookmarkEnd w:id="23"/>
      <w:bookmarkEnd w:id="24"/>
      <w:bookmarkEnd w:id="25"/>
      <w:bookmarkEnd w:id="26"/>
      <w:bookmarkEnd w:id="27"/>
      <w:bookmarkEnd w:id="28"/>
    </w:p>
    <w:p>
      <w:pPr>
        <w:pStyle w:val="11"/>
        <w:spacing w:before="0" w:after="0" w:line="600" w:lineRule="exact"/>
        <w:ind w:firstLine="562" w:firstLineChars="200"/>
        <w:rPr>
          <w:rFonts w:eastAsia="仿宋_GB2312"/>
          <w:sz w:val="28"/>
          <w:szCs w:val="28"/>
        </w:rPr>
      </w:pPr>
      <w:bookmarkStart w:id="31" w:name="_Toc1535"/>
      <w:bookmarkStart w:id="32" w:name="_Toc97293459"/>
      <w:bookmarkStart w:id="33" w:name="_Toc18095"/>
      <w:bookmarkStart w:id="34" w:name="_Toc14931"/>
      <w:bookmarkStart w:id="35" w:name="_Toc19471"/>
      <w:bookmarkStart w:id="36" w:name="_Toc4656"/>
      <w:r>
        <w:rPr>
          <w:rFonts w:eastAsia="仿宋_GB2312"/>
          <w:sz w:val="28"/>
          <w:szCs w:val="28"/>
        </w:rPr>
        <w:t>1.</w:t>
      </w:r>
      <w:bookmarkEnd w:id="29"/>
      <w:bookmarkEnd w:id="30"/>
      <w:r>
        <w:rPr>
          <w:rFonts w:eastAsia="仿宋_GB2312"/>
          <w:sz w:val="28"/>
          <w:szCs w:val="28"/>
        </w:rPr>
        <w:t xml:space="preserve"> 区域特征</w:t>
      </w:r>
      <w:bookmarkEnd w:id="31"/>
      <w:bookmarkEnd w:id="32"/>
      <w:bookmarkEnd w:id="33"/>
      <w:bookmarkEnd w:id="34"/>
      <w:bookmarkEnd w:id="35"/>
      <w:bookmarkEnd w:id="36"/>
    </w:p>
    <w:p>
      <w:pPr>
        <w:adjustRightInd w:val="0"/>
        <w:snapToGrid w:val="0"/>
        <w:spacing w:line="600" w:lineRule="exact"/>
        <w:ind w:firstLine="562" w:firstLineChars="200"/>
        <w:rPr>
          <w:rFonts w:eastAsia="仿宋_GB2312"/>
          <w:sz w:val="28"/>
          <w:szCs w:val="28"/>
        </w:rPr>
      </w:pPr>
      <w:bookmarkStart w:id="37" w:name="_Toc96633564"/>
      <w:r>
        <w:rPr>
          <w:rFonts w:hint="eastAsia" w:eastAsia="仿宋_GB2312"/>
          <w:b/>
          <w:sz w:val="28"/>
          <w:szCs w:val="28"/>
        </w:rPr>
        <w:t>地理位置优越。</w:t>
      </w:r>
      <w:r>
        <w:rPr>
          <w:rFonts w:hint="eastAsia" w:eastAsia="仿宋_GB2312"/>
          <w:bCs/>
          <w:sz w:val="28"/>
          <w:szCs w:val="28"/>
        </w:rPr>
        <w:t>静乐县位于晋西北汾河上游，山西省太原西北，忻州市西南隅，是晋北锁钥，太原冲要。</w:t>
      </w:r>
      <w:r>
        <w:rPr>
          <w:rFonts w:hint="eastAsia" w:eastAsia="仿宋_GB2312"/>
          <w:sz w:val="28"/>
          <w:szCs w:val="28"/>
        </w:rPr>
        <w:t>国土</w:t>
      </w:r>
      <w:r>
        <w:rPr>
          <w:rFonts w:hint="eastAsia" w:eastAsia="仿宋_GB2312"/>
          <w:bCs/>
          <w:sz w:val="28"/>
          <w:szCs w:val="28"/>
        </w:rPr>
        <w:t>总面积2058平方公里，辖6镇6乡，</w:t>
      </w:r>
      <w:r>
        <w:rPr>
          <w:rFonts w:eastAsia="仿宋_GB2312"/>
          <w:sz w:val="28"/>
          <w:szCs w:val="28"/>
        </w:rPr>
        <w:t>常住人口为119277人</w:t>
      </w:r>
      <w:r>
        <w:rPr>
          <w:rFonts w:hint="eastAsia" w:eastAsia="仿宋_GB2312"/>
          <w:sz w:val="28"/>
          <w:szCs w:val="28"/>
        </w:rPr>
        <w:t>。</w:t>
      </w:r>
      <w:r>
        <w:rPr>
          <w:rFonts w:eastAsia="仿宋_GB2312"/>
          <w:bCs/>
          <w:sz w:val="28"/>
          <w:szCs w:val="28"/>
        </w:rPr>
        <w:t>县城</w:t>
      </w:r>
      <w:r>
        <w:rPr>
          <w:rFonts w:hint="eastAsia" w:eastAsia="仿宋_GB2312"/>
          <w:sz w:val="28"/>
          <w:szCs w:val="28"/>
        </w:rPr>
        <w:t>距市府忻州89公里，省城太原81公里，均在一小时经济圈内，同时又在首都北京400公里旅游辐射圈中，为忻州市唯一列入太原都市圈的县。太佳、忻保南北两条高速横贯东西，忻黑线、宁白线、忻五线、康北线网络分布，宁静铁路已经投入运营，静静铁路开工建设，是北京、太原、忻州与西北部连接的交通枢纽。</w:t>
      </w:r>
    </w:p>
    <w:p>
      <w:pPr>
        <w:adjustRightInd w:val="0"/>
        <w:snapToGrid w:val="0"/>
        <w:spacing w:line="600" w:lineRule="exact"/>
        <w:ind w:firstLine="562" w:firstLineChars="200"/>
        <w:rPr>
          <w:rFonts w:eastAsia="仿宋_GB2312"/>
          <w:sz w:val="28"/>
          <w:szCs w:val="28"/>
        </w:rPr>
      </w:pPr>
      <w:r>
        <w:rPr>
          <w:rFonts w:hint="eastAsia" w:eastAsia="仿宋_GB2312"/>
          <w:b/>
          <w:sz w:val="28"/>
          <w:szCs w:val="28"/>
        </w:rPr>
        <w:t>生态基础良好。</w:t>
      </w:r>
      <w:r>
        <w:rPr>
          <w:rFonts w:hint="eastAsia" w:eastAsia="仿宋_GB2312"/>
          <w:bCs/>
          <w:sz w:val="28"/>
          <w:szCs w:val="28"/>
        </w:rPr>
        <w:t>静乐</w:t>
      </w:r>
      <w:r>
        <w:rPr>
          <w:rFonts w:hint="eastAsia" w:eastAsia="仿宋_GB2312"/>
          <w:sz w:val="28"/>
          <w:szCs w:val="28"/>
        </w:rPr>
        <w:t>县城三山环抱、两水环绕，空气清新、宜居宜游，素有“百里汾河川，太原后花园”之美称。境内四季分明、温度适宜，属北温带大陆性气候，全年平均气温7.3℃，平均降水量447.6毫米，平均无霜期161天。县域整体</w:t>
      </w:r>
      <w:r>
        <w:rPr>
          <w:rFonts w:eastAsia="仿宋_GB2312"/>
          <w:sz w:val="28"/>
          <w:szCs w:val="28"/>
        </w:rPr>
        <w:t>地形东北高、西南低，</w:t>
      </w:r>
      <w:r>
        <w:rPr>
          <w:rFonts w:hint="eastAsia" w:eastAsia="仿宋_GB2312"/>
          <w:sz w:val="28"/>
          <w:szCs w:val="28"/>
        </w:rPr>
        <w:t>境内高差悬殊，山峦叠嶂，丘陵起伏，沟壑纵横，地形地貌破碎复杂，境内土石山区</w:t>
      </w:r>
      <w:r>
        <w:rPr>
          <w:rFonts w:eastAsia="仿宋_GB2312"/>
          <w:sz w:val="28"/>
          <w:szCs w:val="28"/>
        </w:rPr>
        <w:t>面积占</w:t>
      </w:r>
      <w:r>
        <w:rPr>
          <w:rFonts w:hint="eastAsia" w:eastAsia="仿宋_GB2312"/>
          <w:sz w:val="28"/>
          <w:szCs w:val="28"/>
        </w:rPr>
        <w:t>49</w:t>
      </w:r>
      <w:r>
        <w:rPr>
          <w:rFonts w:eastAsia="仿宋_GB2312"/>
          <w:sz w:val="28"/>
          <w:szCs w:val="28"/>
        </w:rPr>
        <w:t>%，</w:t>
      </w:r>
      <w:r>
        <w:rPr>
          <w:rFonts w:hint="eastAsia" w:eastAsia="仿宋_GB2312"/>
          <w:sz w:val="28"/>
          <w:szCs w:val="28"/>
        </w:rPr>
        <w:t>黄土</w:t>
      </w:r>
      <w:r>
        <w:rPr>
          <w:rFonts w:eastAsia="仿宋_GB2312"/>
          <w:sz w:val="28"/>
          <w:szCs w:val="28"/>
        </w:rPr>
        <w:t>丘陵区面积占</w:t>
      </w:r>
      <w:r>
        <w:rPr>
          <w:rFonts w:hint="eastAsia" w:eastAsia="仿宋_GB2312"/>
          <w:sz w:val="28"/>
          <w:szCs w:val="28"/>
        </w:rPr>
        <w:t>37</w:t>
      </w:r>
      <w:r>
        <w:rPr>
          <w:rFonts w:eastAsia="仿宋_GB2312"/>
          <w:sz w:val="28"/>
          <w:szCs w:val="28"/>
        </w:rPr>
        <w:t>%，</w:t>
      </w:r>
      <w:r>
        <w:rPr>
          <w:rFonts w:hint="eastAsia" w:eastAsia="仿宋_GB2312"/>
          <w:sz w:val="28"/>
          <w:szCs w:val="28"/>
        </w:rPr>
        <w:t>河川区</w:t>
      </w:r>
      <w:r>
        <w:rPr>
          <w:rFonts w:eastAsia="仿宋_GB2312"/>
          <w:sz w:val="28"/>
          <w:szCs w:val="28"/>
        </w:rPr>
        <w:t>面积占</w:t>
      </w:r>
      <w:r>
        <w:rPr>
          <w:rFonts w:hint="eastAsia" w:eastAsia="仿宋_GB2312"/>
          <w:sz w:val="28"/>
          <w:szCs w:val="28"/>
        </w:rPr>
        <w:t>14</w:t>
      </w:r>
      <w:r>
        <w:rPr>
          <w:rFonts w:eastAsia="仿宋_GB2312"/>
          <w:sz w:val="28"/>
          <w:szCs w:val="28"/>
        </w:rPr>
        <w:t>%</w:t>
      </w:r>
      <w:r>
        <w:rPr>
          <w:rFonts w:hint="eastAsia" w:eastAsia="仿宋_GB2312"/>
          <w:sz w:val="28"/>
          <w:szCs w:val="28"/>
        </w:rPr>
        <w:t>。地表水属汾河水系，全县有大小河流2370余条，汾河为流经境内的最大河流，其余河流在汾河两侧呈树枝状分布。</w:t>
      </w:r>
    </w:p>
    <w:p>
      <w:pPr>
        <w:adjustRightInd w:val="0"/>
        <w:snapToGrid w:val="0"/>
        <w:spacing w:line="600" w:lineRule="exact"/>
        <w:ind w:firstLine="562" w:firstLineChars="200"/>
        <w:rPr>
          <w:rFonts w:eastAsia="仿宋_GB2312"/>
          <w:sz w:val="28"/>
          <w:szCs w:val="28"/>
        </w:rPr>
      </w:pPr>
      <w:r>
        <w:rPr>
          <w:rFonts w:eastAsia="仿宋_GB2312"/>
          <w:b/>
          <w:sz w:val="28"/>
          <w:szCs w:val="28"/>
        </w:rPr>
        <w:t>自然资源丰富。</w:t>
      </w:r>
      <w:r>
        <w:rPr>
          <w:rFonts w:hint="eastAsia" w:eastAsia="仿宋_GB2312"/>
          <w:bCs/>
          <w:sz w:val="28"/>
          <w:szCs w:val="28"/>
        </w:rPr>
        <w:t>静乐县初步探明的矿藏有煤、铁、锰、铝矾土、石英、大理石、钾长石等近20种，其中煤炭资源储量最大，含煤面积1300平方公里，可采储量60亿吨。</w:t>
      </w:r>
      <w:r>
        <w:rPr>
          <w:rFonts w:eastAsia="仿宋_GB2312"/>
          <w:sz w:val="28"/>
          <w:szCs w:val="28"/>
        </w:rPr>
        <w:t>根据全县第二次水资源评价</w:t>
      </w:r>
      <w:r>
        <w:rPr>
          <w:rFonts w:hint="eastAsia" w:eastAsia="仿宋_GB2312"/>
          <w:sz w:val="28"/>
          <w:szCs w:val="28"/>
        </w:rPr>
        <w:t>，</w:t>
      </w:r>
      <w:r>
        <w:rPr>
          <w:rFonts w:eastAsia="仿宋_GB2312"/>
          <w:sz w:val="28"/>
          <w:szCs w:val="28"/>
        </w:rPr>
        <w:t>多年平均水资源总量为13591.3万立方米，其中，河川径流量为12600万立方米，地下水资源总量为1391.6万立方米</w:t>
      </w:r>
      <w:r>
        <w:rPr>
          <w:rFonts w:hint="eastAsia" w:eastAsia="仿宋_GB2312"/>
          <w:sz w:val="28"/>
          <w:szCs w:val="28"/>
        </w:rPr>
        <w:t>，</w:t>
      </w:r>
      <w:r>
        <w:rPr>
          <w:rFonts w:eastAsia="仿宋_GB2312"/>
          <w:sz w:val="28"/>
          <w:szCs w:val="28"/>
        </w:rPr>
        <w:t>重复计算量为855.8万立方米</w:t>
      </w:r>
      <w:r>
        <w:rPr>
          <w:rFonts w:hint="eastAsia" w:eastAsia="仿宋_GB2312"/>
          <w:sz w:val="28"/>
          <w:szCs w:val="28"/>
        </w:rPr>
        <w:t>；</w:t>
      </w:r>
      <w:r>
        <w:rPr>
          <w:rFonts w:eastAsia="仿宋_GB2312"/>
          <w:sz w:val="28"/>
          <w:szCs w:val="28"/>
        </w:rPr>
        <w:t>人均水资源占有量为841立方米，是全省人均水资源量的近两倍，总体上属晋西北典型的富水区域。</w:t>
      </w:r>
    </w:p>
    <w:p>
      <w:pPr>
        <w:adjustRightInd w:val="0"/>
        <w:snapToGrid w:val="0"/>
        <w:spacing w:line="600" w:lineRule="exact"/>
        <w:ind w:firstLine="562" w:firstLineChars="200"/>
        <w:rPr>
          <w:rFonts w:eastAsia="仿宋_GB2312"/>
          <w:b/>
          <w:sz w:val="28"/>
          <w:szCs w:val="28"/>
        </w:rPr>
      </w:pPr>
      <w:r>
        <w:rPr>
          <w:rFonts w:eastAsia="仿宋_GB2312"/>
          <w:b/>
          <w:sz w:val="28"/>
          <w:szCs w:val="28"/>
        </w:rPr>
        <w:t>经济</w:t>
      </w:r>
      <w:r>
        <w:rPr>
          <w:rFonts w:hint="eastAsia" w:eastAsia="仿宋_GB2312"/>
          <w:b/>
          <w:sz w:val="28"/>
          <w:szCs w:val="28"/>
        </w:rPr>
        <w:t>发展平稳。</w:t>
      </w:r>
      <w:r>
        <w:rPr>
          <w:rFonts w:hint="eastAsia" w:eastAsia="仿宋_GB2312"/>
          <w:sz w:val="28"/>
          <w:szCs w:val="28"/>
        </w:rPr>
        <w:t>静乐县经济总体运行稳中有进、稳中向好。2022年全县地区生产总值完成55.5亿元，同比增长6.3%，分别高于全省、全市1.9和2.5个百分点，增幅全市排名第四。其中，第一产业增加值完成5.7亿元，第二产业增加值完成26.4亿元，第三产业增加值完成23.4亿元，三产结构比为10.2：47.7：44.8。工业增加值增速持续加快，全年累计增长21.9%，全市排名第一。全县城镇居民人均可支配收入达30775元，同比增长6.3%，增速高于全市0.8个百分点。农村居民人均可支配收入达10554元，同比增长7.2%，增速高于全市0.4个百分点</w:t>
      </w:r>
      <w:r>
        <w:rPr>
          <w:rFonts w:hint="eastAsia"/>
          <w:sz w:val="28"/>
          <w:szCs w:val="28"/>
        </w:rPr>
        <w:t>。</w:t>
      </w:r>
    </w:p>
    <w:p>
      <w:pPr>
        <w:spacing w:line="600" w:lineRule="exact"/>
        <w:ind w:firstLine="562" w:firstLineChars="200"/>
        <w:rPr>
          <w:rFonts w:eastAsia="仿宋_GB2312"/>
          <w:sz w:val="28"/>
          <w:szCs w:val="28"/>
        </w:rPr>
      </w:pPr>
      <w:r>
        <w:rPr>
          <w:rFonts w:hint="eastAsia" w:eastAsia="仿宋_GB2312"/>
          <w:b/>
          <w:sz w:val="28"/>
          <w:szCs w:val="28"/>
        </w:rPr>
        <w:t>山水人文和谐。</w:t>
      </w:r>
      <w:bookmarkEnd w:id="37"/>
      <w:bookmarkStart w:id="38" w:name="_Toc96633574"/>
      <w:bookmarkStart w:id="39" w:name="_Toc32616"/>
      <w:bookmarkStart w:id="40" w:name="_Toc97293460"/>
      <w:r>
        <w:rPr>
          <w:rFonts w:hint="eastAsia" w:eastAsia="仿宋_GB2312"/>
          <w:sz w:val="28"/>
          <w:szCs w:val="28"/>
        </w:rPr>
        <w:t>静乐两水文脉，满城书香，是中国民间艺术之乡；三山叠翠，绿涌川梁，是最美康养旅游天堂。县域文旅资源丰富，门类较全，涵盖古今建筑、历史文化、人文景观、山水田园，涉及“绿色、古色、红色”。天柱龙泉、神烟风洞、巾岩濑雨、文峰凌霄、悬钟神韵、显字佛崖、太子灵蛇、千佛静居等“静乐八景”星罗棋布，国家4A景区天柱山、汾河川国家湿地公园、百团大战首站纪念馆（康家会）、帝师故里五家庄、乡村振兴示范村程子坪、窑洞民宿牛兰小镇、3A级乡村旅游示范村庆鲁村、“黄河人家”等特色旅游目的地争相涌现，拉碌碡、剪纸、道情、八音、静乐土豆宴等民俗非遗异彩纷呈。</w:t>
      </w:r>
    </w:p>
    <w:p>
      <w:pPr>
        <w:pStyle w:val="11"/>
        <w:spacing w:before="0" w:after="0" w:line="600" w:lineRule="exact"/>
        <w:ind w:firstLine="562" w:firstLineChars="200"/>
        <w:rPr>
          <w:rFonts w:eastAsia="仿宋_GB2312"/>
          <w:sz w:val="28"/>
          <w:szCs w:val="28"/>
        </w:rPr>
      </w:pPr>
      <w:bookmarkStart w:id="41" w:name="_Toc31278"/>
      <w:bookmarkStart w:id="42" w:name="_Toc4514"/>
      <w:bookmarkStart w:id="43" w:name="_Toc13002"/>
      <w:bookmarkStart w:id="44" w:name="_Toc25636"/>
      <w:r>
        <w:rPr>
          <w:rFonts w:eastAsia="仿宋_GB2312"/>
          <w:sz w:val="28"/>
          <w:szCs w:val="28"/>
        </w:rPr>
        <w:t>2. 工作基础</w:t>
      </w:r>
      <w:bookmarkEnd w:id="38"/>
      <w:bookmarkEnd w:id="39"/>
      <w:bookmarkEnd w:id="40"/>
      <w:bookmarkEnd w:id="41"/>
      <w:bookmarkEnd w:id="42"/>
      <w:bookmarkEnd w:id="43"/>
      <w:bookmarkEnd w:id="44"/>
    </w:p>
    <w:p>
      <w:pPr>
        <w:spacing w:line="600" w:lineRule="exact"/>
        <w:ind w:firstLine="560" w:firstLineChars="200"/>
        <w:rPr>
          <w:rFonts w:eastAsia="仿宋_GB2312"/>
          <w:sz w:val="28"/>
          <w:szCs w:val="28"/>
        </w:rPr>
      </w:pPr>
      <w:r>
        <w:rPr>
          <w:rFonts w:hint="eastAsia" w:eastAsia="仿宋_GB2312"/>
          <w:sz w:val="28"/>
          <w:szCs w:val="28"/>
        </w:rPr>
        <w:t>近年来</w:t>
      </w:r>
      <w:r>
        <w:rPr>
          <w:rFonts w:eastAsia="仿宋_GB2312"/>
          <w:sz w:val="28"/>
          <w:szCs w:val="28"/>
        </w:rPr>
        <w:t>，</w:t>
      </w:r>
      <w:r>
        <w:rPr>
          <w:rFonts w:hint="eastAsia" w:eastAsia="仿宋_GB2312"/>
          <w:sz w:val="28"/>
          <w:szCs w:val="28"/>
        </w:rPr>
        <w:t>静乐县牢固树立“绿水青山就是金山银山”的发展理念，始终坚持生态优先、绿色发展，按照中央、省市关于生态文明建设工作的决策部署，立足县情定位，统筹推进山水林田湖草生态综合治理，不断加大对汾河流域生态修复与保护力度，持续夯实静乐县生态文明建设基础。</w:t>
      </w:r>
    </w:p>
    <w:p>
      <w:pPr>
        <w:pStyle w:val="12"/>
        <w:spacing w:before="0" w:after="0" w:line="600" w:lineRule="exact"/>
        <w:ind w:firstLine="562" w:firstLineChars="200"/>
        <w:rPr>
          <w:rFonts w:ascii="Times New Roman" w:hAnsi="Times New Roman" w:eastAsia="仿宋_GB2312"/>
          <w:bCs w:val="0"/>
        </w:rPr>
      </w:pPr>
      <w:r>
        <w:rPr>
          <w:rFonts w:hint="eastAsia" w:ascii="Times New Roman" w:hAnsi="Times New Roman" w:eastAsia="仿宋_GB2312"/>
          <w:bCs w:val="0"/>
        </w:rPr>
        <w:t>（1）</w:t>
      </w:r>
      <w:r>
        <w:rPr>
          <w:rFonts w:ascii="Times New Roman" w:hAnsi="Times New Roman" w:eastAsia="仿宋_GB2312"/>
          <w:bCs w:val="0"/>
        </w:rPr>
        <w:t>习近平生态文明思想</w:t>
      </w:r>
      <w:r>
        <w:rPr>
          <w:rFonts w:hint="eastAsia" w:ascii="Times New Roman" w:hAnsi="Times New Roman" w:eastAsia="仿宋_GB2312"/>
          <w:bCs w:val="0"/>
        </w:rPr>
        <w:t>全面贯彻</w:t>
      </w:r>
    </w:p>
    <w:p>
      <w:pPr>
        <w:spacing w:line="600" w:lineRule="exact"/>
        <w:ind w:firstLine="560" w:firstLineChars="200"/>
        <w:rPr>
          <w:rFonts w:eastAsia="仿宋_GB2312"/>
          <w:sz w:val="28"/>
          <w:szCs w:val="28"/>
        </w:rPr>
      </w:pPr>
      <w:r>
        <w:rPr>
          <w:rFonts w:hint="eastAsia" w:eastAsia="仿宋_GB2312"/>
          <w:sz w:val="28"/>
          <w:szCs w:val="28"/>
        </w:rPr>
        <w:t>县</w:t>
      </w:r>
      <w:r>
        <w:rPr>
          <w:rFonts w:eastAsia="仿宋_GB2312"/>
          <w:sz w:val="28"/>
          <w:szCs w:val="28"/>
        </w:rPr>
        <w:t>委、</w:t>
      </w:r>
      <w:r>
        <w:rPr>
          <w:rFonts w:hint="eastAsia" w:eastAsia="仿宋_GB2312"/>
          <w:sz w:val="28"/>
          <w:szCs w:val="28"/>
        </w:rPr>
        <w:t>县</w:t>
      </w:r>
      <w:r>
        <w:rPr>
          <w:rFonts w:eastAsia="仿宋_GB2312"/>
          <w:sz w:val="28"/>
          <w:szCs w:val="28"/>
        </w:rPr>
        <w:t>政府</w:t>
      </w:r>
      <w:r>
        <w:rPr>
          <w:rFonts w:hint="eastAsia" w:eastAsia="仿宋_GB2312"/>
          <w:sz w:val="28"/>
          <w:szCs w:val="28"/>
        </w:rPr>
        <w:t>坚持</w:t>
      </w:r>
      <w:r>
        <w:rPr>
          <w:rFonts w:eastAsia="仿宋_GB2312"/>
          <w:sz w:val="28"/>
          <w:szCs w:val="28"/>
        </w:rPr>
        <w:t>以生态文明建设示范为牵引，注重生态文明建设工作顶层设计，压实各部门生态环境保护责任，全</w:t>
      </w:r>
      <w:r>
        <w:rPr>
          <w:rFonts w:hint="eastAsia" w:eastAsia="仿宋_GB2312"/>
          <w:sz w:val="28"/>
          <w:szCs w:val="28"/>
        </w:rPr>
        <w:t>县</w:t>
      </w:r>
      <w:r>
        <w:rPr>
          <w:rFonts w:eastAsia="仿宋_GB2312"/>
          <w:sz w:val="28"/>
          <w:szCs w:val="28"/>
        </w:rPr>
        <w:t>上下联动，始终把生态环境保护工作紧抓在手</w:t>
      </w:r>
      <w:r>
        <w:rPr>
          <w:rFonts w:hint="eastAsia" w:eastAsia="仿宋_GB2312"/>
          <w:sz w:val="28"/>
          <w:szCs w:val="28"/>
        </w:rPr>
        <w:t>，环境</w:t>
      </w:r>
      <w:r>
        <w:rPr>
          <w:rFonts w:eastAsia="仿宋_GB2312"/>
          <w:sz w:val="28"/>
          <w:szCs w:val="28"/>
        </w:rPr>
        <w:t>空气质量持续向好，水环境质量不断提升，重大时间节点圆满完成管控任务，生态环境保护工作取得显著成效，</w:t>
      </w:r>
      <w:r>
        <w:rPr>
          <w:rFonts w:hint="eastAsia" w:eastAsia="仿宋_GB2312"/>
          <w:sz w:val="28"/>
          <w:szCs w:val="28"/>
        </w:rPr>
        <w:t>先后荣获全国文明城市、国家卫生县城、国家园林县城、中国民间文化艺术之乡、中国藜麦之乡、中国天然氧吧、中国最美特色旅游目的地等殊荣。</w:t>
      </w:r>
    </w:p>
    <w:p>
      <w:pPr>
        <w:spacing w:line="600" w:lineRule="exact"/>
        <w:ind w:firstLine="560" w:firstLineChars="200"/>
        <w:rPr>
          <w:rFonts w:eastAsia="仿宋_GB2312"/>
          <w:sz w:val="28"/>
          <w:szCs w:val="28"/>
        </w:rPr>
      </w:pPr>
      <w:r>
        <w:rPr>
          <w:rFonts w:hint="eastAsia" w:eastAsia="仿宋_GB2312"/>
          <w:sz w:val="28"/>
          <w:szCs w:val="28"/>
        </w:rPr>
        <w:t>为扎实推进国家生态文明建设示范区创建工作，成立静乐县国家生态文明建设示范区创建工作领导组，印发《静乐县创建国家生态文明建设示范区工作方案》，组织召开创建国家级生态文明建设示范区工作推进会，全县上下同心同向、协力担当，全力以赴共抓创建任务落实，为推动静乐全方位高质量发展奠定坚实的基础。</w:t>
      </w:r>
    </w:p>
    <w:p>
      <w:pPr>
        <w:pStyle w:val="12"/>
        <w:spacing w:before="0" w:after="0" w:line="600" w:lineRule="exact"/>
        <w:ind w:firstLine="562" w:firstLineChars="200"/>
        <w:rPr>
          <w:rFonts w:ascii="Times New Roman" w:hAnsi="Times New Roman" w:eastAsia="仿宋_GB2312"/>
          <w:bCs w:val="0"/>
        </w:rPr>
      </w:pPr>
      <w:r>
        <w:rPr>
          <w:rFonts w:hint="eastAsia" w:ascii="Times New Roman" w:hAnsi="Times New Roman" w:eastAsia="仿宋_GB2312"/>
          <w:bCs w:val="0"/>
        </w:rPr>
        <w:t>（2）环保机制体制日益完善</w:t>
      </w:r>
    </w:p>
    <w:p>
      <w:pPr>
        <w:spacing w:line="600" w:lineRule="exact"/>
        <w:ind w:firstLine="560" w:firstLineChars="200"/>
        <w:rPr>
          <w:rFonts w:eastAsia="仿宋_GB2312"/>
          <w:sz w:val="28"/>
          <w:szCs w:val="28"/>
        </w:rPr>
      </w:pPr>
      <w:r>
        <w:rPr>
          <w:rFonts w:hint="eastAsia" w:eastAsia="仿宋_GB2312"/>
          <w:sz w:val="28"/>
          <w:szCs w:val="28"/>
        </w:rPr>
        <w:t>静乐县委、县政府坚持“生态立县”发展战略，</w:t>
      </w:r>
      <w:r>
        <w:rPr>
          <w:rFonts w:eastAsia="仿宋_GB2312"/>
          <w:sz w:val="28"/>
          <w:szCs w:val="28"/>
        </w:rPr>
        <w:t>严格落实“党政同责、一岗双责”，成立</w:t>
      </w:r>
      <w:r>
        <w:rPr>
          <w:rFonts w:hint="eastAsia" w:eastAsia="仿宋_GB2312"/>
          <w:sz w:val="28"/>
          <w:szCs w:val="28"/>
        </w:rPr>
        <w:t>静乐县</w:t>
      </w:r>
      <w:r>
        <w:rPr>
          <w:rFonts w:eastAsia="仿宋_GB2312"/>
          <w:sz w:val="28"/>
          <w:szCs w:val="28"/>
        </w:rPr>
        <w:t>生态环境保护委员会</w:t>
      </w:r>
      <w:r>
        <w:rPr>
          <w:rFonts w:hint="eastAsia" w:eastAsia="仿宋_GB2312"/>
          <w:sz w:val="28"/>
          <w:szCs w:val="28"/>
        </w:rPr>
        <w:t>，全面加强了全县生态环境保护工作的领导，确保</w:t>
      </w:r>
      <w:r>
        <w:rPr>
          <w:rFonts w:eastAsia="仿宋_GB2312"/>
          <w:sz w:val="28"/>
          <w:szCs w:val="28"/>
        </w:rPr>
        <w:t>国家和省、市</w:t>
      </w:r>
      <w:r>
        <w:rPr>
          <w:rFonts w:hint="eastAsia" w:eastAsia="仿宋_GB2312"/>
          <w:sz w:val="28"/>
          <w:szCs w:val="28"/>
        </w:rPr>
        <w:t>各项决策部署落地、落实、见效。将生态文明建设和生态环境保护工作纳入政府目标管理体系，作为全县高质量发展综合绩效考核的重要指标。</w:t>
      </w:r>
      <w:r>
        <w:rPr>
          <w:rFonts w:eastAsia="仿宋_GB2312"/>
          <w:sz w:val="28"/>
          <w:szCs w:val="28"/>
        </w:rPr>
        <w:t>全面推行河长制，认真落实省、市关于河长制工作的部署和要求，成立由</w:t>
      </w:r>
      <w:r>
        <w:rPr>
          <w:rFonts w:hint="eastAsia" w:eastAsia="仿宋_GB2312"/>
          <w:sz w:val="28"/>
          <w:szCs w:val="28"/>
        </w:rPr>
        <w:t>县委、县政府主要领导担任河长的</w:t>
      </w:r>
      <w:r>
        <w:rPr>
          <w:rFonts w:eastAsia="仿宋_GB2312"/>
          <w:sz w:val="28"/>
          <w:szCs w:val="28"/>
        </w:rPr>
        <w:t>工作领导组，设立了</w:t>
      </w:r>
      <w:r>
        <w:rPr>
          <w:rFonts w:hint="eastAsia" w:eastAsia="仿宋_GB2312"/>
          <w:sz w:val="28"/>
          <w:szCs w:val="28"/>
        </w:rPr>
        <w:t>县</w:t>
      </w:r>
      <w:r>
        <w:rPr>
          <w:rFonts w:eastAsia="仿宋_GB2312"/>
          <w:sz w:val="28"/>
          <w:szCs w:val="28"/>
        </w:rPr>
        <w:t>、乡、村三级河长制组织体系，</w:t>
      </w:r>
      <w:r>
        <w:rPr>
          <w:rFonts w:hint="eastAsia" w:eastAsia="仿宋_GB2312"/>
          <w:sz w:val="28"/>
          <w:szCs w:val="28"/>
        </w:rPr>
        <w:t>县辖14</w:t>
      </w:r>
      <w:r>
        <w:rPr>
          <w:rFonts w:eastAsia="仿宋_GB2312"/>
          <w:sz w:val="28"/>
          <w:szCs w:val="28"/>
        </w:rPr>
        <w:t>条河流全部纳入河长制管理体系</w:t>
      </w:r>
      <w:r>
        <w:rPr>
          <w:rFonts w:hint="eastAsia" w:eastAsia="仿宋_GB2312"/>
          <w:sz w:val="28"/>
          <w:szCs w:val="28"/>
        </w:rPr>
        <w:t>。</w:t>
      </w:r>
      <w:r>
        <w:rPr>
          <w:rFonts w:hint="eastAsia" w:eastAsia="仿宋_GB2312"/>
          <w:sz w:val="28"/>
          <w:szCs w:val="28"/>
          <w:lang w:val="zh-CN"/>
        </w:rPr>
        <w:t>全面</w:t>
      </w:r>
      <w:r>
        <w:rPr>
          <w:rFonts w:hint="eastAsia" w:eastAsia="仿宋_GB2312"/>
          <w:sz w:val="28"/>
          <w:szCs w:val="28"/>
        </w:rPr>
        <w:t>落实</w:t>
      </w:r>
      <w:r>
        <w:rPr>
          <w:rFonts w:hint="eastAsia" w:eastAsia="仿宋_GB2312"/>
          <w:sz w:val="28"/>
          <w:szCs w:val="28"/>
          <w:lang w:val="zh-CN"/>
        </w:rPr>
        <w:t>林长制，制定</w:t>
      </w:r>
      <w:r>
        <w:rPr>
          <w:rFonts w:hint="eastAsia" w:eastAsia="仿宋_GB2312"/>
          <w:sz w:val="28"/>
          <w:szCs w:val="28"/>
        </w:rPr>
        <w:t>《静乐县</w:t>
      </w:r>
      <w:r>
        <w:rPr>
          <w:rFonts w:eastAsia="仿宋_GB2312"/>
          <w:sz w:val="28"/>
          <w:szCs w:val="28"/>
          <w:lang w:val="zh-CN"/>
        </w:rPr>
        <w:t>林长</w:t>
      </w:r>
      <w:r>
        <w:rPr>
          <w:rFonts w:hint="eastAsia" w:eastAsia="仿宋_GB2312"/>
          <w:sz w:val="28"/>
          <w:szCs w:val="28"/>
        </w:rPr>
        <w:t>制县级</w:t>
      </w:r>
      <w:r>
        <w:rPr>
          <w:rFonts w:eastAsia="仿宋_GB2312"/>
          <w:sz w:val="28"/>
          <w:szCs w:val="28"/>
          <w:lang w:val="zh-CN"/>
        </w:rPr>
        <w:t>会议制度</w:t>
      </w:r>
      <w:r>
        <w:rPr>
          <w:rFonts w:hint="eastAsia" w:eastAsia="仿宋_GB2312"/>
          <w:sz w:val="28"/>
          <w:szCs w:val="28"/>
        </w:rPr>
        <w:t>》《静乐县林长制县级工作督查制度》《静乐县林长制县级部门协作制度》</w:t>
      </w:r>
      <w:r>
        <w:rPr>
          <w:rFonts w:hint="eastAsia" w:eastAsia="仿宋_GB2312"/>
          <w:sz w:val="28"/>
          <w:szCs w:val="28"/>
          <w:lang w:val="zh-CN"/>
        </w:rPr>
        <w:t>等一系列工作制度，</w:t>
      </w:r>
      <w:r>
        <w:rPr>
          <w:rFonts w:hint="eastAsia" w:eastAsia="仿宋_GB2312"/>
          <w:sz w:val="28"/>
          <w:szCs w:val="28"/>
        </w:rPr>
        <w:t>形成县、乡、村三级林长制体系和部门共建共管机制，</w:t>
      </w:r>
      <w:r>
        <w:rPr>
          <w:rFonts w:hint="eastAsia" w:eastAsia="仿宋_GB2312"/>
          <w:sz w:val="28"/>
          <w:szCs w:val="28"/>
          <w:lang w:val="zh-CN"/>
        </w:rPr>
        <w:t>压实了森林资源管护责任。</w:t>
      </w:r>
      <w:r>
        <w:rPr>
          <w:rFonts w:eastAsia="仿宋_GB2312"/>
          <w:sz w:val="28"/>
          <w:szCs w:val="28"/>
        </w:rPr>
        <w:t>各乡镇、各部门主要领导以上率下，对全</w:t>
      </w:r>
      <w:r>
        <w:rPr>
          <w:rFonts w:hint="eastAsia" w:eastAsia="仿宋_GB2312"/>
          <w:sz w:val="28"/>
          <w:szCs w:val="28"/>
        </w:rPr>
        <w:t>县</w:t>
      </w:r>
      <w:r>
        <w:rPr>
          <w:rFonts w:eastAsia="仿宋_GB2312"/>
          <w:sz w:val="28"/>
          <w:szCs w:val="28"/>
        </w:rPr>
        <w:t>污染防治工作亲自研究</w:t>
      </w:r>
      <w:bookmarkStart w:id="527" w:name="_GoBack"/>
      <w:bookmarkEnd w:id="527"/>
      <w:r>
        <w:rPr>
          <w:rFonts w:eastAsia="仿宋_GB2312"/>
          <w:sz w:val="28"/>
          <w:szCs w:val="28"/>
        </w:rPr>
        <w:t>及时部署，层层传导压力，全面压实治理责任。积极推进中央</w:t>
      </w:r>
      <w:r>
        <w:rPr>
          <w:rFonts w:hint="eastAsia" w:eastAsia="仿宋_GB2312"/>
          <w:sz w:val="28"/>
          <w:szCs w:val="28"/>
        </w:rPr>
        <w:t>、</w:t>
      </w:r>
      <w:r>
        <w:rPr>
          <w:rFonts w:eastAsia="仿宋_GB2312"/>
          <w:sz w:val="28"/>
          <w:szCs w:val="28"/>
        </w:rPr>
        <w:t>省级环保督察</w:t>
      </w:r>
      <w:r>
        <w:rPr>
          <w:rFonts w:hint="eastAsia" w:eastAsia="仿宋_GB2312"/>
          <w:sz w:val="28"/>
          <w:szCs w:val="28"/>
        </w:rPr>
        <w:t>及黄河（汾河）流域生态环境警示专项督察中存在的问题</w:t>
      </w:r>
      <w:r>
        <w:rPr>
          <w:rFonts w:eastAsia="仿宋_GB2312"/>
          <w:sz w:val="28"/>
          <w:szCs w:val="28"/>
        </w:rPr>
        <w:t>，</w:t>
      </w:r>
      <w:r>
        <w:rPr>
          <w:rFonts w:hint="eastAsia" w:eastAsia="仿宋_GB2312"/>
          <w:sz w:val="28"/>
          <w:szCs w:val="28"/>
        </w:rPr>
        <w:t>按计划完成整改任务</w:t>
      </w:r>
      <w:r>
        <w:rPr>
          <w:rFonts w:eastAsia="仿宋_GB2312"/>
          <w:sz w:val="28"/>
          <w:szCs w:val="28"/>
        </w:rPr>
        <w:t>，扎实做好生态文明建设和生态环境保护工作。</w:t>
      </w:r>
    </w:p>
    <w:p>
      <w:pPr>
        <w:pStyle w:val="12"/>
        <w:spacing w:before="0" w:after="0" w:line="600" w:lineRule="exact"/>
        <w:ind w:firstLine="562" w:firstLineChars="200"/>
        <w:rPr>
          <w:rFonts w:ascii="Times New Roman" w:hAnsi="Times New Roman" w:eastAsia="仿宋_GB2312"/>
          <w:bCs w:val="0"/>
        </w:rPr>
      </w:pPr>
      <w:r>
        <w:rPr>
          <w:rFonts w:hint="eastAsia" w:ascii="Times New Roman" w:hAnsi="Times New Roman" w:eastAsia="仿宋_GB2312"/>
          <w:bCs w:val="0"/>
        </w:rPr>
        <w:t>（3）经济绿色发展取得实效</w:t>
      </w:r>
    </w:p>
    <w:p>
      <w:pPr>
        <w:spacing w:line="600" w:lineRule="exact"/>
        <w:ind w:firstLine="560" w:firstLineChars="200"/>
        <w:rPr>
          <w:rFonts w:eastAsia="仿宋_GB2312"/>
          <w:sz w:val="28"/>
          <w:szCs w:val="28"/>
        </w:rPr>
      </w:pPr>
      <w:r>
        <w:rPr>
          <w:rFonts w:eastAsia="仿宋_GB2312"/>
          <w:sz w:val="28"/>
          <w:szCs w:val="28"/>
        </w:rPr>
        <w:t>传统产业质效提升，天安煤矿建成一级达标矿井，大远煤业</w:t>
      </w:r>
      <w:r>
        <w:rPr>
          <w:rFonts w:hint="eastAsia" w:eastAsia="仿宋_GB2312"/>
          <w:sz w:val="28"/>
          <w:szCs w:val="28"/>
        </w:rPr>
        <w:t>等</w:t>
      </w:r>
      <w:r>
        <w:rPr>
          <w:rFonts w:eastAsia="仿宋_GB2312"/>
          <w:sz w:val="28"/>
          <w:szCs w:val="28"/>
        </w:rPr>
        <w:t>4座生产煤矿全年生产原煤395.09万吨，12个洗选煤企业全部完成升级改造。新兴产业壮大发展，风电光电总装机达到658兆瓦，晋通100兆瓦光伏+储能项目并网发电，三峡集团250兆瓦光伏项目成功签约，陕京二线王端庄天然气阀室项目签约落地。产业兴农成效显著</w:t>
      </w:r>
      <w:r>
        <w:rPr>
          <w:rFonts w:hint="eastAsia" w:eastAsia="仿宋_GB2312"/>
          <w:sz w:val="28"/>
          <w:szCs w:val="28"/>
        </w:rPr>
        <w:t>，</w:t>
      </w:r>
      <w:r>
        <w:rPr>
          <w:rFonts w:eastAsia="仿宋_GB2312"/>
          <w:sz w:val="28"/>
          <w:szCs w:val="28"/>
        </w:rPr>
        <w:t>坚持规模化、标准化、品牌化路径，培育形成了一批以藜麦、道地中药材、脱毒马铃薯等为主的特色富民产业，全县农作物播种面积44.14万亩、粮食产量超过1.5亿斤。组织开展“静乐藜麦、静乐莜面、静乐宪州黄芪、静乐土鸡蛋”地理标志认证，“三品一标”认证农产品累计达到69个，“静乐甜苣菜”和“静乐燕麦”获批国家生态原产地保护认证。文化旅游业蓬勃发展</w:t>
      </w:r>
      <w:r>
        <w:rPr>
          <w:rFonts w:hint="eastAsia" w:eastAsia="仿宋_GB2312"/>
          <w:sz w:val="28"/>
          <w:szCs w:val="28"/>
        </w:rPr>
        <w:t>，实施汾河上游山水林田湖草生态保护修复试点项目，成功创建了天柱山国家4A景区和汾河川国家湿地公园。设立忻州古城静乐剪纸、静乐土豆宴展示窗口，打造以庆鲁、王端庄、木瓜山、程子坪等村为样板的乡村旅游，推出“静乐生活·不夜鹅城”夜间文旅消费集聚区、藜麦丰收节、剪纸旅游文创产品等旅游新业态。</w:t>
      </w:r>
      <w:r>
        <w:rPr>
          <w:rFonts w:eastAsia="仿宋_GB2312"/>
          <w:sz w:val="28"/>
          <w:szCs w:val="28"/>
        </w:rPr>
        <w:t>启动</w:t>
      </w:r>
      <w:r>
        <w:rPr>
          <w:rFonts w:hint="eastAsia" w:eastAsia="仿宋_GB2312"/>
          <w:sz w:val="28"/>
          <w:szCs w:val="28"/>
        </w:rPr>
        <w:t>国家</w:t>
      </w:r>
      <w:r>
        <w:rPr>
          <w:rFonts w:eastAsia="仿宋_GB2312"/>
          <w:sz w:val="28"/>
          <w:szCs w:val="28"/>
        </w:rPr>
        <w:t>全域旅游示范</w:t>
      </w:r>
      <w:r>
        <w:rPr>
          <w:rFonts w:hint="eastAsia" w:eastAsia="仿宋_GB2312"/>
          <w:sz w:val="28"/>
          <w:szCs w:val="28"/>
        </w:rPr>
        <w:t>区</w:t>
      </w:r>
      <w:r>
        <w:rPr>
          <w:rFonts w:eastAsia="仿宋_GB2312"/>
          <w:sz w:val="28"/>
          <w:szCs w:val="28"/>
        </w:rPr>
        <w:t>创建工作，举全县之力，变旅游资源优势为产业优势</w:t>
      </w:r>
      <w:r>
        <w:rPr>
          <w:rFonts w:hint="eastAsia" w:eastAsia="仿宋_GB2312"/>
          <w:sz w:val="28"/>
          <w:szCs w:val="28"/>
        </w:rPr>
        <w:t>。</w:t>
      </w:r>
    </w:p>
    <w:p>
      <w:pPr>
        <w:pStyle w:val="12"/>
        <w:spacing w:before="0" w:after="0" w:line="600" w:lineRule="exact"/>
        <w:ind w:firstLine="562" w:firstLineChars="200"/>
        <w:rPr>
          <w:rFonts w:ascii="Times New Roman" w:hAnsi="Times New Roman" w:eastAsia="仿宋_GB2312"/>
          <w:bCs w:val="0"/>
        </w:rPr>
      </w:pPr>
      <w:r>
        <w:rPr>
          <w:rFonts w:hint="eastAsia" w:ascii="Times New Roman" w:hAnsi="Times New Roman" w:eastAsia="仿宋_GB2312"/>
          <w:bCs w:val="0"/>
        </w:rPr>
        <w:t>（4）生态环境质量稳步提升</w:t>
      </w:r>
    </w:p>
    <w:p>
      <w:pPr>
        <w:spacing w:line="600" w:lineRule="exact"/>
        <w:ind w:firstLine="560" w:firstLineChars="200"/>
        <w:rPr>
          <w:rFonts w:eastAsia="仿宋_GB2312"/>
          <w:sz w:val="28"/>
          <w:szCs w:val="28"/>
        </w:rPr>
      </w:pPr>
      <w:r>
        <w:rPr>
          <w:rFonts w:eastAsia="仿宋_GB2312"/>
          <w:sz w:val="28"/>
          <w:szCs w:val="28"/>
        </w:rPr>
        <w:t>深入推进蓝天、碧水、净土三大保卫战，综合实施减排降尘治企等各项措施，</w:t>
      </w:r>
      <w:r>
        <w:rPr>
          <w:rFonts w:hint="eastAsia" w:eastAsia="仿宋_GB2312"/>
          <w:sz w:val="28"/>
          <w:szCs w:val="28"/>
        </w:rPr>
        <w:t>全县空气环境质量稳中向好，2020-</w:t>
      </w:r>
      <w:r>
        <w:rPr>
          <w:rFonts w:eastAsia="仿宋_GB2312"/>
          <w:sz w:val="28"/>
          <w:szCs w:val="28"/>
        </w:rPr>
        <w:t>202</w:t>
      </w:r>
      <w:r>
        <w:rPr>
          <w:rFonts w:hint="eastAsia" w:eastAsia="仿宋_GB2312"/>
          <w:sz w:val="28"/>
          <w:szCs w:val="28"/>
        </w:rPr>
        <w:t>2</w:t>
      </w:r>
      <w:r>
        <w:rPr>
          <w:rFonts w:eastAsia="仿宋_GB2312"/>
          <w:sz w:val="28"/>
          <w:szCs w:val="28"/>
        </w:rPr>
        <w:t>年大气污染综合指数</w:t>
      </w:r>
      <w:r>
        <w:rPr>
          <w:rFonts w:hint="eastAsia" w:eastAsia="仿宋_GB2312"/>
          <w:sz w:val="28"/>
          <w:szCs w:val="28"/>
        </w:rPr>
        <w:t>逐年降低</w:t>
      </w:r>
      <w:r>
        <w:rPr>
          <w:rFonts w:eastAsia="仿宋_GB2312"/>
          <w:sz w:val="28"/>
          <w:szCs w:val="28"/>
        </w:rPr>
        <w:t>，PM</w:t>
      </w:r>
      <w:r>
        <w:rPr>
          <w:rFonts w:eastAsia="仿宋_GB2312"/>
          <w:sz w:val="28"/>
          <w:szCs w:val="28"/>
          <w:vertAlign w:val="subscript"/>
        </w:rPr>
        <w:t>2.5</w:t>
      </w:r>
      <w:r>
        <w:rPr>
          <w:rFonts w:eastAsia="仿宋_GB2312"/>
          <w:sz w:val="28"/>
          <w:szCs w:val="28"/>
        </w:rPr>
        <w:t>年均浓度</w:t>
      </w:r>
      <w:r>
        <w:rPr>
          <w:rFonts w:hint="eastAsia" w:eastAsia="仿宋_GB2312"/>
          <w:sz w:val="28"/>
          <w:szCs w:val="28"/>
        </w:rPr>
        <w:t>和</w:t>
      </w:r>
      <w:r>
        <w:rPr>
          <w:rFonts w:eastAsia="仿宋_GB2312"/>
          <w:sz w:val="28"/>
          <w:szCs w:val="28"/>
        </w:rPr>
        <w:t>优良天数</w:t>
      </w:r>
      <w:r>
        <w:rPr>
          <w:rFonts w:hint="eastAsia" w:eastAsia="仿宋_GB2312"/>
          <w:sz w:val="28"/>
          <w:szCs w:val="28"/>
        </w:rPr>
        <w:t>基本保持稳定，环境空气</w:t>
      </w:r>
      <w:r>
        <w:rPr>
          <w:rFonts w:eastAsia="仿宋_GB2312"/>
          <w:sz w:val="28"/>
          <w:szCs w:val="28"/>
        </w:rPr>
        <w:t>六项污染物</w:t>
      </w:r>
      <w:r>
        <w:rPr>
          <w:rFonts w:hint="eastAsia" w:eastAsia="仿宋_GB2312"/>
          <w:sz w:val="28"/>
          <w:szCs w:val="28"/>
        </w:rPr>
        <w:t>全部稳定</w:t>
      </w:r>
      <w:r>
        <w:rPr>
          <w:rFonts w:eastAsia="仿宋_GB2312"/>
          <w:sz w:val="28"/>
          <w:szCs w:val="28"/>
        </w:rPr>
        <w:t>达到二级标准。统筹推进水资源、水环境、水生态治理，实施</w:t>
      </w:r>
      <w:r>
        <w:fldChar w:fldCharType="begin"/>
      </w:r>
      <w:r>
        <w:instrText xml:space="preserve"> HYPERLINK "http://www.baidu.com/link?url=IEH0MYGftQTUJh3vYbUuxmMrlyDBZtSQcoR8nTJhy1c8ADiRb3elpy6ztdaA6p2u" \t "https://www.baidu.com/_blank" </w:instrText>
      </w:r>
      <w:r>
        <w:fldChar w:fldCharType="separate"/>
      </w:r>
      <w:r>
        <w:rPr>
          <w:rFonts w:eastAsia="仿宋_GB2312"/>
          <w:sz w:val="28"/>
          <w:szCs w:val="28"/>
        </w:rPr>
        <w:t>静乐县污水净化中心提升扩容改造</w:t>
      </w:r>
      <w:r>
        <w:rPr>
          <w:rFonts w:eastAsia="仿宋_GB2312"/>
          <w:sz w:val="28"/>
          <w:szCs w:val="28"/>
        </w:rPr>
        <w:fldChar w:fldCharType="end"/>
      </w:r>
      <w:r>
        <w:rPr>
          <w:rFonts w:eastAsia="仿宋_GB2312"/>
          <w:sz w:val="28"/>
          <w:szCs w:val="28"/>
        </w:rPr>
        <w:t>，推进汾河干流沿岸33个村庄生活污水治理，全面完成289个入河排污口排查整治任务，与宁武、娄烦建立了汾河上下游联防联控合作机制，地表水水质稳中向好，河西村国考断面水质稳定达到Ⅱ类。建立了建设用地土壤污染风险管控和修复名录，</w:t>
      </w:r>
      <w:r>
        <w:rPr>
          <w:rFonts w:hint="eastAsia" w:eastAsia="仿宋_GB2312"/>
          <w:sz w:val="28"/>
          <w:szCs w:val="28"/>
        </w:rPr>
        <w:t>开展</w:t>
      </w:r>
      <w:r>
        <w:rPr>
          <w:rFonts w:eastAsia="仿宋_GB2312"/>
          <w:sz w:val="28"/>
          <w:szCs w:val="28"/>
        </w:rPr>
        <w:t>耕地质量类别划定，</w:t>
      </w:r>
      <w:r>
        <w:rPr>
          <w:rFonts w:hint="eastAsia" w:eastAsia="仿宋_GB2312"/>
          <w:sz w:val="28"/>
          <w:szCs w:val="28"/>
        </w:rPr>
        <w:t>完成6个地块建设用地土壤污染状况初步调查，</w:t>
      </w:r>
      <w:r>
        <w:rPr>
          <w:rFonts w:eastAsia="仿宋_GB2312"/>
          <w:sz w:val="28"/>
          <w:szCs w:val="28"/>
        </w:rPr>
        <w:t>土壤污染防治工作</w:t>
      </w:r>
      <w:r>
        <w:rPr>
          <w:rFonts w:hint="eastAsia" w:eastAsia="仿宋_GB2312"/>
          <w:sz w:val="28"/>
          <w:szCs w:val="28"/>
        </w:rPr>
        <w:t>有序</w:t>
      </w:r>
      <w:r>
        <w:rPr>
          <w:rFonts w:eastAsia="仿宋_GB2312"/>
          <w:sz w:val="28"/>
          <w:szCs w:val="28"/>
        </w:rPr>
        <w:t>推进。</w:t>
      </w:r>
      <w:r>
        <w:rPr>
          <w:rFonts w:hint="eastAsia" w:eastAsia="仿宋_GB2312"/>
          <w:sz w:val="28"/>
          <w:szCs w:val="28"/>
        </w:rPr>
        <w:t>划定</w:t>
      </w:r>
      <w:r>
        <w:rPr>
          <w:rFonts w:eastAsia="仿宋_GB2312"/>
          <w:sz w:val="28"/>
          <w:szCs w:val="28"/>
        </w:rPr>
        <w:t>生态保护红线面28466.876</w:t>
      </w:r>
      <w:r>
        <w:rPr>
          <w:rFonts w:hint="eastAsia" w:eastAsia="仿宋_GB2312"/>
          <w:sz w:val="28"/>
          <w:szCs w:val="28"/>
        </w:rPr>
        <w:t>公顷</w:t>
      </w:r>
      <w:r>
        <w:rPr>
          <w:rFonts w:eastAsia="仿宋_GB2312"/>
          <w:sz w:val="28"/>
          <w:szCs w:val="28"/>
        </w:rPr>
        <w:t>，占全县土地总面积的</w:t>
      </w:r>
      <w:r>
        <w:rPr>
          <w:rFonts w:hint="eastAsia" w:eastAsia="仿宋_GB2312"/>
          <w:sz w:val="28"/>
          <w:szCs w:val="28"/>
        </w:rPr>
        <w:t>13.83</w:t>
      </w:r>
      <w:r>
        <w:rPr>
          <w:rFonts w:eastAsia="仿宋_GB2312"/>
          <w:sz w:val="28"/>
          <w:szCs w:val="28"/>
        </w:rPr>
        <w:t>%</w:t>
      </w:r>
      <w:r>
        <w:rPr>
          <w:rFonts w:hint="eastAsia" w:eastAsia="仿宋_GB2312"/>
          <w:sz w:val="28"/>
          <w:szCs w:val="28"/>
        </w:rPr>
        <w:t>。</w:t>
      </w:r>
      <w:r>
        <w:rPr>
          <w:rFonts w:eastAsia="仿宋_GB2312"/>
          <w:sz w:val="28"/>
          <w:szCs w:val="28"/>
        </w:rPr>
        <w:t>山西静乐汾河川国家湿地公园</w:t>
      </w:r>
      <w:r>
        <w:rPr>
          <w:rFonts w:hint="eastAsia" w:eastAsia="仿宋_GB2312"/>
          <w:sz w:val="28"/>
          <w:szCs w:val="28"/>
        </w:rPr>
        <w:t>于</w:t>
      </w:r>
      <w:r>
        <w:rPr>
          <w:rFonts w:eastAsia="仿宋_GB2312"/>
          <w:sz w:val="28"/>
          <w:szCs w:val="28"/>
        </w:rPr>
        <w:t>2019年顺利通过了试点验收并正式挂牌</w:t>
      </w:r>
      <w:r>
        <w:rPr>
          <w:rFonts w:hint="eastAsia" w:eastAsia="仿宋_GB2312"/>
          <w:sz w:val="28"/>
          <w:szCs w:val="28"/>
        </w:rPr>
        <w:t>，成为忻州市第一个国家级湿地公园。</w:t>
      </w:r>
      <w:r>
        <w:rPr>
          <w:rFonts w:eastAsia="仿宋_GB2312"/>
          <w:sz w:val="28"/>
          <w:szCs w:val="28"/>
        </w:rPr>
        <w:t>启动国家森林城市创建工作，加强水域岸线管理，</w:t>
      </w:r>
      <w:r>
        <w:rPr>
          <w:rFonts w:hint="eastAsia" w:eastAsia="仿宋_GB2312"/>
          <w:kern w:val="0"/>
          <w:sz w:val="28"/>
          <w:szCs w:val="28"/>
        </w:rPr>
        <w:t>持续开展生物多样性保护，县域生态环境持续向好。</w:t>
      </w:r>
    </w:p>
    <w:p>
      <w:pPr>
        <w:pStyle w:val="12"/>
        <w:spacing w:before="0" w:after="0" w:line="600" w:lineRule="exact"/>
        <w:ind w:firstLine="562" w:firstLineChars="200"/>
        <w:rPr>
          <w:rFonts w:ascii="Times New Roman" w:hAnsi="Times New Roman" w:eastAsia="仿宋_GB2312"/>
          <w:bCs w:val="0"/>
        </w:rPr>
      </w:pPr>
      <w:r>
        <w:rPr>
          <w:rFonts w:ascii="Times New Roman" w:hAnsi="Times New Roman" w:eastAsia="仿宋_GB2312"/>
          <w:bCs w:val="0"/>
        </w:rPr>
        <w:t>（</w:t>
      </w:r>
      <w:r>
        <w:rPr>
          <w:rFonts w:hint="eastAsia" w:ascii="Times New Roman" w:hAnsi="Times New Roman" w:eastAsia="仿宋_GB2312"/>
          <w:bCs w:val="0"/>
        </w:rPr>
        <w:t>5</w:t>
      </w:r>
      <w:r>
        <w:rPr>
          <w:rFonts w:ascii="Times New Roman" w:hAnsi="Times New Roman" w:eastAsia="仿宋_GB2312"/>
          <w:bCs w:val="0"/>
        </w:rPr>
        <w:t>）</w:t>
      </w:r>
      <w:r>
        <w:rPr>
          <w:rFonts w:hint="eastAsia" w:ascii="Times New Roman" w:hAnsi="Times New Roman" w:eastAsia="仿宋_GB2312"/>
          <w:bCs w:val="0"/>
        </w:rPr>
        <w:t>资源集约利用持续推进</w:t>
      </w:r>
    </w:p>
    <w:p>
      <w:pPr>
        <w:spacing w:line="600" w:lineRule="exact"/>
        <w:ind w:firstLine="560" w:firstLineChars="200"/>
        <w:rPr>
          <w:rFonts w:eastAsia="仿宋_GB2312"/>
          <w:sz w:val="28"/>
          <w:szCs w:val="28"/>
        </w:rPr>
      </w:pPr>
      <w:r>
        <w:rPr>
          <w:rFonts w:hint="eastAsia" w:eastAsia="仿宋_GB2312"/>
          <w:sz w:val="28"/>
          <w:szCs w:val="28"/>
        </w:rPr>
        <w:t>能源结构逐步优化，积极发展太阳能光伏发电，有序发展风能和生物质发电，</w:t>
      </w:r>
      <w:r>
        <w:rPr>
          <w:rFonts w:eastAsia="仿宋_GB2312"/>
          <w:sz w:val="28"/>
          <w:szCs w:val="28"/>
        </w:rPr>
        <w:t>全县新能源总装机容量64.45万千瓦，其中光伏9.45万千瓦，风电55万千瓦，已全部并网发电</w:t>
      </w:r>
      <w:r>
        <w:rPr>
          <w:rFonts w:hint="eastAsia" w:eastAsia="仿宋_GB2312"/>
          <w:sz w:val="28"/>
          <w:szCs w:val="28"/>
        </w:rPr>
        <w:t>。</w:t>
      </w:r>
      <w:r>
        <w:rPr>
          <w:rFonts w:eastAsia="仿宋_GB2312"/>
          <w:sz w:val="28"/>
          <w:szCs w:val="28"/>
        </w:rPr>
        <w:t>深入推进清洁取暖改造，</w:t>
      </w:r>
      <w:r>
        <w:rPr>
          <w:rFonts w:hint="eastAsia" w:eastAsia="仿宋_GB2312"/>
          <w:sz w:val="28"/>
          <w:szCs w:val="28"/>
        </w:rPr>
        <w:t>全县清洁取暖“煤改电”累计完成改造7332户，有效改善县域大气环境质量</w:t>
      </w:r>
      <w:r>
        <w:rPr>
          <w:rFonts w:eastAsia="仿宋_GB2312"/>
          <w:sz w:val="28"/>
          <w:szCs w:val="28"/>
        </w:rPr>
        <w:t>。严格执行绿色建筑标准，城镇新建绿色建筑比例100%。</w:t>
      </w:r>
      <w:r>
        <w:rPr>
          <w:rFonts w:hint="eastAsia" w:eastAsia="仿宋_GB2312"/>
          <w:sz w:val="28"/>
          <w:szCs w:val="28"/>
        </w:rPr>
        <w:t>严格水资源管理，严格规划管理和水资源论证工作，完善和落实节水灌溉的产业支持、技术服务、财政补贴等政策措施，规范取水许可审批管理，大力开展节水型企业、节水型单位和节水型社区创建活动。深入推进农药化肥使用量零增长行动，切实加强做好农药化肥减量控害工作，农药化肥施用量实现负增长。</w:t>
      </w:r>
    </w:p>
    <w:p>
      <w:pPr>
        <w:pStyle w:val="12"/>
        <w:spacing w:before="0" w:after="0" w:line="600" w:lineRule="exact"/>
        <w:ind w:firstLine="562" w:firstLineChars="200"/>
        <w:rPr>
          <w:rFonts w:ascii="Times New Roman" w:hAnsi="Times New Roman" w:eastAsia="仿宋_GB2312"/>
          <w:bCs w:val="0"/>
        </w:rPr>
      </w:pPr>
      <w:r>
        <w:rPr>
          <w:rFonts w:ascii="Times New Roman" w:hAnsi="Times New Roman" w:eastAsia="仿宋_GB2312"/>
          <w:bCs w:val="0"/>
        </w:rPr>
        <w:t>（</w:t>
      </w:r>
      <w:r>
        <w:rPr>
          <w:rFonts w:hint="eastAsia" w:ascii="Times New Roman" w:hAnsi="Times New Roman" w:eastAsia="仿宋_GB2312"/>
          <w:bCs w:val="0"/>
        </w:rPr>
        <w:t>6</w:t>
      </w:r>
      <w:r>
        <w:rPr>
          <w:rFonts w:ascii="Times New Roman" w:hAnsi="Times New Roman" w:eastAsia="仿宋_GB2312"/>
          <w:bCs w:val="0"/>
        </w:rPr>
        <w:t>）</w:t>
      </w:r>
      <w:r>
        <w:rPr>
          <w:rFonts w:ascii="Times New Roman" w:hAnsi="Times New Roman" w:eastAsia="仿宋_GB2312"/>
        </w:rPr>
        <w:t>城乡人居环境极大改善</w:t>
      </w:r>
    </w:p>
    <w:p>
      <w:pPr>
        <w:spacing w:line="600" w:lineRule="exact"/>
        <w:ind w:firstLine="560" w:firstLineChars="200"/>
        <w:rPr>
          <w:rFonts w:eastAsia="仿宋_GB2312"/>
          <w:sz w:val="28"/>
          <w:szCs w:val="28"/>
        </w:rPr>
      </w:pPr>
      <w:r>
        <w:rPr>
          <w:rFonts w:hint="eastAsia" w:eastAsia="仿宋_GB2312"/>
          <w:sz w:val="28"/>
          <w:szCs w:val="28"/>
        </w:rPr>
        <w:t>以建设美丽宜居村庄为导向，</w:t>
      </w:r>
      <w:r>
        <w:rPr>
          <w:rFonts w:hint="eastAsia" w:eastAsia="仿宋_GB2312"/>
          <w:sz w:val="32"/>
          <w:szCs w:val="32"/>
        </w:rPr>
        <w:t>通</w:t>
      </w:r>
      <w:r>
        <w:rPr>
          <w:rFonts w:eastAsia="仿宋_GB2312"/>
          <w:sz w:val="28"/>
          <w:szCs w:val="28"/>
        </w:rPr>
        <w:t>过实</w:t>
      </w:r>
      <w:r>
        <w:rPr>
          <w:rFonts w:hint="eastAsia" w:eastAsia="仿宋_GB2312"/>
          <w:sz w:val="28"/>
          <w:szCs w:val="28"/>
        </w:rPr>
        <w:t>施“八道四治四建”农村环境综合整治工作，结合新农村建设与流域整治，基本形成农村生活垃圾“村收集、乡转运、县处置”的处理体系，实现生活垃圾收运处置体系全覆盖。梯次推进农村生活污水治理，优先解决乡镇所在地和汾河干线沿岸村庄的生活污水问题。</w:t>
      </w:r>
      <w:r>
        <w:rPr>
          <w:rFonts w:eastAsia="仿宋_GB2312"/>
          <w:sz w:val="28"/>
          <w:szCs w:val="28"/>
        </w:rPr>
        <w:t>积极推进全县农村改厕工作，</w:t>
      </w:r>
      <w:r>
        <w:rPr>
          <w:rFonts w:hint="eastAsia" w:eastAsia="仿宋_GB2312"/>
          <w:sz w:val="28"/>
          <w:szCs w:val="28"/>
        </w:rPr>
        <w:t>探索户厕粪污模式，</w:t>
      </w:r>
      <w:r>
        <w:rPr>
          <w:rFonts w:eastAsia="仿宋_GB2312"/>
          <w:sz w:val="28"/>
          <w:szCs w:val="28"/>
        </w:rPr>
        <w:t>累计完成农村改厕</w:t>
      </w:r>
      <w:r>
        <w:rPr>
          <w:rFonts w:hint="eastAsia" w:eastAsia="仿宋_GB2312"/>
          <w:sz w:val="28"/>
          <w:szCs w:val="28"/>
        </w:rPr>
        <w:t>12570</w:t>
      </w:r>
      <w:r>
        <w:rPr>
          <w:rFonts w:eastAsia="仿宋_GB2312"/>
          <w:sz w:val="28"/>
          <w:szCs w:val="28"/>
        </w:rPr>
        <w:t>户。以加快交通、电力、水利等基础设施建设为抓手</w:t>
      </w:r>
      <w:r>
        <w:rPr>
          <w:rFonts w:hint="eastAsia" w:eastAsia="仿宋_GB2312"/>
          <w:sz w:val="28"/>
          <w:szCs w:val="28"/>
        </w:rPr>
        <w:t>，</w:t>
      </w:r>
      <w:r>
        <w:rPr>
          <w:rFonts w:eastAsia="仿宋_GB2312"/>
          <w:sz w:val="28"/>
          <w:szCs w:val="28"/>
        </w:rPr>
        <w:t>集中开展“四化”“四净”“四整治”，全面提升</w:t>
      </w:r>
      <w:r>
        <w:rPr>
          <w:rFonts w:hint="eastAsia" w:eastAsia="仿宋_GB2312"/>
          <w:sz w:val="28"/>
          <w:szCs w:val="28"/>
        </w:rPr>
        <w:t>全县</w:t>
      </w:r>
      <w:r>
        <w:rPr>
          <w:rFonts w:eastAsia="仿宋_GB2312"/>
          <w:sz w:val="28"/>
          <w:szCs w:val="28"/>
        </w:rPr>
        <w:t>农村人居环境</w:t>
      </w:r>
      <w:r>
        <w:rPr>
          <w:rFonts w:hint="eastAsia" w:eastAsia="仿宋_GB2312"/>
          <w:sz w:val="28"/>
          <w:szCs w:val="28"/>
        </w:rPr>
        <w:t>。</w:t>
      </w:r>
    </w:p>
    <w:p>
      <w:pPr>
        <w:pStyle w:val="12"/>
        <w:spacing w:before="0" w:after="0" w:line="600" w:lineRule="exact"/>
        <w:ind w:firstLine="562" w:firstLineChars="200"/>
        <w:rPr>
          <w:rFonts w:ascii="Times New Roman" w:hAnsi="Times New Roman" w:eastAsia="仿宋_GB2312"/>
          <w:bCs w:val="0"/>
        </w:rPr>
      </w:pPr>
      <w:bookmarkStart w:id="45" w:name="_Toc96633594"/>
      <w:bookmarkStart w:id="46" w:name="_Toc92877693"/>
      <w:bookmarkStart w:id="47" w:name="_Toc18039"/>
      <w:bookmarkStart w:id="48" w:name="_Toc30700"/>
      <w:bookmarkStart w:id="49" w:name="_Toc3215"/>
      <w:bookmarkStart w:id="50" w:name="_Toc7233"/>
      <w:bookmarkStart w:id="51" w:name="_Toc10459"/>
      <w:bookmarkStart w:id="52" w:name="_Toc8835"/>
      <w:bookmarkStart w:id="53" w:name="_Toc97293461"/>
      <w:r>
        <w:rPr>
          <w:rFonts w:ascii="Times New Roman" w:hAnsi="Times New Roman" w:eastAsia="仿宋_GB2312"/>
          <w:bCs w:val="0"/>
        </w:rPr>
        <w:t>（7）生态</w:t>
      </w:r>
      <w:r>
        <w:rPr>
          <w:rFonts w:hint="eastAsia" w:ascii="Times New Roman" w:hAnsi="Times New Roman" w:eastAsia="仿宋_GB2312"/>
          <w:bCs w:val="0"/>
        </w:rPr>
        <w:t>文明氛围逐步形成</w:t>
      </w:r>
    </w:p>
    <w:p>
      <w:pPr>
        <w:spacing w:line="600" w:lineRule="exact"/>
        <w:ind w:firstLine="560" w:firstLineChars="200"/>
        <w:rPr>
          <w:rFonts w:eastAsia="仿宋_GB2312"/>
          <w:sz w:val="28"/>
          <w:szCs w:val="28"/>
        </w:rPr>
      </w:pPr>
      <w:r>
        <w:rPr>
          <w:rFonts w:eastAsia="仿宋_GB2312"/>
          <w:sz w:val="28"/>
          <w:szCs w:val="28"/>
        </w:rPr>
        <w:t>成立静乐县融媒体中心，立足全县实际，整合电视、报纸、广播、微信公众号、网站等多个传播平台</w:t>
      </w:r>
      <w:r>
        <w:rPr>
          <w:rFonts w:hint="eastAsia" w:eastAsia="仿宋_GB2312"/>
          <w:sz w:val="28"/>
          <w:szCs w:val="28"/>
        </w:rPr>
        <w:t>，</w:t>
      </w:r>
      <w:r>
        <w:rPr>
          <w:rFonts w:eastAsia="仿宋_GB2312"/>
          <w:sz w:val="28"/>
          <w:szCs w:val="28"/>
        </w:rPr>
        <w:t>及时发布</w:t>
      </w:r>
      <w:r>
        <w:rPr>
          <w:rFonts w:hint="eastAsia" w:eastAsia="仿宋_GB2312"/>
          <w:sz w:val="28"/>
          <w:szCs w:val="28"/>
        </w:rPr>
        <w:t>静乐县</w:t>
      </w:r>
      <w:r>
        <w:rPr>
          <w:rFonts w:eastAsia="仿宋_GB2312"/>
          <w:sz w:val="28"/>
          <w:szCs w:val="28"/>
        </w:rPr>
        <w:t>生态环境保护相关</w:t>
      </w:r>
      <w:r>
        <w:rPr>
          <w:rFonts w:hint="eastAsia" w:eastAsia="仿宋_GB2312"/>
          <w:sz w:val="28"/>
          <w:szCs w:val="28"/>
        </w:rPr>
        <w:t>信息</w:t>
      </w:r>
      <w:r>
        <w:rPr>
          <w:rFonts w:eastAsia="仿宋_GB2312"/>
          <w:sz w:val="28"/>
          <w:szCs w:val="28"/>
        </w:rPr>
        <w:t>。统筹推进“三治融合”，建成新时代文明实践中心1个、所15个、站233个</w:t>
      </w:r>
      <w:r>
        <w:rPr>
          <w:rFonts w:hint="eastAsia" w:eastAsia="仿宋_GB2312"/>
          <w:sz w:val="28"/>
          <w:szCs w:val="28"/>
        </w:rPr>
        <w:t>，</w:t>
      </w:r>
      <w:r>
        <w:rPr>
          <w:rFonts w:eastAsia="仿宋_GB2312"/>
          <w:sz w:val="28"/>
          <w:szCs w:val="28"/>
        </w:rPr>
        <w:t>利用大数据、云计算、移动互联网等新一代信息技术，打造“新时代文明实践+志愿服务+大数据”互通互融工作体系，打通基层党的理论宣讲、文化建设和为民服务“最后一公里”。开展一系列“道德模范”“静乐好人”“十星级文明户”“最美家庭”等评选活动</w:t>
      </w:r>
      <w:r>
        <w:rPr>
          <w:rFonts w:hint="eastAsia" w:eastAsia="仿宋_GB2312"/>
          <w:sz w:val="28"/>
          <w:szCs w:val="28"/>
        </w:rPr>
        <w:t>，以及</w:t>
      </w:r>
      <w:r>
        <w:rPr>
          <w:rFonts w:eastAsia="仿宋_GB2312"/>
          <w:sz w:val="28"/>
          <w:szCs w:val="28"/>
        </w:rPr>
        <w:t>“六·五”世界环境日、</w:t>
      </w:r>
      <w:r>
        <w:fldChar w:fldCharType="begin"/>
      </w:r>
      <w:r>
        <w:instrText xml:space="preserve"> HYPERLINK "https://www.baidu.com/link?url=546HcOdYOPIvpuGkyfSRHYcOl5odKaMKaIF4YADNGu3DiDo3uGejzgGFAf3nlxDXsGo68MancAfYEbUaI15qtSIt00rzQG2GFYxTk91i7aa&amp;wd=&amp;eqid=f84862370000223600000002638f15af" \t "https://www.baidu.com/_blank" </w:instrText>
      </w:r>
      <w:r>
        <w:fldChar w:fldCharType="separate"/>
      </w:r>
      <w:r>
        <w:rPr>
          <w:rFonts w:eastAsia="仿宋_GB2312"/>
          <w:sz w:val="28"/>
          <w:szCs w:val="28"/>
        </w:rPr>
        <w:t>“绿色出行</w:t>
      </w:r>
      <w:r>
        <w:rPr>
          <w:rFonts w:hint="eastAsia" w:eastAsia="仿宋_GB2312"/>
          <w:sz w:val="28"/>
          <w:szCs w:val="28"/>
        </w:rPr>
        <w:t xml:space="preserve"> </w:t>
      </w:r>
      <w:r>
        <w:rPr>
          <w:rFonts w:eastAsia="仿宋_GB2312"/>
          <w:sz w:val="28"/>
          <w:szCs w:val="28"/>
        </w:rPr>
        <w:t>低碳环保</w:t>
      </w:r>
      <w:r>
        <w:rPr>
          <w:rFonts w:eastAsia="仿宋_GB2312"/>
          <w:sz w:val="28"/>
          <w:szCs w:val="28"/>
        </w:rPr>
        <w:fldChar w:fldCharType="end"/>
      </w:r>
      <w:r>
        <w:rPr>
          <w:rFonts w:hint="eastAsia" w:eastAsia="仿宋_GB2312"/>
          <w:sz w:val="28"/>
          <w:szCs w:val="28"/>
        </w:rPr>
        <w:t>”、</w:t>
      </w:r>
      <w:r>
        <w:rPr>
          <w:rFonts w:eastAsia="仿宋_GB2312"/>
          <w:sz w:val="28"/>
          <w:szCs w:val="28"/>
        </w:rPr>
        <w:t>“</w:t>
      </w:r>
      <w:r>
        <w:rPr>
          <w:rFonts w:hint="eastAsia" w:eastAsia="仿宋_GB2312"/>
          <w:sz w:val="28"/>
          <w:szCs w:val="28"/>
        </w:rPr>
        <w:t>保护湿地 从我做起</w:t>
      </w:r>
      <w:r>
        <w:rPr>
          <w:rFonts w:eastAsia="仿宋_GB2312"/>
          <w:sz w:val="28"/>
          <w:szCs w:val="28"/>
        </w:rPr>
        <w:t>”、“文明城市</w:t>
      </w:r>
      <w:r>
        <w:rPr>
          <w:rFonts w:hint="eastAsia" w:eastAsia="仿宋_GB2312"/>
          <w:sz w:val="28"/>
          <w:szCs w:val="28"/>
        </w:rPr>
        <w:t xml:space="preserve"> </w:t>
      </w:r>
      <w:r>
        <w:rPr>
          <w:rFonts w:eastAsia="仿宋_GB2312"/>
          <w:sz w:val="28"/>
          <w:szCs w:val="28"/>
        </w:rPr>
        <w:t>大美静乐”、“静乐藜麦节”等宣传活动，深入推进全</w:t>
      </w:r>
      <w:r>
        <w:rPr>
          <w:rFonts w:hint="eastAsia" w:eastAsia="仿宋_GB2312"/>
          <w:sz w:val="28"/>
          <w:szCs w:val="28"/>
        </w:rPr>
        <w:t>县</w:t>
      </w:r>
      <w:r>
        <w:rPr>
          <w:rFonts w:eastAsia="仿宋_GB2312"/>
          <w:sz w:val="28"/>
          <w:szCs w:val="28"/>
        </w:rPr>
        <w:t>生态文明建设工作，营造全民参与生态文明建设的良好社会氛围。</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54" w:name="_Toc19297"/>
      <w:bookmarkStart w:id="55" w:name="_Toc16801"/>
      <w:bookmarkStart w:id="56" w:name="_Toc11485"/>
      <w:bookmarkStart w:id="57" w:name="_Toc8173"/>
      <w:bookmarkStart w:id="58" w:name="_Toc15887"/>
      <w:r>
        <w:rPr>
          <w:rFonts w:ascii="Times New Roman" w:hAnsi="Times New Roman" w:eastAsia="楷体_GB2312"/>
          <w:kern w:val="0"/>
          <w:sz w:val="30"/>
          <w:szCs w:val="30"/>
        </w:rPr>
        <w:t>（二）</w:t>
      </w:r>
      <w:bookmarkEnd w:id="45"/>
      <w:bookmarkEnd w:id="46"/>
      <w:r>
        <w:rPr>
          <w:rFonts w:ascii="Times New Roman" w:hAnsi="Times New Roman" w:eastAsia="楷体_GB2312"/>
          <w:kern w:val="0"/>
          <w:sz w:val="30"/>
          <w:szCs w:val="30"/>
        </w:rPr>
        <w:t>存在问题与机遇挑战</w:t>
      </w:r>
      <w:bookmarkEnd w:id="47"/>
      <w:bookmarkEnd w:id="48"/>
      <w:bookmarkEnd w:id="49"/>
      <w:bookmarkEnd w:id="50"/>
      <w:bookmarkEnd w:id="51"/>
      <w:bookmarkEnd w:id="52"/>
      <w:bookmarkEnd w:id="53"/>
      <w:bookmarkEnd w:id="54"/>
      <w:bookmarkEnd w:id="55"/>
      <w:bookmarkEnd w:id="56"/>
      <w:bookmarkEnd w:id="57"/>
      <w:bookmarkEnd w:id="58"/>
    </w:p>
    <w:p>
      <w:pPr>
        <w:pStyle w:val="11"/>
        <w:spacing w:before="0" w:after="0" w:line="600" w:lineRule="exact"/>
        <w:ind w:firstLine="562" w:firstLineChars="200"/>
        <w:rPr>
          <w:rFonts w:eastAsia="仿宋_GB2312"/>
          <w:sz w:val="28"/>
          <w:szCs w:val="28"/>
        </w:rPr>
      </w:pPr>
      <w:bookmarkStart w:id="59" w:name="_Toc21711"/>
      <w:bookmarkStart w:id="60" w:name="_Toc32057"/>
      <w:bookmarkStart w:id="61" w:name="_Toc2895"/>
      <w:bookmarkStart w:id="62" w:name="_Toc97293462"/>
      <w:bookmarkStart w:id="63" w:name="_Toc29452"/>
      <w:bookmarkStart w:id="64" w:name="_Toc16545"/>
      <w:bookmarkStart w:id="65" w:name="_Toc96633595"/>
      <w:r>
        <w:rPr>
          <w:rFonts w:eastAsia="仿宋_GB2312"/>
          <w:sz w:val="28"/>
          <w:szCs w:val="28"/>
        </w:rPr>
        <w:t>1. 存在问题</w:t>
      </w:r>
      <w:bookmarkEnd w:id="59"/>
      <w:bookmarkEnd w:id="60"/>
      <w:bookmarkEnd w:id="61"/>
      <w:bookmarkEnd w:id="62"/>
      <w:bookmarkEnd w:id="63"/>
      <w:bookmarkEnd w:id="64"/>
    </w:p>
    <w:p>
      <w:pPr>
        <w:spacing w:line="600" w:lineRule="exact"/>
        <w:ind w:firstLine="562" w:firstLineChars="200"/>
        <w:rPr>
          <w:rFonts w:eastAsia="仿宋_GB2312"/>
          <w:b/>
          <w:bCs/>
          <w:sz w:val="28"/>
          <w:szCs w:val="28"/>
        </w:rPr>
      </w:pPr>
      <w:r>
        <w:rPr>
          <w:rFonts w:hint="eastAsia" w:eastAsia="仿宋_GB2312"/>
          <w:b/>
          <w:bCs/>
          <w:sz w:val="28"/>
          <w:szCs w:val="28"/>
        </w:rPr>
        <w:t>经济基础仍需进一步夯实。</w:t>
      </w:r>
      <w:r>
        <w:rPr>
          <w:rFonts w:hint="eastAsia" w:eastAsia="仿宋_GB2312"/>
          <w:sz w:val="28"/>
          <w:szCs w:val="28"/>
        </w:rPr>
        <w:t>静乐县经济总体发展水平相对薄弱，产业并未真正进入更高精深发展阶段，各产业发展层次低，增长主体单一。主导产业与基础设施相对比较脆弱，尽管已验收脱贫，但巩固成果任重道远，传统经济规模体量大，科技创新能力低，新兴产业占比不高，发展方式较为粗放，对高质量发展的适应能力弱，产业升级和污染防治任务重。近几年面对全国疫情的反复，给当地经济发展也造成了巨大了压力和挑战。</w:t>
      </w:r>
    </w:p>
    <w:p>
      <w:pPr>
        <w:spacing w:line="600" w:lineRule="exact"/>
        <w:ind w:firstLine="562" w:firstLineChars="200"/>
        <w:rPr>
          <w:rFonts w:eastAsia="仿宋_GB2312"/>
          <w:sz w:val="28"/>
          <w:szCs w:val="28"/>
        </w:rPr>
      </w:pPr>
      <w:r>
        <w:rPr>
          <w:rFonts w:hint="eastAsia" w:eastAsia="仿宋_GB2312"/>
          <w:b/>
          <w:bCs/>
          <w:sz w:val="28"/>
          <w:szCs w:val="28"/>
        </w:rPr>
        <w:t>环境空气质量改善不够稳定</w:t>
      </w:r>
      <w:r>
        <w:rPr>
          <w:rFonts w:eastAsia="仿宋_GB2312"/>
          <w:b/>
          <w:bCs/>
          <w:sz w:val="28"/>
          <w:szCs w:val="28"/>
        </w:rPr>
        <w:t>。</w:t>
      </w:r>
      <w:r>
        <w:rPr>
          <w:rFonts w:hint="eastAsia" w:eastAsia="仿宋_GB2312"/>
          <w:sz w:val="28"/>
          <w:szCs w:val="28"/>
        </w:rPr>
        <w:t>近年来，静乐县空气环境基础良好，</w:t>
      </w:r>
      <w:r>
        <w:rPr>
          <w:rFonts w:eastAsia="仿宋_GB2312"/>
          <w:sz w:val="28"/>
          <w:szCs w:val="28"/>
        </w:rPr>
        <w:t>大气污染综合指数</w:t>
      </w:r>
      <w:r>
        <w:rPr>
          <w:rFonts w:hint="eastAsia" w:eastAsia="仿宋_GB2312"/>
          <w:sz w:val="28"/>
          <w:szCs w:val="28"/>
        </w:rPr>
        <w:t>逐年下降，</w:t>
      </w:r>
      <w:r>
        <w:rPr>
          <w:rFonts w:eastAsia="仿宋_GB2312"/>
          <w:sz w:val="28"/>
          <w:szCs w:val="28"/>
        </w:rPr>
        <w:t>六项污染物均达到二级标准</w:t>
      </w:r>
      <w:r>
        <w:rPr>
          <w:rFonts w:hint="eastAsia" w:eastAsia="仿宋_GB2312"/>
          <w:sz w:val="28"/>
          <w:szCs w:val="28"/>
        </w:rPr>
        <w:t>，但是</w:t>
      </w:r>
      <w:r>
        <w:rPr>
          <w:rFonts w:eastAsia="仿宋_GB2312"/>
          <w:sz w:val="28"/>
          <w:szCs w:val="28"/>
        </w:rPr>
        <w:t>NO</w:t>
      </w:r>
      <w:r>
        <w:rPr>
          <w:rFonts w:eastAsia="仿宋_GB2312"/>
          <w:sz w:val="28"/>
          <w:szCs w:val="28"/>
          <w:vertAlign w:val="subscript"/>
        </w:rPr>
        <w:t>2</w:t>
      </w:r>
      <w:r>
        <w:rPr>
          <w:rFonts w:eastAsia="仿宋_GB2312"/>
          <w:sz w:val="28"/>
          <w:szCs w:val="28"/>
        </w:rPr>
        <w:t>年均浓度</w:t>
      </w:r>
      <w:r>
        <w:rPr>
          <w:rFonts w:hint="eastAsia" w:eastAsia="仿宋_GB2312"/>
          <w:sz w:val="28"/>
          <w:szCs w:val="28"/>
        </w:rPr>
        <w:t>和</w:t>
      </w:r>
      <w:r>
        <w:rPr>
          <w:rFonts w:eastAsia="仿宋_GB2312"/>
          <w:sz w:val="28"/>
          <w:szCs w:val="28"/>
        </w:rPr>
        <w:t>O</w:t>
      </w:r>
      <w:r>
        <w:rPr>
          <w:rFonts w:eastAsia="仿宋_GB2312"/>
          <w:sz w:val="28"/>
          <w:szCs w:val="28"/>
          <w:vertAlign w:val="subscript"/>
        </w:rPr>
        <w:t>3</w:t>
      </w:r>
      <w:r>
        <w:rPr>
          <w:rFonts w:eastAsia="仿宋_GB2312"/>
          <w:sz w:val="28"/>
          <w:szCs w:val="28"/>
        </w:rPr>
        <w:t>百分位浓度呈现</w:t>
      </w:r>
      <w:r>
        <w:rPr>
          <w:rFonts w:hint="eastAsia" w:eastAsia="仿宋_GB2312"/>
          <w:sz w:val="28"/>
          <w:szCs w:val="28"/>
        </w:rPr>
        <w:t>上升趋势且</w:t>
      </w:r>
      <w:r>
        <w:rPr>
          <w:rFonts w:eastAsia="仿宋_GB2312"/>
          <w:sz w:val="28"/>
          <w:szCs w:val="28"/>
        </w:rPr>
        <w:t>夏季浓度</w:t>
      </w:r>
      <w:r>
        <w:rPr>
          <w:rFonts w:hint="eastAsia" w:eastAsia="仿宋_GB2312"/>
          <w:sz w:val="28"/>
          <w:szCs w:val="28"/>
        </w:rPr>
        <w:t>明显升高</w:t>
      </w:r>
      <w:r>
        <w:rPr>
          <w:rFonts w:eastAsia="仿宋_GB2312"/>
          <w:sz w:val="28"/>
          <w:szCs w:val="28"/>
        </w:rPr>
        <w:t>，与夏季强烈</w:t>
      </w:r>
      <w:r>
        <w:rPr>
          <w:rFonts w:hint="eastAsia" w:eastAsia="仿宋_GB2312"/>
          <w:sz w:val="28"/>
          <w:szCs w:val="28"/>
          <w:lang w:val="en-US" w:eastAsia="zh-CN"/>
        </w:rPr>
        <w:t>得</w:t>
      </w:r>
      <w:r>
        <w:rPr>
          <w:rFonts w:eastAsia="仿宋_GB2312"/>
          <w:sz w:val="28"/>
          <w:szCs w:val="28"/>
        </w:rPr>
        <w:t>太阳紫外线作用下光化学反应有关系。</w:t>
      </w:r>
    </w:p>
    <w:p>
      <w:pPr>
        <w:spacing w:line="600" w:lineRule="exact"/>
        <w:ind w:firstLine="562" w:firstLineChars="200"/>
        <w:rPr>
          <w:rFonts w:eastAsia="仿宋_GB2312"/>
          <w:sz w:val="28"/>
          <w:szCs w:val="28"/>
        </w:rPr>
      </w:pPr>
      <w:r>
        <w:rPr>
          <w:rFonts w:eastAsia="仿宋_GB2312"/>
          <w:b/>
          <w:bCs/>
          <w:sz w:val="28"/>
          <w:szCs w:val="28"/>
        </w:rPr>
        <w:t>农村污水治理设施相对滞后。</w:t>
      </w:r>
      <w:r>
        <w:rPr>
          <w:rFonts w:hint="eastAsia" w:eastAsia="仿宋_GB2312"/>
          <w:sz w:val="28"/>
          <w:szCs w:val="28"/>
        </w:rPr>
        <w:t>静乐县域以山地丘陵为主，占国土面积的80%以上，农村居民分散居住，常住人口较少，生活污水收集难度大，全县尚未形成有效的污水收集处理系统。目前除城区及部分汾河干线沿岸村庄建设有污水处理设施及配套管网，农村大部分区域生活污水与</w:t>
      </w:r>
      <w:r>
        <w:rPr>
          <w:rFonts w:eastAsia="仿宋_GB2312"/>
          <w:sz w:val="28"/>
          <w:szCs w:val="28"/>
        </w:rPr>
        <w:t>农村改厕相衔接</w:t>
      </w:r>
      <w:r>
        <w:rPr>
          <w:rFonts w:hint="eastAsia" w:eastAsia="仿宋_GB2312"/>
          <w:sz w:val="28"/>
          <w:szCs w:val="28"/>
        </w:rPr>
        <w:t>，以实现</w:t>
      </w:r>
      <w:r>
        <w:rPr>
          <w:rFonts w:eastAsia="仿宋_GB2312"/>
          <w:sz w:val="28"/>
          <w:szCs w:val="28"/>
        </w:rPr>
        <w:t>生活污水资源化利用</w:t>
      </w:r>
      <w:r>
        <w:rPr>
          <w:rFonts w:hint="eastAsia" w:eastAsia="仿宋_GB2312"/>
          <w:sz w:val="28"/>
          <w:szCs w:val="28"/>
        </w:rPr>
        <w:t>为主</w:t>
      </w:r>
      <w:r>
        <w:rPr>
          <w:rFonts w:eastAsia="仿宋_GB2312"/>
          <w:sz w:val="28"/>
          <w:szCs w:val="28"/>
        </w:rPr>
        <w:t>。</w:t>
      </w:r>
      <w:r>
        <w:rPr>
          <w:rFonts w:hint="eastAsia" w:eastAsia="仿宋_GB2312"/>
          <w:sz w:val="28"/>
          <w:szCs w:val="28"/>
        </w:rPr>
        <w:t>随着农户用水量的提高，因地制宜进行农村生活污水治理迫在眉睫。</w:t>
      </w:r>
    </w:p>
    <w:p>
      <w:pPr>
        <w:spacing w:line="600" w:lineRule="exact"/>
        <w:ind w:firstLine="562" w:firstLineChars="200"/>
        <w:contextualSpacing/>
        <w:rPr>
          <w:rFonts w:eastAsia="仿宋_GB2312"/>
          <w:bCs/>
          <w:sz w:val="28"/>
          <w:szCs w:val="28"/>
        </w:rPr>
      </w:pPr>
      <w:r>
        <w:rPr>
          <w:rFonts w:hint="eastAsia" w:eastAsia="仿宋_GB2312"/>
          <w:b/>
          <w:sz w:val="28"/>
          <w:szCs w:val="28"/>
        </w:rPr>
        <w:t>高效环保机制体制仍需健全</w:t>
      </w:r>
      <w:r>
        <w:rPr>
          <w:rFonts w:eastAsia="仿宋_GB2312"/>
          <w:b/>
          <w:sz w:val="28"/>
          <w:szCs w:val="28"/>
        </w:rPr>
        <w:t>。</w:t>
      </w:r>
      <w:r>
        <w:rPr>
          <w:rFonts w:eastAsia="仿宋_GB2312"/>
          <w:bCs/>
          <w:sz w:val="28"/>
          <w:szCs w:val="28"/>
        </w:rPr>
        <w:t>生态文明相关体制机制</w:t>
      </w:r>
      <w:r>
        <w:rPr>
          <w:rFonts w:hint="eastAsia" w:eastAsia="仿宋_GB2312"/>
          <w:bCs/>
          <w:sz w:val="28"/>
          <w:szCs w:val="28"/>
        </w:rPr>
        <w:t>建设正处于发展阶段，与国家、省级最新要求及自身生态文明建设需求仍存在一定差距。</w:t>
      </w:r>
      <w:r>
        <w:rPr>
          <w:rFonts w:eastAsia="仿宋_GB2312"/>
          <w:sz w:val="28"/>
          <w:szCs w:val="28"/>
        </w:rPr>
        <w:t>生态保护红线配套的管理制度有待建立健全，自然资源资产产权管理和用途管制制度有待完善，自然资源资产负债表和离任审计制度有待推进。</w:t>
      </w:r>
    </w:p>
    <w:p>
      <w:pPr>
        <w:pStyle w:val="11"/>
        <w:spacing w:before="0" w:after="0" w:line="600" w:lineRule="exact"/>
        <w:ind w:firstLine="562" w:firstLineChars="200"/>
        <w:rPr>
          <w:rFonts w:eastAsia="仿宋_GB2312"/>
          <w:sz w:val="28"/>
          <w:szCs w:val="28"/>
        </w:rPr>
      </w:pPr>
      <w:bookmarkStart w:id="66" w:name="_Toc8949"/>
      <w:bookmarkStart w:id="67" w:name="_Toc13378"/>
      <w:bookmarkStart w:id="68" w:name="_Toc27747"/>
      <w:bookmarkStart w:id="69" w:name="_Toc97293463"/>
      <w:bookmarkStart w:id="70" w:name="_Toc26457"/>
      <w:bookmarkStart w:id="71" w:name="_Toc27838"/>
      <w:r>
        <w:rPr>
          <w:rFonts w:eastAsia="仿宋_GB2312"/>
          <w:sz w:val="28"/>
          <w:szCs w:val="28"/>
        </w:rPr>
        <w:t>2. 机遇</w:t>
      </w:r>
      <w:bookmarkEnd w:id="65"/>
      <w:r>
        <w:rPr>
          <w:rFonts w:eastAsia="仿宋_GB2312"/>
          <w:sz w:val="28"/>
          <w:szCs w:val="28"/>
        </w:rPr>
        <w:t>与挑战</w:t>
      </w:r>
      <w:bookmarkEnd w:id="66"/>
      <w:bookmarkEnd w:id="67"/>
      <w:bookmarkEnd w:id="68"/>
      <w:bookmarkEnd w:id="69"/>
      <w:bookmarkEnd w:id="70"/>
      <w:bookmarkEnd w:id="71"/>
    </w:p>
    <w:p>
      <w:pPr>
        <w:spacing w:line="600" w:lineRule="exact"/>
        <w:ind w:firstLine="562" w:firstLineChars="200"/>
        <w:rPr>
          <w:rFonts w:eastAsia="仿宋_GB2312"/>
          <w:sz w:val="28"/>
          <w:szCs w:val="28"/>
        </w:rPr>
      </w:pPr>
      <w:bookmarkStart w:id="72" w:name="_Toc96633596"/>
      <w:r>
        <w:rPr>
          <w:rFonts w:eastAsia="仿宋_GB2312"/>
          <w:b/>
          <w:bCs/>
          <w:sz w:val="28"/>
          <w:szCs w:val="28"/>
        </w:rPr>
        <w:t>绿水青山就是金山银山理念为</w:t>
      </w:r>
      <w:r>
        <w:rPr>
          <w:rFonts w:hint="eastAsia" w:eastAsia="仿宋_GB2312"/>
          <w:b/>
          <w:bCs/>
          <w:sz w:val="28"/>
          <w:szCs w:val="28"/>
        </w:rPr>
        <w:t>静乐县</w:t>
      </w:r>
      <w:r>
        <w:rPr>
          <w:rFonts w:eastAsia="仿宋_GB2312"/>
          <w:b/>
          <w:bCs/>
          <w:sz w:val="28"/>
          <w:szCs w:val="28"/>
        </w:rPr>
        <w:t>生态保护与经济发展双赢提供了行动指南</w:t>
      </w:r>
      <w:r>
        <w:rPr>
          <w:rFonts w:hint="eastAsia" w:eastAsia="仿宋_GB2312"/>
          <w:b/>
          <w:bCs/>
          <w:sz w:val="28"/>
          <w:szCs w:val="28"/>
        </w:rPr>
        <w:t>。</w:t>
      </w:r>
      <w:r>
        <w:rPr>
          <w:rFonts w:hint="eastAsia" w:eastAsia="仿宋_GB2312"/>
          <w:sz w:val="28"/>
          <w:szCs w:val="28"/>
        </w:rPr>
        <w:t>党的十八大以来，以习近平同志为核心的党中央高度重视生态文明建设，坚持绿色发展，把生态文明建设上升到了治国理政的高度。习近平总书记指出，绿色发展是生态文明建设的必然要求，代表了当今科技和产业变革方向，是最有前途的发展领域。如何维持经济发展与生态环境之间的精细平衡，向绿色转型要出路、向生态产业要动力，是实现绿色高质量发展的关键所在。近年来，静乐县坚决贯彻“绿水青山就是金山银山”理念，致力于“让汾河水量丰起来、水质好起来、风光美起来”的美好愿景，坚持“生态立县”发展战略，以建设“山水静乐”“生态静乐”为目标，以“山水林田湖草沙”系统治理为抓手，攻坚克难抓造林，因地制宜建生态，壮士断腕促环保，在改善区域生态环境质量、促进高质量发展等方面发挥出了具体示范带动作用，为静乐县生态文明建设提供了行动指南，增强了绿色发展的战略定力，坚定了走生态优先道路的决心。</w:t>
      </w:r>
    </w:p>
    <w:p>
      <w:pPr>
        <w:spacing w:line="600" w:lineRule="exact"/>
        <w:ind w:firstLine="562" w:firstLineChars="200"/>
        <w:rPr>
          <w:rFonts w:eastAsia="仿宋_GB2312"/>
          <w:sz w:val="28"/>
          <w:szCs w:val="28"/>
        </w:rPr>
      </w:pPr>
      <w:r>
        <w:rPr>
          <w:rFonts w:eastAsia="仿宋_GB2312"/>
          <w:b/>
          <w:bCs/>
          <w:sz w:val="28"/>
          <w:szCs w:val="28"/>
        </w:rPr>
        <w:t>山西中部城市群高质量发展战略为</w:t>
      </w:r>
      <w:r>
        <w:rPr>
          <w:rFonts w:hint="eastAsia" w:eastAsia="仿宋_GB2312"/>
          <w:b/>
          <w:bCs/>
          <w:sz w:val="28"/>
          <w:szCs w:val="28"/>
        </w:rPr>
        <w:t>静乐县高质量</w:t>
      </w:r>
      <w:r>
        <w:rPr>
          <w:rFonts w:eastAsia="仿宋_GB2312"/>
          <w:b/>
          <w:bCs/>
          <w:sz w:val="28"/>
          <w:szCs w:val="28"/>
        </w:rPr>
        <w:t>发展指明了方向</w:t>
      </w:r>
      <w:r>
        <w:rPr>
          <w:rFonts w:hint="eastAsia" w:eastAsia="仿宋_GB2312"/>
          <w:b/>
          <w:bCs/>
          <w:sz w:val="28"/>
          <w:szCs w:val="28"/>
        </w:rPr>
        <w:t>。</w:t>
      </w:r>
      <w:r>
        <w:rPr>
          <w:rFonts w:hint="eastAsia" w:eastAsia="仿宋_GB2312"/>
          <w:sz w:val="28"/>
          <w:szCs w:val="28"/>
        </w:rPr>
        <w:t>党的二十大报告指出：“深入实施区域协调发展战略、区域重大战略、主体功能区战略、新型城镇化战略，优化重大生产力布局，构建优势互补、高质量发展的区域经济布局和国土空间体系。”当前，我国经济发展的空间结构正在发生深刻变化，中心城市和城市群正在成为承载发展要素的主要空间形式。推动山西中部城市群高质量发展，是深入实施区域协调发展战略的关键举措和重要着力点，也是集聚发展新动能、彰显区位新机遇的重大任务和主抓手。山西中部城市群范围包括太原、晋中、忻州、吕梁、阳泉，下一步山西中部城市群将充分挖掘紧邻雄安新区和京津冀的区位优势，搭建高能级开放平台载体，高质量承接产业转移和引进先进技术，深度融入京津冀实现联动发展。提升城市群开放枢纽功能，汇聚更广范围、更高层次的各类要素，在构建现代经济体系、服务新发展格局中发挥更大作用。这对彰显山西在全国版图中的战略地位至关重要，发挥承东启西、连接南北的区位优势和资源要素丰富、文化底蕴深厚等比较优势，打造我国推动中部地区高质量崛起的重要战略支撑</w:t>
      </w:r>
      <w:r>
        <w:rPr>
          <w:rFonts w:eastAsia="仿宋_GB2312"/>
          <w:sz w:val="28"/>
          <w:szCs w:val="28"/>
        </w:rPr>
        <w:t>。</w:t>
      </w:r>
    </w:p>
    <w:p>
      <w:pPr>
        <w:spacing w:line="600" w:lineRule="exact"/>
        <w:ind w:firstLine="562" w:firstLineChars="200"/>
        <w:rPr>
          <w:rFonts w:eastAsia="仿宋_GB2312"/>
          <w:sz w:val="28"/>
          <w:szCs w:val="28"/>
        </w:rPr>
      </w:pPr>
      <w:r>
        <w:rPr>
          <w:rFonts w:hint="eastAsia" w:eastAsia="仿宋_GB2312"/>
          <w:b/>
          <w:bCs/>
          <w:sz w:val="28"/>
          <w:szCs w:val="28"/>
        </w:rPr>
        <w:t>静乐县本底</w:t>
      </w:r>
      <w:r>
        <w:rPr>
          <w:rFonts w:eastAsia="仿宋_GB2312"/>
          <w:b/>
          <w:bCs/>
          <w:sz w:val="28"/>
          <w:szCs w:val="28"/>
        </w:rPr>
        <w:t>优势为</w:t>
      </w:r>
      <w:r>
        <w:rPr>
          <w:rFonts w:hint="eastAsia" w:eastAsia="仿宋_GB2312"/>
          <w:b/>
          <w:bCs/>
          <w:sz w:val="28"/>
          <w:szCs w:val="28"/>
        </w:rPr>
        <w:t>静乐县</w:t>
      </w:r>
      <w:r>
        <w:rPr>
          <w:rFonts w:eastAsia="仿宋_GB2312"/>
          <w:b/>
          <w:bCs/>
          <w:sz w:val="28"/>
          <w:szCs w:val="28"/>
        </w:rPr>
        <w:t>生态文明建设提供</w:t>
      </w:r>
      <w:r>
        <w:rPr>
          <w:rFonts w:hint="eastAsia" w:eastAsia="仿宋_GB2312"/>
          <w:b/>
          <w:bCs/>
          <w:sz w:val="28"/>
          <w:szCs w:val="28"/>
        </w:rPr>
        <w:t>了</w:t>
      </w:r>
      <w:r>
        <w:rPr>
          <w:rFonts w:eastAsia="仿宋_GB2312"/>
          <w:b/>
          <w:bCs/>
          <w:sz w:val="28"/>
          <w:szCs w:val="28"/>
        </w:rPr>
        <w:t>广阔空间。</w:t>
      </w:r>
      <w:r>
        <w:rPr>
          <w:rFonts w:hint="eastAsia" w:eastAsia="仿宋_GB2312"/>
          <w:sz w:val="28"/>
          <w:szCs w:val="28"/>
        </w:rPr>
        <w:t>静乐县</w:t>
      </w:r>
      <w:r>
        <w:rPr>
          <w:rFonts w:eastAsia="仿宋_GB2312"/>
          <w:sz w:val="28"/>
          <w:szCs w:val="28"/>
        </w:rPr>
        <w:t>区位优越、交通发达，</w:t>
      </w:r>
      <w:r>
        <w:rPr>
          <w:rFonts w:hint="eastAsia" w:eastAsia="仿宋_GB2312"/>
          <w:sz w:val="28"/>
          <w:szCs w:val="28"/>
        </w:rPr>
        <w:t>是</w:t>
      </w:r>
      <w:r>
        <w:rPr>
          <w:rFonts w:eastAsia="仿宋_GB2312"/>
          <w:sz w:val="28"/>
          <w:szCs w:val="28"/>
        </w:rPr>
        <w:t>忻州市唯一列入太原都市圈的县份；生态环境优美，拥有</w:t>
      </w:r>
      <w:r>
        <w:rPr>
          <w:rFonts w:hint="eastAsia" w:eastAsia="仿宋_GB2312"/>
          <w:sz w:val="28"/>
          <w:szCs w:val="28"/>
        </w:rPr>
        <w:t>以</w:t>
      </w:r>
      <w:r>
        <w:rPr>
          <w:rFonts w:eastAsia="仿宋_GB2312"/>
          <w:sz w:val="28"/>
          <w:szCs w:val="28"/>
        </w:rPr>
        <w:t>天柱龙泉</w:t>
      </w:r>
      <w:r>
        <w:rPr>
          <w:rFonts w:hint="eastAsia" w:eastAsia="仿宋_GB2312"/>
          <w:sz w:val="28"/>
          <w:szCs w:val="28"/>
        </w:rPr>
        <w:t>为首</w:t>
      </w:r>
      <w:r>
        <w:rPr>
          <w:rFonts w:eastAsia="仿宋_GB2312"/>
          <w:sz w:val="28"/>
          <w:szCs w:val="28"/>
        </w:rPr>
        <w:t>“静乐八景”，拥有1处国家4A级旅游景区天柱山、1处汾河川国家湿地公园、1项国家级非物质文化遗产</w:t>
      </w:r>
      <w:r>
        <w:rPr>
          <w:rFonts w:hint="eastAsia" w:eastAsia="仿宋_GB2312"/>
          <w:sz w:val="28"/>
          <w:szCs w:val="28"/>
        </w:rPr>
        <w:t>等；作为“小杂粮王国”的静乐，经其得天独厚的特殊气候、水土环境与藜麦试种的成功完美结合，彻底改写了静乐农业生产“广种薄收”的历史，成为名副其实的藜麦之乡；</w:t>
      </w:r>
      <w:r>
        <w:rPr>
          <w:rFonts w:eastAsia="仿宋_GB2312"/>
          <w:sz w:val="28"/>
          <w:szCs w:val="28"/>
        </w:rPr>
        <w:t>成功创建全国文明城市、国家卫生县城、国家园林县城、中国民间文化艺术之乡、中国藜麦之乡、中国天然氧吧、中国最美特色旅游目的地</w:t>
      </w:r>
      <w:r>
        <w:rPr>
          <w:rFonts w:hint="eastAsia" w:eastAsia="仿宋_GB2312"/>
          <w:sz w:val="28"/>
          <w:szCs w:val="28"/>
        </w:rPr>
        <w:t>。</w:t>
      </w:r>
      <w:r>
        <w:rPr>
          <w:rFonts w:eastAsia="仿宋_GB2312"/>
          <w:sz w:val="28"/>
          <w:szCs w:val="28"/>
        </w:rPr>
        <w:t>近年来，</w:t>
      </w:r>
      <w:r>
        <w:rPr>
          <w:rFonts w:hint="eastAsia" w:eastAsia="仿宋_GB2312"/>
          <w:sz w:val="28"/>
          <w:szCs w:val="28"/>
        </w:rPr>
        <w:t>静乐县</w:t>
      </w:r>
      <w:r>
        <w:rPr>
          <w:rFonts w:eastAsia="仿宋_GB2312"/>
          <w:sz w:val="28"/>
          <w:szCs w:val="28"/>
        </w:rPr>
        <w:t>围绕</w:t>
      </w:r>
      <w:r>
        <w:rPr>
          <w:rFonts w:hint="eastAsia" w:eastAsia="仿宋_GB2312"/>
          <w:sz w:val="28"/>
          <w:szCs w:val="28"/>
        </w:rPr>
        <w:t>“太原后花园、忻州特色县、乡村桥头堡”战略定位</w:t>
      </w:r>
      <w:r>
        <w:rPr>
          <w:rFonts w:eastAsia="仿宋_GB2312"/>
          <w:sz w:val="28"/>
          <w:szCs w:val="28"/>
        </w:rPr>
        <w:t>，</w:t>
      </w:r>
      <w:r>
        <w:rPr>
          <w:rFonts w:hint="eastAsia" w:eastAsia="仿宋_GB2312"/>
          <w:sz w:val="28"/>
          <w:szCs w:val="28"/>
        </w:rPr>
        <w:t>依托</w:t>
      </w:r>
      <w:r>
        <w:rPr>
          <w:rFonts w:eastAsia="仿宋_GB2312"/>
          <w:sz w:val="28"/>
          <w:szCs w:val="28"/>
        </w:rPr>
        <w:t>“一城三山两河”实施荒山造林绿化等工程，</w:t>
      </w:r>
      <w:r>
        <w:rPr>
          <w:rFonts w:hint="eastAsia" w:eastAsia="仿宋_GB2312"/>
          <w:sz w:val="28"/>
          <w:szCs w:val="28"/>
        </w:rPr>
        <w:t>深入推进</w:t>
      </w:r>
      <w:r>
        <w:rPr>
          <w:rFonts w:eastAsia="仿宋_GB2312"/>
          <w:sz w:val="28"/>
          <w:szCs w:val="28"/>
        </w:rPr>
        <w:t>山水林田湖草生态保护修复工程试点项目</w:t>
      </w:r>
      <w:r>
        <w:rPr>
          <w:rFonts w:hint="eastAsia" w:eastAsia="仿宋_GB2312"/>
          <w:sz w:val="28"/>
          <w:szCs w:val="28"/>
        </w:rPr>
        <w:t>，</w:t>
      </w:r>
      <w:r>
        <w:rPr>
          <w:rFonts w:eastAsia="仿宋_GB2312"/>
          <w:sz w:val="28"/>
          <w:szCs w:val="28"/>
        </w:rPr>
        <w:t>全面带动全</w:t>
      </w:r>
      <w:r>
        <w:rPr>
          <w:rFonts w:hint="eastAsia" w:eastAsia="仿宋_GB2312"/>
          <w:sz w:val="28"/>
          <w:szCs w:val="28"/>
        </w:rPr>
        <w:t>县</w:t>
      </w:r>
      <w:r>
        <w:rPr>
          <w:rFonts w:eastAsia="仿宋_GB2312"/>
          <w:sz w:val="28"/>
          <w:szCs w:val="28"/>
        </w:rPr>
        <w:t>城乡经济社会各项事业转型发展、快速发展，为生态文明建设提供广阔空间。</w:t>
      </w:r>
    </w:p>
    <w:p>
      <w:pPr>
        <w:pStyle w:val="19"/>
        <w:spacing w:line="600" w:lineRule="exact"/>
        <w:ind w:firstLine="560" w:firstLineChars="200"/>
        <w:rPr>
          <w:rFonts w:ascii="Times New Roman" w:hAnsi="Times New Roman"/>
        </w:rPr>
      </w:pPr>
      <w:r>
        <w:rPr>
          <w:rFonts w:hint="eastAsia" w:ascii="Times New Roman" w:hAnsi="Times New Roman"/>
        </w:rPr>
        <w:t>近年静乐县</w:t>
      </w:r>
      <w:r>
        <w:rPr>
          <w:rFonts w:ascii="Times New Roman" w:hAnsi="Times New Roman"/>
        </w:rPr>
        <w:t>在生态文明建设方面</w:t>
      </w:r>
      <w:r>
        <w:rPr>
          <w:rFonts w:hint="eastAsia" w:ascii="Times New Roman" w:hAnsi="Times New Roman"/>
        </w:rPr>
        <w:t>取得显著成效</w:t>
      </w:r>
      <w:r>
        <w:rPr>
          <w:rFonts w:ascii="Times New Roman" w:hAnsi="Times New Roman"/>
        </w:rPr>
        <w:t>，但仍然面临诸</w:t>
      </w:r>
      <w:r>
        <w:rPr>
          <w:rFonts w:hint="eastAsia" w:ascii="Times New Roman" w:hAnsi="Times New Roman"/>
        </w:rPr>
        <w:t>多瓶颈制约和挑战，如</w:t>
      </w:r>
      <w:r>
        <w:rPr>
          <w:rFonts w:ascii="Times New Roman" w:hAnsi="Times New Roman"/>
        </w:rPr>
        <w:t>碳达峰与碳中和任务艰巨</w:t>
      </w:r>
      <w:r>
        <w:rPr>
          <w:rFonts w:hint="eastAsia" w:ascii="Times New Roman" w:hAnsi="Times New Roman"/>
        </w:rPr>
        <w:t>、区位优势资源尚未充分发挥、</w:t>
      </w:r>
      <w:r>
        <w:rPr>
          <w:rFonts w:ascii="Times New Roman" w:hAnsi="Times New Roman"/>
        </w:rPr>
        <w:t>环境保护投资缺口依然较大</w:t>
      </w:r>
      <w:r>
        <w:rPr>
          <w:rFonts w:hint="eastAsia" w:ascii="Times New Roman" w:hAnsi="Times New Roman"/>
        </w:rPr>
        <w:t>等，均未得到有效的解决方案</w:t>
      </w:r>
      <w:r>
        <w:rPr>
          <w:rFonts w:ascii="Times New Roman" w:hAnsi="Times New Roman"/>
        </w:rPr>
        <w:t>，</w:t>
      </w:r>
      <w:r>
        <w:rPr>
          <w:rFonts w:hint="eastAsia" w:ascii="Times New Roman" w:hAnsi="Times New Roman"/>
        </w:rPr>
        <w:t>全县</w:t>
      </w:r>
      <w:r>
        <w:rPr>
          <w:rFonts w:ascii="Times New Roman" w:hAnsi="Times New Roman"/>
        </w:rPr>
        <w:t>生态文明建设任重而道远。</w:t>
      </w:r>
    </w:p>
    <w:p>
      <w:pPr>
        <w:pStyle w:val="19"/>
        <w:spacing w:line="600" w:lineRule="exact"/>
        <w:ind w:firstLine="560" w:firstLineChars="200"/>
        <w:rPr>
          <w:rFonts w:ascii="Times New Roman" w:hAnsi="Times New Roman"/>
        </w:rPr>
        <w:sectPr>
          <w:headerReference r:id="rId6" w:type="default"/>
          <w:footerReference r:id="rId7" w:type="default"/>
          <w:pgSz w:w="11906" w:h="16838"/>
          <w:pgMar w:top="1440" w:right="1701" w:bottom="1440" w:left="1701" w:header="851" w:footer="992" w:gutter="0"/>
          <w:pgNumType w:start="1"/>
          <w:cols w:space="720" w:num="1"/>
          <w:docGrid w:type="lines" w:linePitch="312" w:charSpace="0"/>
        </w:sectPr>
      </w:pPr>
    </w:p>
    <w:bookmarkEnd w:id="72"/>
    <w:p>
      <w:pPr>
        <w:pStyle w:val="9"/>
        <w:keepLines w:val="0"/>
        <w:adjustRightInd w:val="0"/>
        <w:snapToGrid w:val="0"/>
        <w:spacing w:before="0" w:after="0" w:line="600" w:lineRule="exact"/>
        <w:ind w:firstLine="640" w:firstLineChars="200"/>
        <w:jc w:val="left"/>
        <w:rPr>
          <w:rFonts w:eastAsia="黑体"/>
          <w:b w:val="0"/>
          <w:kern w:val="32"/>
          <w:sz w:val="32"/>
          <w:szCs w:val="32"/>
        </w:rPr>
      </w:pPr>
      <w:bookmarkStart w:id="73" w:name="_Toc22973"/>
      <w:bookmarkStart w:id="74" w:name="_Toc9701"/>
      <w:bookmarkStart w:id="75" w:name="_Toc20947"/>
      <w:bookmarkStart w:id="76" w:name="_Toc32359"/>
      <w:bookmarkStart w:id="77" w:name="_Toc24510"/>
      <w:bookmarkStart w:id="78" w:name="_Toc96633604"/>
      <w:bookmarkStart w:id="79" w:name="_Toc4713"/>
      <w:bookmarkStart w:id="80" w:name="_Toc31557"/>
      <w:bookmarkStart w:id="81" w:name="_Toc11277"/>
      <w:bookmarkStart w:id="82" w:name="_Toc21796"/>
      <w:bookmarkStart w:id="83" w:name="_Toc3554"/>
      <w:bookmarkStart w:id="84" w:name="_Toc97293464"/>
      <w:bookmarkStart w:id="85" w:name="_Toc10471"/>
      <w:r>
        <w:rPr>
          <w:rFonts w:eastAsia="黑体"/>
          <w:b w:val="0"/>
          <w:kern w:val="32"/>
          <w:sz w:val="32"/>
          <w:szCs w:val="32"/>
        </w:rPr>
        <w:t>二、规划总则</w:t>
      </w:r>
      <w:bookmarkEnd w:id="16"/>
      <w:bookmarkEnd w:id="73"/>
      <w:bookmarkEnd w:id="74"/>
      <w:bookmarkEnd w:id="75"/>
      <w:bookmarkEnd w:id="76"/>
      <w:bookmarkEnd w:id="77"/>
      <w:bookmarkEnd w:id="78"/>
      <w:bookmarkEnd w:id="79"/>
      <w:bookmarkEnd w:id="80"/>
      <w:bookmarkEnd w:id="81"/>
      <w:bookmarkEnd w:id="82"/>
      <w:bookmarkEnd w:id="83"/>
      <w:bookmarkEnd w:id="84"/>
      <w:bookmarkEnd w:id="85"/>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86" w:name="_Toc20660"/>
      <w:bookmarkStart w:id="87" w:name="_Toc7024"/>
      <w:bookmarkStart w:id="88" w:name="_Toc97293465"/>
      <w:bookmarkStart w:id="89" w:name="_Toc19261"/>
      <w:bookmarkStart w:id="90" w:name="_Toc96633605"/>
      <w:bookmarkStart w:id="91" w:name="_Toc92877695"/>
      <w:bookmarkStart w:id="92" w:name="_Toc25972"/>
      <w:bookmarkStart w:id="93" w:name="_Toc27465"/>
      <w:bookmarkStart w:id="94" w:name="_Toc1665"/>
      <w:bookmarkStart w:id="95" w:name="_Toc12444"/>
      <w:bookmarkStart w:id="96" w:name="_Toc59349802"/>
      <w:bookmarkStart w:id="97" w:name="_Toc28951"/>
      <w:bookmarkStart w:id="98" w:name="_Toc2911"/>
      <w:bookmarkStart w:id="99" w:name="_Toc18351"/>
      <w:bookmarkStart w:id="100" w:name="_Toc13232"/>
      <w:bookmarkStart w:id="101" w:name="_Toc59349804"/>
      <w:r>
        <w:rPr>
          <w:rFonts w:ascii="Times New Roman" w:hAnsi="Times New Roman" w:eastAsia="楷体_GB2312"/>
          <w:kern w:val="0"/>
          <w:sz w:val="30"/>
          <w:szCs w:val="30"/>
        </w:rPr>
        <w:t>（一）指导思想</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pPr>
        <w:spacing w:line="600" w:lineRule="exact"/>
        <w:ind w:firstLine="560" w:firstLineChars="200"/>
        <w:rPr>
          <w:rFonts w:ascii="仿宋_GB2312" w:hAnsi="仿宋_GB2312" w:eastAsia="仿宋_GB2312" w:cs="仿宋_GB2312"/>
          <w:sz w:val="28"/>
          <w:szCs w:val="28"/>
        </w:rPr>
      </w:pPr>
      <w:bookmarkStart w:id="102" w:name="_Toc26234"/>
      <w:bookmarkStart w:id="103" w:name="_Toc97293466"/>
      <w:bookmarkStart w:id="104" w:name="_Toc92877696"/>
      <w:bookmarkStart w:id="105" w:name="_Toc13370"/>
      <w:bookmarkStart w:id="106" w:name="_Toc12451"/>
      <w:bookmarkStart w:id="107" w:name="_Toc12315"/>
      <w:bookmarkStart w:id="108" w:name="_Toc31499"/>
      <w:bookmarkStart w:id="109" w:name="_Toc96633606"/>
      <w:bookmarkStart w:id="110" w:name="_Toc16695"/>
      <w:bookmarkStart w:id="111" w:name="_Toc59349803"/>
      <w:r>
        <w:rPr>
          <w:rFonts w:hint="eastAsia" w:ascii="仿宋_GB2312" w:hAnsi="仿宋_GB2312" w:eastAsia="仿宋_GB2312" w:cs="仿宋_GB2312"/>
          <w:sz w:val="28"/>
          <w:szCs w:val="28"/>
        </w:rPr>
        <w:t>高举中国特色社会主义伟大旗帜，以习近平新时代中国特色社会主义思想为指导，全面贯彻党的二十大精神，深入贯彻习近平生态文明思想和习近平总书记视察山西重要讲话重要指示精神，牢固树立绿水青山就是金山银山的发展理念，围绕打造“太原后花园、忻州特色县、乡村桥头堡”战略定位，走好“工业新型化、农业特色化、旅游全域化、产城融合化、环境生态化、社会文明化”六条路径，实现“产业振兴、生态宜居、文旅康养、开放包容、文明和谐”五大目标的“365”发展思路，以推动高质量发展为主体，以改善生态环境质量为核心，以绿色循环低碳发展为途径，以体制机制创新为动力，以重点工程项目为支撑，以满足人民日益增长的美好生活需要为根本目的，优化国土空间开发格局，大力发展生态经济，全面促进资源节约，加大生态环境保护力度，培育弘扬生态文化，</w:t>
      </w:r>
      <w:r>
        <w:rPr>
          <w:rFonts w:hint="eastAsia" w:eastAsia="仿宋_GB2312"/>
          <w:sz w:val="28"/>
          <w:szCs w:val="28"/>
        </w:rPr>
        <w:t>努力</w:t>
      </w:r>
      <w:r>
        <w:rPr>
          <w:rFonts w:hint="eastAsia" w:ascii="仿宋_GB2312" w:hAnsi="仿宋_GB2312" w:eastAsia="仿宋_GB2312" w:cs="仿宋_GB2312"/>
          <w:sz w:val="28"/>
          <w:szCs w:val="28"/>
        </w:rPr>
        <w:t>打造</w:t>
      </w:r>
      <w:r>
        <w:rPr>
          <w:rFonts w:hint="eastAsia" w:eastAsia="仿宋_GB2312"/>
          <w:sz w:val="28"/>
          <w:szCs w:val="28"/>
        </w:rPr>
        <w:t>全省乃至全国</w:t>
      </w:r>
      <w:r>
        <w:rPr>
          <w:rFonts w:hint="eastAsia" w:ascii="仿宋_GB2312" w:hAnsi="仿宋_GB2312" w:eastAsia="仿宋_GB2312" w:cs="仿宋_GB2312"/>
          <w:sz w:val="28"/>
          <w:szCs w:val="28"/>
        </w:rPr>
        <w:t>绿色发展美丽典范。</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112" w:name="_Toc3998"/>
      <w:bookmarkStart w:id="113" w:name="_Toc31358"/>
      <w:bookmarkStart w:id="114" w:name="_Toc22125"/>
      <w:bookmarkStart w:id="115" w:name="_Toc10071"/>
      <w:bookmarkStart w:id="116" w:name="_Toc13317"/>
      <w:r>
        <w:rPr>
          <w:rFonts w:ascii="Times New Roman" w:hAnsi="Times New Roman" w:eastAsia="楷体_GB2312"/>
          <w:kern w:val="0"/>
          <w:sz w:val="30"/>
          <w:szCs w:val="30"/>
        </w:rPr>
        <w:t>（二）规划原则</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pPr>
        <w:spacing w:line="600" w:lineRule="exact"/>
        <w:ind w:firstLine="562" w:firstLineChars="200"/>
        <w:rPr>
          <w:rFonts w:eastAsia="仿宋_GB2312"/>
          <w:bCs/>
          <w:sz w:val="28"/>
          <w:szCs w:val="28"/>
        </w:rPr>
      </w:pPr>
      <w:bookmarkStart w:id="117" w:name="_Toc97293467"/>
      <w:bookmarkStart w:id="118" w:name="_Toc17060"/>
      <w:bookmarkStart w:id="119" w:name="_Toc92877698"/>
      <w:bookmarkStart w:id="120" w:name="_Toc26541"/>
      <w:bookmarkStart w:id="121" w:name="_Toc19671"/>
      <w:bookmarkStart w:id="122" w:name="_Toc96633608"/>
      <w:bookmarkStart w:id="123" w:name="_Toc16560"/>
      <w:bookmarkStart w:id="124" w:name="_Toc19447"/>
      <w:bookmarkStart w:id="125" w:name="_Toc6577"/>
      <w:r>
        <w:rPr>
          <w:rFonts w:eastAsia="仿宋_GB2312"/>
          <w:b/>
          <w:sz w:val="28"/>
          <w:szCs w:val="28"/>
        </w:rPr>
        <w:t>坚持生态优先、绿色发展。</w:t>
      </w:r>
      <w:r>
        <w:rPr>
          <w:rFonts w:eastAsia="仿宋_GB2312"/>
          <w:bCs/>
          <w:sz w:val="28"/>
          <w:szCs w:val="28"/>
        </w:rPr>
        <w:t>牢固树立绿水青山就是金山银山的理念，始终把生态建设和环境保护放在首要位置，推进绿色、低碳、循环与可持续发展，同步推进生态建设与经济社会发展，协同提升资源环境承载力与产业竞争力，发展生态产业，建设绿色家园，在节约集约利用资源中求发展，在保护生态环境中谋崛起，实现“绿水青山”向“金山银山”的转换。</w:t>
      </w:r>
    </w:p>
    <w:p>
      <w:pPr>
        <w:spacing w:line="600" w:lineRule="exact"/>
        <w:ind w:firstLine="562" w:firstLineChars="200"/>
        <w:rPr>
          <w:rFonts w:eastAsia="仿宋_GB2312"/>
          <w:bCs/>
          <w:sz w:val="28"/>
          <w:szCs w:val="28"/>
        </w:rPr>
      </w:pPr>
      <w:r>
        <w:rPr>
          <w:rFonts w:eastAsia="仿宋_GB2312"/>
          <w:b/>
          <w:sz w:val="28"/>
          <w:szCs w:val="28"/>
        </w:rPr>
        <w:t>坚持因地制宜、彰显特色。</w:t>
      </w:r>
      <w:r>
        <w:rPr>
          <w:rFonts w:eastAsia="仿宋_GB2312"/>
          <w:bCs/>
          <w:sz w:val="28"/>
          <w:szCs w:val="28"/>
        </w:rPr>
        <w:t>立足自然资源条件和经济社会发展现状，突出</w:t>
      </w:r>
      <w:r>
        <w:rPr>
          <w:rFonts w:hint="eastAsia" w:eastAsia="仿宋_GB2312"/>
          <w:bCs/>
          <w:sz w:val="28"/>
          <w:szCs w:val="28"/>
        </w:rPr>
        <w:t>“太原后花园、忻州特色县、乡村桥头堡”</w:t>
      </w:r>
      <w:r>
        <w:rPr>
          <w:rFonts w:eastAsia="仿宋_GB2312"/>
          <w:bCs/>
          <w:sz w:val="28"/>
          <w:szCs w:val="28"/>
        </w:rPr>
        <w:t>的</w:t>
      </w:r>
      <w:r>
        <w:rPr>
          <w:rFonts w:hint="eastAsia" w:eastAsia="仿宋_GB2312"/>
          <w:bCs/>
          <w:sz w:val="28"/>
          <w:szCs w:val="28"/>
        </w:rPr>
        <w:t>战略定位</w:t>
      </w:r>
      <w:r>
        <w:rPr>
          <w:rFonts w:eastAsia="仿宋_GB2312"/>
          <w:bCs/>
          <w:sz w:val="28"/>
          <w:szCs w:val="28"/>
        </w:rPr>
        <w:t>，维护良好的自然山水格局和美好的城乡人居风情特色，系统推进自然生态、健康环境、美好人居、活力经济、美丽人文和幸福生活等领域建设，探索具有</w:t>
      </w:r>
      <w:r>
        <w:rPr>
          <w:rFonts w:hint="eastAsia" w:eastAsia="仿宋_GB2312"/>
          <w:bCs/>
          <w:sz w:val="28"/>
          <w:szCs w:val="28"/>
        </w:rPr>
        <w:t>静乐</w:t>
      </w:r>
      <w:r>
        <w:rPr>
          <w:rFonts w:eastAsia="仿宋_GB2312"/>
          <w:bCs/>
          <w:sz w:val="28"/>
          <w:szCs w:val="28"/>
        </w:rPr>
        <w:t>特色的生态文明发展模式。</w:t>
      </w:r>
    </w:p>
    <w:p>
      <w:pPr>
        <w:spacing w:line="600" w:lineRule="exact"/>
        <w:ind w:firstLine="562" w:firstLineChars="200"/>
        <w:rPr>
          <w:rFonts w:eastAsia="仿宋_GB2312"/>
          <w:bCs/>
          <w:sz w:val="28"/>
          <w:szCs w:val="28"/>
        </w:rPr>
      </w:pPr>
      <w:r>
        <w:rPr>
          <w:rFonts w:eastAsia="仿宋_GB2312"/>
          <w:b/>
          <w:sz w:val="28"/>
          <w:szCs w:val="28"/>
        </w:rPr>
        <w:t>坚持统筹协调、分步实施。</w:t>
      </w:r>
      <w:r>
        <w:rPr>
          <w:rFonts w:eastAsia="仿宋_GB2312"/>
          <w:bCs/>
          <w:sz w:val="28"/>
          <w:szCs w:val="28"/>
        </w:rPr>
        <w:t>统筹安排生态文明建设的各项任务，全面落实“五位一体”总体布局的要求，把生态文明建设放在突出位置，促进人与自然和谐，实现经济、社会和生态协调发展。</w:t>
      </w:r>
      <w:r>
        <w:rPr>
          <w:rFonts w:hint="eastAsia" w:eastAsia="仿宋_GB2312"/>
          <w:bCs/>
          <w:sz w:val="28"/>
          <w:szCs w:val="28"/>
        </w:rPr>
        <w:t>正确处理</w:t>
      </w:r>
      <w:r>
        <w:rPr>
          <w:rFonts w:eastAsia="仿宋_GB2312"/>
          <w:bCs/>
          <w:sz w:val="28"/>
          <w:szCs w:val="28"/>
        </w:rPr>
        <w:t>保护与发展、远景与近期、整体与局部、城镇与乡村等关系，全面推进生产、生活、生态协调发展，形成人与自然和谐发展的美丽建设新格局。</w:t>
      </w:r>
    </w:p>
    <w:p>
      <w:pPr>
        <w:spacing w:line="600" w:lineRule="exact"/>
        <w:ind w:firstLine="562" w:firstLineChars="200"/>
        <w:rPr>
          <w:rFonts w:eastAsia="仿宋_GB2312"/>
          <w:bCs/>
          <w:sz w:val="28"/>
          <w:szCs w:val="28"/>
        </w:rPr>
      </w:pPr>
      <w:r>
        <w:rPr>
          <w:rFonts w:eastAsia="仿宋_GB2312"/>
          <w:b/>
          <w:sz w:val="28"/>
          <w:szCs w:val="28"/>
        </w:rPr>
        <w:t>坚持政府引导、全民参与。</w:t>
      </w:r>
      <w:r>
        <w:rPr>
          <w:rFonts w:eastAsia="仿宋_GB2312"/>
          <w:bCs/>
          <w:sz w:val="28"/>
          <w:szCs w:val="28"/>
        </w:rPr>
        <w:t>充分发挥政府的组织、引导、协调作用，强化政府主导，优化政策环境，整合各部门资源，激发市场活力，调动企业、社会组织和公众参与的主动性、积极性，牢固树立生态文明理念，形成绿色、低碳、循环的生产、生活方式和消费模式，营造全民共建共享的生态文明建设氛围，形成</w:t>
      </w:r>
      <w:r>
        <w:rPr>
          <w:rFonts w:hint="eastAsia" w:eastAsia="仿宋_GB2312"/>
          <w:bCs/>
          <w:sz w:val="28"/>
          <w:szCs w:val="28"/>
        </w:rPr>
        <w:t>全县</w:t>
      </w:r>
      <w:r>
        <w:rPr>
          <w:rFonts w:eastAsia="仿宋_GB2312"/>
          <w:bCs/>
          <w:sz w:val="28"/>
          <w:szCs w:val="28"/>
        </w:rPr>
        <w:t>建设生态文明的强大合力。</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126" w:name="_Toc16007"/>
      <w:bookmarkStart w:id="127" w:name="_Toc30246"/>
      <w:bookmarkStart w:id="128" w:name="_Toc22737"/>
      <w:bookmarkStart w:id="129" w:name="_Toc11226"/>
      <w:bookmarkStart w:id="130" w:name="_Toc4510"/>
      <w:r>
        <w:rPr>
          <w:rFonts w:ascii="Times New Roman" w:hAnsi="Times New Roman" w:eastAsia="楷体_GB2312"/>
          <w:kern w:val="0"/>
          <w:sz w:val="30"/>
          <w:szCs w:val="30"/>
        </w:rPr>
        <w:t>（三）规划范围</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pPr>
        <w:spacing w:line="600" w:lineRule="exact"/>
        <w:ind w:firstLine="560" w:firstLineChars="200"/>
        <w:rPr>
          <w:rFonts w:eastAsia="仿宋_GB2312"/>
          <w:sz w:val="28"/>
          <w:szCs w:val="28"/>
        </w:rPr>
      </w:pPr>
      <w:bookmarkStart w:id="131" w:name="_Toc92877699"/>
      <w:bookmarkStart w:id="132" w:name="_Toc97293468"/>
      <w:bookmarkStart w:id="133" w:name="_Toc2322"/>
      <w:bookmarkStart w:id="134" w:name="_Toc20315"/>
      <w:bookmarkStart w:id="135" w:name="_Toc17648"/>
      <w:bookmarkStart w:id="136" w:name="_Toc18460"/>
      <w:bookmarkStart w:id="137" w:name="_Toc21448"/>
      <w:bookmarkStart w:id="138" w:name="_Toc96633609"/>
      <w:bookmarkStart w:id="139" w:name="_Toc19874"/>
      <w:r>
        <w:rPr>
          <w:rFonts w:eastAsia="仿宋_GB2312"/>
          <w:sz w:val="28"/>
          <w:szCs w:val="28"/>
        </w:rPr>
        <w:t>静乐县国家生态文明建设示范</w:t>
      </w:r>
      <w:r>
        <w:rPr>
          <w:rFonts w:hint="eastAsia" w:eastAsia="仿宋_GB2312"/>
          <w:sz w:val="28"/>
          <w:szCs w:val="28"/>
        </w:rPr>
        <w:t>区</w:t>
      </w:r>
      <w:r>
        <w:rPr>
          <w:rFonts w:eastAsia="仿宋_GB2312"/>
          <w:sz w:val="28"/>
          <w:szCs w:val="28"/>
        </w:rPr>
        <w:t>规划范围为静乐县所辖的行政区划范围，包括</w:t>
      </w:r>
      <w:r>
        <w:rPr>
          <w:rFonts w:hint="eastAsia" w:eastAsia="仿宋_GB2312"/>
          <w:sz w:val="28"/>
          <w:szCs w:val="28"/>
        </w:rPr>
        <w:t>6</w:t>
      </w:r>
      <w:r>
        <w:rPr>
          <w:rFonts w:eastAsia="仿宋_GB2312"/>
          <w:sz w:val="28"/>
          <w:szCs w:val="28"/>
        </w:rPr>
        <w:t>镇</w:t>
      </w:r>
      <w:r>
        <w:rPr>
          <w:rFonts w:hint="eastAsia" w:eastAsia="仿宋_GB2312"/>
          <w:sz w:val="28"/>
          <w:szCs w:val="28"/>
        </w:rPr>
        <w:t>6</w:t>
      </w:r>
      <w:r>
        <w:rPr>
          <w:rFonts w:eastAsia="仿宋_GB2312"/>
          <w:sz w:val="28"/>
          <w:szCs w:val="28"/>
        </w:rPr>
        <w:t>乡，</w:t>
      </w:r>
      <w:r>
        <w:rPr>
          <w:rFonts w:hint="eastAsia" w:eastAsia="仿宋_GB2312"/>
          <w:sz w:val="28"/>
          <w:szCs w:val="28"/>
        </w:rPr>
        <w:t>分别为</w:t>
      </w:r>
      <w:r>
        <w:fldChar w:fldCharType="begin"/>
      </w:r>
      <w:r>
        <w:instrText xml:space="preserve"> HYPERLINK "https://baike.baidu.com/item/%E9%B9%85%E5%9F%8E%E9%95%87/3258915?fromModule=lemma_inlink" \t "https://baike.baidu.com/item/%E9%9D%99%E4%B9%90%E5%8E%BF/_blank" </w:instrText>
      </w:r>
      <w:r>
        <w:fldChar w:fldCharType="separate"/>
      </w:r>
      <w:r>
        <w:rPr>
          <w:rFonts w:eastAsia="仿宋_GB2312"/>
          <w:sz w:val="28"/>
          <w:szCs w:val="28"/>
        </w:rPr>
        <w:t>鹅城镇</w:t>
      </w:r>
      <w:r>
        <w:rPr>
          <w:rFonts w:eastAsia="仿宋_GB2312"/>
          <w:sz w:val="28"/>
          <w:szCs w:val="28"/>
        </w:rPr>
        <w:fldChar w:fldCharType="end"/>
      </w:r>
      <w:r>
        <w:rPr>
          <w:rFonts w:eastAsia="仿宋_GB2312"/>
          <w:sz w:val="28"/>
          <w:szCs w:val="28"/>
        </w:rPr>
        <w:t>、</w:t>
      </w:r>
      <w:r>
        <w:fldChar w:fldCharType="begin"/>
      </w:r>
      <w:r>
        <w:instrText xml:space="preserve"> HYPERLINK "https://baike.baidu.com/item/%E6%9D%9C%E5%AE%B6%E6%9D%91%E9%95%87/3260004?fromModule=lemma_inlink" \t "https://baike.baidu.com/item/%E9%9D%99%E4%B9%90%E5%8E%BF/_blank" </w:instrText>
      </w:r>
      <w:r>
        <w:fldChar w:fldCharType="separate"/>
      </w:r>
      <w:r>
        <w:rPr>
          <w:rFonts w:eastAsia="仿宋_GB2312"/>
          <w:sz w:val="28"/>
          <w:szCs w:val="28"/>
        </w:rPr>
        <w:t>杜家村镇</w:t>
      </w:r>
      <w:r>
        <w:rPr>
          <w:rFonts w:eastAsia="仿宋_GB2312"/>
          <w:sz w:val="28"/>
          <w:szCs w:val="28"/>
        </w:rPr>
        <w:fldChar w:fldCharType="end"/>
      </w:r>
      <w:r>
        <w:rPr>
          <w:rFonts w:eastAsia="仿宋_GB2312"/>
          <w:sz w:val="28"/>
          <w:szCs w:val="28"/>
        </w:rPr>
        <w:t>、</w:t>
      </w:r>
      <w:r>
        <w:fldChar w:fldCharType="begin"/>
      </w:r>
      <w:r>
        <w:instrText xml:space="preserve"> HYPERLINK "https://baike.baidu.com/item/%E5%BA%B7%E5%AE%B6%E4%BC%9A%E9%95%87/7818090?fromModule=lemma_inlink" \t "https://baike.baidu.com/item/%E9%9D%99%E4%B9%90%E5%8E%BF/_blank" </w:instrText>
      </w:r>
      <w:r>
        <w:fldChar w:fldCharType="separate"/>
      </w:r>
      <w:r>
        <w:rPr>
          <w:rFonts w:eastAsia="仿宋_GB2312"/>
          <w:sz w:val="28"/>
          <w:szCs w:val="28"/>
        </w:rPr>
        <w:t>康家会镇</w:t>
      </w:r>
      <w:r>
        <w:rPr>
          <w:rFonts w:eastAsia="仿宋_GB2312"/>
          <w:sz w:val="28"/>
          <w:szCs w:val="28"/>
        </w:rPr>
        <w:fldChar w:fldCharType="end"/>
      </w:r>
      <w:r>
        <w:rPr>
          <w:rFonts w:eastAsia="仿宋_GB2312"/>
          <w:sz w:val="28"/>
          <w:szCs w:val="28"/>
        </w:rPr>
        <w:t>、</w:t>
      </w:r>
      <w:r>
        <w:fldChar w:fldCharType="begin"/>
      </w:r>
      <w:r>
        <w:instrText xml:space="preserve"> HYPERLINK "https://baike.baidu.com/item/%E4%B8%B0%E6%B6%A6%E9%95%87/3971160?fromModule=lemma_inlink" \t "https://baike.baidu.com/item/%E9%9D%99%E4%B9%90%E5%8E%BF/_blank" </w:instrText>
      </w:r>
      <w:r>
        <w:fldChar w:fldCharType="separate"/>
      </w:r>
      <w:r>
        <w:rPr>
          <w:rFonts w:eastAsia="仿宋_GB2312"/>
          <w:sz w:val="28"/>
          <w:szCs w:val="28"/>
        </w:rPr>
        <w:t>丰润镇</w:t>
      </w:r>
      <w:r>
        <w:rPr>
          <w:rFonts w:eastAsia="仿宋_GB2312"/>
          <w:sz w:val="28"/>
          <w:szCs w:val="28"/>
        </w:rPr>
        <w:fldChar w:fldCharType="end"/>
      </w:r>
      <w:r>
        <w:rPr>
          <w:rFonts w:eastAsia="仿宋_GB2312"/>
          <w:sz w:val="28"/>
          <w:szCs w:val="28"/>
        </w:rPr>
        <w:t>、双路镇、王村镇、</w:t>
      </w:r>
      <w:r>
        <w:fldChar w:fldCharType="begin"/>
      </w:r>
      <w:r>
        <w:instrText xml:space="preserve"> HYPERLINK "https://baike.baidu.com/item/%E6%AE%B5%E5%AE%B6%E5%AF%A8%E4%B9%A1/3259736?fromModule=lemma_inlink" \t "https://baike.baidu.com/item/%E9%9D%99%E4%B9%90%E5%8E%BF/_blank" </w:instrText>
      </w:r>
      <w:r>
        <w:fldChar w:fldCharType="separate"/>
      </w:r>
      <w:r>
        <w:rPr>
          <w:rFonts w:eastAsia="仿宋_GB2312"/>
          <w:sz w:val="28"/>
          <w:szCs w:val="28"/>
        </w:rPr>
        <w:t>段家寨乡</w:t>
      </w:r>
      <w:r>
        <w:rPr>
          <w:rFonts w:eastAsia="仿宋_GB2312"/>
          <w:sz w:val="28"/>
          <w:szCs w:val="28"/>
        </w:rPr>
        <w:fldChar w:fldCharType="end"/>
      </w:r>
      <w:r>
        <w:rPr>
          <w:rFonts w:eastAsia="仿宋_GB2312"/>
          <w:sz w:val="28"/>
          <w:szCs w:val="28"/>
        </w:rPr>
        <w:t>、</w:t>
      </w:r>
      <w:r>
        <w:fldChar w:fldCharType="begin"/>
      </w:r>
      <w:r>
        <w:instrText xml:space="preserve"> HYPERLINK "https://baike.baidu.com/item/%E8%BE%9B%E6%9D%91%E4%B9%A1/3970884?fromModule=lemma_inlink" \t "https://baike.baidu.com/item/%E9%9D%99%E4%B9%90%E5%8E%BF/_blank" </w:instrText>
      </w:r>
      <w:r>
        <w:fldChar w:fldCharType="separate"/>
      </w:r>
      <w:r>
        <w:rPr>
          <w:rFonts w:eastAsia="仿宋_GB2312"/>
          <w:sz w:val="28"/>
          <w:szCs w:val="28"/>
        </w:rPr>
        <w:t>辛村乡</w:t>
      </w:r>
      <w:r>
        <w:rPr>
          <w:rFonts w:eastAsia="仿宋_GB2312"/>
          <w:sz w:val="28"/>
          <w:szCs w:val="28"/>
        </w:rPr>
        <w:fldChar w:fldCharType="end"/>
      </w:r>
      <w:r>
        <w:rPr>
          <w:rFonts w:eastAsia="仿宋_GB2312"/>
          <w:sz w:val="28"/>
          <w:szCs w:val="28"/>
        </w:rPr>
        <w:t>、</w:t>
      </w:r>
      <w:r>
        <w:fldChar w:fldCharType="begin"/>
      </w:r>
      <w:r>
        <w:instrText xml:space="preserve"> HYPERLINK "https://baike.baidu.com/item/%E7%A5%9E%E5%B3%AA%E6%B2%9F%E4%B9%A1/3259470?fromModule=lemma_inlink" \t "https://baike.baidu.com/item/%E9%9D%99%E4%B9%90%E5%8E%BF/_blank" </w:instrText>
      </w:r>
      <w:r>
        <w:fldChar w:fldCharType="separate"/>
      </w:r>
      <w:r>
        <w:rPr>
          <w:rFonts w:eastAsia="仿宋_GB2312"/>
          <w:sz w:val="28"/>
          <w:szCs w:val="28"/>
        </w:rPr>
        <w:t>神峪沟乡</w:t>
      </w:r>
      <w:r>
        <w:rPr>
          <w:rFonts w:eastAsia="仿宋_GB2312"/>
          <w:sz w:val="28"/>
          <w:szCs w:val="28"/>
        </w:rPr>
        <w:fldChar w:fldCharType="end"/>
      </w:r>
      <w:r>
        <w:rPr>
          <w:rFonts w:eastAsia="仿宋_GB2312"/>
          <w:sz w:val="28"/>
          <w:szCs w:val="28"/>
        </w:rPr>
        <w:t>、</w:t>
      </w:r>
      <w:r>
        <w:fldChar w:fldCharType="begin"/>
      </w:r>
      <w:r>
        <w:instrText xml:space="preserve"> HYPERLINK "https://baike.baidu.com/item/%E5%A8%98%E5%AD%90%E7%A5%9E%E4%B9%A1/3259277?fromModule=lemma_inlink" \t "https://baike.baidu.com/item/%E9%9D%99%E4%B9%90%E5%8E%BF/_blank" </w:instrText>
      </w:r>
      <w:r>
        <w:fldChar w:fldCharType="separate"/>
      </w:r>
      <w:r>
        <w:rPr>
          <w:rFonts w:eastAsia="仿宋_GB2312"/>
          <w:sz w:val="28"/>
          <w:szCs w:val="28"/>
        </w:rPr>
        <w:t>娘子神乡</w:t>
      </w:r>
      <w:r>
        <w:rPr>
          <w:rFonts w:eastAsia="仿宋_GB2312"/>
          <w:sz w:val="28"/>
          <w:szCs w:val="28"/>
        </w:rPr>
        <w:fldChar w:fldCharType="end"/>
      </w:r>
      <w:r>
        <w:rPr>
          <w:rFonts w:eastAsia="仿宋_GB2312"/>
          <w:sz w:val="28"/>
          <w:szCs w:val="28"/>
        </w:rPr>
        <w:t>、</w:t>
      </w:r>
      <w:r>
        <w:fldChar w:fldCharType="begin"/>
      </w:r>
      <w:r>
        <w:instrText xml:space="preserve"> HYPERLINK "https://baike.baidu.com/item/%E5%A8%91%E5%A9%86%E4%B9%A1/3259206?fromModule=lemma_inlink" \t "https://baike.baidu.com/item/%E9%9D%99%E4%B9%90%E5%8E%BF/_blank" </w:instrText>
      </w:r>
      <w:r>
        <w:fldChar w:fldCharType="separate"/>
      </w:r>
      <w:r>
        <w:rPr>
          <w:rFonts w:eastAsia="仿宋_GB2312"/>
          <w:sz w:val="28"/>
          <w:szCs w:val="28"/>
        </w:rPr>
        <w:t>娑婆乡</w:t>
      </w:r>
      <w:r>
        <w:rPr>
          <w:rFonts w:eastAsia="仿宋_GB2312"/>
          <w:sz w:val="28"/>
          <w:szCs w:val="28"/>
        </w:rPr>
        <w:fldChar w:fldCharType="end"/>
      </w:r>
      <w:r>
        <w:rPr>
          <w:rFonts w:eastAsia="仿宋_GB2312"/>
          <w:sz w:val="28"/>
          <w:szCs w:val="28"/>
        </w:rPr>
        <w:t>、</w:t>
      </w:r>
      <w:r>
        <w:fldChar w:fldCharType="begin"/>
      </w:r>
      <w:r>
        <w:instrText xml:space="preserve"> HYPERLINK "https://baike.baidu.com/item/%E8%B5%A4%E6%B3%A5%E6%B4%BC%E4%B9%A1/3259403?fromModule=lemma_inlink" \t "https://baike.baidu.com/item/%E9%9D%99%E4%B9%90%E5%8E%BF/_blank" </w:instrText>
      </w:r>
      <w:r>
        <w:fldChar w:fldCharType="separate"/>
      </w:r>
      <w:r>
        <w:rPr>
          <w:rFonts w:eastAsia="仿宋_GB2312"/>
          <w:sz w:val="28"/>
          <w:szCs w:val="28"/>
        </w:rPr>
        <w:t>赤泥洼乡</w:t>
      </w:r>
      <w:r>
        <w:rPr>
          <w:rFonts w:eastAsia="仿宋_GB2312"/>
          <w:sz w:val="28"/>
          <w:szCs w:val="28"/>
        </w:rPr>
        <w:fldChar w:fldCharType="end"/>
      </w:r>
      <w:r>
        <w:rPr>
          <w:rFonts w:eastAsia="仿宋_GB2312"/>
          <w:sz w:val="28"/>
          <w:szCs w:val="28"/>
        </w:rPr>
        <w:t>，总面积2058平方公里。</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140" w:name="_Toc32631"/>
      <w:bookmarkStart w:id="141" w:name="_Toc11625"/>
      <w:bookmarkStart w:id="142" w:name="_Toc13867"/>
      <w:bookmarkStart w:id="143" w:name="_Toc17020"/>
      <w:bookmarkStart w:id="144" w:name="_Toc3334"/>
      <w:r>
        <w:rPr>
          <w:rFonts w:ascii="Times New Roman" w:hAnsi="Times New Roman" w:eastAsia="楷体_GB2312"/>
          <w:kern w:val="0"/>
          <w:sz w:val="30"/>
          <w:szCs w:val="30"/>
        </w:rPr>
        <w:t>（四）规划期限</w:t>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pPr>
        <w:spacing w:line="600" w:lineRule="exact"/>
        <w:ind w:firstLine="560" w:firstLineChars="200"/>
        <w:rPr>
          <w:rFonts w:eastAsia="仿宋_GB2312"/>
          <w:sz w:val="28"/>
          <w:szCs w:val="28"/>
        </w:rPr>
      </w:pPr>
      <w:bookmarkStart w:id="145" w:name="_Toc96633611"/>
      <w:bookmarkStart w:id="146" w:name="_Toc8034"/>
      <w:bookmarkStart w:id="147" w:name="_Toc15303"/>
      <w:bookmarkStart w:id="148" w:name="_Toc97293469"/>
      <w:bookmarkStart w:id="149" w:name="_Toc17201"/>
      <w:bookmarkStart w:id="150" w:name="_Toc21790"/>
      <w:bookmarkStart w:id="151" w:name="_Toc26710"/>
      <w:bookmarkStart w:id="152" w:name="_Toc3960"/>
      <w:r>
        <w:rPr>
          <w:rFonts w:eastAsia="仿宋_GB2312"/>
          <w:sz w:val="28"/>
          <w:szCs w:val="28"/>
        </w:rPr>
        <w:t>按照国家生态文明建设示范区建设要求，结合</w:t>
      </w:r>
      <w:r>
        <w:rPr>
          <w:rFonts w:hint="eastAsia" w:eastAsia="仿宋_GB2312"/>
          <w:sz w:val="28"/>
          <w:szCs w:val="28"/>
        </w:rPr>
        <w:t>静乐县</w:t>
      </w:r>
      <w:r>
        <w:rPr>
          <w:rFonts w:eastAsia="仿宋_GB2312"/>
          <w:sz w:val="28"/>
          <w:szCs w:val="28"/>
        </w:rPr>
        <w:t>实际，本次规划期限为202</w:t>
      </w:r>
      <w:r>
        <w:rPr>
          <w:rFonts w:hint="eastAsia" w:eastAsia="仿宋_GB2312"/>
          <w:sz w:val="28"/>
          <w:szCs w:val="28"/>
        </w:rPr>
        <w:t>3</w:t>
      </w:r>
      <w:r>
        <w:rPr>
          <w:rFonts w:eastAsia="仿宋_GB2312"/>
          <w:sz w:val="28"/>
          <w:szCs w:val="28"/>
        </w:rPr>
        <w:t>-20</w:t>
      </w:r>
      <w:r>
        <w:rPr>
          <w:rFonts w:hint="eastAsia" w:eastAsia="仿宋_GB2312"/>
          <w:sz w:val="28"/>
          <w:szCs w:val="28"/>
        </w:rPr>
        <w:t>30</w:t>
      </w:r>
      <w:r>
        <w:rPr>
          <w:rFonts w:eastAsia="仿宋_GB2312"/>
          <w:sz w:val="28"/>
          <w:szCs w:val="28"/>
        </w:rPr>
        <w:t>年，规划基准年为202</w:t>
      </w:r>
      <w:r>
        <w:rPr>
          <w:rFonts w:hint="eastAsia" w:eastAsia="仿宋_GB2312"/>
          <w:sz w:val="28"/>
          <w:szCs w:val="28"/>
        </w:rPr>
        <w:t>2</w:t>
      </w:r>
      <w:r>
        <w:rPr>
          <w:rFonts w:eastAsia="仿宋_GB2312"/>
          <w:sz w:val="28"/>
          <w:szCs w:val="28"/>
        </w:rPr>
        <w:t>年，具体划分为：近期规划202</w:t>
      </w:r>
      <w:r>
        <w:rPr>
          <w:rFonts w:hint="eastAsia" w:eastAsia="仿宋_GB2312"/>
          <w:sz w:val="28"/>
          <w:szCs w:val="28"/>
        </w:rPr>
        <w:t>3-2025</w:t>
      </w:r>
      <w:r>
        <w:rPr>
          <w:rFonts w:eastAsia="仿宋_GB2312"/>
          <w:sz w:val="28"/>
          <w:szCs w:val="28"/>
        </w:rPr>
        <w:t>年；</w:t>
      </w:r>
      <w:r>
        <w:rPr>
          <w:rFonts w:hint="eastAsia" w:eastAsia="仿宋_GB2312"/>
          <w:sz w:val="28"/>
          <w:szCs w:val="28"/>
        </w:rPr>
        <w:t>中远期规划2026-2030年</w:t>
      </w:r>
      <w:r>
        <w:rPr>
          <w:rFonts w:eastAsia="仿宋_GB2312"/>
          <w:sz w:val="28"/>
          <w:szCs w:val="28"/>
        </w:rPr>
        <w:t>。</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153" w:name="_Toc830"/>
      <w:bookmarkStart w:id="154" w:name="_Toc30875"/>
      <w:bookmarkStart w:id="155" w:name="_Toc14177"/>
      <w:bookmarkStart w:id="156" w:name="_Toc10789"/>
      <w:bookmarkStart w:id="157" w:name="_Toc18888"/>
      <w:r>
        <w:rPr>
          <w:rFonts w:ascii="Times New Roman" w:hAnsi="Times New Roman" w:eastAsia="楷体_GB2312"/>
          <w:kern w:val="0"/>
          <w:sz w:val="30"/>
          <w:szCs w:val="30"/>
        </w:rPr>
        <w:t>（五）</w:t>
      </w:r>
      <w:bookmarkEnd w:id="145"/>
      <w:r>
        <w:rPr>
          <w:rFonts w:hint="eastAsia" w:ascii="Times New Roman" w:hAnsi="Times New Roman" w:eastAsia="楷体_GB2312"/>
          <w:kern w:val="0"/>
          <w:sz w:val="30"/>
          <w:szCs w:val="30"/>
        </w:rPr>
        <w:t>规划</w:t>
      </w:r>
      <w:r>
        <w:rPr>
          <w:rFonts w:ascii="Times New Roman" w:hAnsi="Times New Roman" w:eastAsia="楷体_GB2312"/>
          <w:kern w:val="0"/>
          <w:sz w:val="30"/>
          <w:szCs w:val="30"/>
        </w:rPr>
        <w:t>目标</w:t>
      </w:r>
      <w:bookmarkEnd w:id="146"/>
      <w:bookmarkEnd w:id="147"/>
      <w:bookmarkEnd w:id="148"/>
      <w:bookmarkEnd w:id="149"/>
      <w:bookmarkEnd w:id="150"/>
      <w:bookmarkEnd w:id="151"/>
      <w:bookmarkEnd w:id="152"/>
      <w:bookmarkEnd w:id="153"/>
      <w:bookmarkEnd w:id="154"/>
      <w:bookmarkEnd w:id="155"/>
      <w:bookmarkEnd w:id="156"/>
      <w:bookmarkEnd w:id="157"/>
    </w:p>
    <w:p>
      <w:pPr>
        <w:pStyle w:val="11"/>
        <w:spacing w:before="0" w:after="0" w:line="600" w:lineRule="exact"/>
        <w:ind w:firstLine="562" w:firstLineChars="200"/>
        <w:rPr>
          <w:rFonts w:eastAsia="仿宋_GB2312"/>
          <w:sz w:val="28"/>
          <w:szCs w:val="28"/>
        </w:rPr>
      </w:pPr>
      <w:bookmarkStart w:id="158" w:name="_Toc97293470"/>
      <w:bookmarkStart w:id="159" w:name="_Toc8977"/>
      <w:bookmarkStart w:id="160" w:name="_Toc29841"/>
      <w:bookmarkStart w:id="161" w:name="_Toc28597"/>
      <w:bookmarkStart w:id="162" w:name="_Toc1059"/>
      <w:bookmarkStart w:id="163" w:name="_Toc348"/>
      <w:bookmarkStart w:id="164" w:name="_Toc96633612"/>
      <w:r>
        <w:rPr>
          <w:rFonts w:eastAsia="仿宋_GB2312"/>
          <w:sz w:val="28"/>
          <w:szCs w:val="28"/>
        </w:rPr>
        <w:t>1. 总体目标</w:t>
      </w:r>
      <w:bookmarkEnd w:id="158"/>
      <w:bookmarkEnd w:id="159"/>
      <w:bookmarkEnd w:id="160"/>
      <w:bookmarkEnd w:id="161"/>
      <w:bookmarkEnd w:id="162"/>
      <w:bookmarkEnd w:id="163"/>
    </w:p>
    <w:p>
      <w:pPr>
        <w:widowControl/>
        <w:spacing w:line="600" w:lineRule="exact"/>
        <w:ind w:firstLine="560" w:firstLineChars="200"/>
        <w:rPr>
          <w:rFonts w:ascii="仿宋_GB2312" w:hAnsi="仿宋_GB2312" w:eastAsia="仿宋_GB2312" w:cs="仿宋_GB2312"/>
          <w:sz w:val="28"/>
          <w:szCs w:val="28"/>
        </w:rPr>
      </w:pPr>
      <w:bookmarkStart w:id="165" w:name="_Toc5143"/>
      <w:bookmarkStart w:id="166" w:name="_Toc97293471"/>
      <w:r>
        <w:rPr>
          <w:rFonts w:hint="eastAsia" w:eastAsia="仿宋_GB2312"/>
          <w:sz w:val="28"/>
          <w:szCs w:val="28"/>
        </w:rPr>
        <w:t>紧紧围绕“太原后花园、忻州特色县、乡村桥头堡”战略定位，</w:t>
      </w:r>
      <w:r>
        <w:rPr>
          <w:rFonts w:eastAsia="仿宋_GB2312"/>
          <w:sz w:val="28"/>
          <w:szCs w:val="28"/>
        </w:rPr>
        <w:t>通过</w:t>
      </w:r>
      <w:r>
        <w:rPr>
          <w:rFonts w:hint="eastAsia" w:eastAsia="仿宋_GB2312"/>
          <w:sz w:val="28"/>
          <w:szCs w:val="28"/>
        </w:rPr>
        <w:t>推进</w:t>
      </w:r>
      <w:r>
        <w:rPr>
          <w:rFonts w:eastAsia="仿宋_GB2312"/>
          <w:sz w:val="28"/>
          <w:szCs w:val="28"/>
        </w:rPr>
        <w:t>生态制度</w:t>
      </w:r>
      <w:r>
        <w:rPr>
          <w:rFonts w:hint="eastAsia" w:eastAsia="仿宋_GB2312"/>
          <w:sz w:val="28"/>
          <w:szCs w:val="28"/>
        </w:rPr>
        <w:t>、</w:t>
      </w:r>
      <w:r>
        <w:rPr>
          <w:rFonts w:eastAsia="仿宋_GB2312"/>
          <w:sz w:val="28"/>
          <w:szCs w:val="28"/>
        </w:rPr>
        <w:t>生态安全</w:t>
      </w:r>
      <w:r>
        <w:rPr>
          <w:rFonts w:hint="eastAsia" w:eastAsia="仿宋_GB2312"/>
          <w:sz w:val="28"/>
          <w:szCs w:val="28"/>
        </w:rPr>
        <w:t>、</w:t>
      </w:r>
      <w:r>
        <w:rPr>
          <w:rFonts w:eastAsia="仿宋_GB2312"/>
          <w:sz w:val="28"/>
          <w:szCs w:val="28"/>
        </w:rPr>
        <w:t>生态空间、生态经济、生态生活</w:t>
      </w:r>
      <w:r>
        <w:rPr>
          <w:rFonts w:hint="eastAsia" w:eastAsia="仿宋_GB2312"/>
          <w:sz w:val="28"/>
          <w:szCs w:val="28"/>
        </w:rPr>
        <w:t>和</w:t>
      </w:r>
      <w:r>
        <w:rPr>
          <w:rFonts w:eastAsia="仿宋_GB2312"/>
          <w:sz w:val="28"/>
          <w:szCs w:val="28"/>
        </w:rPr>
        <w:t>生态文化</w:t>
      </w:r>
      <w:r>
        <w:rPr>
          <w:rFonts w:hint="eastAsia" w:eastAsia="仿宋_GB2312"/>
          <w:sz w:val="28"/>
          <w:szCs w:val="28"/>
        </w:rPr>
        <w:t>六大体系建设</w:t>
      </w:r>
      <w:r>
        <w:rPr>
          <w:rFonts w:eastAsia="仿宋_GB2312"/>
          <w:sz w:val="28"/>
          <w:szCs w:val="28"/>
        </w:rPr>
        <w:t>，使</w:t>
      </w:r>
      <w:r>
        <w:rPr>
          <w:rFonts w:hint="eastAsia" w:eastAsia="仿宋_GB2312"/>
          <w:sz w:val="28"/>
          <w:szCs w:val="28"/>
        </w:rPr>
        <w:t>静乐县</w:t>
      </w:r>
      <w:r>
        <w:rPr>
          <w:rFonts w:eastAsia="仿宋_GB2312"/>
          <w:sz w:val="28"/>
          <w:szCs w:val="28"/>
        </w:rPr>
        <w:t>全社会生态文明理念明显增强，绿色发展水平显著提升，空间开发格局进一步优化，资源能源利用率有效提高，污染排放总量不断下降，生态环境质量持续改善，环境风险得到有效管控，生态文明创建取得积极成效，</w:t>
      </w:r>
      <w:r>
        <w:rPr>
          <w:rFonts w:hint="eastAsia" w:eastAsia="仿宋_GB2312"/>
          <w:sz w:val="28"/>
          <w:szCs w:val="28"/>
        </w:rPr>
        <w:t>努力</w:t>
      </w:r>
      <w:r>
        <w:rPr>
          <w:rFonts w:hint="eastAsia" w:ascii="仿宋_GB2312" w:hAnsi="仿宋_GB2312" w:eastAsia="仿宋_GB2312" w:cs="仿宋_GB2312"/>
          <w:sz w:val="28"/>
          <w:szCs w:val="28"/>
        </w:rPr>
        <w:t>打造</w:t>
      </w:r>
      <w:r>
        <w:rPr>
          <w:rFonts w:hint="eastAsia" w:eastAsia="仿宋_GB2312"/>
          <w:sz w:val="28"/>
          <w:szCs w:val="28"/>
        </w:rPr>
        <w:t>全省乃至全国</w:t>
      </w:r>
      <w:r>
        <w:rPr>
          <w:rFonts w:hint="eastAsia" w:ascii="仿宋_GB2312" w:hAnsi="仿宋_GB2312" w:eastAsia="仿宋_GB2312" w:cs="仿宋_GB2312"/>
          <w:sz w:val="28"/>
          <w:szCs w:val="28"/>
        </w:rPr>
        <w:t>绿色发展美丽典范。</w:t>
      </w:r>
    </w:p>
    <w:p>
      <w:pPr>
        <w:pStyle w:val="11"/>
        <w:spacing w:before="0" w:after="0" w:line="600" w:lineRule="exact"/>
        <w:ind w:firstLine="562" w:firstLineChars="200"/>
        <w:rPr>
          <w:rFonts w:eastAsia="仿宋_GB2312"/>
          <w:sz w:val="28"/>
          <w:szCs w:val="28"/>
        </w:rPr>
      </w:pPr>
      <w:bookmarkStart w:id="167" w:name="_Toc10091"/>
      <w:bookmarkStart w:id="168" w:name="_Toc16164"/>
      <w:bookmarkStart w:id="169" w:name="_Toc1070"/>
      <w:bookmarkStart w:id="170" w:name="_Toc12350"/>
      <w:r>
        <w:rPr>
          <w:rFonts w:eastAsia="仿宋_GB2312"/>
          <w:sz w:val="28"/>
          <w:szCs w:val="28"/>
        </w:rPr>
        <w:t>2. 阶段目标</w:t>
      </w:r>
      <w:bookmarkEnd w:id="165"/>
      <w:bookmarkEnd w:id="166"/>
      <w:bookmarkEnd w:id="167"/>
      <w:bookmarkEnd w:id="168"/>
      <w:bookmarkEnd w:id="169"/>
      <w:bookmarkEnd w:id="170"/>
    </w:p>
    <w:p>
      <w:pPr>
        <w:spacing w:line="600" w:lineRule="exact"/>
        <w:ind w:firstLine="562" w:firstLineChars="200"/>
        <w:rPr>
          <w:rFonts w:eastAsia="仿宋_GB2312"/>
          <w:sz w:val="28"/>
          <w:szCs w:val="28"/>
        </w:rPr>
      </w:pPr>
      <w:bookmarkStart w:id="171" w:name="_Toc620"/>
      <w:bookmarkStart w:id="172" w:name="_Toc22480"/>
      <w:bookmarkStart w:id="173" w:name="_Toc23297"/>
      <w:bookmarkStart w:id="174" w:name="_Toc7427"/>
      <w:bookmarkStart w:id="175" w:name="_Toc2596"/>
      <w:bookmarkStart w:id="176" w:name="_Toc97293472"/>
      <w:bookmarkStart w:id="177" w:name="_Toc10089"/>
      <w:r>
        <w:rPr>
          <w:rFonts w:hint="eastAsia" w:eastAsia="仿宋_GB2312"/>
          <w:b/>
          <w:bCs/>
          <w:sz w:val="28"/>
          <w:szCs w:val="28"/>
        </w:rPr>
        <w:t>近期目标</w:t>
      </w:r>
      <w:r>
        <w:rPr>
          <w:rFonts w:eastAsia="仿宋_GB2312"/>
          <w:b/>
          <w:bCs/>
          <w:sz w:val="28"/>
          <w:szCs w:val="28"/>
        </w:rPr>
        <w:t>：创建达标期（202</w:t>
      </w:r>
      <w:r>
        <w:rPr>
          <w:rFonts w:hint="eastAsia" w:eastAsia="仿宋_GB2312"/>
          <w:b/>
          <w:bCs/>
          <w:sz w:val="28"/>
          <w:szCs w:val="28"/>
        </w:rPr>
        <w:t>3-2025</w:t>
      </w:r>
      <w:r>
        <w:rPr>
          <w:rFonts w:eastAsia="仿宋_GB2312"/>
          <w:b/>
          <w:bCs/>
          <w:sz w:val="28"/>
          <w:szCs w:val="28"/>
        </w:rPr>
        <w:t>年）。</w:t>
      </w:r>
      <w:r>
        <w:rPr>
          <w:rFonts w:eastAsia="仿宋_GB2312"/>
          <w:sz w:val="28"/>
          <w:szCs w:val="28"/>
        </w:rPr>
        <w:t>生态文明建设全面部署建设，针对现状暂未达标的指标进行集中攻坚，进一步协调生态文明建设示范区各方面建设，形成生态制度日趋完善、生态环境持续良好、生态空间安全合理、生态经济循环发展、生态生活绿色健康、生态文化深入人心的生态文明建设良好局面</w:t>
      </w:r>
      <w:r>
        <w:rPr>
          <w:rFonts w:hint="eastAsia" w:eastAsia="仿宋_GB2312"/>
          <w:sz w:val="28"/>
          <w:szCs w:val="28"/>
        </w:rPr>
        <w:t>，</w:t>
      </w:r>
      <w:r>
        <w:rPr>
          <w:rFonts w:eastAsia="仿宋_GB2312"/>
          <w:sz w:val="28"/>
          <w:szCs w:val="28"/>
        </w:rPr>
        <w:t>各项任务达到或优于创建指标要求。</w:t>
      </w:r>
    </w:p>
    <w:p>
      <w:pPr>
        <w:spacing w:line="600" w:lineRule="exact"/>
        <w:ind w:firstLine="562" w:firstLineChars="200"/>
        <w:rPr>
          <w:rFonts w:eastAsia="仿宋_GB2312"/>
          <w:sz w:val="28"/>
          <w:szCs w:val="28"/>
        </w:rPr>
      </w:pPr>
      <w:r>
        <w:rPr>
          <w:rFonts w:hint="eastAsia" w:eastAsia="仿宋_GB2312"/>
          <w:b/>
          <w:bCs/>
          <w:sz w:val="28"/>
          <w:szCs w:val="28"/>
        </w:rPr>
        <w:t>中远期目标</w:t>
      </w:r>
      <w:r>
        <w:rPr>
          <w:rFonts w:eastAsia="仿宋_GB2312"/>
          <w:b/>
          <w:bCs/>
          <w:sz w:val="28"/>
          <w:szCs w:val="28"/>
        </w:rPr>
        <w:t>：</w:t>
      </w:r>
      <w:r>
        <w:rPr>
          <w:rFonts w:hint="eastAsia" w:eastAsia="仿宋_GB2312"/>
          <w:b/>
          <w:bCs/>
          <w:sz w:val="28"/>
          <w:szCs w:val="28"/>
        </w:rPr>
        <w:t>巩固提升</w:t>
      </w:r>
      <w:r>
        <w:rPr>
          <w:rFonts w:eastAsia="仿宋_GB2312"/>
          <w:b/>
          <w:bCs/>
          <w:sz w:val="28"/>
          <w:szCs w:val="28"/>
        </w:rPr>
        <w:t>期（20</w:t>
      </w:r>
      <w:r>
        <w:rPr>
          <w:rFonts w:hint="eastAsia" w:eastAsia="仿宋_GB2312"/>
          <w:b/>
          <w:bCs/>
          <w:sz w:val="28"/>
          <w:szCs w:val="28"/>
        </w:rPr>
        <w:t>26</w:t>
      </w:r>
      <w:r>
        <w:rPr>
          <w:rFonts w:eastAsia="仿宋_GB2312"/>
          <w:b/>
          <w:bCs/>
          <w:sz w:val="28"/>
          <w:szCs w:val="28"/>
        </w:rPr>
        <w:t>-20</w:t>
      </w:r>
      <w:r>
        <w:rPr>
          <w:rFonts w:hint="eastAsia" w:eastAsia="仿宋_GB2312"/>
          <w:b/>
          <w:bCs/>
          <w:sz w:val="28"/>
          <w:szCs w:val="28"/>
        </w:rPr>
        <w:t>30</w:t>
      </w:r>
      <w:r>
        <w:rPr>
          <w:rFonts w:eastAsia="仿宋_GB2312"/>
          <w:b/>
          <w:bCs/>
          <w:sz w:val="28"/>
          <w:szCs w:val="28"/>
        </w:rPr>
        <w:t>年）。</w:t>
      </w:r>
      <w:r>
        <w:rPr>
          <w:rFonts w:eastAsia="仿宋_GB2312"/>
          <w:sz w:val="28"/>
          <w:szCs w:val="28"/>
        </w:rPr>
        <w:t>进一步巩固提升</w:t>
      </w:r>
      <w:r>
        <w:rPr>
          <w:rFonts w:hint="eastAsia" w:eastAsia="仿宋_GB2312"/>
          <w:sz w:val="28"/>
          <w:szCs w:val="28"/>
        </w:rPr>
        <w:t>静乐县</w:t>
      </w:r>
      <w:r>
        <w:rPr>
          <w:rFonts w:eastAsia="仿宋_GB2312"/>
          <w:sz w:val="28"/>
          <w:szCs w:val="28"/>
        </w:rPr>
        <w:t>生态文明建设示范区各方面的建设水平，人居环境明显提高，民生得到明显改善，生态制度全面完备，资源节约型、环境友好型社会基本建成，经济发展和社会事业达到主要发达经济体水平，尊重自然、顺应自然</w:t>
      </w:r>
      <w:r>
        <w:rPr>
          <w:rFonts w:hint="eastAsia" w:eastAsia="仿宋_GB2312"/>
          <w:sz w:val="28"/>
          <w:szCs w:val="28"/>
        </w:rPr>
        <w:t>、</w:t>
      </w:r>
      <w:r>
        <w:rPr>
          <w:rFonts w:eastAsia="仿宋_GB2312"/>
          <w:sz w:val="28"/>
          <w:szCs w:val="28"/>
        </w:rPr>
        <w:t>保护自然的意识得到牢固树立，生态文明建设水平与经济社会发展相适应，创建具有“</w:t>
      </w:r>
      <w:r>
        <w:rPr>
          <w:rFonts w:hint="eastAsia" w:eastAsia="仿宋_GB2312"/>
          <w:sz w:val="28"/>
          <w:szCs w:val="28"/>
        </w:rPr>
        <w:t>静乐</w:t>
      </w:r>
      <w:r>
        <w:rPr>
          <w:rFonts w:eastAsia="仿宋_GB2312"/>
          <w:sz w:val="28"/>
          <w:szCs w:val="28"/>
        </w:rPr>
        <w:t>特色”的生态文明建设示范区</w:t>
      </w:r>
      <w:r>
        <w:rPr>
          <w:rFonts w:hint="eastAsia" w:eastAsia="仿宋_GB2312"/>
          <w:sz w:val="28"/>
          <w:szCs w:val="28"/>
        </w:rPr>
        <w:t>，</w:t>
      </w:r>
      <w:r>
        <w:rPr>
          <w:rFonts w:hint="eastAsia" w:ascii="仿宋_GB2312" w:hAnsi="仿宋_GB2312" w:eastAsia="仿宋_GB2312" w:cs="仿宋_GB2312"/>
          <w:sz w:val="28"/>
          <w:szCs w:val="28"/>
        </w:rPr>
        <w:t>打造</w:t>
      </w:r>
      <w:r>
        <w:rPr>
          <w:rFonts w:hint="eastAsia" w:eastAsia="仿宋_GB2312"/>
          <w:sz w:val="28"/>
          <w:szCs w:val="28"/>
        </w:rPr>
        <w:t>全省乃至全国</w:t>
      </w:r>
      <w:r>
        <w:rPr>
          <w:rFonts w:hint="eastAsia" w:ascii="仿宋_GB2312" w:hAnsi="仿宋_GB2312" w:eastAsia="仿宋_GB2312" w:cs="仿宋_GB2312"/>
          <w:sz w:val="28"/>
          <w:szCs w:val="28"/>
        </w:rPr>
        <w:t>绿色发展美丽典范。</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178" w:name="_Toc27455"/>
      <w:bookmarkStart w:id="179" w:name="_Toc19257"/>
      <w:bookmarkStart w:id="180" w:name="_Toc5908"/>
      <w:bookmarkStart w:id="181" w:name="_Toc2438"/>
      <w:bookmarkStart w:id="182" w:name="_Toc31176"/>
      <w:r>
        <w:rPr>
          <w:rFonts w:ascii="Times New Roman" w:hAnsi="Times New Roman" w:eastAsia="楷体_GB2312"/>
          <w:kern w:val="0"/>
          <w:sz w:val="30"/>
          <w:szCs w:val="30"/>
        </w:rPr>
        <w:t>（六）</w:t>
      </w:r>
      <w:bookmarkEnd w:id="171"/>
      <w:bookmarkEnd w:id="172"/>
      <w:bookmarkEnd w:id="173"/>
      <w:bookmarkEnd w:id="174"/>
      <w:bookmarkEnd w:id="175"/>
      <w:bookmarkEnd w:id="176"/>
      <w:bookmarkEnd w:id="177"/>
      <w:bookmarkEnd w:id="178"/>
      <w:bookmarkEnd w:id="179"/>
      <w:bookmarkEnd w:id="180"/>
      <w:bookmarkEnd w:id="181"/>
      <w:r>
        <w:rPr>
          <w:rFonts w:hint="eastAsia" w:ascii="Times New Roman" w:hAnsi="Times New Roman" w:eastAsia="楷体_GB2312"/>
          <w:kern w:val="0"/>
          <w:sz w:val="30"/>
          <w:szCs w:val="30"/>
        </w:rPr>
        <w:t>建设指标</w:t>
      </w:r>
      <w:bookmarkEnd w:id="182"/>
    </w:p>
    <w:p>
      <w:pPr>
        <w:spacing w:line="600" w:lineRule="exact"/>
        <w:ind w:firstLine="560" w:firstLineChars="200"/>
        <w:rPr>
          <w:rFonts w:eastAsia="仿宋_GB2312"/>
          <w:sz w:val="28"/>
          <w:szCs w:val="28"/>
        </w:rPr>
      </w:pPr>
      <w:r>
        <w:rPr>
          <w:rFonts w:eastAsia="仿宋_GB2312"/>
          <w:sz w:val="28"/>
          <w:szCs w:val="28"/>
        </w:rPr>
        <w:t>根据《国家生态文明建设示范区建设指标（修订版）》，结合《山西</w:t>
      </w:r>
      <w:r>
        <w:rPr>
          <w:rFonts w:hint="eastAsia" w:eastAsia="仿宋_GB2312"/>
          <w:sz w:val="28"/>
          <w:szCs w:val="28"/>
          <w:lang w:val="en-US" w:eastAsia="zh-CN"/>
        </w:rPr>
        <w:t>省</w:t>
      </w:r>
      <w:r>
        <w:rPr>
          <w:rFonts w:eastAsia="仿宋_GB2312"/>
          <w:sz w:val="28"/>
          <w:szCs w:val="28"/>
        </w:rPr>
        <w:t>级生态文明建设示范区建设指标（试行）》，结合</w:t>
      </w:r>
      <w:r>
        <w:rPr>
          <w:rFonts w:hint="eastAsia" w:eastAsia="仿宋_GB2312"/>
          <w:sz w:val="28"/>
          <w:szCs w:val="28"/>
        </w:rPr>
        <w:t>静乐县</w:t>
      </w:r>
      <w:r>
        <w:rPr>
          <w:rFonts w:eastAsia="仿宋_GB2312"/>
          <w:sz w:val="28"/>
          <w:szCs w:val="28"/>
        </w:rPr>
        <w:t>实际情况，制定了</w:t>
      </w:r>
      <w:r>
        <w:rPr>
          <w:rFonts w:hint="eastAsia" w:eastAsia="仿宋_GB2312"/>
          <w:sz w:val="28"/>
          <w:szCs w:val="28"/>
        </w:rPr>
        <w:t>静乐县</w:t>
      </w:r>
      <w:r>
        <w:rPr>
          <w:rFonts w:eastAsia="仿宋_GB2312"/>
          <w:sz w:val="28"/>
          <w:szCs w:val="28"/>
        </w:rPr>
        <w:t>国家生态文明建设示范区指标</w:t>
      </w:r>
      <w:r>
        <w:rPr>
          <w:rFonts w:hint="eastAsia" w:eastAsia="仿宋_GB2312"/>
          <w:sz w:val="28"/>
          <w:szCs w:val="28"/>
        </w:rPr>
        <w:t>体系</w:t>
      </w:r>
      <w:r>
        <w:rPr>
          <w:rFonts w:eastAsia="仿宋_GB2312"/>
          <w:sz w:val="28"/>
          <w:szCs w:val="28"/>
        </w:rPr>
        <w:t>。</w:t>
      </w:r>
      <w:r>
        <w:rPr>
          <w:rFonts w:hint="eastAsia" w:eastAsia="仿宋_GB2312"/>
          <w:sz w:val="28"/>
          <w:szCs w:val="28"/>
        </w:rPr>
        <w:t>指标体系</w:t>
      </w:r>
      <w:r>
        <w:rPr>
          <w:rFonts w:eastAsia="仿宋_GB2312"/>
          <w:sz w:val="28"/>
          <w:szCs w:val="28"/>
        </w:rPr>
        <w:t>包括生态制度、生态安全、生态空间、生态经济、生态生活、生态文化等6个领域10个方面，共涉及</w:t>
      </w:r>
      <w:r>
        <w:rPr>
          <w:rFonts w:hint="eastAsia" w:eastAsia="仿宋_GB2312"/>
          <w:sz w:val="28"/>
          <w:szCs w:val="28"/>
        </w:rPr>
        <w:t>38</w:t>
      </w:r>
      <w:r>
        <w:rPr>
          <w:rFonts w:eastAsia="仿宋_GB2312"/>
          <w:sz w:val="28"/>
          <w:szCs w:val="28"/>
        </w:rPr>
        <w:t>项指标，其中约束性指标</w:t>
      </w:r>
      <w:r>
        <w:rPr>
          <w:rFonts w:hint="eastAsia" w:eastAsia="仿宋_GB2312"/>
          <w:sz w:val="28"/>
          <w:szCs w:val="28"/>
        </w:rPr>
        <w:t>23</w:t>
      </w:r>
      <w:r>
        <w:rPr>
          <w:rFonts w:eastAsia="仿宋_GB2312"/>
          <w:sz w:val="28"/>
          <w:szCs w:val="28"/>
        </w:rPr>
        <w:t>个，参考性指标</w:t>
      </w:r>
      <w:r>
        <w:rPr>
          <w:rFonts w:hint="eastAsia" w:eastAsia="仿宋_GB2312"/>
          <w:sz w:val="28"/>
          <w:szCs w:val="28"/>
        </w:rPr>
        <w:t>15</w:t>
      </w:r>
      <w:r>
        <w:rPr>
          <w:rFonts w:eastAsia="仿宋_GB2312"/>
          <w:sz w:val="28"/>
          <w:szCs w:val="28"/>
        </w:rPr>
        <w:t>个</w:t>
      </w:r>
      <w:r>
        <w:rPr>
          <w:rFonts w:hint="eastAsia" w:eastAsia="仿宋_GB2312"/>
          <w:sz w:val="28"/>
          <w:szCs w:val="28"/>
        </w:rPr>
        <w:t>。</w:t>
      </w:r>
    </w:p>
    <w:p>
      <w:pPr>
        <w:spacing w:line="600" w:lineRule="exact"/>
        <w:ind w:firstLine="560" w:firstLineChars="200"/>
        <w:rPr>
          <w:rFonts w:eastAsia="仿宋_GB2312"/>
          <w:sz w:val="28"/>
          <w:szCs w:val="28"/>
        </w:rPr>
      </w:pPr>
      <w:r>
        <w:rPr>
          <w:rFonts w:hint="eastAsia" w:eastAsia="仿宋_GB2312"/>
          <w:sz w:val="28"/>
          <w:szCs w:val="28"/>
        </w:rPr>
        <w:t>根据</w:t>
      </w:r>
      <w:r>
        <w:rPr>
          <w:rFonts w:eastAsia="仿宋_GB2312"/>
          <w:sz w:val="28"/>
          <w:szCs w:val="28"/>
        </w:rPr>
        <w:t>202</w:t>
      </w:r>
      <w:r>
        <w:rPr>
          <w:rFonts w:hint="eastAsia" w:eastAsia="仿宋_GB2312"/>
          <w:sz w:val="28"/>
          <w:szCs w:val="28"/>
        </w:rPr>
        <w:t>2</w:t>
      </w:r>
      <w:r>
        <w:rPr>
          <w:rFonts w:eastAsia="仿宋_GB2312"/>
          <w:sz w:val="28"/>
          <w:szCs w:val="28"/>
        </w:rPr>
        <w:t>年</w:t>
      </w:r>
      <w:r>
        <w:rPr>
          <w:rFonts w:hint="eastAsia" w:eastAsia="仿宋_GB2312"/>
          <w:sz w:val="28"/>
          <w:szCs w:val="28"/>
        </w:rPr>
        <w:t>静乐县</w:t>
      </w:r>
      <w:r>
        <w:rPr>
          <w:rFonts w:eastAsia="仿宋_GB2312"/>
          <w:sz w:val="28"/>
          <w:szCs w:val="28"/>
        </w:rPr>
        <w:t>统计数据，对照38项考核指标要求，</w:t>
      </w:r>
      <w:r>
        <w:rPr>
          <w:rFonts w:hint="eastAsia" w:eastAsia="仿宋_GB2312"/>
          <w:sz w:val="28"/>
          <w:szCs w:val="28"/>
        </w:rPr>
        <w:t>其中</w:t>
      </w:r>
      <w:r>
        <w:rPr>
          <w:rFonts w:eastAsia="仿宋_GB2312"/>
          <w:sz w:val="28"/>
          <w:szCs w:val="28"/>
        </w:rPr>
        <w:t>3</w:t>
      </w:r>
      <w:r>
        <w:rPr>
          <w:rFonts w:hint="eastAsia" w:eastAsia="仿宋_GB2312"/>
          <w:sz w:val="28"/>
          <w:szCs w:val="28"/>
        </w:rPr>
        <w:t>7</w:t>
      </w:r>
      <w:r>
        <w:rPr>
          <w:rFonts w:eastAsia="仿宋_GB2312"/>
          <w:sz w:val="28"/>
          <w:szCs w:val="28"/>
        </w:rPr>
        <w:t>项指标已达标，</w:t>
      </w:r>
      <w:r>
        <w:rPr>
          <w:rFonts w:hint="eastAsia" w:eastAsia="仿宋_GB2312"/>
          <w:sz w:val="28"/>
          <w:szCs w:val="28"/>
        </w:rPr>
        <w:t>1</w:t>
      </w:r>
      <w:r>
        <w:rPr>
          <w:rFonts w:eastAsia="仿宋_GB2312"/>
          <w:sz w:val="28"/>
          <w:szCs w:val="28"/>
        </w:rPr>
        <w:t>项指标未达标，为生态文明建设示范区规划（约束性）。</w:t>
      </w:r>
    </w:p>
    <w:p>
      <w:pPr>
        <w:spacing w:line="600" w:lineRule="exact"/>
        <w:ind w:firstLine="560" w:firstLineChars="200"/>
        <w:rPr>
          <w:rFonts w:eastAsia="仿宋_GB2312"/>
          <w:sz w:val="28"/>
          <w:szCs w:val="28"/>
        </w:rPr>
      </w:pPr>
      <w:r>
        <w:rPr>
          <w:rFonts w:eastAsia="仿宋_GB2312"/>
          <w:sz w:val="28"/>
          <w:szCs w:val="28"/>
        </w:rPr>
        <w:t>静乐县国家生态文明建设示范区指标体系见表</w:t>
      </w:r>
      <w:r>
        <w:rPr>
          <w:rFonts w:hint="eastAsia" w:eastAsia="仿宋_GB2312"/>
          <w:sz w:val="28"/>
          <w:szCs w:val="28"/>
        </w:rPr>
        <w:t>2</w:t>
      </w:r>
      <w:r>
        <w:rPr>
          <w:rFonts w:eastAsia="仿宋_GB2312"/>
          <w:sz w:val="28"/>
          <w:szCs w:val="28"/>
        </w:rPr>
        <w:t>-1。</w:t>
      </w:r>
    </w:p>
    <w:p>
      <w:pPr>
        <w:spacing w:line="600" w:lineRule="exact"/>
        <w:ind w:firstLine="560" w:firstLineChars="200"/>
        <w:contextualSpacing/>
        <w:rPr>
          <w:rFonts w:eastAsia="仿宋_GB2312"/>
          <w:sz w:val="28"/>
          <w:szCs w:val="28"/>
        </w:rPr>
      </w:pPr>
    </w:p>
    <w:p>
      <w:pPr>
        <w:spacing w:line="600" w:lineRule="exact"/>
        <w:ind w:firstLine="560" w:firstLineChars="200"/>
        <w:contextualSpacing/>
        <w:rPr>
          <w:rFonts w:eastAsia="仿宋_GB2312"/>
          <w:sz w:val="28"/>
          <w:szCs w:val="28"/>
        </w:rPr>
        <w:sectPr>
          <w:pgSz w:w="11906" w:h="16838"/>
          <w:pgMar w:top="1440" w:right="1800" w:bottom="1440" w:left="1800" w:header="851" w:footer="992" w:gutter="0"/>
          <w:cols w:space="720" w:num="1"/>
          <w:docGrid w:type="lines" w:linePitch="312" w:charSpace="0"/>
        </w:sectPr>
      </w:pPr>
    </w:p>
    <w:p>
      <w:pPr>
        <w:pStyle w:val="55"/>
        <w:snapToGrid w:val="0"/>
        <w:spacing w:line="600" w:lineRule="exact"/>
        <w:ind w:firstLine="482" w:firstLineChars="200"/>
        <w:jc w:val="center"/>
        <w:rPr>
          <w:rFonts w:eastAsia="仿宋_GB2312"/>
          <w:sz w:val="28"/>
          <w:szCs w:val="28"/>
        </w:rPr>
      </w:pPr>
      <w:r>
        <w:rPr>
          <w:rFonts w:eastAsia="仿宋_GB2312"/>
          <w:b/>
          <w:bCs/>
        </w:rPr>
        <w:t xml:space="preserve">表2-1  </w:t>
      </w:r>
      <w:r>
        <w:rPr>
          <w:rFonts w:eastAsia="仿宋_GB2312"/>
          <w:b/>
          <w:bCs/>
          <w:szCs w:val="21"/>
        </w:rPr>
        <w:t xml:space="preserve"> </w:t>
      </w:r>
      <w:r>
        <w:rPr>
          <w:rFonts w:hint="eastAsia" w:eastAsia="仿宋_GB2312"/>
          <w:b/>
          <w:bCs/>
          <w:szCs w:val="21"/>
        </w:rPr>
        <w:t>静乐县</w:t>
      </w:r>
      <w:r>
        <w:rPr>
          <w:rFonts w:eastAsia="仿宋_GB2312"/>
          <w:b/>
          <w:bCs/>
          <w:szCs w:val="21"/>
        </w:rPr>
        <w:t>国家生态文明建设示范区指标</w:t>
      </w:r>
      <w:r>
        <w:rPr>
          <w:rFonts w:hint="eastAsia" w:eastAsia="仿宋_GB2312"/>
          <w:b/>
          <w:bCs/>
          <w:szCs w:val="21"/>
        </w:rPr>
        <w:t>体系</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011"/>
        <w:gridCol w:w="740"/>
        <w:gridCol w:w="5128"/>
        <w:gridCol w:w="800"/>
        <w:gridCol w:w="2014"/>
        <w:gridCol w:w="1705"/>
        <w:gridCol w:w="3584"/>
        <w:gridCol w:w="719"/>
        <w:gridCol w:w="2386"/>
        <w:gridCol w:w="23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blHeader/>
          <w:jc w:val="center"/>
        </w:trPr>
        <w:tc>
          <w:tcPr>
            <w:tcW w:w="173"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领域</w:t>
            </w:r>
          </w:p>
        </w:tc>
        <w:tc>
          <w:tcPr>
            <w:tcW w:w="239"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任务</w:t>
            </w: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序号</w:t>
            </w:r>
          </w:p>
        </w:tc>
        <w:tc>
          <w:tcPr>
            <w:tcW w:w="1212"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指标名称</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单位</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指标值</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指标</w:t>
            </w:r>
          </w:p>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属性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现状值</w:t>
            </w:r>
          </w:p>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（202</w:t>
            </w:r>
            <w:r>
              <w:rPr>
                <w:rFonts w:hint="eastAsia" w:eastAsia="仿宋_GB2312"/>
                <w:b/>
                <w:bCs/>
                <w:sz w:val="21"/>
                <w:szCs w:val="21"/>
              </w:rPr>
              <w:t>2</w:t>
            </w:r>
            <w:r>
              <w:rPr>
                <w:rFonts w:eastAsia="仿宋_GB2312"/>
                <w:b/>
                <w:bCs/>
                <w:sz w:val="21"/>
                <w:szCs w:val="21"/>
              </w:rPr>
              <w:t>年）</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是否达标</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hint="eastAsia" w:eastAsia="仿宋_GB2312"/>
                <w:b/>
                <w:bCs/>
                <w:sz w:val="21"/>
                <w:szCs w:val="21"/>
              </w:rPr>
              <w:t>近期目标</w:t>
            </w:r>
          </w:p>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（20</w:t>
            </w:r>
            <w:r>
              <w:rPr>
                <w:rFonts w:hint="eastAsia" w:eastAsia="仿宋_GB2312"/>
                <w:b/>
                <w:bCs/>
                <w:sz w:val="21"/>
                <w:szCs w:val="21"/>
              </w:rPr>
              <w:t>25</w:t>
            </w:r>
            <w:r>
              <w:rPr>
                <w:rFonts w:eastAsia="仿宋_GB2312"/>
                <w:b/>
                <w:bCs/>
                <w:sz w:val="21"/>
                <w:szCs w:val="21"/>
              </w:rPr>
              <w:t>年）</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b/>
                <w:bCs/>
                <w:sz w:val="21"/>
                <w:szCs w:val="21"/>
              </w:rPr>
            </w:pPr>
            <w:r>
              <w:rPr>
                <w:rFonts w:hint="eastAsia" w:eastAsia="仿宋_GB2312"/>
                <w:b/>
                <w:bCs/>
                <w:sz w:val="21"/>
                <w:szCs w:val="21"/>
              </w:rPr>
              <w:t>中远期目标</w:t>
            </w:r>
          </w:p>
          <w:p>
            <w:pPr>
              <w:pStyle w:val="55"/>
              <w:adjustRightInd w:val="0"/>
              <w:snapToGrid w:val="0"/>
              <w:spacing w:beforeLines="20" w:afterLines="20" w:line="240" w:lineRule="auto"/>
              <w:jc w:val="center"/>
              <w:rPr>
                <w:rFonts w:eastAsia="仿宋_GB2312"/>
                <w:b/>
                <w:bCs/>
                <w:sz w:val="21"/>
                <w:szCs w:val="21"/>
              </w:rPr>
            </w:pPr>
            <w:r>
              <w:rPr>
                <w:rFonts w:eastAsia="仿宋_GB2312"/>
                <w:b/>
                <w:bCs/>
                <w:sz w:val="21"/>
                <w:szCs w:val="21"/>
              </w:rPr>
              <w:t>（20</w:t>
            </w:r>
            <w:r>
              <w:rPr>
                <w:rFonts w:hint="eastAsia" w:eastAsia="仿宋_GB2312"/>
                <w:b/>
                <w:bCs/>
                <w:sz w:val="21"/>
                <w:szCs w:val="21"/>
              </w:rPr>
              <w:t>30</w:t>
            </w:r>
            <w:r>
              <w:rPr>
                <w:rFonts w:eastAsia="仿宋_GB2312"/>
                <w:b/>
                <w:bCs/>
                <w:sz w:val="21"/>
                <w:szCs w:val="21"/>
              </w:rPr>
              <w:t>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生态制度</w:t>
            </w:r>
          </w:p>
        </w:tc>
        <w:tc>
          <w:tcPr>
            <w:tcW w:w="239"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（一）目标责任体系与制度建设</w:t>
            </w: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w:t>
            </w:r>
          </w:p>
        </w:tc>
        <w:tc>
          <w:tcPr>
            <w:tcW w:w="1212" w:type="pct"/>
            <w:tcBorders>
              <w:tl2br w:val="nil"/>
              <w:tr2bl w:val="nil"/>
            </w:tcBorders>
            <w:vAlign w:val="center"/>
          </w:tcPr>
          <w:p>
            <w:pPr>
              <w:pStyle w:val="55"/>
              <w:adjustRightInd w:val="0"/>
              <w:snapToGrid w:val="0"/>
              <w:spacing w:beforeLines="20" w:afterLines="20" w:line="240" w:lineRule="auto"/>
              <w:jc w:val="left"/>
              <w:rPr>
                <w:rFonts w:eastAsia="仿宋_GB2312"/>
                <w:sz w:val="21"/>
                <w:szCs w:val="21"/>
              </w:rPr>
            </w:pPr>
            <w:r>
              <w:rPr>
                <w:rFonts w:eastAsia="仿宋_GB2312"/>
                <w:sz w:val="21"/>
                <w:szCs w:val="21"/>
              </w:rPr>
              <w:t>生态文明建设规划</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制定实施</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正在制定</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否</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制定实施</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全面实施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2</w:t>
            </w:r>
          </w:p>
        </w:tc>
        <w:tc>
          <w:tcPr>
            <w:tcW w:w="1212" w:type="pct"/>
            <w:tcBorders>
              <w:tl2br w:val="nil"/>
              <w:tr2bl w:val="nil"/>
            </w:tcBorders>
            <w:vAlign w:val="center"/>
          </w:tcPr>
          <w:p>
            <w:pPr>
              <w:pStyle w:val="55"/>
              <w:adjustRightInd w:val="0"/>
              <w:snapToGrid w:val="0"/>
              <w:spacing w:beforeLines="20" w:afterLines="20" w:line="240" w:lineRule="auto"/>
              <w:jc w:val="left"/>
              <w:rPr>
                <w:rFonts w:eastAsia="仿宋_GB2312"/>
                <w:sz w:val="21"/>
                <w:szCs w:val="21"/>
              </w:rPr>
            </w:pPr>
            <w:r>
              <w:rPr>
                <w:rFonts w:eastAsia="仿宋_GB2312"/>
                <w:sz w:val="21"/>
                <w:szCs w:val="21"/>
              </w:rPr>
              <w:t>党委政府对生态文明建设重大目标任务部署情况</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有效开展</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有效开展</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持续开展</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持续开展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3</w:t>
            </w:r>
          </w:p>
        </w:tc>
        <w:tc>
          <w:tcPr>
            <w:tcW w:w="1212" w:type="pct"/>
            <w:tcBorders>
              <w:tl2br w:val="nil"/>
              <w:tr2bl w:val="nil"/>
            </w:tcBorders>
            <w:vAlign w:val="center"/>
          </w:tcPr>
          <w:p>
            <w:pPr>
              <w:pStyle w:val="55"/>
              <w:adjustRightInd w:val="0"/>
              <w:snapToGrid w:val="0"/>
              <w:spacing w:beforeLines="20" w:afterLines="20" w:line="240" w:lineRule="auto"/>
              <w:jc w:val="left"/>
              <w:rPr>
                <w:rFonts w:eastAsia="仿宋_GB2312"/>
                <w:sz w:val="21"/>
                <w:szCs w:val="21"/>
              </w:rPr>
            </w:pPr>
            <w:r>
              <w:rPr>
                <w:rFonts w:eastAsia="仿宋_GB2312"/>
                <w:sz w:val="21"/>
                <w:szCs w:val="21"/>
              </w:rPr>
              <w:t>生态文明建设工作占党政实绩考核的比例</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≥20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28</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w:t>
            </w:r>
            <w:r>
              <w:rPr>
                <w:rFonts w:hint="eastAsia" w:eastAsia="仿宋_GB2312"/>
                <w:sz w:val="21"/>
                <w:szCs w:val="21"/>
              </w:rPr>
              <w:t>提升</w:t>
            </w:r>
          </w:p>
        </w:tc>
        <w:tc>
          <w:tcPr>
            <w:tcW w:w="548" w:type="pct"/>
            <w:tcBorders>
              <w:tl2br w:val="nil"/>
              <w:tr2bl w:val="nil"/>
            </w:tcBorders>
            <w:vAlign w:val="center"/>
          </w:tcPr>
          <w:p>
            <w:pPr>
              <w:adjustRightInd w:val="0"/>
              <w:snapToGrid w:val="0"/>
              <w:spacing w:beforeLines="20" w:afterLines="20"/>
              <w:jc w:val="center"/>
              <w:rPr>
                <w:rFonts w:eastAsia="仿宋_GB2312"/>
                <w:szCs w:val="21"/>
              </w:rPr>
            </w:pPr>
            <w:r>
              <w:rPr>
                <w:rFonts w:eastAsia="仿宋_GB2312"/>
                <w:szCs w:val="21"/>
              </w:rPr>
              <w:t>保持稳定或持续</w:t>
            </w:r>
            <w:r>
              <w:rPr>
                <w:rFonts w:hint="eastAsia" w:eastAsia="仿宋_GB2312"/>
                <w:szCs w:val="21"/>
              </w:rPr>
              <w:t>提升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4</w:t>
            </w:r>
          </w:p>
        </w:tc>
        <w:tc>
          <w:tcPr>
            <w:tcW w:w="1212" w:type="pct"/>
            <w:tcBorders>
              <w:tl2br w:val="nil"/>
              <w:tr2bl w:val="nil"/>
            </w:tcBorders>
            <w:vAlign w:val="center"/>
          </w:tcPr>
          <w:p>
            <w:pPr>
              <w:pStyle w:val="55"/>
              <w:adjustRightInd w:val="0"/>
              <w:snapToGrid w:val="0"/>
              <w:spacing w:beforeLines="20" w:afterLines="20" w:line="240" w:lineRule="auto"/>
              <w:jc w:val="left"/>
              <w:rPr>
                <w:rFonts w:eastAsia="仿宋_GB2312"/>
                <w:sz w:val="21"/>
                <w:szCs w:val="21"/>
              </w:rPr>
            </w:pPr>
            <w:r>
              <w:rPr>
                <w:rFonts w:eastAsia="仿宋_GB2312"/>
                <w:sz w:val="21"/>
                <w:szCs w:val="21"/>
              </w:rPr>
              <w:t>河长制</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全面实施</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全面实施</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持续开展</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持续开展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5</w:t>
            </w:r>
          </w:p>
        </w:tc>
        <w:tc>
          <w:tcPr>
            <w:tcW w:w="1212" w:type="pct"/>
            <w:tcBorders>
              <w:tl2br w:val="nil"/>
              <w:tr2bl w:val="nil"/>
            </w:tcBorders>
            <w:vAlign w:val="center"/>
          </w:tcPr>
          <w:p>
            <w:pPr>
              <w:pStyle w:val="55"/>
              <w:adjustRightInd w:val="0"/>
              <w:snapToGrid w:val="0"/>
              <w:spacing w:beforeLines="20" w:afterLines="20" w:line="240" w:lineRule="auto"/>
              <w:jc w:val="left"/>
              <w:rPr>
                <w:rFonts w:eastAsia="仿宋_GB2312"/>
                <w:sz w:val="21"/>
                <w:szCs w:val="21"/>
              </w:rPr>
            </w:pPr>
            <w:r>
              <w:rPr>
                <w:rFonts w:eastAsia="仿宋_GB2312"/>
                <w:sz w:val="21"/>
                <w:szCs w:val="21"/>
              </w:rPr>
              <w:t>生态环境信息公开率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6</w:t>
            </w:r>
          </w:p>
        </w:tc>
        <w:tc>
          <w:tcPr>
            <w:tcW w:w="1212" w:type="pct"/>
            <w:tcBorders>
              <w:tl2br w:val="nil"/>
              <w:tr2bl w:val="nil"/>
            </w:tcBorders>
            <w:vAlign w:val="center"/>
          </w:tcPr>
          <w:p>
            <w:pPr>
              <w:pStyle w:val="55"/>
              <w:adjustRightInd w:val="0"/>
              <w:snapToGrid w:val="0"/>
              <w:spacing w:beforeLines="20" w:afterLines="20" w:line="240" w:lineRule="auto"/>
              <w:jc w:val="left"/>
              <w:rPr>
                <w:rFonts w:eastAsia="仿宋_GB2312"/>
                <w:sz w:val="21"/>
                <w:szCs w:val="21"/>
              </w:rPr>
            </w:pPr>
            <w:r>
              <w:rPr>
                <w:rFonts w:eastAsia="仿宋_GB2312"/>
                <w:sz w:val="21"/>
                <w:szCs w:val="21"/>
              </w:rPr>
              <w:t>依法开展规划环境影响评价</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开展</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已开展</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已开展</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持续开展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生态安全</w:t>
            </w:r>
          </w:p>
        </w:tc>
        <w:tc>
          <w:tcPr>
            <w:tcW w:w="239"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（二）生态环境质量改善</w:t>
            </w: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7</w:t>
            </w:r>
          </w:p>
        </w:tc>
        <w:tc>
          <w:tcPr>
            <w:tcW w:w="1212" w:type="pct"/>
            <w:tcBorders>
              <w:tl2br w:val="nil"/>
              <w:tr2bl w:val="nil"/>
            </w:tcBorders>
            <w:vAlign w:val="center"/>
          </w:tcPr>
          <w:p>
            <w:pPr>
              <w:pStyle w:val="55"/>
              <w:adjustRightInd w:val="0"/>
              <w:snapToGrid w:val="0"/>
              <w:spacing w:beforeLines="20" w:afterLines="20" w:line="240" w:lineRule="auto"/>
              <w:jc w:val="left"/>
              <w:rPr>
                <w:rFonts w:eastAsia="仿宋_GB2312"/>
                <w:sz w:val="21"/>
                <w:szCs w:val="21"/>
              </w:rPr>
            </w:pPr>
            <w:r>
              <w:rPr>
                <w:rFonts w:eastAsia="仿宋_GB2312"/>
                <w:sz w:val="21"/>
                <w:szCs w:val="21"/>
              </w:rPr>
              <w:t>环境空气质量：</w:t>
            </w:r>
          </w:p>
          <w:p>
            <w:pPr>
              <w:pStyle w:val="55"/>
              <w:adjustRightInd w:val="0"/>
              <w:snapToGrid w:val="0"/>
              <w:spacing w:beforeLines="20" w:afterLines="20" w:line="240" w:lineRule="auto"/>
              <w:ind w:firstLine="210" w:firstLineChars="100"/>
              <w:jc w:val="left"/>
              <w:rPr>
                <w:rFonts w:eastAsia="仿宋_GB2312"/>
                <w:sz w:val="21"/>
                <w:szCs w:val="21"/>
              </w:rPr>
            </w:pPr>
            <w:r>
              <w:rPr>
                <w:rFonts w:eastAsia="仿宋_GB2312"/>
                <w:sz w:val="21"/>
                <w:szCs w:val="21"/>
              </w:rPr>
              <w:t>优良天数比例</w:t>
            </w:r>
          </w:p>
          <w:p>
            <w:pPr>
              <w:pStyle w:val="55"/>
              <w:adjustRightInd w:val="0"/>
              <w:snapToGrid w:val="0"/>
              <w:spacing w:beforeLines="20" w:afterLines="20" w:line="240" w:lineRule="auto"/>
              <w:ind w:firstLine="210" w:firstLineChars="100"/>
              <w:jc w:val="left"/>
              <w:rPr>
                <w:rFonts w:eastAsia="仿宋_GB2312"/>
                <w:sz w:val="21"/>
                <w:szCs w:val="21"/>
              </w:rPr>
            </w:pPr>
            <w:r>
              <w:rPr>
                <w:rFonts w:eastAsia="仿宋_GB2312"/>
                <w:sz w:val="21"/>
                <w:szCs w:val="21"/>
              </w:rPr>
              <w:t>PM</w:t>
            </w:r>
            <w:r>
              <w:rPr>
                <w:rFonts w:eastAsia="仿宋_GB2312"/>
                <w:sz w:val="21"/>
                <w:szCs w:val="21"/>
                <w:vertAlign w:val="subscript"/>
              </w:rPr>
              <w:t>2.5</w:t>
            </w:r>
            <w:r>
              <w:rPr>
                <w:rFonts w:eastAsia="仿宋_GB2312"/>
                <w:sz w:val="21"/>
                <w:szCs w:val="21"/>
              </w:rPr>
              <w:t>浓度下降幅度</w:t>
            </w:r>
          </w:p>
          <w:p>
            <w:pPr>
              <w:pStyle w:val="55"/>
              <w:adjustRightInd w:val="0"/>
              <w:snapToGrid w:val="0"/>
              <w:spacing w:beforeLines="20" w:afterLines="20" w:line="240" w:lineRule="auto"/>
              <w:ind w:firstLine="210" w:firstLineChars="100"/>
              <w:jc w:val="left"/>
              <w:rPr>
                <w:rFonts w:eastAsia="仿宋_GB2312"/>
                <w:sz w:val="21"/>
                <w:szCs w:val="21"/>
              </w:rPr>
            </w:pPr>
            <w:r>
              <w:rPr>
                <w:rFonts w:hint="eastAsia" w:eastAsia="仿宋_GB2312"/>
                <w:kern w:val="0"/>
                <w:sz w:val="21"/>
                <w:szCs w:val="21"/>
              </w:rPr>
              <w:t>*</w:t>
            </w:r>
            <w:r>
              <w:rPr>
                <w:rFonts w:eastAsia="仿宋_GB2312"/>
                <w:kern w:val="0"/>
                <w:sz w:val="21"/>
                <w:szCs w:val="21"/>
              </w:rPr>
              <w:t>重污染天数比率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p>
            <w:pPr>
              <w:pStyle w:val="55"/>
              <w:adjustRightInd w:val="0"/>
              <w:snapToGrid w:val="0"/>
              <w:spacing w:beforeLines="20" w:afterLines="20" w:line="240" w:lineRule="auto"/>
              <w:jc w:val="center"/>
              <w:rPr>
                <w:rFonts w:eastAsia="仿宋_GB2312"/>
                <w:sz w:val="21"/>
                <w:szCs w:val="21"/>
              </w:rPr>
            </w:pPr>
            <w:r>
              <w:rPr>
                <w:rFonts w:eastAsia="仿宋_GB2312"/>
                <w:kern w:val="0"/>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完成上级规定的考核任务；保持稳定或持续改善</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优良天数比例为</w:t>
            </w:r>
            <w:r>
              <w:rPr>
                <w:rFonts w:hint="eastAsia" w:eastAsia="仿宋_GB2312"/>
                <w:sz w:val="21"/>
                <w:szCs w:val="21"/>
              </w:rPr>
              <w:t>90.4</w:t>
            </w:r>
            <w:r>
              <w:rPr>
                <w:rFonts w:eastAsia="仿宋_GB2312"/>
                <w:sz w:val="21"/>
                <w:szCs w:val="21"/>
              </w:rPr>
              <w:t>%，PM</w:t>
            </w:r>
            <w:r>
              <w:rPr>
                <w:rFonts w:eastAsia="仿宋_GB2312"/>
                <w:sz w:val="21"/>
                <w:szCs w:val="21"/>
                <w:vertAlign w:val="subscript"/>
              </w:rPr>
              <w:t>2.5</w:t>
            </w:r>
            <w:r>
              <w:rPr>
                <w:rFonts w:eastAsia="仿宋_GB2312"/>
                <w:sz w:val="21"/>
                <w:szCs w:val="21"/>
              </w:rPr>
              <w:t>浓度为</w:t>
            </w:r>
            <w:r>
              <w:rPr>
                <w:rFonts w:hint="eastAsia" w:eastAsia="仿宋_GB2312"/>
                <w:sz w:val="21"/>
                <w:szCs w:val="21"/>
              </w:rPr>
              <w:t>24</w:t>
            </w:r>
            <w:r>
              <w:rPr>
                <w:rFonts w:eastAsia="仿宋_GB2312"/>
                <w:sz w:val="21"/>
                <w:szCs w:val="21"/>
              </w:rPr>
              <w:t>ug/m</w:t>
            </w:r>
            <w:r>
              <w:rPr>
                <w:rFonts w:eastAsia="仿宋_GB2312"/>
                <w:sz w:val="21"/>
                <w:szCs w:val="21"/>
                <w:vertAlign w:val="superscript"/>
              </w:rPr>
              <w:t>3</w:t>
            </w:r>
            <w:r>
              <w:rPr>
                <w:rFonts w:eastAsia="仿宋_GB2312"/>
                <w:sz w:val="21"/>
                <w:szCs w:val="21"/>
              </w:rPr>
              <w:t>，</w:t>
            </w:r>
            <w:r>
              <w:rPr>
                <w:rFonts w:hint="eastAsia" w:eastAsia="仿宋_GB2312"/>
                <w:sz w:val="21"/>
                <w:szCs w:val="21"/>
              </w:rPr>
              <w:t>重污染天数1天，环境空气质量保持稳定。</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保持稳定或持续改善</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保持稳定或持续改善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8</w:t>
            </w:r>
          </w:p>
        </w:tc>
        <w:tc>
          <w:tcPr>
            <w:tcW w:w="1212" w:type="pct"/>
            <w:tcBorders>
              <w:tl2br w:val="nil"/>
              <w:tr2bl w:val="nil"/>
            </w:tcBorders>
            <w:vAlign w:val="center"/>
          </w:tcPr>
          <w:p>
            <w:pPr>
              <w:pStyle w:val="55"/>
              <w:snapToGrid w:val="0"/>
              <w:spacing w:line="340" w:lineRule="exact"/>
              <w:jc w:val="left"/>
              <w:rPr>
                <w:rFonts w:eastAsia="仿宋_GB2312"/>
                <w:kern w:val="0"/>
                <w:sz w:val="21"/>
                <w:szCs w:val="21"/>
              </w:rPr>
            </w:pPr>
            <w:r>
              <w:rPr>
                <w:rFonts w:eastAsia="仿宋_GB2312"/>
                <w:kern w:val="0"/>
                <w:sz w:val="21"/>
                <w:szCs w:val="21"/>
              </w:rPr>
              <w:t>水环境质量：</w:t>
            </w:r>
          </w:p>
          <w:p>
            <w:pPr>
              <w:pStyle w:val="55"/>
              <w:snapToGrid w:val="0"/>
              <w:spacing w:line="340" w:lineRule="exact"/>
              <w:ind w:firstLine="210" w:firstLineChars="100"/>
              <w:jc w:val="left"/>
              <w:rPr>
                <w:rFonts w:eastAsia="仿宋_GB2312"/>
                <w:kern w:val="0"/>
                <w:sz w:val="21"/>
                <w:szCs w:val="21"/>
              </w:rPr>
            </w:pPr>
            <w:r>
              <w:rPr>
                <w:rFonts w:eastAsia="仿宋_GB2312"/>
                <w:kern w:val="0"/>
                <w:sz w:val="21"/>
                <w:szCs w:val="21"/>
              </w:rPr>
              <w:t>地表水水质达到或优于Ⅲ类比例</w:t>
            </w:r>
          </w:p>
          <w:p>
            <w:pPr>
              <w:pStyle w:val="55"/>
              <w:snapToGrid w:val="0"/>
              <w:spacing w:line="340" w:lineRule="exact"/>
              <w:ind w:firstLine="210" w:firstLineChars="100"/>
              <w:jc w:val="left"/>
              <w:rPr>
                <w:rFonts w:eastAsia="仿宋_GB2312"/>
                <w:kern w:val="0"/>
                <w:sz w:val="21"/>
                <w:szCs w:val="21"/>
              </w:rPr>
            </w:pPr>
            <w:r>
              <w:rPr>
                <w:rFonts w:eastAsia="仿宋_GB2312"/>
                <w:kern w:val="0"/>
                <w:sz w:val="21"/>
                <w:szCs w:val="21"/>
              </w:rPr>
              <w:t>地表水劣V类水体比例</w:t>
            </w:r>
          </w:p>
          <w:p>
            <w:pPr>
              <w:pStyle w:val="55"/>
              <w:snapToGrid w:val="0"/>
              <w:spacing w:line="340" w:lineRule="exact"/>
              <w:ind w:firstLine="210" w:firstLineChars="100"/>
              <w:jc w:val="left"/>
              <w:rPr>
                <w:rFonts w:eastAsia="仿宋_GB2312"/>
                <w:kern w:val="0"/>
                <w:sz w:val="21"/>
                <w:szCs w:val="21"/>
              </w:rPr>
            </w:pPr>
            <w:r>
              <w:rPr>
                <w:rFonts w:eastAsia="仿宋_GB2312"/>
                <w:kern w:val="0"/>
                <w:sz w:val="21"/>
                <w:szCs w:val="21"/>
              </w:rPr>
              <w:t>地下水国考点区域点位V类水体比例</w:t>
            </w:r>
          </w:p>
          <w:p>
            <w:pPr>
              <w:pStyle w:val="55"/>
              <w:adjustRightInd w:val="0"/>
              <w:snapToGrid w:val="0"/>
              <w:spacing w:beforeLines="20" w:afterLines="20" w:line="240" w:lineRule="auto"/>
              <w:ind w:firstLine="210" w:firstLineChars="100"/>
              <w:jc w:val="left"/>
              <w:rPr>
                <w:rFonts w:eastAsia="仿宋_GB2312"/>
                <w:sz w:val="21"/>
                <w:szCs w:val="21"/>
              </w:rPr>
            </w:pPr>
            <w:r>
              <w:rPr>
                <w:rFonts w:eastAsia="仿宋_GB2312"/>
                <w:kern w:val="0"/>
                <w:sz w:val="21"/>
                <w:szCs w:val="21"/>
              </w:rPr>
              <w:t>黑臭水体消除任务</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完成上级规定的考核任务；保持稳定或持续改善</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w:t>
            </w:r>
            <w:r>
              <w:rPr>
                <w:rFonts w:eastAsia="仿宋_GB2312"/>
                <w:sz w:val="21"/>
                <w:szCs w:val="21"/>
              </w:rPr>
              <w:t>个</w:t>
            </w:r>
            <w:r>
              <w:rPr>
                <w:rFonts w:hint="eastAsia" w:eastAsia="仿宋_GB2312"/>
                <w:sz w:val="21"/>
                <w:szCs w:val="21"/>
              </w:rPr>
              <w:t>地表水</w:t>
            </w:r>
            <w:r>
              <w:rPr>
                <w:rFonts w:eastAsia="仿宋_GB2312"/>
                <w:sz w:val="21"/>
                <w:szCs w:val="21"/>
              </w:rPr>
              <w:t>考核断面为Ⅱ类水质，</w:t>
            </w:r>
            <w:r>
              <w:rPr>
                <w:rFonts w:hint="eastAsia" w:eastAsia="仿宋_GB2312"/>
                <w:sz w:val="21"/>
                <w:szCs w:val="21"/>
              </w:rPr>
              <w:t>完成</w:t>
            </w:r>
            <w:r>
              <w:rPr>
                <w:rFonts w:eastAsia="仿宋_GB2312"/>
                <w:sz w:val="21"/>
                <w:szCs w:val="21"/>
              </w:rPr>
              <w:t>考核要求；无</w:t>
            </w:r>
            <w:r>
              <w:rPr>
                <w:rFonts w:hint="eastAsia" w:eastAsia="仿宋_GB2312"/>
                <w:sz w:val="21"/>
                <w:szCs w:val="21"/>
              </w:rPr>
              <w:t>地表水</w:t>
            </w:r>
            <w:r>
              <w:rPr>
                <w:rFonts w:eastAsia="仿宋_GB2312"/>
                <w:sz w:val="21"/>
                <w:szCs w:val="21"/>
              </w:rPr>
              <w:t>劣V类水体</w:t>
            </w:r>
            <w:r>
              <w:rPr>
                <w:rFonts w:hint="eastAsia" w:eastAsia="仿宋_GB2312"/>
                <w:sz w:val="21"/>
                <w:szCs w:val="21"/>
              </w:rPr>
              <w:t>、</w:t>
            </w:r>
            <w:r>
              <w:rPr>
                <w:rFonts w:eastAsia="仿宋_GB2312"/>
                <w:kern w:val="0"/>
                <w:sz w:val="21"/>
                <w:szCs w:val="21"/>
              </w:rPr>
              <w:t>地下水国考点区域点位</w:t>
            </w:r>
            <w:r>
              <w:rPr>
                <w:rFonts w:hint="eastAsia" w:eastAsia="仿宋_GB2312"/>
                <w:kern w:val="0"/>
                <w:sz w:val="21"/>
                <w:szCs w:val="21"/>
              </w:rPr>
              <w:t>、</w:t>
            </w:r>
            <w:r>
              <w:rPr>
                <w:rFonts w:eastAsia="仿宋_GB2312"/>
                <w:sz w:val="21"/>
                <w:szCs w:val="21"/>
              </w:rPr>
              <w:t>黑臭水体</w:t>
            </w:r>
            <w:r>
              <w:rPr>
                <w:rFonts w:hint="eastAsia" w:eastAsia="仿宋_GB2312"/>
                <w:sz w:val="21"/>
                <w:szCs w:val="21"/>
              </w:rPr>
              <w:t>。</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完成上级规定的考核任务；保持稳定或持续改善</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完成上级规定的考核任务</w:t>
            </w:r>
            <w:r>
              <w:rPr>
                <w:rFonts w:hint="eastAsia" w:eastAsia="仿宋_GB2312"/>
                <w:sz w:val="21"/>
                <w:szCs w:val="21"/>
              </w:rPr>
              <w:t>并</w:t>
            </w:r>
            <w:r>
              <w:rPr>
                <w:rFonts w:eastAsia="仿宋_GB2312"/>
                <w:sz w:val="21"/>
                <w:szCs w:val="21"/>
              </w:rPr>
              <w:t>持续改善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9</w:t>
            </w:r>
          </w:p>
        </w:tc>
        <w:tc>
          <w:tcPr>
            <w:tcW w:w="1212" w:type="pct"/>
            <w:tcBorders>
              <w:tl2br w:val="nil"/>
              <w:tr2bl w:val="nil"/>
            </w:tcBorders>
            <w:vAlign w:val="center"/>
          </w:tcPr>
          <w:p>
            <w:pPr>
              <w:pStyle w:val="55"/>
              <w:snapToGrid w:val="0"/>
              <w:spacing w:line="340" w:lineRule="exact"/>
              <w:jc w:val="left"/>
              <w:rPr>
                <w:rFonts w:eastAsia="仿宋_GB2312"/>
                <w:sz w:val="21"/>
                <w:szCs w:val="21"/>
              </w:rPr>
            </w:pPr>
            <w:r>
              <w:rPr>
                <w:rFonts w:hint="eastAsia" w:eastAsia="仿宋_GB2312"/>
                <w:kern w:val="0"/>
                <w:sz w:val="21"/>
                <w:szCs w:val="21"/>
              </w:rPr>
              <w:t>*</w:t>
            </w:r>
            <w:r>
              <w:rPr>
                <w:rFonts w:eastAsia="仿宋_GB2312"/>
                <w:kern w:val="0"/>
                <w:sz w:val="21"/>
                <w:szCs w:val="21"/>
              </w:rPr>
              <w:t>主要污染物减排（氮氧化物、挥发性有机物、化学需氧量、氨氮）</w:t>
            </w:r>
          </w:p>
        </w:tc>
        <w:tc>
          <w:tcPr>
            <w:tcW w:w="189"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w:t>
            </w:r>
          </w:p>
        </w:tc>
        <w:tc>
          <w:tcPr>
            <w:tcW w:w="476"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完成上级规定的目标任务</w:t>
            </w:r>
          </w:p>
        </w:tc>
        <w:tc>
          <w:tcPr>
            <w:tcW w:w="403"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上级未下达目标任务</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kern w:val="0"/>
                <w:sz w:val="21"/>
                <w:szCs w:val="21"/>
              </w:rPr>
              <w:t>完成上级规定的目标任务</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kern w:val="0"/>
                <w:sz w:val="21"/>
                <w:szCs w:val="21"/>
              </w:rPr>
              <w:t>完成上级规定的目标任务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（三）生态系统保护</w:t>
            </w: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10</w:t>
            </w:r>
          </w:p>
        </w:tc>
        <w:tc>
          <w:tcPr>
            <w:tcW w:w="1212" w:type="pct"/>
            <w:tcBorders>
              <w:tl2br w:val="nil"/>
              <w:tr2bl w:val="nil"/>
            </w:tcBorders>
            <w:vAlign w:val="center"/>
          </w:tcPr>
          <w:p>
            <w:pPr>
              <w:pStyle w:val="55"/>
              <w:adjustRightInd w:val="0"/>
              <w:snapToGrid w:val="0"/>
              <w:spacing w:beforeLines="20" w:afterLines="20" w:line="240" w:lineRule="auto"/>
              <w:jc w:val="left"/>
              <w:rPr>
                <w:rFonts w:eastAsia="仿宋_GB2312"/>
                <w:sz w:val="21"/>
                <w:szCs w:val="21"/>
              </w:rPr>
            </w:pPr>
            <w:r>
              <w:rPr>
                <w:rFonts w:eastAsia="仿宋_GB2312"/>
                <w:sz w:val="21"/>
                <w:szCs w:val="21"/>
              </w:rPr>
              <w:t>生态环境状况指数</w:t>
            </w:r>
          </w:p>
          <w:p>
            <w:pPr>
              <w:pStyle w:val="55"/>
              <w:adjustRightInd w:val="0"/>
              <w:snapToGrid w:val="0"/>
              <w:spacing w:beforeLines="20" w:afterLines="20" w:line="240" w:lineRule="auto"/>
              <w:ind w:firstLine="210" w:firstLineChars="100"/>
              <w:jc w:val="left"/>
              <w:rPr>
                <w:rFonts w:eastAsia="仿宋_GB2312"/>
                <w:sz w:val="21"/>
                <w:szCs w:val="21"/>
              </w:rPr>
            </w:pPr>
            <w:r>
              <w:rPr>
                <w:rFonts w:hint="eastAsia" w:eastAsia="仿宋_GB2312"/>
                <w:sz w:val="21"/>
                <w:szCs w:val="21"/>
              </w:rPr>
              <w:t>半湿润</w:t>
            </w:r>
            <w:r>
              <w:rPr>
                <w:rFonts w:eastAsia="仿宋_GB2312"/>
                <w:sz w:val="21"/>
                <w:szCs w:val="21"/>
              </w:rPr>
              <w:t>地区</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r>
              <w:rPr>
                <w:rFonts w:hint="eastAsia" w:eastAsia="仿宋_GB2312"/>
                <w:sz w:val="21"/>
                <w:szCs w:val="21"/>
              </w:rPr>
              <w:t>55（国家）</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r>
              <w:rPr>
                <w:rFonts w:hint="eastAsia" w:eastAsia="仿宋_GB2312"/>
                <w:sz w:val="21"/>
                <w:szCs w:val="21"/>
              </w:rPr>
              <w:t>53（省级）</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55-70</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保持稳定或持续改善</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保持稳定或持续改善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11</w:t>
            </w:r>
          </w:p>
        </w:tc>
        <w:tc>
          <w:tcPr>
            <w:tcW w:w="1212" w:type="pct"/>
            <w:tcBorders>
              <w:tl2br w:val="nil"/>
              <w:tr2bl w:val="nil"/>
            </w:tcBorders>
            <w:vAlign w:val="center"/>
          </w:tcPr>
          <w:p>
            <w:pPr>
              <w:pStyle w:val="55"/>
              <w:snapToGrid w:val="0"/>
              <w:spacing w:line="340" w:lineRule="exact"/>
              <w:jc w:val="left"/>
              <w:rPr>
                <w:rFonts w:eastAsia="仿宋_GB2312"/>
                <w:kern w:val="0"/>
                <w:sz w:val="21"/>
                <w:szCs w:val="21"/>
              </w:rPr>
            </w:pPr>
            <w:r>
              <w:rPr>
                <w:rFonts w:eastAsia="仿宋_GB2312"/>
                <w:kern w:val="0"/>
                <w:sz w:val="21"/>
                <w:szCs w:val="21"/>
              </w:rPr>
              <w:t>林草覆盖率：</w:t>
            </w:r>
          </w:p>
          <w:p>
            <w:pPr>
              <w:pStyle w:val="55"/>
              <w:snapToGrid w:val="0"/>
              <w:spacing w:line="340" w:lineRule="exact"/>
              <w:ind w:firstLine="210" w:firstLineChars="100"/>
              <w:jc w:val="left"/>
              <w:rPr>
                <w:rFonts w:eastAsia="仿宋_GB2312"/>
                <w:kern w:val="0"/>
                <w:sz w:val="21"/>
                <w:szCs w:val="21"/>
              </w:rPr>
            </w:pPr>
            <w:r>
              <w:rPr>
                <w:rFonts w:eastAsia="仿宋_GB2312"/>
                <w:kern w:val="0"/>
                <w:sz w:val="21"/>
                <w:szCs w:val="21"/>
              </w:rPr>
              <w:t>山区≥60%</w:t>
            </w:r>
          </w:p>
          <w:p>
            <w:pPr>
              <w:pStyle w:val="55"/>
              <w:snapToGrid w:val="0"/>
              <w:spacing w:line="340" w:lineRule="exact"/>
              <w:ind w:firstLine="210" w:firstLineChars="100"/>
              <w:jc w:val="left"/>
              <w:rPr>
                <w:rFonts w:eastAsia="仿宋_GB2312"/>
                <w:kern w:val="0"/>
                <w:sz w:val="21"/>
                <w:szCs w:val="21"/>
              </w:rPr>
            </w:pPr>
            <w:r>
              <w:rPr>
                <w:rFonts w:eastAsia="仿宋_GB2312"/>
                <w:kern w:val="0"/>
                <w:sz w:val="21"/>
                <w:szCs w:val="21"/>
              </w:rPr>
              <w:t>丘陵区≥40%</w:t>
            </w:r>
          </w:p>
          <w:p>
            <w:pPr>
              <w:pStyle w:val="55"/>
              <w:snapToGrid w:val="0"/>
              <w:spacing w:line="340" w:lineRule="exact"/>
              <w:ind w:firstLine="210" w:firstLineChars="100"/>
              <w:jc w:val="left"/>
              <w:rPr>
                <w:rFonts w:eastAsia="仿宋_GB2312"/>
                <w:szCs w:val="21"/>
              </w:rPr>
            </w:pPr>
            <w:r>
              <w:rPr>
                <w:rFonts w:eastAsia="仿宋_GB2312"/>
                <w:kern w:val="0"/>
                <w:sz w:val="21"/>
                <w:szCs w:val="21"/>
              </w:rPr>
              <w:t>平原地区≥18%</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加权后为46.72%</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59.03</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保持稳定或持续改善</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持续改善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12</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生物多样性保护：</w:t>
            </w:r>
          </w:p>
          <w:p>
            <w:pPr>
              <w:adjustRightInd w:val="0"/>
              <w:snapToGrid w:val="0"/>
              <w:spacing w:beforeLines="20" w:afterLines="20"/>
              <w:ind w:firstLine="210" w:firstLineChars="100"/>
              <w:rPr>
                <w:rFonts w:eastAsia="仿宋_GB2312"/>
                <w:szCs w:val="21"/>
              </w:rPr>
            </w:pPr>
            <w:r>
              <w:rPr>
                <w:rFonts w:eastAsia="仿宋_GB2312"/>
                <w:szCs w:val="21"/>
              </w:rPr>
              <w:t>国家重点保护野生动植物保护率</w:t>
            </w:r>
          </w:p>
          <w:p>
            <w:pPr>
              <w:adjustRightInd w:val="0"/>
              <w:snapToGrid w:val="0"/>
              <w:spacing w:beforeLines="20" w:afterLines="20"/>
              <w:ind w:firstLine="210" w:firstLineChars="100"/>
              <w:rPr>
                <w:rFonts w:eastAsia="仿宋_GB2312"/>
                <w:szCs w:val="21"/>
              </w:rPr>
            </w:pPr>
            <w:r>
              <w:rPr>
                <w:rFonts w:eastAsia="仿宋_GB2312"/>
                <w:szCs w:val="21"/>
              </w:rPr>
              <w:t>外来物种入侵</w:t>
            </w:r>
          </w:p>
          <w:p>
            <w:pPr>
              <w:adjustRightInd w:val="0"/>
              <w:snapToGrid w:val="0"/>
              <w:spacing w:beforeLines="20" w:afterLines="20"/>
              <w:ind w:firstLine="210" w:firstLineChars="100"/>
              <w:rPr>
                <w:rFonts w:eastAsia="仿宋_GB2312"/>
                <w:szCs w:val="21"/>
              </w:rPr>
            </w:pPr>
            <w:r>
              <w:rPr>
                <w:rFonts w:eastAsia="仿宋_GB2312"/>
                <w:szCs w:val="21"/>
              </w:rPr>
              <w:t>特有性或指示性水生物种保持率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≥95</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不明显</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不降低</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≥95</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不明显</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不降低</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≥95</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不明显</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不降低</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≥95</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不明显</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不降低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（四）生态环境风险防范</w:t>
            </w: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13</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危险废物利用处置率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14</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建设用地土壤污染风险管控和修复名录制度</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建立</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已建立</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持续开展</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持续开展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15</w:t>
            </w:r>
          </w:p>
        </w:tc>
        <w:tc>
          <w:tcPr>
            <w:tcW w:w="1212" w:type="pct"/>
            <w:tcBorders>
              <w:tl2br w:val="nil"/>
              <w:tr2bl w:val="nil"/>
            </w:tcBorders>
            <w:vAlign w:val="center"/>
          </w:tcPr>
          <w:p>
            <w:pPr>
              <w:snapToGrid w:val="0"/>
              <w:spacing w:line="340" w:lineRule="exact"/>
              <w:rPr>
                <w:rFonts w:eastAsia="仿宋_GB2312"/>
                <w:szCs w:val="21"/>
              </w:rPr>
            </w:pPr>
            <w:r>
              <w:rPr>
                <w:rFonts w:hint="eastAsia" w:eastAsia="仿宋_GB2312"/>
                <w:kern w:val="0"/>
                <w:szCs w:val="21"/>
              </w:rPr>
              <w:t>*</w:t>
            </w:r>
            <w:r>
              <w:rPr>
                <w:rFonts w:eastAsia="仿宋_GB2312"/>
                <w:kern w:val="0"/>
                <w:szCs w:val="21"/>
              </w:rPr>
              <w:t>受污染耕地安全利用率</w:t>
            </w:r>
          </w:p>
        </w:tc>
        <w:tc>
          <w:tcPr>
            <w:tcW w:w="189"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w:t>
            </w:r>
          </w:p>
        </w:tc>
        <w:tc>
          <w:tcPr>
            <w:tcW w:w="476"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完成上级规定的目标任务</w:t>
            </w:r>
          </w:p>
        </w:tc>
        <w:tc>
          <w:tcPr>
            <w:tcW w:w="403"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约束性</w:t>
            </w:r>
          </w:p>
        </w:tc>
        <w:tc>
          <w:tcPr>
            <w:tcW w:w="847"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无受污染耕地</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无受污染耕地</w:t>
            </w:r>
          </w:p>
        </w:tc>
        <w:tc>
          <w:tcPr>
            <w:tcW w:w="548"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无受污染耕地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16</w:t>
            </w:r>
          </w:p>
        </w:tc>
        <w:tc>
          <w:tcPr>
            <w:tcW w:w="1212" w:type="pct"/>
            <w:tcBorders>
              <w:tl2br w:val="nil"/>
              <w:tr2bl w:val="nil"/>
            </w:tcBorders>
            <w:vAlign w:val="center"/>
          </w:tcPr>
          <w:p>
            <w:pPr>
              <w:snapToGrid w:val="0"/>
              <w:spacing w:line="340" w:lineRule="exact"/>
              <w:rPr>
                <w:rFonts w:eastAsia="仿宋_GB2312"/>
                <w:szCs w:val="21"/>
              </w:rPr>
            </w:pPr>
            <w:r>
              <w:rPr>
                <w:rFonts w:hint="eastAsia" w:eastAsia="仿宋_GB2312"/>
                <w:kern w:val="0"/>
                <w:szCs w:val="21"/>
              </w:rPr>
              <w:t>*</w:t>
            </w:r>
            <w:r>
              <w:rPr>
                <w:rFonts w:eastAsia="仿宋_GB2312"/>
                <w:kern w:val="0"/>
                <w:szCs w:val="21"/>
              </w:rPr>
              <w:t>重点建设用地安全利用</w:t>
            </w:r>
          </w:p>
        </w:tc>
        <w:tc>
          <w:tcPr>
            <w:tcW w:w="189"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w:t>
            </w:r>
          </w:p>
        </w:tc>
        <w:tc>
          <w:tcPr>
            <w:tcW w:w="476"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有效保障</w:t>
            </w:r>
          </w:p>
        </w:tc>
        <w:tc>
          <w:tcPr>
            <w:tcW w:w="403"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约束性</w:t>
            </w:r>
          </w:p>
        </w:tc>
        <w:tc>
          <w:tcPr>
            <w:tcW w:w="847"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有效保障</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有效保障</w:t>
            </w:r>
          </w:p>
        </w:tc>
        <w:tc>
          <w:tcPr>
            <w:tcW w:w="548" w:type="pct"/>
            <w:tcBorders>
              <w:tl2br w:val="nil"/>
              <w:tr2bl w:val="nil"/>
            </w:tcBorders>
            <w:vAlign w:val="center"/>
          </w:tcPr>
          <w:p>
            <w:pPr>
              <w:pStyle w:val="55"/>
              <w:snapToGrid w:val="0"/>
              <w:spacing w:line="340" w:lineRule="exact"/>
              <w:jc w:val="center"/>
              <w:rPr>
                <w:rFonts w:eastAsia="仿宋_GB2312"/>
                <w:sz w:val="21"/>
                <w:szCs w:val="21"/>
              </w:rPr>
            </w:pPr>
            <w:r>
              <w:rPr>
                <w:rFonts w:eastAsia="仿宋_GB2312"/>
                <w:kern w:val="0"/>
                <w:sz w:val="21"/>
                <w:szCs w:val="21"/>
              </w:rPr>
              <w:t>有效保障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17</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突发生态环境事件应急管理机制</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建立</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已建立</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持续开展</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持续开展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生态空间</w:t>
            </w:r>
          </w:p>
        </w:tc>
        <w:tc>
          <w:tcPr>
            <w:tcW w:w="239"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（五）空间格局优化</w:t>
            </w: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18</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自然生态空间：</w:t>
            </w:r>
          </w:p>
          <w:p>
            <w:pPr>
              <w:adjustRightInd w:val="0"/>
              <w:snapToGrid w:val="0"/>
              <w:spacing w:beforeLines="20" w:afterLines="20"/>
              <w:ind w:firstLine="210" w:firstLineChars="100"/>
              <w:rPr>
                <w:rFonts w:eastAsia="仿宋_GB2312"/>
                <w:szCs w:val="21"/>
              </w:rPr>
            </w:pPr>
            <w:r>
              <w:rPr>
                <w:rFonts w:eastAsia="仿宋_GB2312"/>
                <w:szCs w:val="21"/>
              </w:rPr>
              <w:t>生态保护红线</w:t>
            </w:r>
          </w:p>
          <w:p>
            <w:pPr>
              <w:adjustRightInd w:val="0"/>
              <w:snapToGrid w:val="0"/>
              <w:spacing w:beforeLines="20" w:afterLines="20"/>
              <w:ind w:firstLine="210" w:firstLineChars="100"/>
              <w:rPr>
                <w:rFonts w:eastAsia="仿宋_GB2312"/>
                <w:szCs w:val="21"/>
              </w:rPr>
            </w:pPr>
            <w:r>
              <w:rPr>
                <w:rFonts w:eastAsia="仿宋_GB2312"/>
                <w:szCs w:val="21"/>
              </w:rPr>
              <w:t>自然保护地</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面积不减少，性质不改变，功能不降低</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kern w:val="0"/>
                <w:sz w:val="21"/>
                <w:szCs w:val="21"/>
              </w:rPr>
              <w:t>山西静乐汾河川国家湿地公园</w:t>
            </w:r>
            <w:r>
              <w:rPr>
                <w:rFonts w:hint="eastAsia" w:eastAsia="仿宋_GB2312"/>
                <w:kern w:val="0"/>
                <w:sz w:val="21"/>
                <w:szCs w:val="21"/>
              </w:rPr>
              <w:t>自命名以来</w:t>
            </w:r>
            <w:r>
              <w:rPr>
                <w:rFonts w:eastAsia="仿宋_GB2312"/>
                <w:kern w:val="0"/>
                <w:sz w:val="21"/>
                <w:szCs w:val="21"/>
              </w:rPr>
              <w:t>未进行调整；生态保护红线总面积28466.876</w:t>
            </w:r>
            <w:r>
              <w:rPr>
                <w:rFonts w:hint="eastAsia" w:eastAsia="仿宋_GB2312"/>
                <w:kern w:val="0"/>
                <w:sz w:val="21"/>
                <w:szCs w:val="21"/>
              </w:rPr>
              <w:t>公顷</w:t>
            </w:r>
            <w:r>
              <w:rPr>
                <w:rFonts w:eastAsia="仿宋_GB2312"/>
                <w:kern w:val="0"/>
                <w:sz w:val="21"/>
                <w:szCs w:val="21"/>
              </w:rPr>
              <w:t>，占全县土地总面积的</w:t>
            </w:r>
            <w:r>
              <w:rPr>
                <w:rFonts w:hint="eastAsia" w:eastAsia="仿宋_GB2312"/>
                <w:kern w:val="0"/>
                <w:sz w:val="21"/>
                <w:szCs w:val="21"/>
              </w:rPr>
              <w:t>13.83</w:t>
            </w:r>
            <w:r>
              <w:rPr>
                <w:rFonts w:eastAsia="仿宋_GB2312"/>
                <w:kern w:val="0"/>
                <w:sz w:val="21"/>
                <w:szCs w:val="21"/>
              </w:rPr>
              <w:t>%。</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面积不减少，性质不改变，功能不降低</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面积不减少，性质不改变，功能不降低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19</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河湖岸线保护率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完成上级管控目标</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上级未下达</w:t>
            </w:r>
            <w:r>
              <w:rPr>
                <w:rFonts w:eastAsia="仿宋_GB2312"/>
                <w:sz w:val="21"/>
                <w:szCs w:val="21"/>
              </w:rPr>
              <w:t>管控目标</w:t>
            </w:r>
            <w:r>
              <w:rPr>
                <w:rFonts w:hint="eastAsia" w:eastAsia="仿宋_GB2312"/>
                <w:sz w:val="21"/>
                <w:szCs w:val="21"/>
              </w:rPr>
              <w:t>；</w:t>
            </w:r>
            <w:r>
              <w:rPr>
                <w:rFonts w:eastAsia="仿宋_GB2312"/>
                <w:sz w:val="21"/>
                <w:szCs w:val="21"/>
              </w:rPr>
              <w:t>完成</w:t>
            </w:r>
            <w:r>
              <w:rPr>
                <w:rFonts w:hint="eastAsia" w:eastAsia="仿宋_GB2312"/>
                <w:sz w:val="21"/>
                <w:szCs w:val="21"/>
              </w:rPr>
              <w:t>汾河（静乐段）和县辖</w:t>
            </w:r>
            <w:r>
              <w:rPr>
                <w:rFonts w:eastAsia="仿宋_GB2312"/>
                <w:sz w:val="21"/>
                <w:szCs w:val="21"/>
              </w:rPr>
              <w:t>14条河流河道治导线规划和管理范围划界工作</w:t>
            </w:r>
            <w:r>
              <w:rPr>
                <w:rFonts w:hint="eastAsia" w:eastAsia="仿宋_GB2312"/>
                <w:sz w:val="21"/>
                <w:szCs w:val="21"/>
              </w:rPr>
              <w:t>。</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完成上级管控目标</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完成上级管控目标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生态经济</w:t>
            </w:r>
          </w:p>
        </w:tc>
        <w:tc>
          <w:tcPr>
            <w:tcW w:w="239"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（六）资源节约与利用</w:t>
            </w: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20</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单位地区生产总值能耗</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吨标准煤/万元</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完成上级规定的目标任务；保持稳定或持续改善</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kern w:val="0"/>
                <w:sz w:val="21"/>
                <w:szCs w:val="21"/>
              </w:rPr>
              <w:t>目标任务</w:t>
            </w:r>
            <w:r>
              <w:rPr>
                <w:rFonts w:eastAsia="仿宋_GB2312"/>
                <w:kern w:val="0"/>
                <w:sz w:val="21"/>
                <w:szCs w:val="21"/>
              </w:rPr>
              <w:t>单位地区生产总值能耗较上年降低</w:t>
            </w:r>
            <w:r>
              <w:rPr>
                <w:rFonts w:hint="eastAsia" w:eastAsia="仿宋_GB2312"/>
                <w:kern w:val="0"/>
                <w:sz w:val="21"/>
                <w:szCs w:val="21"/>
              </w:rPr>
              <w:t>3.7</w:t>
            </w:r>
            <w:r>
              <w:rPr>
                <w:rFonts w:eastAsia="仿宋_GB2312"/>
                <w:kern w:val="0"/>
                <w:sz w:val="21"/>
                <w:szCs w:val="21"/>
              </w:rPr>
              <w:t>%；实际</w:t>
            </w:r>
            <w:r>
              <w:rPr>
                <w:rFonts w:hint="eastAsia" w:eastAsia="仿宋_GB2312"/>
                <w:kern w:val="0"/>
                <w:sz w:val="21"/>
                <w:szCs w:val="21"/>
              </w:rPr>
              <w:t>降低26.15</w:t>
            </w:r>
            <w:r>
              <w:rPr>
                <w:rFonts w:eastAsia="仿宋_GB2312"/>
                <w:kern w:val="0"/>
                <w:sz w:val="21"/>
                <w:szCs w:val="21"/>
              </w:rPr>
              <w:t>%。</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完成上级规定的目标任务；保持稳定或持续改善</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完成上级规定的目标任务</w:t>
            </w:r>
            <w:r>
              <w:rPr>
                <w:rFonts w:hint="eastAsia" w:eastAsia="仿宋_GB2312"/>
                <w:sz w:val="21"/>
                <w:szCs w:val="21"/>
              </w:rPr>
              <w:t>并</w:t>
            </w:r>
            <w:r>
              <w:rPr>
                <w:rFonts w:eastAsia="仿宋_GB2312"/>
                <w:sz w:val="21"/>
                <w:szCs w:val="21"/>
              </w:rPr>
              <w:t>持续改善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21</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单位地区生产总值用水量</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立方米/万元</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完成上级规定的目标任务；保持稳定或持续改善</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kern w:val="0"/>
                <w:sz w:val="21"/>
                <w:szCs w:val="21"/>
              </w:rPr>
              <w:t>目标任务</w:t>
            </w:r>
            <w:r>
              <w:rPr>
                <w:rFonts w:hint="eastAsia" w:eastAsia="仿宋_GB2312"/>
                <w:kern w:val="0"/>
                <w:sz w:val="21"/>
                <w:szCs w:val="21"/>
              </w:rPr>
              <w:t>为</w:t>
            </w:r>
            <w:r>
              <w:rPr>
                <w:rFonts w:eastAsia="仿宋_GB2312"/>
                <w:kern w:val="0"/>
                <w:sz w:val="21"/>
                <w:szCs w:val="21"/>
              </w:rPr>
              <w:t>用水总量</w:t>
            </w:r>
            <w:r>
              <w:rPr>
                <w:rFonts w:hint="eastAsia" w:eastAsia="仿宋_GB2312"/>
                <w:kern w:val="0"/>
                <w:sz w:val="21"/>
                <w:szCs w:val="21"/>
              </w:rPr>
              <w:t>1980</w:t>
            </w:r>
            <w:r>
              <w:rPr>
                <w:rFonts w:eastAsia="仿宋_GB2312"/>
                <w:kern w:val="0"/>
                <w:sz w:val="21"/>
                <w:szCs w:val="21"/>
              </w:rPr>
              <w:t>万立方米，单位GDP用水量下降率</w:t>
            </w:r>
            <w:r>
              <w:rPr>
                <w:rFonts w:hint="eastAsia" w:eastAsia="仿宋_GB2312"/>
                <w:kern w:val="0"/>
                <w:sz w:val="21"/>
                <w:szCs w:val="21"/>
              </w:rPr>
              <w:t>1</w:t>
            </w:r>
            <w:r>
              <w:rPr>
                <w:rFonts w:eastAsia="仿宋_GB2312"/>
                <w:kern w:val="0"/>
                <w:sz w:val="21"/>
                <w:szCs w:val="21"/>
              </w:rPr>
              <w:t>%；实际用水总量</w:t>
            </w:r>
            <w:r>
              <w:rPr>
                <w:rFonts w:hint="eastAsia" w:eastAsia="仿宋_GB2312"/>
                <w:kern w:val="0"/>
                <w:sz w:val="21"/>
                <w:szCs w:val="21"/>
              </w:rPr>
              <w:t>1898</w:t>
            </w:r>
            <w:r>
              <w:rPr>
                <w:rFonts w:eastAsia="仿宋_GB2312"/>
                <w:kern w:val="0"/>
                <w:sz w:val="21"/>
                <w:szCs w:val="21"/>
              </w:rPr>
              <w:t>万立方米，单位GDP用水量下降率</w:t>
            </w:r>
            <w:r>
              <w:rPr>
                <w:rFonts w:hint="eastAsia" w:eastAsia="仿宋_GB2312"/>
                <w:kern w:val="0"/>
                <w:sz w:val="21"/>
                <w:szCs w:val="21"/>
              </w:rPr>
              <w:t>32.4</w:t>
            </w:r>
            <w:r>
              <w:rPr>
                <w:rFonts w:eastAsia="仿宋_GB2312"/>
                <w:kern w:val="0"/>
                <w:sz w:val="21"/>
                <w:szCs w:val="21"/>
              </w:rPr>
              <w:t>%。</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完成上级规定的目标任务；保持稳定或持续改善</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完成上级规定的目标任务</w:t>
            </w:r>
            <w:r>
              <w:rPr>
                <w:rFonts w:hint="eastAsia" w:eastAsia="仿宋_GB2312"/>
                <w:sz w:val="21"/>
                <w:szCs w:val="21"/>
              </w:rPr>
              <w:t>并</w:t>
            </w:r>
            <w:r>
              <w:rPr>
                <w:rFonts w:eastAsia="仿宋_GB2312"/>
                <w:sz w:val="21"/>
                <w:szCs w:val="21"/>
              </w:rPr>
              <w:t>持续改善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22</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单位国内生产总值建设用地使用面积下降率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≥4.5</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5.87</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≥4.5</w:t>
            </w:r>
          </w:p>
        </w:tc>
        <w:tc>
          <w:tcPr>
            <w:tcW w:w="548" w:type="pct"/>
            <w:tcBorders>
              <w:tl2br w:val="nil"/>
              <w:tr2bl w:val="nil"/>
            </w:tcBorders>
            <w:vAlign w:val="center"/>
          </w:tcPr>
          <w:p>
            <w:pPr>
              <w:adjustRightInd w:val="0"/>
              <w:snapToGrid w:val="0"/>
              <w:spacing w:beforeLines="20" w:afterLines="20"/>
              <w:jc w:val="center"/>
              <w:rPr>
                <w:rFonts w:eastAsia="仿宋_GB2312"/>
                <w:szCs w:val="21"/>
              </w:rPr>
            </w:pPr>
            <w:r>
              <w:rPr>
                <w:rFonts w:eastAsia="仿宋_GB2312"/>
                <w:szCs w:val="21"/>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23</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三大粮食作物化肥农</w:t>
            </w:r>
            <w:r>
              <w:rPr>
                <w:rFonts w:hint="eastAsia" w:eastAsia="仿宋_GB2312"/>
                <w:szCs w:val="21"/>
              </w:rPr>
              <w:t>药</w:t>
            </w:r>
            <w:r>
              <w:rPr>
                <w:rFonts w:eastAsia="仿宋_GB2312"/>
                <w:szCs w:val="21"/>
              </w:rPr>
              <w:t>利用率</w:t>
            </w:r>
          </w:p>
          <w:p>
            <w:pPr>
              <w:adjustRightInd w:val="0"/>
              <w:snapToGrid w:val="0"/>
              <w:spacing w:beforeLines="20" w:afterLines="20"/>
              <w:ind w:firstLine="210" w:firstLineChars="100"/>
              <w:rPr>
                <w:rFonts w:eastAsia="仿宋_GB2312"/>
                <w:szCs w:val="21"/>
              </w:rPr>
            </w:pPr>
            <w:r>
              <w:rPr>
                <w:rFonts w:eastAsia="仿宋_GB2312"/>
                <w:szCs w:val="21"/>
              </w:rPr>
              <w:t>化肥利用率</w:t>
            </w:r>
          </w:p>
          <w:p>
            <w:pPr>
              <w:adjustRightInd w:val="0"/>
              <w:snapToGrid w:val="0"/>
              <w:spacing w:beforeLines="20" w:afterLines="20"/>
              <w:ind w:firstLine="210" w:firstLineChars="100"/>
              <w:rPr>
                <w:rFonts w:eastAsia="仿宋_GB2312"/>
                <w:szCs w:val="21"/>
              </w:rPr>
            </w:pPr>
            <w:r>
              <w:rPr>
                <w:rFonts w:eastAsia="仿宋_GB2312"/>
                <w:szCs w:val="21"/>
              </w:rPr>
              <w:t>农药利用率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≥43</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snapToGrid w:val="0"/>
              <w:spacing w:line="340" w:lineRule="exact"/>
              <w:jc w:val="center"/>
              <w:rPr>
                <w:rFonts w:eastAsia="仿宋_GB2312"/>
                <w:kern w:val="0"/>
                <w:sz w:val="21"/>
                <w:szCs w:val="21"/>
              </w:rPr>
            </w:pPr>
          </w:p>
          <w:p>
            <w:pPr>
              <w:pStyle w:val="55"/>
              <w:snapToGrid w:val="0"/>
              <w:spacing w:line="340" w:lineRule="exact"/>
              <w:jc w:val="center"/>
              <w:rPr>
                <w:rFonts w:eastAsia="仿宋_GB2312"/>
                <w:kern w:val="0"/>
                <w:sz w:val="21"/>
                <w:szCs w:val="21"/>
              </w:rPr>
            </w:pPr>
            <w:r>
              <w:rPr>
                <w:rFonts w:hint="eastAsia" w:eastAsia="仿宋_GB2312"/>
                <w:kern w:val="0"/>
                <w:sz w:val="21"/>
                <w:szCs w:val="21"/>
              </w:rPr>
              <w:t>43.34</w:t>
            </w:r>
          </w:p>
          <w:p>
            <w:pPr>
              <w:pStyle w:val="55"/>
              <w:snapToGrid w:val="0"/>
              <w:spacing w:line="340" w:lineRule="exact"/>
              <w:jc w:val="center"/>
              <w:rPr>
                <w:rFonts w:eastAsia="仿宋_GB2312"/>
                <w:sz w:val="21"/>
                <w:szCs w:val="21"/>
              </w:rPr>
            </w:pPr>
            <w:r>
              <w:rPr>
                <w:rFonts w:hint="eastAsia" w:eastAsia="仿宋_GB2312"/>
                <w:kern w:val="0"/>
                <w:sz w:val="21"/>
                <w:szCs w:val="21"/>
              </w:rPr>
              <w:t>43.84</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w:t>
            </w:r>
            <w:r>
              <w:rPr>
                <w:rFonts w:hint="eastAsia" w:eastAsia="仿宋_GB2312"/>
                <w:sz w:val="21"/>
                <w:szCs w:val="21"/>
              </w:rPr>
              <w:t>提升</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持续提升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（七）产业循环发展</w:t>
            </w:r>
          </w:p>
        </w:tc>
        <w:tc>
          <w:tcPr>
            <w:tcW w:w="175"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24</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农业废弃物综合利用率</w:t>
            </w:r>
          </w:p>
          <w:p>
            <w:pPr>
              <w:adjustRightInd w:val="0"/>
              <w:snapToGrid w:val="0"/>
              <w:spacing w:beforeLines="20" w:afterLines="20"/>
              <w:ind w:firstLine="210" w:firstLineChars="100"/>
              <w:rPr>
                <w:rFonts w:eastAsia="仿宋_GB2312"/>
                <w:szCs w:val="21"/>
              </w:rPr>
            </w:pPr>
            <w:r>
              <w:rPr>
                <w:rFonts w:eastAsia="仿宋_GB2312"/>
                <w:szCs w:val="21"/>
              </w:rPr>
              <w:t>秸秆综合利用率</w:t>
            </w:r>
          </w:p>
          <w:p>
            <w:pPr>
              <w:adjustRightInd w:val="0"/>
              <w:snapToGrid w:val="0"/>
              <w:spacing w:beforeLines="20" w:afterLines="20"/>
              <w:ind w:firstLine="210" w:firstLineChars="100"/>
              <w:rPr>
                <w:rFonts w:eastAsia="仿宋_GB2312"/>
                <w:szCs w:val="21"/>
              </w:rPr>
            </w:pPr>
            <w:r>
              <w:rPr>
                <w:rFonts w:eastAsia="仿宋_GB2312"/>
                <w:szCs w:val="21"/>
              </w:rPr>
              <w:t>畜禽粪污综合利用率</w:t>
            </w:r>
          </w:p>
          <w:p>
            <w:pPr>
              <w:adjustRightInd w:val="0"/>
              <w:snapToGrid w:val="0"/>
              <w:spacing w:beforeLines="20" w:afterLines="20"/>
              <w:ind w:firstLine="210" w:firstLineChars="100"/>
              <w:rPr>
                <w:rFonts w:eastAsia="仿宋_GB2312"/>
                <w:szCs w:val="21"/>
              </w:rPr>
            </w:pPr>
            <w:r>
              <w:rPr>
                <w:rFonts w:eastAsia="仿宋_GB2312"/>
                <w:szCs w:val="21"/>
              </w:rPr>
              <w:t>农膜回收利用率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≥90</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≥75</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≥80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snapToGrid w:val="0"/>
              <w:spacing w:line="340" w:lineRule="exact"/>
              <w:jc w:val="center"/>
              <w:rPr>
                <w:rFonts w:eastAsia="仿宋_GB2312"/>
                <w:kern w:val="0"/>
                <w:sz w:val="21"/>
                <w:szCs w:val="21"/>
              </w:rPr>
            </w:pPr>
          </w:p>
          <w:p>
            <w:pPr>
              <w:pStyle w:val="55"/>
              <w:snapToGrid w:val="0"/>
              <w:spacing w:line="340" w:lineRule="exact"/>
              <w:jc w:val="center"/>
              <w:rPr>
                <w:rFonts w:eastAsia="仿宋_GB2312"/>
                <w:kern w:val="0"/>
                <w:sz w:val="21"/>
                <w:szCs w:val="21"/>
              </w:rPr>
            </w:pPr>
            <w:r>
              <w:rPr>
                <w:rFonts w:hint="eastAsia" w:eastAsia="仿宋_GB2312"/>
                <w:kern w:val="0"/>
                <w:sz w:val="21"/>
                <w:szCs w:val="21"/>
              </w:rPr>
              <w:t>92.87</w:t>
            </w:r>
          </w:p>
          <w:p>
            <w:pPr>
              <w:pStyle w:val="55"/>
              <w:snapToGrid w:val="0"/>
              <w:spacing w:line="340" w:lineRule="exact"/>
              <w:jc w:val="center"/>
              <w:rPr>
                <w:rFonts w:eastAsia="仿宋_GB2312"/>
                <w:kern w:val="0"/>
                <w:sz w:val="21"/>
                <w:szCs w:val="21"/>
              </w:rPr>
            </w:pPr>
            <w:r>
              <w:rPr>
                <w:rFonts w:eastAsia="仿宋_GB2312"/>
                <w:kern w:val="0"/>
                <w:sz w:val="21"/>
                <w:szCs w:val="21"/>
              </w:rPr>
              <w:t>9</w:t>
            </w:r>
            <w:r>
              <w:rPr>
                <w:rFonts w:hint="eastAsia" w:eastAsia="仿宋_GB2312"/>
                <w:kern w:val="0"/>
                <w:sz w:val="21"/>
                <w:szCs w:val="21"/>
              </w:rPr>
              <w:t>1.23</w:t>
            </w:r>
          </w:p>
          <w:p>
            <w:pPr>
              <w:pStyle w:val="55"/>
              <w:snapToGrid w:val="0"/>
              <w:spacing w:line="340" w:lineRule="exact"/>
              <w:jc w:val="center"/>
              <w:rPr>
                <w:rFonts w:eastAsia="仿宋_GB2312"/>
                <w:sz w:val="21"/>
                <w:szCs w:val="21"/>
              </w:rPr>
            </w:pPr>
            <w:r>
              <w:rPr>
                <w:rFonts w:eastAsia="仿宋_GB2312"/>
                <w:kern w:val="0"/>
                <w:sz w:val="21"/>
                <w:szCs w:val="21"/>
              </w:rPr>
              <w:t>80</w:t>
            </w:r>
            <w:r>
              <w:rPr>
                <w:rFonts w:hint="eastAsia" w:eastAsia="仿宋_GB2312"/>
                <w:kern w:val="0"/>
                <w:sz w:val="21"/>
                <w:szCs w:val="21"/>
              </w:rPr>
              <w:t>.42</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是</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w:t>
            </w:r>
            <w:r>
              <w:rPr>
                <w:rFonts w:hint="eastAsia" w:eastAsia="仿宋_GB2312"/>
                <w:sz w:val="21"/>
                <w:szCs w:val="21"/>
              </w:rPr>
              <w:t>提升</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持续提升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hint="eastAsia" w:eastAsia="仿宋_GB2312"/>
                <w:szCs w:val="21"/>
              </w:rPr>
              <w:t>25</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一般工业固体废物综合利用率提高幅度</w:t>
            </w:r>
          </w:p>
          <w:p>
            <w:pPr>
              <w:adjustRightInd w:val="0"/>
              <w:snapToGrid w:val="0"/>
              <w:spacing w:beforeLines="20" w:afterLines="20"/>
              <w:ind w:firstLine="210" w:firstLineChars="100"/>
              <w:rPr>
                <w:rFonts w:eastAsia="仿宋_GB2312"/>
                <w:szCs w:val="21"/>
              </w:rPr>
            </w:pPr>
            <w:r>
              <w:rPr>
                <w:rFonts w:eastAsia="仿宋_GB2312"/>
                <w:szCs w:val="21"/>
              </w:rPr>
              <w:t>综合利用率＞60%的地区</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保持稳定或持续改善</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spacing w:beforeLines="20" w:afterLines="20"/>
              <w:jc w:val="center"/>
              <w:rPr>
                <w:rFonts w:eastAsia="仿宋_GB2312"/>
                <w:szCs w:val="21"/>
              </w:rPr>
            </w:pPr>
            <w:r>
              <w:rPr>
                <w:rFonts w:hint="eastAsia" w:eastAsia="仿宋_GB2312"/>
                <w:szCs w:val="21"/>
              </w:rPr>
              <w:t>71.72，持续提升</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保持稳定或持续改善</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保持稳定或持续改善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生态</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生活</w:t>
            </w:r>
          </w:p>
        </w:tc>
        <w:tc>
          <w:tcPr>
            <w:tcW w:w="239"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（八）</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人居环境改善</w:t>
            </w: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hint="eastAsia" w:eastAsia="仿宋_GB2312"/>
                <w:szCs w:val="21"/>
              </w:rPr>
              <w:t>26</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集中式饮用水水源地水质优良比例</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100</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hint="eastAsia" w:eastAsia="仿宋_GB2312"/>
                <w:szCs w:val="21"/>
              </w:rPr>
              <w:t>27</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村镇饮用水卫生合格率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hint="eastAsia" w:eastAsia="仿宋_GB2312"/>
                <w:szCs w:val="21"/>
              </w:rPr>
              <w:t>28</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城镇污水处理率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≥85</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94.7</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w:t>
            </w:r>
            <w:r>
              <w:rPr>
                <w:rFonts w:hint="eastAsia" w:eastAsia="仿宋_GB2312"/>
                <w:sz w:val="21"/>
                <w:szCs w:val="21"/>
              </w:rPr>
              <w:t>提升</w:t>
            </w:r>
          </w:p>
        </w:tc>
        <w:tc>
          <w:tcPr>
            <w:tcW w:w="548" w:type="pct"/>
            <w:tcBorders>
              <w:tl2br w:val="nil"/>
              <w:tr2bl w:val="nil"/>
            </w:tcBorders>
            <w:vAlign w:val="center"/>
          </w:tcPr>
          <w:p>
            <w:pPr>
              <w:adjustRightInd w:val="0"/>
              <w:snapToGrid w:val="0"/>
              <w:spacing w:beforeLines="20" w:afterLines="20"/>
              <w:jc w:val="center"/>
              <w:rPr>
                <w:rFonts w:eastAsia="仿宋_GB2312"/>
                <w:szCs w:val="21"/>
              </w:rPr>
            </w:pPr>
            <w:r>
              <w:rPr>
                <w:rFonts w:eastAsia="仿宋_GB2312"/>
                <w:szCs w:val="21"/>
              </w:rPr>
              <w:t>持续</w:t>
            </w:r>
            <w:r>
              <w:rPr>
                <w:rFonts w:hint="eastAsia" w:eastAsia="仿宋_GB2312"/>
                <w:szCs w:val="21"/>
              </w:rPr>
              <w:t>提升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hint="eastAsia" w:eastAsia="仿宋_GB2312"/>
                <w:szCs w:val="21"/>
              </w:rPr>
              <w:t>29</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农村生活污水治理率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≥50</w:t>
            </w:r>
            <w:r>
              <w:rPr>
                <w:rFonts w:hint="eastAsia" w:eastAsia="仿宋_GB2312"/>
                <w:sz w:val="21"/>
                <w:szCs w:val="21"/>
              </w:rPr>
              <w:t>（国家）</w:t>
            </w:r>
          </w:p>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r>
              <w:rPr>
                <w:rFonts w:hint="eastAsia" w:eastAsia="仿宋_GB2312"/>
                <w:sz w:val="21"/>
                <w:szCs w:val="21"/>
              </w:rPr>
              <w:t>45（省级）</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52.91</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保持稳定或持续</w:t>
            </w:r>
            <w:r>
              <w:rPr>
                <w:rFonts w:hint="eastAsia" w:eastAsia="仿宋_GB2312"/>
                <w:sz w:val="21"/>
                <w:szCs w:val="21"/>
              </w:rPr>
              <w:t>提升</w:t>
            </w:r>
          </w:p>
        </w:tc>
        <w:tc>
          <w:tcPr>
            <w:tcW w:w="548" w:type="pct"/>
            <w:tcBorders>
              <w:tl2br w:val="nil"/>
              <w:tr2bl w:val="nil"/>
            </w:tcBorders>
            <w:vAlign w:val="center"/>
          </w:tcPr>
          <w:p>
            <w:pPr>
              <w:adjustRightInd w:val="0"/>
              <w:snapToGrid w:val="0"/>
              <w:spacing w:beforeLines="20" w:afterLines="20"/>
              <w:jc w:val="center"/>
              <w:rPr>
                <w:rFonts w:eastAsia="仿宋_GB2312"/>
                <w:szCs w:val="21"/>
              </w:rPr>
            </w:pPr>
            <w:r>
              <w:rPr>
                <w:rFonts w:eastAsia="仿宋_GB2312"/>
                <w:szCs w:val="21"/>
              </w:rPr>
              <w:t>持续</w:t>
            </w:r>
            <w:r>
              <w:rPr>
                <w:rFonts w:hint="eastAsia" w:eastAsia="仿宋_GB2312"/>
                <w:szCs w:val="21"/>
              </w:rPr>
              <w:t>提升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kern w:val="0"/>
                <w:szCs w:val="21"/>
              </w:rPr>
            </w:pPr>
            <w:r>
              <w:rPr>
                <w:rFonts w:hint="eastAsia" w:eastAsia="仿宋_GB2312"/>
                <w:szCs w:val="21"/>
              </w:rPr>
              <w:t>30</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城镇生活垃圾无害化处理率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≥80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kern w:val="0"/>
                <w:szCs w:val="21"/>
              </w:rPr>
            </w:pPr>
            <w:r>
              <w:rPr>
                <w:rFonts w:hint="eastAsia" w:eastAsia="仿宋_GB2312"/>
                <w:szCs w:val="21"/>
              </w:rPr>
              <w:t>31</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农村生活垃圾无害化处理村占比</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≥80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参考性（国家）</w:t>
            </w:r>
          </w:p>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约束性（国家）</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100</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100</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hint="eastAsia" w:eastAsia="仿宋_GB2312"/>
                <w:szCs w:val="21"/>
              </w:rPr>
              <w:t>32</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农村无害化卫生厕所普及率</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完成上级规定的目标任务</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kern w:val="0"/>
                <w:sz w:val="21"/>
                <w:szCs w:val="21"/>
              </w:rPr>
              <w:t>改厕任务</w:t>
            </w:r>
            <w:r>
              <w:rPr>
                <w:rFonts w:hint="eastAsia" w:eastAsia="仿宋_GB2312"/>
                <w:kern w:val="0"/>
                <w:sz w:val="21"/>
                <w:szCs w:val="21"/>
              </w:rPr>
              <w:t>2</w:t>
            </w:r>
            <w:r>
              <w:rPr>
                <w:rFonts w:eastAsia="仿宋_GB2312"/>
                <w:kern w:val="0"/>
                <w:sz w:val="21"/>
                <w:szCs w:val="21"/>
              </w:rPr>
              <w:t>000座，实际完成</w:t>
            </w:r>
            <w:r>
              <w:rPr>
                <w:rFonts w:hint="eastAsia" w:eastAsia="仿宋_GB2312"/>
                <w:kern w:val="0"/>
                <w:sz w:val="21"/>
                <w:szCs w:val="21"/>
              </w:rPr>
              <w:t>2</w:t>
            </w:r>
            <w:r>
              <w:rPr>
                <w:rFonts w:eastAsia="仿宋_GB2312"/>
                <w:kern w:val="0"/>
                <w:sz w:val="21"/>
                <w:szCs w:val="21"/>
              </w:rPr>
              <w:t>000座。</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完成上级规定的目标任务</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完成上级规定的目标任务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（九）生活方式绿色化</w:t>
            </w: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hint="eastAsia" w:eastAsia="仿宋_GB2312"/>
                <w:szCs w:val="21"/>
              </w:rPr>
              <w:t>33</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城镇新建绿色建筑比例</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≥50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100</w:t>
            </w:r>
          </w:p>
        </w:tc>
        <w:tc>
          <w:tcPr>
            <w:tcW w:w="548" w:type="pct"/>
            <w:tcBorders>
              <w:tl2br w:val="nil"/>
              <w:tr2bl w:val="nil"/>
            </w:tcBorders>
            <w:vAlign w:val="center"/>
          </w:tcPr>
          <w:p>
            <w:pPr>
              <w:adjustRightInd w:val="0"/>
              <w:snapToGrid w:val="0"/>
              <w:spacing w:beforeLines="20" w:afterLines="20"/>
              <w:jc w:val="center"/>
              <w:rPr>
                <w:rFonts w:eastAsia="仿宋_GB2312"/>
                <w:szCs w:val="21"/>
              </w:rPr>
            </w:pPr>
            <w:r>
              <w:rPr>
                <w:rFonts w:hint="eastAsia" w:eastAsia="仿宋_GB2312"/>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hint="eastAsia" w:eastAsia="仿宋_GB2312"/>
                <w:szCs w:val="21"/>
              </w:rPr>
              <w:t>34</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城镇生活垃圾分类减量化行动</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实施</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已实施</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持续实施</w:t>
            </w:r>
          </w:p>
        </w:tc>
        <w:tc>
          <w:tcPr>
            <w:tcW w:w="548" w:type="pct"/>
            <w:tcBorders>
              <w:tl2br w:val="nil"/>
              <w:tr2bl w:val="nil"/>
            </w:tcBorders>
            <w:vAlign w:val="center"/>
          </w:tcPr>
          <w:p>
            <w:pPr>
              <w:adjustRightInd w:val="0"/>
              <w:snapToGrid w:val="0"/>
              <w:spacing w:beforeLines="20" w:afterLines="20"/>
              <w:jc w:val="center"/>
              <w:rPr>
                <w:rFonts w:eastAsia="仿宋_GB2312"/>
                <w:szCs w:val="21"/>
              </w:rPr>
            </w:pPr>
            <w:r>
              <w:rPr>
                <w:rFonts w:eastAsia="仿宋_GB2312"/>
                <w:szCs w:val="21"/>
              </w:rPr>
              <w:t>持续</w:t>
            </w:r>
            <w:r>
              <w:rPr>
                <w:rFonts w:hint="eastAsia" w:eastAsia="仿宋_GB2312"/>
                <w:szCs w:val="21"/>
              </w:rPr>
              <w:t>提升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eastAsia="仿宋_GB2312"/>
                <w:szCs w:val="21"/>
              </w:rPr>
              <w:t>3</w:t>
            </w:r>
            <w:r>
              <w:rPr>
                <w:rFonts w:hint="eastAsia" w:eastAsia="仿宋_GB2312"/>
                <w:szCs w:val="21"/>
              </w:rPr>
              <w:t>5</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政府绿色采购比例</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≥80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约束性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90.54</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保持稳定或持续提升</w:t>
            </w:r>
          </w:p>
        </w:tc>
        <w:tc>
          <w:tcPr>
            <w:tcW w:w="548" w:type="pct"/>
            <w:tcBorders>
              <w:tl2br w:val="nil"/>
              <w:tr2bl w:val="nil"/>
            </w:tcBorders>
            <w:vAlign w:val="center"/>
          </w:tcPr>
          <w:p>
            <w:pPr>
              <w:adjustRightInd w:val="0"/>
              <w:snapToGrid w:val="0"/>
              <w:spacing w:beforeLines="20" w:afterLines="20"/>
              <w:jc w:val="center"/>
              <w:rPr>
                <w:rFonts w:eastAsia="仿宋_GB2312"/>
                <w:szCs w:val="21"/>
              </w:rPr>
            </w:pPr>
            <w:r>
              <w:rPr>
                <w:rFonts w:eastAsia="仿宋_GB2312"/>
                <w:szCs w:val="21"/>
              </w:rPr>
              <w:t>持续</w:t>
            </w:r>
            <w:r>
              <w:rPr>
                <w:rFonts w:hint="eastAsia" w:eastAsia="仿宋_GB2312"/>
                <w:szCs w:val="21"/>
              </w:rPr>
              <w:t>提升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生态文化</w:t>
            </w:r>
          </w:p>
        </w:tc>
        <w:tc>
          <w:tcPr>
            <w:tcW w:w="239" w:type="pct"/>
            <w:vMerge w:val="restar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（十）观念意识普及</w:t>
            </w: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eastAsia="仿宋_GB2312"/>
                <w:szCs w:val="21"/>
              </w:rPr>
              <w:t>3</w:t>
            </w:r>
            <w:r>
              <w:rPr>
                <w:rFonts w:hint="eastAsia" w:eastAsia="仿宋_GB2312"/>
                <w:szCs w:val="21"/>
              </w:rPr>
              <w:t>6</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党政领导干部参加生态文明培训的人数比例</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100</w:t>
            </w:r>
          </w:p>
        </w:tc>
        <w:tc>
          <w:tcPr>
            <w:tcW w:w="548"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eastAsia="仿宋_GB2312"/>
                <w:szCs w:val="21"/>
              </w:rPr>
              <w:t>3</w:t>
            </w:r>
            <w:r>
              <w:rPr>
                <w:rFonts w:hint="eastAsia" w:eastAsia="仿宋_GB2312"/>
                <w:szCs w:val="21"/>
              </w:rPr>
              <w:t>7</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公众对生态文明建设的满意度</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≥80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93.33</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adjustRightInd w:val="0"/>
              <w:snapToGrid w:val="0"/>
              <w:spacing w:beforeLines="20" w:afterLines="20"/>
              <w:jc w:val="center"/>
              <w:rPr>
                <w:rFonts w:eastAsia="仿宋_GB2312"/>
                <w:szCs w:val="21"/>
              </w:rPr>
            </w:pPr>
            <w:r>
              <w:rPr>
                <w:rFonts w:eastAsia="仿宋_GB2312"/>
                <w:szCs w:val="21"/>
              </w:rPr>
              <w:t>持续</w:t>
            </w:r>
            <w:r>
              <w:rPr>
                <w:rFonts w:hint="eastAsia" w:eastAsia="仿宋_GB2312"/>
                <w:szCs w:val="21"/>
              </w:rPr>
              <w:t>提升</w:t>
            </w:r>
          </w:p>
        </w:tc>
        <w:tc>
          <w:tcPr>
            <w:tcW w:w="548" w:type="pct"/>
            <w:tcBorders>
              <w:tl2br w:val="nil"/>
              <w:tr2bl w:val="nil"/>
            </w:tcBorders>
            <w:vAlign w:val="center"/>
          </w:tcPr>
          <w:p>
            <w:pPr>
              <w:adjustRightInd w:val="0"/>
              <w:snapToGrid w:val="0"/>
              <w:spacing w:beforeLines="20" w:afterLines="20"/>
              <w:jc w:val="center"/>
              <w:rPr>
                <w:rFonts w:eastAsia="仿宋_GB2312"/>
                <w:szCs w:val="21"/>
              </w:rPr>
            </w:pPr>
            <w:r>
              <w:rPr>
                <w:rFonts w:eastAsia="仿宋_GB2312"/>
                <w:szCs w:val="21"/>
              </w:rPr>
              <w:t>持续</w:t>
            </w:r>
            <w:r>
              <w:rPr>
                <w:rFonts w:hint="eastAsia" w:eastAsia="仿宋_GB2312"/>
                <w:szCs w:val="21"/>
              </w:rPr>
              <w:t>提升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3"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239" w:type="pct"/>
            <w:vMerge w:val="continue"/>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p>
        </w:tc>
        <w:tc>
          <w:tcPr>
            <w:tcW w:w="175" w:type="pct"/>
            <w:tcBorders>
              <w:tl2br w:val="nil"/>
              <w:tr2bl w:val="nil"/>
            </w:tcBorders>
            <w:vAlign w:val="center"/>
          </w:tcPr>
          <w:p>
            <w:pPr>
              <w:widowControl/>
              <w:adjustRightInd w:val="0"/>
              <w:snapToGrid w:val="0"/>
              <w:spacing w:beforeLines="20" w:afterLines="20"/>
              <w:jc w:val="center"/>
              <w:textAlignment w:val="center"/>
              <w:rPr>
                <w:rFonts w:eastAsia="仿宋_GB2312"/>
                <w:szCs w:val="21"/>
              </w:rPr>
            </w:pPr>
            <w:r>
              <w:rPr>
                <w:rFonts w:eastAsia="仿宋_GB2312"/>
                <w:szCs w:val="21"/>
              </w:rPr>
              <w:t>3</w:t>
            </w:r>
            <w:r>
              <w:rPr>
                <w:rFonts w:hint="eastAsia" w:eastAsia="仿宋_GB2312"/>
                <w:szCs w:val="21"/>
              </w:rPr>
              <w:t>8</w:t>
            </w:r>
          </w:p>
        </w:tc>
        <w:tc>
          <w:tcPr>
            <w:tcW w:w="1212" w:type="pct"/>
            <w:tcBorders>
              <w:tl2br w:val="nil"/>
              <w:tr2bl w:val="nil"/>
            </w:tcBorders>
            <w:vAlign w:val="center"/>
          </w:tcPr>
          <w:p>
            <w:pPr>
              <w:adjustRightInd w:val="0"/>
              <w:snapToGrid w:val="0"/>
              <w:spacing w:beforeLines="20" w:afterLines="20"/>
              <w:rPr>
                <w:rFonts w:eastAsia="仿宋_GB2312"/>
                <w:szCs w:val="21"/>
              </w:rPr>
            </w:pPr>
            <w:r>
              <w:rPr>
                <w:rFonts w:eastAsia="仿宋_GB2312"/>
                <w:szCs w:val="21"/>
              </w:rPr>
              <w:t>公众对生态文明建设的参与度</w:t>
            </w:r>
          </w:p>
        </w:tc>
        <w:tc>
          <w:tcPr>
            <w:tcW w:w="189"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w:t>
            </w:r>
          </w:p>
        </w:tc>
        <w:tc>
          <w:tcPr>
            <w:tcW w:w="476"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≥80</w:t>
            </w:r>
          </w:p>
        </w:tc>
        <w:tc>
          <w:tcPr>
            <w:tcW w:w="403"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参考性</w:t>
            </w:r>
          </w:p>
        </w:tc>
        <w:tc>
          <w:tcPr>
            <w:tcW w:w="847"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hint="eastAsia" w:eastAsia="仿宋_GB2312"/>
                <w:sz w:val="21"/>
                <w:szCs w:val="21"/>
              </w:rPr>
              <w:t>94.50</w:t>
            </w:r>
          </w:p>
        </w:tc>
        <w:tc>
          <w:tcPr>
            <w:tcW w:w="170" w:type="pct"/>
            <w:tcBorders>
              <w:tl2br w:val="nil"/>
              <w:tr2bl w:val="nil"/>
            </w:tcBorders>
            <w:vAlign w:val="center"/>
          </w:tcPr>
          <w:p>
            <w:pPr>
              <w:pStyle w:val="55"/>
              <w:adjustRightInd w:val="0"/>
              <w:snapToGrid w:val="0"/>
              <w:spacing w:beforeLines="20" w:afterLines="20" w:line="240" w:lineRule="auto"/>
              <w:jc w:val="center"/>
              <w:rPr>
                <w:rFonts w:eastAsia="仿宋_GB2312"/>
                <w:sz w:val="21"/>
                <w:szCs w:val="21"/>
              </w:rPr>
            </w:pPr>
            <w:r>
              <w:rPr>
                <w:rFonts w:eastAsia="仿宋_GB2312"/>
                <w:sz w:val="21"/>
                <w:szCs w:val="21"/>
              </w:rPr>
              <w:t>是</w:t>
            </w:r>
          </w:p>
        </w:tc>
        <w:tc>
          <w:tcPr>
            <w:tcW w:w="564" w:type="pct"/>
            <w:tcBorders>
              <w:tl2br w:val="nil"/>
              <w:tr2bl w:val="nil"/>
            </w:tcBorders>
            <w:vAlign w:val="center"/>
          </w:tcPr>
          <w:p>
            <w:pPr>
              <w:adjustRightInd w:val="0"/>
              <w:snapToGrid w:val="0"/>
              <w:spacing w:beforeLines="20" w:afterLines="20"/>
              <w:jc w:val="center"/>
              <w:rPr>
                <w:rFonts w:eastAsia="仿宋_GB2312"/>
                <w:szCs w:val="21"/>
              </w:rPr>
            </w:pPr>
            <w:r>
              <w:rPr>
                <w:rFonts w:eastAsia="仿宋_GB2312"/>
                <w:szCs w:val="21"/>
              </w:rPr>
              <w:t>持续</w:t>
            </w:r>
            <w:r>
              <w:rPr>
                <w:rFonts w:hint="eastAsia" w:eastAsia="仿宋_GB2312"/>
                <w:szCs w:val="21"/>
              </w:rPr>
              <w:t>提升</w:t>
            </w:r>
          </w:p>
        </w:tc>
        <w:tc>
          <w:tcPr>
            <w:tcW w:w="548" w:type="pct"/>
            <w:tcBorders>
              <w:tl2br w:val="nil"/>
              <w:tr2bl w:val="nil"/>
            </w:tcBorders>
            <w:vAlign w:val="center"/>
          </w:tcPr>
          <w:p>
            <w:pPr>
              <w:adjustRightInd w:val="0"/>
              <w:snapToGrid w:val="0"/>
              <w:spacing w:beforeLines="20" w:afterLines="20"/>
              <w:jc w:val="center"/>
              <w:rPr>
                <w:rFonts w:eastAsia="仿宋_GB2312"/>
                <w:szCs w:val="21"/>
              </w:rPr>
            </w:pPr>
            <w:r>
              <w:rPr>
                <w:rFonts w:eastAsia="仿宋_GB2312"/>
                <w:szCs w:val="21"/>
              </w:rPr>
              <w:t>持续</w:t>
            </w:r>
            <w:r>
              <w:rPr>
                <w:rFonts w:hint="eastAsia" w:eastAsia="仿宋_GB2312"/>
                <w:szCs w:val="21"/>
              </w:rPr>
              <w:t>提升</w:t>
            </w:r>
          </w:p>
        </w:tc>
      </w:tr>
    </w:tbl>
    <w:p>
      <w:pPr>
        <w:snapToGrid w:val="0"/>
        <w:spacing w:line="340" w:lineRule="exact"/>
        <w:rPr>
          <w:rFonts w:eastAsia="仿宋_GB2312"/>
          <w:sz w:val="28"/>
          <w:szCs w:val="28"/>
        </w:rPr>
        <w:sectPr>
          <w:pgSz w:w="23811" w:h="16838" w:orient="landscape"/>
          <w:pgMar w:top="1800" w:right="1440" w:bottom="1800" w:left="1440" w:header="851" w:footer="992" w:gutter="0"/>
          <w:cols w:space="720" w:num="1"/>
          <w:docGrid w:type="lines" w:linePitch="312" w:charSpace="0"/>
        </w:sectPr>
      </w:pPr>
      <w:r>
        <w:rPr>
          <w:rFonts w:hint="eastAsia" w:eastAsia="仿宋_GB2312"/>
          <w:kern w:val="0"/>
          <w:szCs w:val="21"/>
        </w:rPr>
        <w:t>注：标“*”指标为山西省生态文明建设示范区特色建设指标；其他指标为国家、山西省生态文明建设示范区共同建设指标。</w:t>
      </w:r>
    </w:p>
    <w:bookmarkEnd w:id="101"/>
    <w:bookmarkEnd w:id="164"/>
    <w:p>
      <w:pPr>
        <w:pStyle w:val="9"/>
        <w:keepLines w:val="0"/>
        <w:adjustRightInd w:val="0"/>
        <w:snapToGrid w:val="0"/>
        <w:spacing w:before="0" w:after="0" w:line="600" w:lineRule="exact"/>
        <w:ind w:firstLine="640" w:firstLineChars="200"/>
        <w:jc w:val="left"/>
        <w:rPr>
          <w:rFonts w:eastAsia="黑体"/>
          <w:b w:val="0"/>
          <w:kern w:val="32"/>
          <w:sz w:val="32"/>
          <w:szCs w:val="32"/>
        </w:rPr>
      </w:pPr>
      <w:bookmarkStart w:id="183" w:name="_Toc4089"/>
      <w:bookmarkStart w:id="184" w:name="_Toc22007"/>
      <w:bookmarkStart w:id="185" w:name="_Toc19775"/>
      <w:bookmarkStart w:id="186" w:name="_Toc32191"/>
      <w:bookmarkStart w:id="187" w:name="_Toc23377"/>
      <w:bookmarkStart w:id="188" w:name="_Toc97293473"/>
      <w:bookmarkStart w:id="189" w:name="_Toc21129"/>
      <w:bookmarkStart w:id="190" w:name="_Toc19920"/>
      <w:bookmarkStart w:id="191" w:name="_Toc15543"/>
      <w:bookmarkStart w:id="192" w:name="_Toc26159"/>
      <w:bookmarkStart w:id="193" w:name="_Toc27502"/>
      <w:bookmarkStart w:id="194" w:name="_Toc8234"/>
      <w:bookmarkStart w:id="195" w:name="_Toc96633621"/>
      <w:bookmarkStart w:id="196" w:name="_Toc59349805"/>
      <w:bookmarkStart w:id="197" w:name="_Toc92877702"/>
      <w:r>
        <w:rPr>
          <w:rFonts w:eastAsia="黑体"/>
          <w:b w:val="0"/>
          <w:kern w:val="32"/>
          <w:sz w:val="32"/>
          <w:szCs w:val="32"/>
        </w:rPr>
        <w:t>三、规划任务</w:t>
      </w:r>
      <w:bookmarkEnd w:id="183"/>
      <w:bookmarkEnd w:id="184"/>
      <w:bookmarkEnd w:id="185"/>
      <w:bookmarkEnd w:id="186"/>
      <w:bookmarkEnd w:id="187"/>
      <w:bookmarkEnd w:id="188"/>
      <w:bookmarkEnd w:id="189"/>
      <w:bookmarkEnd w:id="190"/>
      <w:bookmarkEnd w:id="191"/>
      <w:bookmarkEnd w:id="192"/>
      <w:bookmarkEnd w:id="193"/>
      <w:bookmarkEnd w:id="194"/>
      <w:bookmarkEnd w:id="195"/>
    </w:p>
    <w:bookmarkEnd w:id="196"/>
    <w:bookmarkEnd w:id="197"/>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198" w:name="_Toc92877703"/>
      <w:bookmarkStart w:id="199" w:name="_Toc2278"/>
      <w:bookmarkStart w:id="200" w:name="_Toc323"/>
      <w:bookmarkStart w:id="201" w:name="_Toc29418"/>
      <w:bookmarkStart w:id="202" w:name="_Toc22351"/>
      <w:bookmarkStart w:id="203" w:name="_Toc97293474"/>
      <w:bookmarkStart w:id="204" w:name="_Toc23376"/>
      <w:bookmarkStart w:id="205" w:name="_Toc27342"/>
      <w:bookmarkStart w:id="206" w:name="_Toc12727"/>
      <w:bookmarkStart w:id="207" w:name="_Toc3234"/>
      <w:bookmarkStart w:id="208" w:name="_Toc4879"/>
      <w:bookmarkStart w:id="209" w:name="_Toc26840"/>
      <w:bookmarkStart w:id="210" w:name="_Toc16779"/>
      <w:bookmarkStart w:id="211" w:name="_Toc96633622"/>
      <w:r>
        <w:rPr>
          <w:rFonts w:ascii="Times New Roman" w:hAnsi="Times New Roman" w:eastAsia="楷体_GB2312"/>
          <w:kern w:val="0"/>
          <w:sz w:val="30"/>
          <w:szCs w:val="30"/>
        </w:rPr>
        <w:t>（一）生态制度体系建设</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p>
    <w:p>
      <w:pPr>
        <w:pStyle w:val="11"/>
        <w:spacing w:before="0" w:after="0" w:line="600" w:lineRule="exact"/>
        <w:ind w:firstLine="562" w:firstLineChars="200"/>
        <w:rPr>
          <w:rFonts w:eastAsia="仿宋_GB2312"/>
          <w:sz w:val="28"/>
          <w:szCs w:val="28"/>
        </w:rPr>
      </w:pPr>
      <w:bookmarkStart w:id="212" w:name="_Toc96633623"/>
      <w:bookmarkStart w:id="213" w:name="_Toc97293475"/>
      <w:bookmarkStart w:id="214" w:name="_Toc30758"/>
      <w:bookmarkStart w:id="215" w:name="_Toc19365"/>
      <w:bookmarkStart w:id="216" w:name="_Toc16356"/>
      <w:bookmarkStart w:id="217" w:name="_Toc5228"/>
      <w:bookmarkStart w:id="218" w:name="_Toc19162"/>
      <w:r>
        <w:rPr>
          <w:rFonts w:eastAsia="仿宋_GB2312"/>
          <w:sz w:val="28"/>
          <w:szCs w:val="28"/>
        </w:rPr>
        <w:t xml:space="preserve">1. </w:t>
      </w:r>
      <w:bookmarkEnd w:id="212"/>
      <w:bookmarkEnd w:id="213"/>
      <w:bookmarkEnd w:id="214"/>
      <w:r>
        <w:rPr>
          <w:rFonts w:hint="eastAsia" w:eastAsia="仿宋_GB2312"/>
          <w:sz w:val="28"/>
          <w:szCs w:val="28"/>
        </w:rPr>
        <w:t>健全</w:t>
      </w:r>
      <w:r>
        <w:rPr>
          <w:rFonts w:eastAsia="仿宋_GB2312"/>
          <w:sz w:val="28"/>
          <w:szCs w:val="28"/>
        </w:rPr>
        <w:t>生态环境保护责任制度</w:t>
      </w:r>
      <w:bookmarkEnd w:id="215"/>
      <w:bookmarkEnd w:id="216"/>
      <w:bookmarkEnd w:id="217"/>
      <w:bookmarkEnd w:id="218"/>
    </w:p>
    <w:p>
      <w:pPr>
        <w:spacing w:line="600" w:lineRule="exact"/>
        <w:ind w:firstLine="560" w:firstLineChars="200"/>
        <w:rPr>
          <w:rFonts w:eastAsia="仿宋_GB2312"/>
          <w:sz w:val="28"/>
          <w:szCs w:val="28"/>
        </w:rPr>
      </w:pPr>
      <w:bookmarkStart w:id="219" w:name="_Toc97293476"/>
      <w:bookmarkStart w:id="220" w:name="_Toc12012"/>
      <w:r>
        <w:rPr>
          <w:rFonts w:eastAsia="仿宋_GB2312"/>
          <w:sz w:val="28"/>
          <w:szCs w:val="28"/>
        </w:rPr>
        <w:t>强化环境保护党政主体责任</w:t>
      </w:r>
      <w:r>
        <w:rPr>
          <w:rFonts w:hint="eastAsia" w:eastAsia="仿宋_GB2312"/>
          <w:sz w:val="28"/>
          <w:szCs w:val="28"/>
        </w:rPr>
        <w:t>，</w:t>
      </w:r>
      <w:r>
        <w:rPr>
          <w:rFonts w:eastAsia="仿宋_GB2312"/>
          <w:sz w:val="28"/>
          <w:szCs w:val="28"/>
        </w:rPr>
        <w:t>定期组织学习贯彻落实习近平生态文明思想和国家、</w:t>
      </w:r>
      <w:r>
        <w:rPr>
          <w:rFonts w:hint="eastAsia" w:eastAsia="仿宋_GB2312"/>
          <w:sz w:val="28"/>
          <w:szCs w:val="28"/>
        </w:rPr>
        <w:t>省级</w:t>
      </w:r>
      <w:r>
        <w:rPr>
          <w:rFonts w:eastAsia="仿宋_GB2312"/>
          <w:sz w:val="28"/>
          <w:szCs w:val="28"/>
        </w:rPr>
        <w:t>有关生态文明建设决策部署和重大政策，</w:t>
      </w:r>
      <w:r>
        <w:rPr>
          <w:rFonts w:hint="eastAsia" w:eastAsia="仿宋_GB2312"/>
          <w:sz w:val="28"/>
          <w:szCs w:val="28"/>
        </w:rPr>
        <w:t>县委、县政府</w:t>
      </w:r>
      <w:r>
        <w:rPr>
          <w:rFonts w:eastAsia="仿宋_GB2312"/>
          <w:sz w:val="28"/>
          <w:szCs w:val="28"/>
        </w:rPr>
        <w:t>和</w:t>
      </w:r>
      <w:r>
        <w:rPr>
          <w:rFonts w:hint="eastAsia" w:eastAsia="仿宋_GB2312"/>
          <w:sz w:val="28"/>
          <w:szCs w:val="28"/>
        </w:rPr>
        <w:t>县</w:t>
      </w:r>
      <w:r>
        <w:rPr>
          <w:rFonts w:eastAsia="仿宋_GB2312"/>
          <w:sz w:val="28"/>
          <w:szCs w:val="28"/>
        </w:rPr>
        <w:t>直各有关部门要</w:t>
      </w:r>
      <w:r>
        <w:rPr>
          <w:rFonts w:hint="eastAsia" w:eastAsia="仿宋_GB2312"/>
          <w:sz w:val="28"/>
          <w:szCs w:val="28"/>
        </w:rPr>
        <w:t>严格落实中央、省级</w:t>
      </w:r>
      <w:r>
        <w:rPr>
          <w:rFonts w:eastAsia="仿宋_GB2312"/>
          <w:sz w:val="28"/>
          <w:szCs w:val="28"/>
        </w:rPr>
        <w:t>生态环境保护督察</w:t>
      </w:r>
      <w:r>
        <w:rPr>
          <w:rFonts w:hint="eastAsia" w:eastAsia="仿宋_GB2312"/>
          <w:sz w:val="28"/>
          <w:szCs w:val="28"/>
        </w:rPr>
        <w:t>及黄河（汾河）流域生态环境问题</w:t>
      </w:r>
      <w:r>
        <w:rPr>
          <w:rFonts w:eastAsia="仿宋_GB2312"/>
          <w:sz w:val="28"/>
          <w:szCs w:val="28"/>
        </w:rPr>
        <w:t>整改</w:t>
      </w:r>
      <w:r>
        <w:rPr>
          <w:rFonts w:hint="eastAsia" w:eastAsia="仿宋_GB2312"/>
          <w:sz w:val="28"/>
          <w:szCs w:val="28"/>
        </w:rPr>
        <w:t>。严格执行静乐县年度目标责任考核办法，</w:t>
      </w:r>
      <w:r>
        <w:rPr>
          <w:rFonts w:eastAsia="仿宋_GB2312"/>
          <w:sz w:val="28"/>
          <w:szCs w:val="28"/>
        </w:rPr>
        <w:t>提高生态文明建设工作占党政实绩考核的比例，</w:t>
      </w:r>
      <w:r>
        <w:rPr>
          <w:rFonts w:hint="eastAsia" w:eastAsia="仿宋_GB2312"/>
          <w:sz w:val="28"/>
          <w:szCs w:val="28"/>
        </w:rPr>
        <w:t>并</w:t>
      </w:r>
      <w:r>
        <w:rPr>
          <w:rFonts w:eastAsia="仿宋_GB2312"/>
          <w:sz w:val="28"/>
          <w:szCs w:val="28"/>
        </w:rPr>
        <w:t>将领导干部生态文明建设实绩作为评价干部任免奖惩的重要依据之一。</w:t>
      </w:r>
      <w:r>
        <w:rPr>
          <w:rFonts w:hint="eastAsia" w:eastAsia="仿宋_GB2312"/>
          <w:sz w:val="28"/>
          <w:szCs w:val="28"/>
        </w:rPr>
        <w:t>深化领导干部自然资源资产离任审计</w:t>
      </w:r>
      <w:r>
        <w:rPr>
          <w:rFonts w:eastAsia="仿宋_GB2312"/>
          <w:sz w:val="28"/>
          <w:szCs w:val="28"/>
        </w:rPr>
        <w:t>制度</w:t>
      </w:r>
      <w:r>
        <w:rPr>
          <w:rFonts w:hint="eastAsia" w:eastAsia="仿宋_GB2312"/>
          <w:sz w:val="28"/>
          <w:szCs w:val="28"/>
        </w:rPr>
        <w:t>，</w:t>
      </w:r>
      <w:r>
        <w:rPr>
          <w:rFonts w:eastAsia="仿宋_GB2312"/>
          <w:sz w:val="28"/>
          <w:szCs w:val="28"/>
        </w:rPr>
        <w:t>对领导干部任期内辖区的自然资源资产变化情况、生态红线保护情况、生态修复成效等内容进行</w:t>
      </w:r>
      <w:r>
        <w:rPr>
          <w:rFonts w:hint="eastAsia" w:eastAsia="仿宋_GB2312"/>
          <w:sz w:val="28"/>
          <w:szCs w:val="28"/>
        </w:rPr>
        <w:t>任中或离任</w:t>
      </w:r>
      <w:r>
        <w:rPr>
          <w:rFonts w:eastAsia="仿宋_GB2312"/>
          <w:sz w:val="28"/>
          <w:szCs w:val="28"/>
        </w:rPr>
        <w:t>审计，并将审计结果作为领导干部提拔任用的重要依据。严格执行生态环境损害责任终身追究制度</w:t>
      </w:r>
      <w:r>
        <w:rPr>
          <w:rFonts w:hint="eastAsia" w:eastAsia="仿宋_GB2312"/>
          <w:sz w:val="28"/>
          <w:szCs w:val="28"/>
        </w:rPr>
        <w:t>，</w:t>
      </w:r>
      <w:r>
        <w:rPr>
          <w:rFonts w:eastAsia="仿宋_GB2312"/>
          <w:sz w:val="28"/>
          <w:szCs w:val="28"/>
        </w:rPr>
        <w:t>明确对相关</w:t>
      </w:r>
      <w:r>
        <w:rPr>
          <w:rFonts w:hint="eastAsia" w:eastAsia="仿宋_GB2312"/>
          <w:sz w:val="28"/>
          <w:szCs w:val="28"/>
        </w:rPr>
        <w:t>领导干部</w:t>
      </w:r>
      <w:r>
        <w:rPr>
          <w:rFonts w:eastAsia="仿宋_GB2312"/>
          <w:sz w:val="28"/>
          <w:szCs w:val="28"/>
        </w:rPr>
        <w:t>的追责情形和认定程序，建立</w:t>
      </w:r>
      <w:r>
        <w:rPr>
          <w:rFonts w:hint="eastAsia" w:eastAsia="仿宋_GB2312"/>
          <w:sz w:val="28"/>
          <w:szCs w:val="28"/>
        </w:rPr>
        <w:t>静乐县</w:t>
      </w:r>
      <w:r>
        <w:rPr>
          <w:rFonts w:eastAsia="仿宋_GB2312"/>
          <w:sz w:val="28"/>
          <w:szCs w:val="28"/>
        </w:rPr>
        <w:t>生态环境损害责任追求体系，定期向社会公布各领导干部和部门实绩。</w:t>
      </w:r>
    </w:p>
    <w:p>
      <w:pPr>
        <w:pStyle w:val="11"/>
        <w:spacing w:before="0" w:after="0" w:line="600" w:lineRule="exact"/>
        <w:ind w:firstLine="562" w:firstLineChars="200"/>
        <w:rPr>
          <w:rFonts w:eastAsia="仿宋_GB2312"/>
          <w:sz w:val="28"/>
          <w:szCs w:val="28"/>
        </w:rPr>
      </w:pPr>
      <w:bookmarkStart w:id="221" w:name="_Toc32443"/>
      <w:bookmarkStart w:id="222" w:name="_Toc15373"/>
      <w:bookmarkStart w:id="223" w:name="_Toc2368"/>
      <w:bookmarkStart w:id="224" w:name="_Toc3146"/>
      <w:r>
        <w:rPr>
          <w:rFonts w:eastAsia="仿宋_GB2312"/>
          <w:sz w:val="28"/>
          <w:szCs w:val="28"/>
        </w:rPr>
        <w:t xml:space="preserve">2. </w:t>
      </w:r>
      <w:bookmarkEnd w:id="219"/>
      <w:bookmarkEnd w:id="220"/>
      <w:r>
        <w:rPr>
          <w:rFonts w:eastAsia="仿宋_GB2312"/>
          <w:sz w:val="28"/>
          <w:szCs w:val="28"/>
        </w:rPr>
        <w:t>健全资源高效利用制度</w:t>
      </w:r>
      <w:bookmarkEnd w:id="221"/>
      <w:bookmarkEnd w:id="222"/>
      <w:bookmarkEnd w:id="223"/>
      <w:bookmarkEnd w:id="224"/>
    </w:p>
    <w:p>
      <w:pPr>
        <w:spacing w:line="600" w:lineRule="exact"/>
        <w:ind w:firstLine="560" w:firstLineChars="200"/>
        <w:rPr>
          <w:rFonts w:eastAsia="仿宋_GB2312"/>
          <w:sz w:val="28"/>
          <w:szCs w:val="28"/>
          <w:lang w:val="zh-CN"/>
        </w:rPr>
      </w:pPr>
      <w:bookmarkStart w:id="225" w:name="_Toc97293477"/>
      <w:bookmarkStart w:id="226" w:name="_Toc1331"/>
      <w:r>
        <w:rPr>
          <w:rFonts w:eastAsia="仿宋_GB2312"/>
          <w:bCs/>
          <w:sz w:val="28"/>
          <w:szCs w:val="28"/>
        </w:rPr>
        <w:t>坚持谁受益谁补偿，探索政府主导、企业和社会参与、市场化运作、可持续的生态产品价值实现路径。完善土地资源、水资源、森林资源等自然资源有偿使用制度，进一步推进自然资源统一确权登记，健全自然资源产权制度，落实资源有偿使用制度，实行资源总量管理和全面节约制度。加快建立自然资源统一调查、评价、监测制度，健全自然资源监管体制。</w:t>
      </w:r>
      <w:r>
        <w:rPr>
          <w:rFonts w:eastAsia="仿宋_GB2312"/>
          <w:sz w:val="28"/>
          <w:szCs w:val="28"/>
          <w:lang w:val="zh-CN"/>
        </w:rPr>
        <w:t>完善河湖长制管护机制</w:t>
      </w:r>
      <w:r>
        <w:rPr>
          <w:rFonts w:hint="eastAsia" w:eastAsia="仿宋_GB2312"/>
          <w:sz w:val="28"/>
          <w:szCs w:val="28"/>
          <w:lang w:val="zh-CN"/>
        </w:rPr>
        <w:t>，</w:t>
      </w:r>
      <w:r>
        <w:rPr>
          <w:rFonts w:eastAsia="仿宋_GB2312"/>
          <w:sz w:val="28"/>
          <w:szCs w:val="28"/>
          <w:lang w:val="zh-CN"/>
        </w:rPr>
        <w:t>持续</w:t>
      </w:r>
      <w:r>
        <w:rPr>
          <w:rFonts w:hint="eastAsia" w:eastAsia="仿宋_GB2312"/>
          <w:sz w:val="28"/>
          <w:szCs w:val="28"/>
          <w:lang w:val="zh-CN"/>
        </w:rPr>
        <w:t>加大</w:t>
      </w:r>
      <w:r>
        <w:rPr>
          <w:rFonts w:eastAsia="仿宋_GB2312"/>
          <w:sz w:val="28"/>
          <w:szCs w:val="28"/>
          <w:lang w:val="zh-CN"/>
        </w:rPr>
        <w:t>各级河长和巡河员巡查力度，</w:t>
      </w:r>
      <w:r>
        <w:rPr>
          <w:rFonts w:hint="eastAsia" w:eastAsia="仿宋_GB2312"/>
          <w:sz w:val="28"/>
          <w:szCs w:val="28"/>
        </w:rPr>
        <w:t>持续开展</w:t>
      </w:r>
      <w:r>
        <w:rPr>
          <w:rFonts w:eastAsia="仿宋_GB2312"/>
          <w:sz w:val="28"/>
          <w:szCs w:val="28"/>
          <w:lang w:val="zh-CN"/>
        </w:rPr>
        <w:t>河道范围内妨碍河道行洪及“四乱”问题排查整治</w:t>
      </w:r>
      <w:r>
        <w:rPr>
          <w:rFonts w:hint="eastAsia" w:eastAsia="仿宋_GB2312"/>
          <w:sz w:val="28"/>
          <w:szCs w:val="28"/>
          <w:lang w:val="zh-CN"/>
        </w:rPr>
        <w:t>，</w:t>
      </w:r>
      <w:r>
        <w:rPr>
          <w:rFonts w:eastAsia="仿宋_GB2312"/>
          <w:sz w:val="28"/>
          <w:szCs w:val="28"/>
          <w:lang w:val="zh-CN"/>
        </w:rPr>
        <w:t>推动河湖长制从“全面建立”向“全面见效”转变</w:t>
      </w:r>
      <w:r>
        <w:rPr>
          <w:rFonts w:hint="eastAsia" w:eastAsia="仿宋_GB2312"/>
          <w:sz w:val="28"/>
          <w:szCs w:val="28"/>
          <w:lang w:val="zh-CN"/>
        </w:rPr>
        <w:t>。</w:t>
      </w:r>
      <w:r>
        <w:rPr>
          <w:rFonts w:hint="eastAsia" w:eastAsia="仿宋_GB2312"/>
          <w:sz w:val="28"/>
          <w:szCs w:val="28"/>
        </w:rPr>
        <w:t>执行并完善《静乐县</w:t>
      </w:r>
      <w:r>
        <w:rPr>
          <w:rFonts w:eastAsia="仿宋_GB2312"/>
          <w:sz w:val="28"/>
          <w:szCs w:val="28"/>
          <w:lang w:val="zh-CN"/>
        </w:rPr>
        <w:t>林长</w:t>
      </w:r>
      <w:r>
        <w:rPr>
          <w:rFonts w:hint="eastAsia" w:eastAsia="仿宋_GB2312"/>
          <w:sz w:val="28"/>
          <w:szCs w:val="28"/>
        </w:rPr>
        <w:t>制县级</w:t>
      </w:r>
      <w:r>
        <w:rPr>
          <w:rFonts w:eastAsia="仿宋_GB2312"/>
          <w:sz w:val="28"/>
          <w:szCs w:val="28"/>
          <w:lang w:val="zh-CN"/>
        </w:rPr>
        <w:t>会议制度</w:t>
      </w:r>
      <w:r>
        <w:rPr>
          <w:rFonts w:hint="eastAsia" w:eastAsia="仿宋_GB2312"/>
          <w:sz w:val="28"/>
          <w:szCs w:val="28"/>
        </w:rPr>
        <w:t>》《静乐县林长制县级工作督查制度》《静乐县林长制县级部门协作制度》等相关制度，</w:t>
      </w:r>
      <w:r>
        <w:rPr>
          <w:rFonts w:eastAsia="仿宋_GB2312"/>
          <w:sz w:val="28"/>
          <w:szCs w:val="28"/>
          <w:lang w:val="zh-CN"/>
        </w:rPr>
        <w:t>保障</w:t>
      </w:r>
      <w:r>
        <w:rPr>
          <w:rFonts w:hint="eastAsia" w:eastAsia="仿宋_GB2312"/>
          <w:sz w:val="28"/>
          <w:szCs w:val="28"/>
        </w:rPr>
        <w:t>全县</w:t>
      </w:r>
      <w:r>
        <w:rPr>
          <w:rFonts w:eastAsia="仿宋_GB2312"/>
          <w:sz w:val="28"/>
          <w:szCs w:val="28"/>
          <w:lang w:val="zh-CN"/>
        </w:rPr>
        <w:t>林长制工作有力推进。</w:t>
      </w:r>
    </w:p>
    <w:p>
      <w:pPr>
        <w:pStyle w:val="11"/>
        <w:spacing w:before="0" w:after="0" w:line="600" w:lineRule="exact"/>
        <w:ind w:firstLine="562" w:firstLineChars="200"/>
        <w:rPr>
          <w:rFonts w:eastAsia="仿宋_GB2312"/>
          <w:sz w:val="28"/>
          <w:szCs w:val="28"/>
        </w:rPr>
      </w:pPr>
      <w:bookmarkStart w:id="227" w:name="_Toc20779"/>
      <w:bookmarkStart w:id="228" w:name="_Toc1369"/>
      <w:bookmarkStart w:id="229" w:name="_Toc10215"/>
      <w:bookmarkStart w:id="230" w:name="_Toc27464"/>
      <w:r>
        <w:rPr>
          <w:rFonts w:eastAsia="仿宋_GB2312"/>
          <w:sz w:val="28"/>
          <w:szCs w:val="28"/>
        </w:rPr>
        <w:t xml:space="preserve">3. </w:t>
      </w:r>
      <w:bookmarkEnd w:id="225"/>
      <w:bookmarkEnd w:id="226"/>
      <w:r>
        <w:rPr>
          <w:rFonts w:eastAsia="仿宋_GB2312"/>
          <w:sz w:val="28"/>
          <w:szCs w:val="28"/>
        </w:rPr>
        <w:t>完善生态保护和修复制度</w:t>
      </w:r>
      <w:bookmarkEnd w:id="227"/>
      <w:bookmarkEnd w:id="228"/>
      <w:bookmarkEnd w:id="229"/>
      <w:bookmarkEnd w:id="230"/>
    </w:p>
    <w:p>
      <w:pPr>
        <w:spacing w:line="600" w:lineRule="exact"/>
        <w:ind w:firstLine="560" w:firstLineChars="200"/>
        <w:rPr>
          <w:rFonts w:eastAsia="仿宋_GB2312"/>
          <w:sz w:val="28"/>
          <w:szCs w:val="28"/>
        </w:rPr>
      </w:pPr>
      <w:bookmarkStart w:id="231" w:name="_Toc97293478"/>
      <w:bookmarkStart w:id="232" w:name="_Toc22660"/>
      <w:r>
        <w:rPr>
          <w:rFonts w:hint="eastAsia" w:eastAsia="仿宋_GB2312"/>
          <w:sz w:val="28"/>
          <w:szCs w:val="28"/>
        </w:rPr>
        <w:t>将静乐县域森林、草地、湿地等生态系统类型和要素，全部纳入生态管理体系，按照生态安全和生态服务功能最优的原则，统筹设计区域生态保护格局。</w:t>
      </w:r>
      <w:r>
        <w:rPr>
          <w:rFonts w:eastAsia="仿宋_GB2312"/>
          <w:sz w:val="28"/>
          <w:szCs w:val="28"/>
        </w:rPr>
        <w:t>坚持谁受益、谁补偿，谁破坏、谁治理的原则</w:t>
      </w:r>
      <w:r>
        <w:rPr>
          <w:rFonts w:hint="eastAsia" w:eastAsia="仿宋_GB2312"/>
          <w:sz w:val="28"/>
          <w:szCs w:val="28"/>
        </w:rPr>
        <w:t>，</w:t>
      </w:r>
      <w:r>
        <w:rPr>
          <w:rFonts w:eastAsia="仿宋_GB2312"/>
          <w:sz w:val="28"/>
          <w:szCs w:val="28"/>
        </w:rPr>
        <w:t>明确各</w:t>
      </w:r>
      <w:r>
        <w:rPr>
          <w:rFonts w:hint="eastAsia" w:eastAsia="仿宋_GB2312"/>
          <w:sz w:val="28"/>
          <w:szCs w:val="28"/>
        </w:rPr>
        <w:t>生态系统类型和要素</w:t>
      </w:r>
      <w:r>
        <w:rPr>
          <w:rFonts w:eastAsia="仿宋_GB2312"/>
          <w:sz w:val="28"/>
          <w:szCs w:val="28"/>
        </w:rPr>
        <w:t>的补偿主体、受益主体、补偿程序、监管措施等</w:t>
      </w:r>
      <w:r>
        <w:rPr>
          <w:rFonts w:hint="eastAsia" w:eastAsia="仿宋_GB2312"/>
          <w:sz w:val="28"/>
          <w:szCs w:val="28"/>
        </w:rPr>
        <w:t>，形成</w:t>
      </w:r>
      <w:r>
        <w:rPr>
          <w:rFonts w:eastAsia="仿宋_GB2312"/>
          <w:sz w:val="28"/>
          <w:szCs w:val="28"/>
        </w:rPr>
        <w:t>生态保护补偿标准体系。</w:t>
      </w:r>
      <w:r>
        <w:rPr>
          <w:rFonts w:hint="eastAsia" w:eastAsia="仿宋_GB2312"/>
          <w:sz w:val="28"/>
          <w:szCs w:val="28"/>
        </w:rPr>
        <w:t>依托已</w:t>
      </w:r>
      <w:r>
        <w:rPr>
          <w:rFonts w:eastAsia="仿宋_GB2312"/>
          <w:sz w:val="28"/>
          <w:szCs w:val="28"/>
        </w:rPr>
        <w:t>签订</w:t>
      </w:r>
      <w:r>
        <w:rPr>
          <w:rFonts w:hint="eastAsia" w:eastAsia="仿宋_GB2312"/>
          <w:sz w:val="28"/>
          <w:szCs w:val="28"/>
        </w:rPr>
        <w:t>的</w:t>
      </w:r>
      <w:r>
        <w:rPr>
          <w:rFonts w:eastAsia="仿宋_GB2312"/>
          <w:sz w:val="28"/>
          <w:szCs w:val="28"/>
        </w:rPr>
        <w:t>汾河流域上下游联防联控合作机制协议，探索健全完善流域上下游生态保护补偿机制</w:t>
      </w:r>
      <w:r>
        <w:rPr>
          <w:rFonts w:hint="eastAsia" w:eastAsia="仿宋_GB2312"/>
          <w:sz w:val="28"/>
          <w:szCs w:val="28"/>
        </w:rPr>
        <w:t>，共同提升流域生态环境保护能力。</w:t>
      </w:r>
      <w:r>
        <w:rPr>
          <w:rFonts w:eastAsia="仿宋_GB2312"/>
          <w:sz w:val="28"/>
          <w:szCs w:val="28"/>
        </w:rPr>
        <w:t>建立</w:t>
      </w:r>
      <w:r>
        <w:rPr>
          <w:rFonts w:hint="eastAsia" w:eastAsia="仿宋_GB2312"/>
          <w:sz w:val="28"/>
          <w:szCs w:val="28"/>
        </w:rPr>
        <w:t>林草地</w:t>
      </w:r>
      <w:r>
        <w:rPr>
          <w:rFonts w:eastAsia="仿宋_GB2312"/>
          <w:sz w:val="28"/>
          <w:szCs w:val="28"/>
        </w:rPr>
        <w:t>生态保护补偿机制，完善破坏</w:t>
      </w:r>
      <w:r>
        <w:rPr>
          <w:rFonts w:hint="eastAsia" w:eastAsia="仿宋_GB2312"/>
          <w:sz w:val="28"/>
          <w:szCs w:val="28"/>
        </w:rPr>
        <w:t>林草地</w:t>
      </w:r>
      <w:r>
        <w:rPr>
          <w:rFonts w:eastAsia="仿宋_GB2312"/>
          <w:sz w:val="28"/>
          <w:szCs w:val="28"/>
        </w:rPr>
        <w:t>资源责任制度，推进</w:t>
      </w:r>
      <w:r>
        <w:rPr>
          <w:rFonts w:hint="eastAsia" w:eastAsia="仿宋_GB2312"/>
          <w:sz w:val="28"/>
          <w:szCs w:val="28"/>
        </w:rPr>
        <w:t>林草地</w:t>
      </w:r>
      <w:r>
        <w:rPr>
          <w:rFonts w:eastAsia="仿宋_GB2312"/>
          <w:sz w:val="28"/>
          <w:szCs w:val="28"/>
        </w:rPr>
        <w:t>资源管理体系建设，杜绝林地非法流失。建立耕地保护补偿制度，完善永久基本农田特殊保护政策措施，整合涉农资金用于耕地保护、土地整理、耕地开发。</w:t>
      </w:r>
    </w:p>
    <w:p>
      <w:pPr>
        <w:pStyle w:val="11"/>
        <w:spacing w:before="0" w:after="0" w:line="600" w:lineRule="exact"/>
        <w:ind w:firstLine="562" w:firstLineChars="200"/>
        <w:rPr>
          <w:rFonts w:eastAsia="仿宋_GB2312"/>
          <w:sz w:val="28"/>
          <w:szCs w:val="28"/>
        </w:rPr>
      </w:pPr>
      <w:bookmarkStart w:id="233" w:name="_Toc27990"/>
      <w:bookmarkStart w:id="234" w:name="_Toc15359"/>
      <w:bookmarkStart w:id="235" w:name="_Toc7683"/>
      <w:bookmarkStart w:id="236" w:name="_Toc7673"/>
      <w:r>
        <w:rPr>
          <w:rFonts w:eastAsia="仿宋_GB2312"/>
          <w:sz w:val="28"/>
          <w:szCs w:val="28"/>
        </w:rPr>
        <w:t>4. 深化生态</w:t>
      </w:r>
      <w:r>
        <w:rPr>
          <w:rFonts w:hint="eastAsia" w:eastAsia="仿宋_GB2312"/>
          <w:sz w:val="28"/>
          <w:szCs w:val="28"/>
        </w:rPr>
        <w:t>环境</w:t>
      </w:r>
      <w:r>
        <w:rPr>
          <w:rFonts w:eastAsia="仿宋_GB2312"/>
          <w:sz w:val="28"/>
          <w:szCs w:val="28"/>
        </w:rPr>
        <w:t>保护制度</w:t>
      </w:r>
      <w:bookmarkEnd w:id="233"/>
      <w:bookmarkEnd w:id="234"/>
      <w:bookmarkEnd w:id="235"/>
      <w:bookmarkEnd w:id="236"/>
    </w:p>
    <w:p>
      <w:pPr>
        <w:spacing w:line="600" w:lineRule="exact"/>
        <w:ind w:firstLine="560" w:firstLineChars="200"/>
        <w:rPr>
          <w:rFonts w:eastAsia="仿宋_GB2312"/>
          <w:sz w:val="28"/>
          <w:szCs w:val="28"/>
        </w:rPr>
      </w:pPr>
      <w:bookmarkStart w:id="237" w:name="_Toc97293479"/>
      <w:bookmarkStart w:id="238" w:name="_Toc19023"/>
      <w:bookmarkStart w:id="239" w:name="_Toc96633624"/>
      <w:r>
        <w:rPr>
          <w:rFonts w:eastAsia="仿宋_GB2312"/>
          <w:bCs/>
          <w:sz w:val="28"/>
          <w:szCs w:val="28"/>
        </w:rPr>
        <w:t>严格</w:t>
      </w:r>
      <w:r>
        <w:rPr>
          <w:rFonts w:hint="eastAsia" w:eastAsia="仿宋_GB2312"/>
          <w:bCs/>
          <w:sz w:val="28"/>
          <w:szCs w:val="28"/>
        </w:rPr>
        <w:t>落实</w:t>
      </w:r>
      <w:r>
        <w:rPr>
          <w:rFonts w:eastAsia="仿宋_GB2312"/>
          <w:bCs/>
          <w:sz w:val="28"/>
          <w:szCs w:val="28"/>
        </w:rPr>
        <w:t>规划环境影响评价</w:t>
      </w:r>
      <w:r>
        <w:rPr>
          <w:rFonts w:hint="eastAsia" w:eastAsia="仿宋_GB2312"/>
          <w:bCs/>
          <w:sz w:val="28"/>
          <w:szCs w:val="28"/>
        </w:rPr>
        <w:t>相关法律法规</w:t>
      </w:r>
      <w:r>
        <w:rPr>
          <w:rFonts w:eastAsia="仿宋_GB2312"/>
          <w:bCs/>
          <w:sz w:val="28"/>
          <w:szCs w:val="28"/>
        </w:rPr>
        <w:t>，依法开展规划环境影响评价</w:t>
      </w:r>
      <w:r>
        <w:rPr>
          <w:rFonts w:hint="eastAsia" w:eastAsia="仿宋_GB2312"/>
          <w:bCs/>
          <w:sz w:val="28"/>
          <w:szCs w:val="28"/>
        </w:rPr>
        <w:t>，</w:t>
      </w:r>
      <w:r>
        <w:rPr>
          <w:rFonts w:eastAsia="仿宋_GB2312"/>
          <w:bCs/>
          <w:sz w:val="28"/>
          <w:szCs w:val="28"/>
        </w:rPr>
        <w:t>强化规划环评与项目环评联动，源头预防环境污染和生态破坏，及时开展规划环评跟踪评价。深化污染物排放许可制度</w:t>
      </w:r>
      <w:r>
        <w:rPr>
          <w:rFonts w:hint="eastAsia" w:eastAsia="仿宋_GB2312"/>
          <w:bCs/>
          <w:sz w:val="28"/>
          <w:szCs w:val="28"/>
        </w:rPr>
        <w:t>，</w:t>
      </w:r>
      <w:r>
        <w:rPr>
          <w:rFonts w:eastAsia="仿宋_GB2312"/>
          <w:bCs/>
          <w:sz w:val="28"/>
          <w:szCs w:val="28"/>
        </w:rPr>
        <w:t>加强对重点污染源的日常监管和在线监控，对无证排污和不按证排污的要依法查处。</w:t>
      </w:r>
      <w:r>
        <w:rPr>
          <w:rFonts w:hint="eastAsia" w:eastAsia="仿宋_GB2312"/>
          <w:bCs/>
          <w:sz w:val="28"/>
          <w:szCs w:val="28"/>
        </w:rPr>
        <w:t>建立</w:t>
      </w:r>
      <w:r>
        <w:rPr>
          <w:rFonts w:eastAsia="仿宋_GB2312"/>
          <w:bCs/>
          <w:sz w:val="28"/>
          <w:szCs w:val="28"/>
        </w:rPr>
        <w:t>以排污许可制度为核心，有效衔接总量控制、环境影响评价、污染物排放标准、排污权交易等环境管理制度的“一证式”固定源排污管理体系。明确</w:t>
      </w:r>
      <w:r>
        <w:rPr>
          <w:rFonts w:hint="eastAsia" w:eastAsia="仿宋_GB2312"/>
          <w:bCs/>
          <w:sz w:val="28"/>
          <w:szCs w:val="28"/>
        </w:rPr>
        <w:t>静乐县</w:t>
      </w:r>
      <w:r>
        <w:rPr>
          <w:rFonts w:eastAsia="仿宋_GB2312"/>
          <w:bCs/>
          <w:sz w:val="28"/>
          <w:szCs w:val="28"/>
        </w:rPr>
        <w:t>区域及重点行业污染物排放总量上限，作为调控区域内产业规模和开发强度的依据。</w:t>
      </w:r>
      <w:r>
        <w:rPr>
          <w:rFonts w:eastAsia="仿宋_GB2312"/>
          <w:sz w:val="28"/>
          <w:szCs w:val="28"/>
        </w:rPr>
        <w:t>按照</w:t>
      </w:r>
      <w:r>
        <w:rPr>
          <w:rFonts w:hint="eastAsia" w:eastAsia="仿宋_GB2312"/>
          <w:sz w:val="28"/>
          <w:szCs w:val="28"/>
        </w:rPr>
        <w:t>忻州市</w:t>
      </w:r>
      <w:r>
        <w:rPr>
          <w:rFonts w:eastAsia="仿宋_GB2312"/>
          <w:sz w:val="28"/>
          <w:szCs w:val="28"/>
        </w:rPr>
        <w:t>“三线一单”管控要求，</w:t>
      </w:r>
      <w:r>
        <w:rPr>
          <w:rFonts w:hint="eastAsia" w:eastAsia="仿宋_GB2312"/>
          <w:sz w:val="28"/>
          <w:szCs w:val="28"/>
        </w:rPr>
        <w:t>实施</w:t>
      </w:r>
      <w:r>
        <w:rPr>
          <w:rFonts w:eastAsia="仿宋_GB2312"/>
          <w:sz w:val="28"/>
          <w:szCs w:val="28"/>
        </w:rPr>
        <w:t>差别化生态环境准入机制，落实</w:t>
      </w:r>
      <w:r>
        <w:rPr>
          <w:rFonts w:hint="eastAsia" w:eastAsia="仿宋_GB2312"/>
          <w:sz w:val="28"/>
          <w:szCs w:val="28"/>
        </w:rPr>
        <w:t>静乐县各</w:t>
      </w:r>
      <w:r>
        <w:rPr>
          <w:rFonts w:eastAsia="仿宋_GB2312"/>
          <w:sz w:val="28"/>
          <w:szCs w:val="28"/>
        </w:rPr>
        <w:t>管控单元管控要求，强化“三线一单”在优布局、控规模、调结构、促转型中的指导作用。</w:t>
      </w:r>
    </w:p>
    <w:p>
      <w:pPr>
        <w:pStyle w:val="11"/>
        <w:spacing w:before="0" w:after="0" w:line="600" w:lineRule="exact"/>
        <w:ind w:firstLine="562" w:firstLineChars="200"/>
        <w:rPr>
          <w:rFonts w:eastAsia="仿宋_GB2312"/>
          <w:sz w:val="28"/>
          <w:szCs w:val="28"/>
        </w:rPr>
      </w:pPr>
      <w:bookmarkStart w:id="240" w:name="_Toc9575"/>
      <w:bookmarkStart w:id="241" w:name="_Toc12823"/>
      <w:bookmarkStart w:id="242" w:name="_Toc10596"/>
      <w:bookmarkStart w:id="243" w:name="_Toc10716"/>
      <w:r>
        <w:rPr>
          <w:rFonts w:eastAsia="仿宋_GB2312"/>
          <w:sz w:val="28"/>
          <w:szCs w:val="28"/>
        </w:rPr>
        <w:t xml:space="preserve">5. </w:t>
      </w:r>
      <w:bookmarkEnd w:id="237"/>
      <w:bookmarkEnd w:id="238"/>
      <w:bookmarkEnd w:id="239"/>
      <w:r>
        <w:rPr>
          <w:rFonts w:eastAsia="仿宋_GB2312"/>
          <w:sz w:val="28"/>
          <w:szCs w:val="28"/>
        </w:rPr>
        <w:t>建立现代环境治理体系</w:t>
      </w:r>
      <w:bookmarkEnd w:id="240"/>
      <w:bookmarkEnd w:id="241"/>
      <w:bookmarkEnd w:id="242"/>
      <w:bookmarkEnd w:id="243"/>
    </w:p>
    <w:p>
      <w:pPr>
        <w:widowControl/>
        <w:spacing w:line="600" w:lineRule="exact"/>
        <w:ind w:firstLine="562"/>
        <w:rPr>
          <w:rFonts w:eastAsia="仿宋_GB2312"/>
          <w:sz w:val="28"/>
          <w:szCs w:val="28"/>
        </w:rPr>
      </w:pPr>
      <w:bookmarkStart w:id="244" w:name="_Toc32372"/>
      <w:bookmarkStart w:id="245" w:name="_Toc92877704"/>
      <w:bookmarkStart w:id="246" w:name="_Toc2644"/>
      <w:bookmarkStart w:id="247" w:name="_Toc12751"/>
      <w:bookmarkStart w:id="248" w:name="_Toc10019"/>
      <w:bookmarkStart w:id="249" w:name="_Toc29284"/>
      <w:bookmarkStart w:id="250" w:name="_Toc96633625"/>
      <w:bookmarkStart w:id="251" w:name="_Toc97293480"/>
      <w:bookmarkStart w:id="252" w:name="_Toc20030"/>
      <w:r>
        <w:rPr>
          <w:rFonts w:hint="eastAsia" w:eastAsia="仿宋_GB2312"/>
          <w:sz w:val="28"/>
          <w:szCs w:val="28"/>
        </w:rPr>
        <w:t>强化环境信息公开透明运行机制，建立健全信息服务、信息受理和反馈机制，打造服务型、阳光型政府。</w:t>
      </w:r>
      <w:r>
        <w:rPr>
          <w:rFonts w:eastAsia="仿宋_GB2312"/>
          <w:sz w:val="28"/>
          <w:szCs w:val="28"/>
        </w:rPr>
        <w:t>完善生态环境监测监管体系</w:t>
      </w:r>
      <w:r>
        <w:rPr>
          <w:rFonts w:hint="eastAsia" w:eastAsia="仿宋_GB2312"/>
          <w:sz w:val="28"/>
          <w:szCs w:val="28"/>
        </w:rPr>
        <w:t>，</w:t>
      </w:r>
      <w:r>
        <w:rPr>
          <w:rFonts w:eastAsia="仿宋_GB2312"/>
          <w:sz w:val="28"/>
          <w:szCs w:val="28"/>
        </w:rPr>
        <w:t>充分利用大数据、云计算、物联网等新一代信息技术，构建生态环境监测大数据平台。</w:t>
      </w:r>
      <w:r>
        <w:rPr>
          <w:rFonts w:hint="eastAsia" w:eastAsia="仿宋_GB2312"/>
          <w:sz w:val="28"/>
          <w:szCs w:val="28"/>
        </w:rPr>
        <w:t>探索</w:t>
      </w:r>
      <w:r>
        <w:rPr>
          <w:rFonts w:eastAsia="仿宋_GB2312"/>
          <w:sz w:val="28"/>
          <w:szCs w:val="28"/>
        </w:rPr>
        <w:t>构建相互协调、良性互动的生态文明示范建设长效</w:t>
      </w:r>
      <w:r>
        <w:rPr>
          <w:rFonts w:hint="eastAsia" w:eastAsia="仿宋_GB2312"/>
          <w:sz w:val="28"/>
          <w:szCs w:val="28"/>
        </w:rPr>
        <w:t>管理</w:t>
      </w:r>
      <w:r>
        <w:rPr>
          <w:rFonts w:eastAsia="仿宋_GB2312"/>
          <w:sz w:val="28"/>
          <w:szCs w:val="28"/>
        </w:rPr>
        <w:t>机制</w:t>
      </w:r>
      <w:r>
        <w:rPr>
          <w:rFonts w:hint="eastAsia" w:eastAsia="仿宋_GB2312"/>
          <w:sz w:val="28"/>
          <w:szCs w:val="28"/>
        </w:rPr>
        <w:t>。</w:t>
      </w:r>
      <w:r>
        <w:rPr>
          <w:rFonts w:eastAsia="仿宋_GB2312"/>
          <w:sz w:val="28"/>
          <w:szCs w:val="28"/>
        </w:rPr>
        <w:t>深入推进“放管服”改革，打破行业壁垒，平等对待各类市场主体。强化社会监督，完善公众监督和举报反馈机制，充分发挥“12369”环保举报热线作用，畅通环保监督渠道。健全企业主体责任体系</w:t>
      </w:r>
      <w:r>
        <w:rPr>
          <w:rFonts w:hint="eastAsia" w:eastAsia="仿宋_GB2312"/>
          <w:sz w:val="28"/>
          <w:szCs w:val="28"/>
        </w:rPr>
        <w:t>，</w:t>
      </w:r>
      <w:r>
        <w:rPr>
          <w:rFonts w:eastAsia="仿宋_GB2312"/>
          <w:sz w:val="28"/>
          <w:szCs w:val="28"/>
        </w:rPr>
        <w:t>推行企业环境信用评价制度，将企业环保信用纳入社会信用体系建设中，并定期公布评价结果，予以全方位的政策激励。以强化环境风险管理、减少污染事故纠纷、维护社会经济秩序稳定为目标，加快建立环境污染责任保险制度。</w:t>
      </w:r>
    </w:p>
    <w:bookmarkEnd w:id="244"/>
    <w:bookmarkEnd w:id="245"/>
    <w:bookmarkEnd w:id="246"/>
    <w:bookmarkEnd w:id="247"/>
    <w:bookmarkEnd w:id="248"/>
    <w:bookmarkEnd w:id="249"/>
    <w:bookmarkEnd w:id="250"/>
    <w:bookmarkEnd w:id="251"/>
    <w:bookmarkEnd w:id="252"/>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253" w:name="_Toc12857"/>
      <w:bookmarkStart w:id="254" w:name="_Toc21296"/>
      <w:bookmarkStart w:id="255" w:name="_Toc19226"/>
      <w:bookmarkStart w:id="256" w:name="_Toc12959"/>
      <w:bookmarkStart w:id="257" w:name="_Toc13697"/>
      <w:r>
        <w:rPr>
          <w:rFonts w:ascii="Times New Roman" w:hAnsi="Times New Roman" w:eastAsia="楷体_GB2312"/>
          <w:kern w:val="0"/>
          <w:sz w:val="30"/>
          <w:szCs w:val="30"/>
        </w:rPr>
        <w:t>（二）生态安全体系建设</w:t>
      </w:r>
      <w:bookmarkEnd w:id="253"/>
      <w:bookmarkEnd w:id="254"/>
      <w:bookmarkEnd w:id="255"/>
      <w:bookmarkEnd w:id="256"/>
      <w:bookmarkEnd w:id="257"/>
    </w:p>
    <w:p>
      <w:pPr>
        <w:pStyle w:val="11"/>
        <w:spacing w:before="0" w:after="0" w:line="600" w:lineRule="exact"/>
        <w:ind w:firstLine="562" w:firstLineChars="200"/>
        <w:rPr>
          <w:rFonts w:eastAsia="仿宋_GB2312"/>
          <w:sz w:val="28"/>
          <w:szCs w:val="28"/>
        </w:rPr>
      </w:pPr>
      <w:bookmarkStart w:id="258" w:name="_Toc29394"/>
      <w:bookmarkStart w:id="259" w:name="_Toc97293481"/>
      <w:bookmarkStart w:id="260" w:name="_Toc96633626"/>
      <w:bookmarkStart w:id="261" w:name="_Toc22971"/>
      <w:bookmarkStart w:id="262" w:name="_Toc7315"/>
      <w:bookmarkStart w:id="263" w:name="_Toc29165"/>
      <w:bookmarkStart w:id="264" w:name="_Toc2589"/>
      <w:r>
        <w:rPr>
          <w:rFonts w:eastAsia="仿宋_GB2312"/>
          <w:sz w:val="28"/>
          <w:szCs w:val="28"/>
        </w:rPr>
        <w:t>1. 积极应对气候变化</w:t>
      </w:r>
      <w:bookmarkEnd w:id="258"/>
      <w:bookmarkEnd w:id="259"/>
      <w:bookmarkEnd w:id="260"/>
      <w:bookmarkEnd w:id="261"/>
      <w:bookmarkEnd w:id="262"/>
      <w:bookmarkEnd w:id="263"/>
      <w:bookmarkEnd w:id="264"/>
    </w:p>
    <w:p>
      <w:pPr>
        <w:spacing w:line="600" w:lineRule="exact"/>
        <w:ind w:firstLine="560" w:firstLineChars="200"/>
        <w:rPr>
          <w:rFonts w:eastAsia="仿宋_GB2312"/>
          <w:sz w:val="28"/>
          <w:szCs w:val="28"/>
        </w:rPr>
      </w:pPr>
      <w:bookmarkStart w:id="265" w:name="_Toc1961"/>
      <w:bookmarkStart w:id="266" w:name="_Toc96633627"/>
      <w:bookmarkStart w:id="267" w:name="_Toc97293482"/>
      <w:r>
        <w:rPr>
          <w:rFonts w:eastAsia="仿宋_GB2312"/>
          <w:sz w:val="28"/>
          <w:szCs w:val="28"/>
        </w:rPr>
        <w:t>落实</w:t>
      </w:r>
      <w:r>
        <w:rPr>
          <w:rFonts w:hint="eastAsia" w:eastAsia="仿宋_GB2312"/>
          <w:sz w:val="28"/>
          <w:szCs w:val="28"/>
        </w:rPr>
        <w:t>山西省、忻州市</w:t>
      </w:r>
      <w:r>
        <w:rPr>
          <w:rFonts w:eastAsia="仿宋_GB2312"/>
          <w:sz w:val="28"/>
          <w:szCs w:val="28"/>
        </w:rPr>
        <w:t>碳达峰目标</w:t>
      </w:r>
      <w:r>
        <w:rPr>
          <w:rFonts w:hint="eastAsia" w:eastAsia="仿宋_GB2312"/>
          <w:sz w:val="28"/>
          <w:szCs w:val="28"/>
        </w:rPr>
        <w:t>任务</w:t>
      </w:r>
      <w:r>
        <w:rPr>
          <w:rFonts w:eastAsia="仿宋_GB2312"/>
          <w:sz w:val="28"/>
          <w:szCs w:val="28"/>
        </w:rPr>
        <w:t>要求，把碳达峰、碳中和纳入生态文明建设整体布局和经济社会发展全局，有力有序有效开展</w:t>
      </w:r>
      <w:r>
        <w:rPr>
          <w:rFonts w:hint="eastAsia" w:eastAsia="仿宋_GB2312"/>
          <w:sz w:val="28"/>
          <w:szCs w:val="28"/>
        </w:rPr>
        <w:t>静乐县</w:t>
      </w:r>
      <w:r>
        <w:rPr>
          <w:rFonts w:eastAsia="仿宋_GB2312"/>
          <w:sz w:val="28"/>
          <w:szCs w:val="28"/>
        </w:rPr>
        <w:t>碳达峰行动，加快推动生产生活方式绿色变革，实现降碳、减污、扩绿、增长协同推进。坚持煤炭消费总量压减，严格实施煤炭消费减量替代，降低煤炭消费比重，控制能源活动二氧化碳排放。强化国土空间管控，严格保护</w:t>
      </w:r>
      <w:r>
        <w:rPr>
          <w:rFonts w:hint="eastAsia" w:eastAsia="仿宋_GB2312"/>
          <w:sz w:val="28"/>
          <w:szCs w:val="28"/>
        </w:rPr>
        <w:t>静乐县</w:t>
      </w:r>
      <w:r>
        <w:rPr>
          <w:rFonts w:eastAsia="仿宋_GB2312"/>
          <w:sz w:val="28"/>
          <w:szCs w:val="28"/>
        </w:rPr>
        <w:t>各类重要生态系统，有效发挥森林、湿地、耕地等固碳作用。</w:t>
      </w:r>
    </w:p>
    <w:p>
      <w:pPr>
        <w:pStyle w:val="11"/>
        <w:spacing w:before="0" w:after="0" w:line="600" w:lineRule="exact"/>
        <w:ind w:firstLine="562" w:firstLineChars="200"/>
        <w:rPr>
          <w:rFonts w:eastAsia="仿宋_GB2312"/>
          <w:sz w:val="28"/>
          <w:szCs w:val="28"/>
        </w:rPr>
      </w:pPr>
      <w:bookmarkStart w:id="268" w:name="_Toc10050"/>
      <w:bookmarkStart w:id="269" w:name="_Toc2625"/>
      <w:bookmarkStart w:id="270" w:name="_Toc31054"/>
      <w:bookmarkStart w:id="271" w:name="_Toc28876"/>
      <w:r>
        <w:rPr>
          <w:rFonts w:eastAsia="仿宋_GB2312"/>
          <w:sz w:val="28"/>
          <w:szCs w:val="28"/>
        </w:rPr>
        <w:t xml:space="preserve">2. </w:t>
      </w:r>
      <w:bookmarkEnd w:id="265"/>
      <w:bookmarkEnd w:id="266"/>
      <w:bookmarkEnd w:id="267"/>
      <w:r>
        <w:rPr>
          <w:rFonts w:eastAsia="仿宋_GB2312"/>
          <w:sz w:val="28"/>
          <w:szCs w:val="28"/>
        </w:rPr>
        <w:t>持续改善水环境质量</w:t>
      </w:r>
      <w:bookmarkEnd w:id="268"/>
      <w:bookmarkEnd w:id="269"/>
      <w:bookmarkEnd w:id="270"/>
      <w:bookmarkEnd w:id="271"/>
    </w:p>
    <w:p>
      <w:pPr>
        <w:pStyle w:val="70"/>
        <w:spacing w:after="0" w:line="600" w:lineRule="exact"/>
        <w:ind w:left="0" w:leftChars="0" w:firstLine="560"/>
      </w:pPr>
      <w:bookmarkStart w:id="272" w:name="_Toc2543"/>
      <w:bookmarkStart w:id="273" w:name="_Toc97293483"/>
      <w:bookmarkStart w:id="274" w:name="_Toc96633628"/>
      <w:r>
        <w:t>强化集中式饮用水水源地的保护，深入开展集中式饮用水水源地规范化建设，全面排查影响农村饮用水水源地安全的工业企业、种养大户、垃圾堆放等环境风险源。定期开展</w:t>
      </w:r>
      <w:r>
        <w:rPr>
          <w:rFonts w:hint="eastAsia"/>
        </w:rPr>
        <w:t>县级、乡镇</w:t>
      </w:r>
      <w:r>
        <w:t>集中式水源地水质监测，并向社会公开。</w:t>
      </w:r>
      <w:r>
        <w:rPr>
          <w:rFonts w:hint="eastAsia"/>
        </w:rPr>
        <w:t>推进</w:t>
      </w:r>
      <w:r>
        <w:t>大远煤业、晋北煤业</w:t>
      </w:r>
      <w:r>
        <w:rPr>
          <w:rFonts w:hint="eastAsia"/>
        </w:rPr>
        <w:t>等</w:t>
      </w:r>
      <w:r>
        <w:t>煤矿的矿井废水处理实施扩建工程</w:t>
      </w:r>
      <w:r>
        <w:rPr>
          <w:rFonts w:hint="eastAsia"/>
        </w:rPr>
        <w:t>，</w:t>
      </w:r>
      <w:r>
        <w:t>加强对现有工业企业废水排放监管，确保废水达标排放和符合总量控制要求</w:t>
      </w:r>
      <w:r>
        <w:rPr>
          <w:rFonts w:hint="eastAsia"/>
        </w:rPr>
        <w:t>；</w:t>
      </w:r>
      <w:r>
        <w:t>鼓励工业企业购买第三方废水治理专业</w:t>
      </w:r>
      <w:r>
        <w:rPr>
          <w:rFonts w:hint="eastAsia"/>
        </w:rPr>
        <w:t>服务。加快推进</w:t>
      </w:r>
      <w:r>
        <w:fldChar w:fldCharType="begin"/>
      </w:r>
      <w:r>
        <w:instrText xml:space="preserve"> HYPERLINK "http://www.baidu.com/link?url=4qyaKYtB_XThzHLPwVrm0oXtjyaNcgSXcn4myZDSU5-_E7-Fxjrm3g282TZhiXXf" \t "https://www.baidu.com/_blank" </w:instrText>
      </w:r>
      <w:r>
        <w:fldChar w:fldCharType="separate"/>
      </w:r>
      <w:r>
        <w:rPr>
          <w:rFonts w:hint="eastAsia"/>
        </w:rPr>
        <w:t>静乐县污水净化中心提升扩容改造</w:t>
      </w:r>
      <w:r>
        <w:rPr>
          <w:rFonts w:hint="eastAsia"/>
        </w:rPr>
        <w:fldChar w:fldCharType="end"/>
      </w:r>
      <w:r>
        <w:rPr>
          <w:rFonts w:hint="eastAsia"/>
        </w:rPr>
        <w:t>工程，提升县城生活污水处理规模。</w:t>
      </w:r>
      <w:r>
        <w:t>强化城镇生活污水排水管控，推进城镇雨污分流管网改造</w:t>
      </w:r>
      <w:r>
        <w:rPr>
          <w:rFonts w:hint="eastAsia"/>
        </w:rPr>
        <w:t>，</w:t>
      </w:r>
      <w:r>
        <w:t>实施清污分流，提高</w:t>
      </w:r>
      <w:r>
        <w:rPr>
          <w:rFonts w:hint="eastAsia"/>
        </w:rPr>
        <w:t>城镇</w:t>
      </w:r>
      <w:r>
        <w:t>生活污水集中收集效能。按照《</w:t>
      </w:r>
      <w:r>
        <w:rPr>
          <w:rFonts w:hint="eastAsia"/>
        </w:rPr>
        <w:t>静乐县</w:t>
      </w:r>
      <w:r>
        <w:t>农村生活污水治理专项规划》，按步骤分时段完成相应的农村污水治理任务</w:t>
      </w:r>
      <w:r>
        <w:rPr>
          <w:rFonts w:hint="eastAsia"/>
        </w:rPr>
        <w:t>，逐步提升全县农村生活污水处理率</w:t>
      </w:r>
      <w:r>
        <w:t>。</w:t>
      </w:r>
    </w:p>
    <w:p>
      <w:pPr>
        <w:pStyle w:val="11"/>
        <w:spacing w:before="0" w:after="0" w:line="600" w:lineRule="exact"/>
        <w:ind w:firstLine="562" w:firstLineChars="200"/>
        <w:rPr>
          <w:rFonts w:eastAsia="仿宋_GB2312"/>
          <w:sz w:val="28"/>
          <w:szCs w:val="28"/>
        </w:rPr>
      </w:pPr>
      <w:bookmarkStart w:id="275" w:name="_Toc16481"/>
      <w:bookmarkStart w:id="276" w:name="_Toc8748"/>
      <w:bookmarkStart w:id="277" w:name="_Toc30064"/>
      <w:bookmarkStart w:id="278" w:name="_Toc32601"/>
      <w:r>
        <w:rPr>
          <w:rFonts w:eastAsia="仿宋_GB2312"/>
          <w:sz w:val="28"/>
          <w:szCs w:val="28"/>
        </w:rPr>
        <w:t xml:space="preserve">3. </w:t>
      </w:r>
      <w:bookmarkEnd w:id="272"/>
      <w:bookmarkEnd w:id="273"/>
      <w:bookmarkEnd w:id="274"/>
      <w:r>
        <w:rPr>
          <w:rFonts w:hint="eastAsia" w:eastAsia="仿宋_GB2312"/>
          <w:sz w:val="28"/>
          <w:szCs w:val="28"/>
        </w:rPr>
        <w:t>持续改善</w:t>
      </w:r>
      <w:r>
        <w:rPr>
          <w:rFonts w:eastAsia="仿宋_GB2312"/>
          <w:sz w:val="28"/>
          <w:szCs w:val="28"/>
        </w:rPr>
        <w:t>大气环境质量</w:t>
      </w:r>
      <w:bookmarkEnd w:id="275"/>
      <w:bookmarkEnd w:id="276"/>
      <w:bookmarkEnd w:id="277"/>
      <w:bookmarkEnd w:id="278"/>
    </w:p>
    <w:p>
      <w:pPr>
        <w:widowControl/>
        <w:spacing w:line="600" w:lineRule="exact"/>
        <w:ind w:firstLine="560" w:firstLineChars="200"/>
        <w:rPr>
          <w:rFonts w:ascii="仿宋_GB2312" w:hAnsi="仿宋_GB2312" w:eastAsia="仿宋_GB2312" w:cs="仿宋_GB2312"/>
          <w:sz w:val="28"/>
          <w:szCs w:val="28"/>
        </w:rPr>
      </w:pPr>
      <w:bookmarkStart w:id="279" w:name="_Toc1886"/>
      <w:bookmarkStart w:id="280" w:name="_Toc96633629"/>
      <w:bookmarkStart w:id="281" w:name="_Toc97293484"/>
      <w:r>
        <w:rPr>
          <w:rFonts w:eastAsia="仿宋_GB2312"/>
          <w:sz w:val="28"/>
          <w:szCs w:val="28"/>
        </w:rPr>
        <w:t>持续推进工业炉窑综合治理，严格执行行业特别排放限值标准及相关规定，全面开展工业炉窑除尘、脱硫、脱硝提标改造</w:t>
      </w:r>
      <w:r>
        <w:rPr>
          <w:rFonts w:hint="eastAsia" w:eastAsia="仿宋_GB2312"/>
          <w:sz w:val="28"/>
          <w:szCs w:val="28"/>
          <w:lang w:val="zh-CN"/>
        </w:rPr>
        <w:t>。</w:t>
      </w:r>
      <w:r>
        <w:rPr>
          <w:rFonts w:eastAsia="仿宋_GB2312"/>
          <w:sz w:val="28"/>
          <w:szCs w:val="28"/>
        </w:rPr>
        <w:t>对“散乱污”企业开展拉网式排查，确保发现一家处置一家。按照臭氧和PM</w:t>
      </w:r>
      <w:r>
        <w:rPr>
          <w:rFonts w:hint="eastAsia" w:eastAsia="仿宋_GB2312"/>
          <w:sz w:val="28"/>
          <w:szCs w:val="28"/>
          <w:vertAlign w:val="subscript"/>
        </w:rPr>
        <w:t>2.5</w:t>
      </w:r>
      <w:r>
        <w:rPr>
          <w:rFonts w:eastAsia="仿宋_GB2312"/>
          <w:sz w:val="28"/>
          <w:szCs w:val="28"/>
        </w:rPr>
        <w:t>协同管控的要求，加强涉VOCs排放企业的环境监管，提升相关企业的治理水平。针对夏秋高温季节臭氧</w:t>
      </w:r>
      <w:r>
        <w:rPr>
          <w:rFonts w:hint="eastAsia" w:eastAsia="仿宋_GB2312"/>
          <w:sz w:val="28"/>
          <w:szCs w:val="28"/>
        </w:rPr>
        <w:t>升高</w:t>
      </w:r>
      <w:r>
        <w:rPr>
          <w:rFonts w:eastAsia="仿宋_GB2312"/>
          <w:sz w:val="28"/>
          <w:szCs w:val="28"/>
        </w:rPr>
        <w:t>形势</w:t>
      </w:r>
      <w:r>
        <w:rPr>
          <w:rFonts w:hint="eastAsia" w:eastAsia="仿宋_GB2312"/>
          <w:sz w:val="28"/>
          <w:szCs w:val="28"/>
        </w:rPr>
        <w:t>，</w:t>
      </w:r>
      <w:r>
        <w:rPr>
          <w:rFonts w:eastAsia="仿宋_GB2312"/>
          <w:sz w:val="28"/>
          <w:szCs w:val="28"/>
        </w:rPr>
        <w:t>开展臭氧削峰行动</w:t>
      </w:r>
      <w:r>
        <w:rPr>
          <w:rFonts w:hint="eastAsia" w:eastAsia="仿宋_GB2312"/>
          <w:sz w:val="28"/>
          <w:szCs w:val="28"/>
        </w:rPr>
        <w:t>。</w:t>
      </w:r>
      <w:r>
        <w:rPr>
          <w:rFonts w:hint="eastAsia" w:ascii="仿宋_GB2312" w:hAnsi="仿宋_GB2312" w:eastAsia="仿宋_GB2312" w:cs="仿宋_GB2312"/>
          <w:sz w:val="28"/>
          <w:szCs w:val="28"/>
        </w:rPr>
        <w:t>调整机动车能源使用结构，加强非道路移动机械污染防治。严格落实“六个百分之百”要求，强化城市道路保洁及料堆管理，开展渣土专项整治行动。</w:t>
      </w:r>
      <w:r>
        <w:rPr>
          <w:rFonts w:eastAsia="仿宋_GB2312"/>
          <w:sz w:val="28"/>
          <w:szCs w:val="28"/>
        </w:rPr>
        <w:t>坚持“疏堵结合、以疏为主、以堵促疏”的原则，因地制宜大力推进秸秆综合利用</w:t>
      </w:r>
      <w:r>
        <w:rPr>
          <w:rFonts w:hint="eastAsia" w:eastAsia="仿宋_GB2312"/>
          <w:sz w:val="28"/>
          <w:szCs w:val="28"/>
        </w:rPr>
        <w:t>。</w:t>
      </w:r>
      <w:r>
        <w:rPr>
          <w:rFonts w:hint="eastAsia" w:ascii="仿宋_GB2312" w:hAnsi="仿宋_GB2312" w:eastAsia="仿宋_GB2312" w:cs="仿宋_GB2312"/>
          <w:sz w:val="28"/>
          <w:szCs w:val="28"/>
        </w:rPr>
        <w:t>高排放行业企业采暖期实施差异化错峰生产，并与重污染天气应急减排相衔接。</w:t>
      </w:r>
    </w:p>
    <w:p>
      <w:pPr>
        <w:pStyle w:val="11"/>
        <w:spacing w:before="0" w:after="0" w:line="600" w:lineRule="exact"/>
        <w:ind w:firstLine="562" w:firstLineChars="200"/>
        <w:rPr>
          <w:rFonts w:eastAsia="仿宋_GB2312"/>
          <w:sz w:val="28"/>
          <w:szCs w:val="28"/>
        </w:rPr>
      </w:pPr>
      <w:bookmarkStart w:id="282" w:name="_Toc31619"/>
      <w:bookmarkStart w:id="283" w:name="_Toc7651"/>
      <w:bookmarkStart w:id="284" w:name="_Toc17061"/>
      <w:bookmarkStart w:id="285" w:name="_Toc19669"/>
      <w:r>
        <w:rPr>
          <w:rFonts w:eastAsia="仿宋_GB2312"/>
          <w:sz w:val="28"/>
          <w:szCs w:val="28"/>
        </w:rPr>
        <w:t xml:space="preserve">4. </w:t>
      </w:r>
      <w:bookmarkEnd w:id="279"/>
      <w:bookmarkEnd w:id="280"/>
      <w:bookmarkEnd w:id="281"/>
      <w:r>
        <w:rPr>
          <w:rFonts w:eastAsia="仿宋_GB2312"/>
          <w:sz w:val="28"/>
          <w:szCs w:val="28"/>
        </w:rPr>
        <w:t>推进土壤环境保护</w:t>
      </w:r>
      <w:bookmarkEnd w:id="282"/>
      <w:bookmarkEnd w:id="283"/>
      <w:bookmarkEnd w:id="284"/>
      <w:bookmarkEnd w:id="285"/>
    </w:p>
    <w:p>
      <w:pPr>
        <w:pStyle w:val="70"/>
        <w:spacing w:after="0" w:line="600" w:lineRule="exact"/>
        <w:ind w:left="0" w:leftChars="0" w:firstLine="560"/>
      </w:pPr>
      <w:bookmarkStart w:id="286" w:name="_Toc18684"/>
      <w:bookmarkStart w:id="287" w:name="_Toc96633630"/>
      <w:bookmarkStart w:id="288" w:name="_Toc97293485"/>
      <w:r>
        <w:t>加大优先保护类耕地保护力度</w:t>
      </w:r>
      <w:r>
        <w:rPr>
          <w:rFonts w:hint="eastAsia"/>
        </w:rPr>
        <w:t>，</w:t>
      </w:r>
      <w:r>
        <w:t>依法将符合条件的优先保护类耕地划为永久基本农田，实行严格保护。</w:t>
      </w:r>
      <w:bookmarkStart w:id="289" w:name="_Hlk93319094"/>
      <w:r>
        <w:rPr>
          <w:lang w:val="zh-CN"/>
        </w:rPr>
        <w:t>严格</w:t>
      </w:r>
      <w:r>
        <w:rPr>
          <w:rFonts w:hint="eastAsia"/>
        </w:rPr>
        <w:t>落实</w:t>
      </w:r>
      <w:r>
        <w:rPr>
          <w:lang w:val="zh-CN"/>
        </w:rPr>
        <w:t>建设用地准入制度，以用途变更为住宅、公共管理与公共服务用地的地块为重点，依法开展土壤污染状况调查和风险评估</w:t>
      </w:r>
      <w:r>
        <w:rPr>
          <w:rFonts w:hint="eastAsia"/>
          <w:lang w:val="zh-CN"/>
        </w:rPr>
        <w:t>。</w:t>
      </w:r>
      <w:r>
        <w:rPr>
          <w:lang w:val="zh-CN"/>
        </w:rPr>
        <w:t>实行建设用地土壤污染风险管控和修复名录制度，列入建设用地土壤污染风险管控和修复名录的地块，不得作为住宅、公共管理与公共服务用地，暂不开发利用污染地块实施环境风险管控</w:t>
      </w:r>
      <w:bookmarkEnd w:id="289"/>
      <w:r>
        <w:rPr>
          <w:lang w:val="zh-CN"/>
        </w:rPr>
        <w:t>。</w:t>
      </w:r>
      <w:r>
        <w:rPr>
          <w:rFonts w:hint="eastAsia"/>
        </w:rPr>
        <w:t>加快推进</w:t>
      </w:r>
      <w:r>
        <w:t>山西天柱山化工有限公司受污染土地生态修复治理</w:t>
      </w:r>
      <w:r>
        <w:rPr>
          <w:rFonts w:hint="eastAsia"/>
        </w:rPr>
        <w:t>工程</w:t>
      </w:r>
      <w:r>
        <w:t>。</w:t>
      </w:r>
    </w:p>
    <w:p>
      <w:pPr>
        <w:pStyle w:val="11"/>
        <w:spacing w:before="0" w:after="0" w:line="600" w:lineRule="exact"/>
        <w:ind w:firstLine="562" w:firstLineChars="200"/>
        <w:rPr>
          <w:rFonts w:eastAsia="仿宋_GB2312"/>
          <w:sz w:val="28"/>
          <w:szCs w:val="28"/>
        </w:rPr>
      </w:pPr>
      <w:bookmarkStart w:id="290" w:name="_Toc4741"/>
      <w:bookmarkStart w:id="291" w:name="_Toc14998"/>
      <w:bookmarkStart w:id="292" w:name="_Toc851"/>
      <w:bookmarkStart w:id="293" w:name="_Toc31039"/>
      <w:r>
        <w:rPr>
          <w:rFonts w:eastAsia="仿宋_GB2312"/>
          <w:sz w:val="28"/>
          <w:szCs w:val="28"/>
        </w:rPr>
        <w:t xml:space="preserve">5. </w:t>
      </w:r>
      <w:bookmarkEnd w:id="286"/>
      <w:bookmarkEnd w:id="287"/>
      <w:bookmarkEnd w:id="288"/>
      <w:r>
        <w:rPr>
          <w:rFonts w:eastAsia="仿宋_GB2312"/>
          <w:sz w:val="28"/>
          <w:szCs w:val="28"/>
        </w:rPr>
        <w:t>改善声环境质量</w:t>
      </w:r>
      <w:bookmarkEnd w:id="290"/>
      <w:bookmarkEnd w:id="291"/>
      <w:bookmarkEnd w:id="292"/>
      <w:bookmarkEnd w:id="293"/>
    </w:p>
    <w:p>
      <w:pPr>
        <w:widowControl/>
        <w:spacing w:line="600" w:lineRule="exact"/>
        <w:ind w:firstLine="562"/>
        <w:rPr>
          <w:rFonts w:eastAsia="仿宋_GB2312"/>
          <w:sz w:val="28"/>
          <w:szCs w:val="28"/>
        </w:rPr>
      </w:pPr>
      <w:bookmarkStart w:id="294" w:name="_Toc97293486"/>
      <w:bookmarkStart w:id="295" w:name="_Toc16978"/>
      <w:bookmarkStart w:id="296" w:name="_Toc96633631"/>
      <w:r>
        <w:rPr>
          <w:rFonts w:eastAsia="仿宋_GB2312"/>
          <w:sz w:val="28"/>
          <w:szCs w:val="28"/>
        </w:rPr>
        <w:t>严格噪声源头管理，完善相关规划要求，优化噪声敏感建筑物建设布局，紧抓产品质量监管，推广先进技术。深化工业企业噪声污染防治，树立工业噪声治理标杆，推进工业噪声实施排污许可和重点排污单位管理。强化建筑施工噪声污染防治，推广低噪声施工设备，落实建筑施工噪声管控责任，加严噪声敏感建筑物集中区域施工要求。加大交通运输噪声污染防治，严格机动车噪声监管治理，加强公路和城市道路养护</w:t>
      </w:r>
      <w:r>
        <w:rPr>
          <w:rFonts w:hint="eastAsia" w:eastAsia="仿宋_GB2312"/>
          <w:sz w:val="28"/>
          <w:szCs w:val="28"/>
        </w:rPr>
        <w:t>，</w:t>
      </w:r>
      <w:r>
        <w:rPr>
          <w:rFonts w:eastAsia="仿宋_GB2312"/>
          <w:sz w:val="28"/>
          <w:szCs w:val="28"/>
        </w:rPr>
        <w:t>加强</w:t>
      </w:r>
      <w:r>
        <w:rPr>
          <w:rFonts w:hint="eastAsia" w:eastAsia="仿宋_GB2312"/>
          <w:sz w:val="28"/>
          <w:szCs w:val="28"/>
        </w:rPr>
        <w:t>城区</w:t>
      </w:r>
      <w:r>
        <w:rPr>
          <w:rFonts w:eastAsia="仿宋_GB2312"/>
          <w:sz w:val="28"/>
          <w:szCs w:val="28"/>
        </w:rPr>
        <w:t>绿化，达到吸</w:t>
      </w:r>
      <w:r>
        <w:rPr>
          <w:rFonts w:hint="eastAsia" w:eastAsia="仿宋_GB2312"/>
          <w:sz w:val="28"/>
          <w:szCs w:val="28"/>
        </w:rPr>
        <w:t>声降噪</w:t>
      </w:r>
      <w:r>
        <w:rPr>
          <w:rFonts w:eastAsia="仿宋_GB2312"/>
          <w:sz w:val="28"/>
          <w:szCs w:val="28"/>
        </w:rPr>
        <w:t>的作用。推进社会生活噪声污染防治，严格经营场所噪声管理，细化公共场所管理要求，文明开展娱乐、旅游活动，重点针对社区和邻里噪声完善管理举措，共同维护社会和谐。</w:t>
      </w:r>
    </w:p>
    <w:p>
      <w:pPr>
        <w:pStyle w:val="11"/>
        <w:spacing w:before="0" w:after="0" w:line="600" w:lineRule="exact"/>
        <w:ind w:firstLine="562" w:firstLineChars="200"/>
        <w:rPr>
          <w:rFonts w:eastAsia="仿宋_GB2312"/>
          <w:sz w:val="28"/>
          <w:szCs w:val="28"/>
        </w:rPr>
      </w:pPr>
      <w:bookmarkStart w:id="297" w:name="_Toc4632"/>
      <w:bookmarkStart w:id="298" w:name="_Toc13794"/>
      <w:bookmarkStart w:id="299" w:name="_Toc21341"/>
      <w:bookmarkStart w:id="300" w:name="_Toc8501"/>
      <w:r>
        <w:rPr>
          <w:rFonts w:eastAsia="仿宋_GB2312"/>
          <w:sz w:val="28"/>
          <w:szCs w:val="28"/>
        </w:rPr>
        <w:t xml:space="preserve">6. </w:t>
      </w:r>
      <w:bookmarkEnd w:id="294"/>
      <w:bookmarkEnd w:id="295"/>
      <w:bookmarkEnd w:id="296"/>
      <w:r>
        <w:rPr>
          <w:rFonts w:eastAsia="仿宋_GB2312"/>
          <w:sz w:val="28"/>
          <w:szCs w:val="28"/>
        </w:rPr>
        <w:t>强化生态保护修复</w:t>
      </w:r>
      <w:bookmarkEnd w:id="297"/>
      <w:bookmarkEnd w:id="298"/>
      <w:bookmarkEnd w:id="299"/>
      <w:bookmarkEnd w:id="300"/>
    </w:p>
    <w:p>
      <w:pPr>
        <w:spacing w:line="600" w:lineRule="exact"/>
        <w:ind w:firstLine="560" w:firstLineChars="200"/>
        <w:rPr>
          <w:rFonts w:eastAsia="仿宋_GB2312"/>
          <w:sz w:val="28"/>
          <w:szCs w:val="28"/>
        </w:rPr>
      </w:pPr>
      <w:bookmarkStart w:id="301" w:name="_Toc6124"/>
      <w:r>
        <w:rPr>
          <w:rFonts w:eastAsia="仿宋_GB2312"/>
          <w:sz w:val="28"/>
          <w:szCs w:val="28"/>
        </w:rPr>
        <w:t>以重大生态保护和修复工程为载体，持续开展三北防护林工程</w:t>
      </w:r>
      <w:r>
        <w:rPr>
          <w:rFonts w:hint="eastAsia" w:eastAsia="仿宋_GB2312"/>
          <w:sz w:val="28"/>
          <w:szCs w:val="28"/>
        </w:rPr>
        <w:t>、</w:t>
      </w:r>
      <w:r>
        <w:rPr>
          <w:rFonts w:eastAsia="仿宋_GB2312"/>
          <w:sz w:val="28"/>
          <w:szCs w:val="28"/>
        </w:rPr>
        <w:t>省级造林工程</w:t>
      </w:r>
      <w:r>
        <w:rPr>
          <w:rFonts w:hint="eastAsia" w:eastAsia="仿宋_GB2312"/>
          <w:sz w:val="28"/>
          <w:szCs w:val="28"/>
        </w:rPr>
        <w:t>、</w:t>
      </w:r>
      <w:r>
        <w:rPr>
          <w:rFonts w:eastAsia="仿宋_GB2312"/>
          <w:sz w:val="28"/>
          <w:szCs w:val="28"/>
        </w:rPr>
        <w:t>生态廊道建设</w:t>
      </w:r>
      <w:r>
        <w:rPr>
          <w:rFonts w:hint="eastAsia" w:eastAsia="仿宋_GB2312"/>
          <w:sz w:val="28"/>
          <w:szCs w:val="28"/>
        </w:rPr>
        <w:t>工程、天然林保护工程、未成林抚育工程等</w:t>
      </w:r>
      <w:r>
        <w:rPr>
          <w:rFonts w:eastAsia="仿宋_GB2312"/>
          <w:sz w:val="28"/>
          <w:szCs w:val="28"/>
        </w:rPr>
        <w:t>，促进国土绿化</w:t>
      </w:r>
      <w:r>
        <w:rPr>
          <w:rFonts w:hint="eastAsia" w:eastAsia="仿宋_GB2312"/>
          <w:sz w:val="28"/>
          <w:szCs w:val="28"/>
        </w:rPr>
        <w:t>。全面推进静乐县森林城市创建，精准实施城区公园绿地提升、乡镇村绿化美化、林荫道路建设、生态科普教育基地建设以及惠民福利体系建设，不断增强县域生态系统功能。积极</w:t>
      </w:r>
      <w:r>
        <w:rPr>
          <w:rFonts w:eastAsia="仿宋_GB2312"/>
          <w:sz w:val="28"/>
          <w:szCs w:val="28"/>
        </w:rPr>
        <w:t>开展汾河</w:t>
      </w:r>
      <w:r>
        <w:rPr>
          <w:rFonts w:hint="eastAsia" w:eastAsia="仿宋_GB2312"/>
          <w:sz w:val="28"/>
          <w:szCs w:val="28"/>
        </w:rPr>
        <w:t>及其支流</w:t>
      </w:r>
      <w:r>
        <w:rPr>
          <w:rFonts w:eastAsia="仿宋_GB2312"/>
          <w:sz w:val="28"/>
          <w:szCs w:val="28"/>
        </w:rPr>
        <w:t>水生态整治，改善沿河生态环境。</w:t>
      </w:r>
      <w:r>
        <w:rPr>
          <w:rFonts w:hint="eastAsia" w:eastAsia="仿宋_GB2312"/>
          <w:sz w:val="28"/>
          <w:szCs w:val="28"/>
        </w:rPr>
        <w:t>配合忻州市生态环境局</w:t>
      </w:r>
      <w:r>
        <w:rPr>
          <w:rFonts w:eastAsia="仿宋_GB2312"/>
          <w:sz w:val="28"/>
          <w:szCs w:val="28"/>
        </w:rPr>
        <w:t>开展</w:t>
      </w:r>
      <w:r>
        <w:rPr>
          <w:rFonts w:hint="eastAsia" w:eastAsia="仿宋_GB2312"/>
          <w:sz w:val="28"/>
          <w:szCs w:val="28"/>
        </w:rPr>
        <w:t>静乐县</w:t>
      </w:r>
      <w:r>
        <w:rPr>
          <w:rFonts w:eastAsia="仿宋_GB2312"/>
          <w:sz w:val="28"/>
          <w:szCs w:val="28"/>
        </w:rPr>
        <w:t>生物多样性调查与评估</w:t>
      </w:r>
      <w:r>
        <w:rPr>
          <w:rFonts w:hint="eastAsia" w:eastAsia="仿宋_GB2312"/>
          <w:sz w:val="28"/>
          <w:szCs w:val="28"/>
        </w:rPr>
        <w:t>和</w:t>
      </w:r>
      <w:r>
        <w:rPr>
          <w:rFonts w:eastAsia="仿宋_GB2312"/>
          <w:bCs/>
          <w:sz w:val="28"/>
          <w:szCs w:val="28"/>
        </w:rPr>
        <w:t>生物多样性保护优先区域外来入侵物种普查</w:t>
      </w:r>
      <w:r>
        <w:rPr>
          <w:rFonts w:hint="eastAsia" w:eastAsia="仿宋_GB2312"/>
          <w:bCs/>
          <w:sz w:val="28"/>
          <w:szCs w:val="28"/>
        </w:rPr>
        <w:t>工作，增强生物多样性保护水平</w:t>
      </w:r>
      <w:r>
        <w:rPr>
          <w:rFonts w:eastAsia="仿宋_GB2312"/>
          <w:bCs/>
          <w:sz w:val="28"/>
          <w:szCs w:val="28"/>
        </w:rPr>
        <w:t>。</w:t>
      </w:r>
    </w:p>
    <w:p>
      <w:pPr>
        <w:pStyle w:val="11"/>
        <w:spacing w:before="0" w:after="0" w:line="600" w:lineRule="exact"/>
        <w:ind w:firstLine="562" w:firstLineChars="200"/>
        <w:rPr>
          <w:rFonts w:eastAsia="仿宋_GB2312"/>
          <w:sz w:val="28"/>
          <w:szCs w:val="28"/>
        </w:rPr>
      </w:pPr>
      <w:bookmarkStart w:id="302" w:name="_Toc29463"/>
      <w:bookmarkStart w:id="303" w:name="_Toc990"/>
      <w:bookmarkStart w:id="304" w:name="_Toc9835"/>
      <w:bookmarkStart w:id="305" w:name="_Toc1583"/>
      <w:r>
        <w:rPr>
          <w:rFonts w:eastAsia="仿宋_GB2312"/>
          <w:sz w:val="28"/>
          <w:szCs w:val="28"/>
        </w:rPr>
        <w:t xml:space="preserve">7. </w:t>
      </w:r>
      <w:bookmarkEnd w:id="301"/>
      <w:r>
        <w:rPr>
          <w:rFonts w:eastAsia="仿宋_GB2312"/>
          <w:sz w:val="28"/>
          <w:szCs w:val="28"/>
        </w:rPr>
        <w:t>有效防范生态环境风险</w:t>
      </w:r>
      <w:bookmarkEnd w:id="302"/>
      <w:bookmarkEnd w:id="303"/>
      <w:bookmarkEnd w:id="304"/>
      <w:bookmarkEnd w:id="305"/>
    </w:p>
    <w:p>
      <w:pPr>
        <w:spacing w:line="600" w:lineRule="exact"/>
        <w:ind w:firstLine="560" w:firstLineChars="200"/>
        <w:rPr>
          <w:rFonts w:eastAsia="仿宋_GB2312"/>
          <w:sz w:val="28"/>
          <w:szCs w:val="28"/>
          <w:shd w:val="clear" w:color="auto" w:fill="FFFFFF"/>
        </w:rPr>
      </w:pPr>
      <w:r>
        <w:rPr>
          <w:rFonts w:eastAsia="仿宋_GB2312"/>
          <w:sz w:val="28"/>
          <w:szCs w:val="28"/>
        </w:rPr>
        <w:t>加强环境风险防范工作</w:t>
      </w:r>
      <w:r>
        <w:rPr>
          <w:rFonts w:hint="eastAsia" w:eastAsia="仿宋_GB2312"/>
          <w:sz w:val="28"/>
          <w:szCs w:val="28"/>
        </w:rPr>
        <w:t>，</w:t>
      </w:r>
      <w:r>
        <w:rPr>
          <w:rFonts w:eastAsia="仿宋_GB2312"/>
          <w:sz w:val="28"/>
          <w:szCs w:val="28"/>
        </w:rPr>
        <w:t>将环境隐患排查工作纳入日常环境监管</w:t>
      </w:r>
      <w:r>
        <w:rPr>
          <w:rFonts w:hint="eastAsia" w:eastAsia="仿宋_GB2312"/>
          <w:sz w:val="28"/>
          <w:szCs w:val="28"/>
        </w:rPr>
        <w:t>，</w:t>
      </w:r>
      <w:r>
        <w:rPr>
          <w:rFonts w:eastAsia="仿宋_GB2312"/>
          <w:sz w:val="28"/>
          <w:szCs w:val="28"/>
        </w:rPr>
        <w:t>杜绝特、重大突发环境事件发生。加大对环境敏感区和重点风险源的现场检查和执法力度，对存在环境安全隐患的企业提出整治措施、整改期限，确保整改到位，消除环境隐患。</w:t>
      </w:r>
      <w:r>
        <w:rPr>
          <w:rFonts w:eastAsia="仿宋_GB2312"/>
          <w:sz w:val="28"/>
          <w:szCs w:val="28"/>
          <w:shd w:val="clear" w:color="auto" w:fill="FFFFFF"/>
        </w:rPr>
        <w:t>制定危险废物管理计划和突发环境事件应急预案，严格按要求申报登记危险废物产生情况，规范危险废物的收集、贮存、利用、转移、处置等工作。加强对医疗废物产生单位的监管，进一步规范医疗废物的收集、转移、处置工作，督促医疗卫生机构将产生的医疗废物全部交由有资质的医疗废物处置单位处置。</w:t>
      </w:r>
    </w:p>
    <w:bookmarkEnd w:id="231"/>
    <w:bookmarkEnd w:id="232"/>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306" w:name="_Toc7611"/>
      <w:bookmarkStart w:id="307" w:name="_Toc23986"/>
      <w:bookmarkStart w:id="308" w:name="_Toc27323"/>
      <w:bookmarkStart w:id="309" w:name="_Toc96633633"/>
      <w:bookmarkStart w:id="310" w:name="_Toc26732"/>
      <w:bookmarkStart w:id="311" w:name="_Toc24600"/>
      <w:bookmarkStart w:id="312" w:name="_Toc97293487"/>
      <w:bookmarkStart w:id="313" w:name="_Toc24297"/>
      <w:bookmarkStart w:id="314" w:name="_Toc5942"/>
      <w:bookmarkStart w:id="315" w:name="_Toc27036"/>
      <w:bookmarkStart w:id="316" w:name="_Toc17258"/>
      <w:bookmarkStart w:id="317" w:name="_Toc31855"/>
      <w:bookmarkStart w:id="318" w:name="_Toc16430"/>
      <w:bookmarkStart w:id="319" w:name="_Toc92877705"/>
      <w:r>
        <w:rPr>
          <w:rFonts w:ascii="Times New Roman" w:hAnsi="Times New Roman" w:eastAsia="楷体_GB2312"/>
          <w:kern w:val="0"/>
          <w:sz w:val="30"/>
          <w:szCs w:val="30"/>
        </w:rPr>
        <w:t>（三）生态空间体系建设</w:t>
      </w:r>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p>
    <w:p>
      <w:pPr>
        <w:pStyle w:val="11"/>
        <w:spacing w:before="0" w:after="0" w:line="600" w:lineRule="exact"/>
        <w:ind w:firstLine="562" w:firstLineChars="200"/>
        <w:rPr>
          <w:rFonts w:eastAsia="仿宋_GB2312"/>
          <w:sz w:val="28"/>
          <w:szCs w:val="28"/>
        </w:rPr>
      </w:pPr>
      <w:bookmarkStart w:id="320" w:name="_Toc11942"/>
      <w:bookmarkStart w:id="321" w:name="_Toc23762"/>
      <w:bookmarkStart w:id="322" w:name="_Toc22060"/>
      <w:bookmarkStart w:id="323" w:name="_Toc32024"/>
      <w:bookmarkStart w:id="324" w:name="_Toc13206"/>
      <w:bookmarkStart w:id="325" w:name="_Toc96633634"/>
      <w:r>
        <w:rPr>
          <w:rFonts w:eastAsia="仿宋_GB2312"/>
          <w:sz w:val="28"/>
          <w:szCs w:val="28"/>
        </w:rPr>
        <w:t xml:space="preserve">1. </w:t>
      </w:r>
      <w:r>
        <w:rPr>
          <w:rFonts w:hint="eastAsia" w:eastAsia="仿宋_GB2312"/>
          <w:sz w:val="28"/>
          <w:szCs w:val="28"/>
        </w:rPr>
        <w:t>严格</w:t>
      </w:r>
      <w:r>
        <w:rPr>
          <w:rFonts w:eastAsia="仿宋_GB2312"/>
          <w:sz w:val="28"/>
          <w:szCs w:val="28"/>
        </w:rPr>
        <w:t>生态空间用途管制</w:t>
      </w:r>
      <w:bookmarkEnd w:id="320"/>
      <w:bookmarkEnd w:id="321"/>
      <w:bookmarkEnd w:id="322"/>
      <w:bookmarkEnd w:id="323"/>
      <w:bookmarkEnd w:id="324"/>
    </w:p>
    <w:p>
      <w:pPr>
        <w:spacing w:line="600" w:lineRule="exact"/>
        <w:ind w:firstLine="560" w:firstLineChars="200"/>
        <w:rPr>
          <w:rFonts w:eastAsia="仿宋_GB2312"/>
          <w:b/>
          <w:bCs/>
          <w:sz w:val="28"/>
          <w:szCs w:val="28"/>
        </w:rPr>
      </w:pPr>
      <w:bookmarkStart w:id="326" w:name="_Toc30256"/>
      <w:r>
        <w:rPr>
          <w:rFonts w:eastAsia="仿宋_GB2312"/>
          <w:bCs/>
          <w:sz w:val="28"/>
          <w:szCs w:val="28"/>
        </w:rPr>
        <w:t>加强“三区三线”管控</w:t>
      </w:r>
      <w:r>
        <w:rPr>
          <w:rFonts w:hint="eastAsia" w:eastAsia="仿宋_GB2312"/>
          <w:bCs/>
          <w:sz w:val="28"/>
          <w:szCs w:val="28"/>
        </w:rPr>
        <w:t>，</w:t>
      </w:r>
      <w:r>
        <w:rPr>
          <w:rFonts w:eastAsia="仿宋_GB2312"/>
          <w:bCs/>
          <w:sz w:val="28"/>
          <w:szCs w:val="28"/>
        </w:rPr>
        <w:t>严守</w:t>
      </w:r>
      <w:r>
        <w:rPr>
          <w:rFonts w:hint="eastAsia" w:eastAsia="仿宋_GB2312"/>
          <w:bCs/>
          <w:sz w:val="28"/>
          <w:szCs w:val="28"/>
        </w:rPr>
        <w:t>已划定的</w:t>
      </w:r>
      <w:r>
        <w:rPr>
          <w:rFonts w:eastAsia="仿宋_GB2312"/>
          <w:bCs/>
          <w:sz w:val="28"/>
          <w:szCs w:val="28"/>
        </w:rPr>
        <w:t>生态保护红线</w:t>
      </w:r>
      <w:r>
        <w:rPr>
          <w:rFonts w:hint="eastAsia" w:eastAsia="仿宋_GB2312"/>
          <w:bCs/>
          <w:sz w:val="28"/>
          <w:szCs w:val="28"/>
        </w:rPr>
        <w:t>范围</w:t>
      </w:r>
      <w:r>
        <w:rPr>
          <w:rFonts w:eastAsia="仿宋_GB2312"/>
          <w:bCs/>
          <w:sz w:val="28"/>
          <w:szCs w:val="28"/>
        </w:rPr>
        <w:t>，加强</w:t>
      </w:r>
      <w:r>
        <w:rPr>
          <w:rFonts w:eastAsia="仿宋_GB2312"/>
          <w:sz w:val="28"/>
          <w:szCs w:val="28"/>
        </w:rPr>
        <w:t>永久基本农田管控，严格城镇开发边界划定，实施分区分类管控。实施“三线一单”成果应用。严格按照《山西省“三线一单”生态环境分区管控实施方案》和《</w:t>
      </w:r>
      <w:r>
        <w:rPr>
          <w:rFonts w:hint="eastAsia" w:eastAsia="仿宋_GB2312"/>
          <w:sz w:val="28"/>
          <w:szCs w:val="28"/>
        </w:rPr>
        <w:t>忻州</w:t>
      </w:r>
      <w:r>
        <w:rPr>
          <w:rFonts w:eastAsia="仿宋_GB2312"/>
          <w:sz w:val="28"/>
          <w:szCs w:val="28"/>
        </w:rPr>
        <w:t>市“三线一单”生态环境分区管控实施方案》，在产业布局、结构调整、资源开发、城镇建设、重大项目选址等各类开发建设活动中，在推进污染防治、生态环境保护工作中，严守生态保护红线、环境质量底线、资源利用上线，严格落实生态环境准入清单及相关管理要求，推进县域经济社会高质量发展、生态环境高水平保护。</w:t>
      </w:r>
    </w:p>
    <w:p>
      <w:pPr>
        <w:overflowPunct w:val="0"/>
        <w:topLinePunct/>
        <w:spacing w:line="600" w:lineRule="exact"/>
        <w:ind w:firstLine="562" w:firstLineChars="200"/>
        <w:contextualSpacing/>
        <w:jc w:val="left"/>
        <w:outlineLvl w:val="2"/>
        <w:rPr>
          <w:rFonts w:eastAsia="仿宋_GB2312"/>
          <w:b/>
          <w:bCs/>
          <w:sz w:val="28"/>
          <w:szCs w:val="28"/>
        </w:rPr>
      </w:pPr>
      <w:bookmarkStart w:id="327" w:name="_Toc25907"/>
      <w:bookmarkStart w:id="328" w:name="_Toc23481"/>
      <w:bookmarkStart w:id="329" w:name="_Toc30704"/>
      <w:bookmarkStart w:id="330" w:name="_Toc21655"/>
      <w:r>
        <w:rPr>
          <w:rFonts w:eastAsia="仿宋_GB2312"/>
          <w:b/>
          <w:bCs/>
          <w:sz w:val="28"/>
          <w:szCs w:val="28"/>
        </w:rPr>
        <w:t xml:space="preserve">2. </w:t>
      </w:r>
      <w:bookmarkEnd w:id="326"/>
      <w:r>
        <w:rPr>
          <w:rFonts w:hint="eastAsia" w:eastAsia="仿宋_GB2312"/>
          <w:b/>
          <w:bCs/>
          <w:sz w:val="28"/>
          <w:szCs w:val="28"/>
        </w:rPr>
        <w:t>加强</w:t>
      </w:r>
      <w:r>
        <w:rPr>
          <w:rFonts w:eastAsia="仿宋_GB2312"/>
          <w:b/>
          <w:bCs/>
          <w:sz w:val="28"/>
          <w:szCs w:val="28"/>
        </w:rPr>
        <w:t>自然保护地</w:t>
      </w:r>
      <w:r>
        <w:rPr>
          <w:rFonts w:hint="eastAsia" w:eastAsia="仿宋_GB2312"/>
          <w:b/>
          <w:bCs/>
          <w:sz w:val="28"/>
          <w:szCs w:val="28"/>
        </w:rPr>
        <w:t>保护</w:t>
      </w:r>
      <w:bookmarkEnd w:id="327"/>
      <w:bookmarkEnd w:id="328"/>
      <w:bookmarkEnd w:id="329"/>
      <w:bookmarkEnd w:id="330"/>
    </w:p>
    <w:p>
      <w:pPr>
        <w:spacing w:line="600" w:lineRule="exact"/>
        <w:ind w:firstLine="560" w:firstLineChars="200"/>
        <w:rPr>
          <w:rFonts w:eastAsia="仿宋_GB2312"/>
          <w:sz w:val="28"/>
          <w:szCs w:val="28"/>
        </w:rPr>
      </w:pPr>
      <w:bookmarkStart w:id="331" w:name="_Toc1352"/>
      <w:r>
        <w:rPr>
          <w:rFonts w:hint="eastAsia" w:eastAsia="仿宋_GB2312"/>
          <w:sz w:val="28"/>
          <w:szCs w:val="28"/>
        </w:rPr>
        <w:t>严格按照</w:t>
      </w:r>
      <w:r>
        <w:rPr>
          <w:rFonts w:eastAsia="仿宋_GB2312"/>
          <w:sz w:val="28"/>
          <w:szCs w:val="28"/>
        </w:rPr>
        <w:t>《山西静乐汾河川国家湿地公园管理办法》《忻州市静乐汾河川国家湿地公园保护条例》</w:t>
      </w:r>
      <w:r>
        <w:rPr>
          <w:rFonts w:hint="eastAsia" w:eastAsia="仿宋_GB2312"/>
          <w:sz w:val="28"/>
          <w:szCs w:val="28"/>
        </w:rPr>
        <w:t>，加强对湿地公园的保护管理，维护生态平衡，保护湿地功能和生物多样性。</w:t>
      </w:r>
      <w:r>
        <w:rPr>
          <w:rFonts w:eastAsia="仿宋_GB2312"/>
          <w:sz w:val="28"/>
          <w:szCs w:val="28"/>
        </w:rPr>
        <w:t>以保护生态系统完整性为原则，遵循保护面积不减少、保护强度不降低、保护性质不改变的总体要求，有针对性地开展野生动植物资源调查、生物多样性保护以及保护地修复等工程。</w:t>
      </w:r>
      <w:r>
        <w:rPr>
          <w:rFonts w:eastAsia="仿宋_GB2312"/>
          <w:bCs/>
          <w:sz w:val="28"/>
          <w:szCs w:val="28"/>
        </w:rPr>
        <w:t>推进</w:t>
      </w:r>
      <w:r>
        <w:rPr>
          <w:rFonts w:hint="eastAsia" w:eastAsia="仿宋_GB2312"/>
          <w:bCs/>
          <w:sz w:val="28"/>
          <w:szCs w:val="28"/>
        </w:rPr>
        <w:t>保护地</w:t>
      </w:r>
      <w:r>
        <w:rPr>
          <w:rFonts w:eastAsia="仿宋_GB2312"/>
          <w:bCs/>
          <w:sz w:val="28"/>
          <w:szCs w:val="28"/>
        </w:rPr>
        <w:t>野生动植物资源普查和动态监测，加强黑鹳、</w:t>
      </w:r>
      <w:r>
        <w:rPr>
          <w:rFonts w:hint="eastAsia" w:eastAsia="仿宋_GB2312"/>
          <w:sz w:val="28"/>
          <w:szCs w:val="28"/>
        </w:rPr>
        <w:t>金雕、鸳鸯</w:t>
      </w:r>
      <w:r>
        <w:rPr>
          <w:rFonts w:eastAsia="仿宋_GB2312"/>
          <w:bCs/>
          <w:sz w:val="28"/>
          <w:szCs w:val="28"/>
        </w:rPr>
        <w:t>等国家级重点保护野生动物救护繁育场所建设，强化主要保护对象及栖息地生态环境保护恢复。坚决打击非法捕捉、交易野生动植物，保持并恢复野生动植物物种和种群平衡。</w:t>
      </w:r>
      <w:r>
        <w:rPr>
          <w:rFonts w:eastAsia="仿宋_GB2312"/>
          <w:sz w:val="28"/>
          <w:szCs w:val="28"/>
        </w:rPr>
        <w:t>建立健全</w:t>
      </w:r>
      <w:r>
        <w:rPr>
          <w:rFonts w:hint="eastAsia" w:eastAsia="仿宋_GB2312"/>
          <w:sz w:val="28"/>
          <w:szCs w:val="28"/>
        </w:rPr>
        <w:t>保护地</w:t>
      </w:r>
      <w:r>
        <w:rPr>
          <w:rFonts w:eastAsia="仿宋_GB2312"/>
          <w:sz w:val="28"/>
          <w:szCs w:val="28"/>
        </w:rPr>
        <w:t>管理机构，</w:t>
      </w:r>
      <w:r>
        <w:rPr>
          <w:rFonts w:hint="eastAsia" w:eastAsia="仿宋_GB2312"/>
          <w:sz w:val="28"/>
          <w:szCs w:val="28"/>
        </w:rPr>
        <w:t>完善基础设施建设，</w:t>
      </w:r>
      <w:r>
        <w:rPr>
          <w:rFonts w:eastAsia="仿宋_GB2312"/>
          <w:sz w:val="28"/>
          <w:szCs w:val="28"/>
        </w:rPr>
        <w:t>因地制宜设立宣传牌及指示性、限制性、解说性标识牌，引导、限制游客行为</w:t>
      </w:r>
      <w:r>
        <w:rPr>
          <w:rFonts w:hint="eastAsia" w:eastAsia="仿宋_GB2312"/>
          <w:sz w:val="28"/>
          <w:szCs w:val="28"/>
        </w:rPr>
        <w:t>。</w:t>
      </w:r>
      <w:r>
        <w:rPr>
          <w:rFonts w:hint="eastAsia" w:eastAsia="仿宋_GB2312"/>
          <w:bCs/>
          <w:sz w:val="28"/>
          <w:szCs w:val="28"/>
        </w:rPr>
        <w:t>结合汾河川国家湿地公园实际，</w:t>
      </w:r>
      <w:r>
        <w:rPr>
          <w:rFonts w:eastAsia="仿宋_GB2312"/>
          <w:sz w:val="28"/>
          <w:szCs w:val="28"/>
        </w:rPr>
        <w:t>建立自然保护地</w:t>
      </w:r>
      <w:r>
        <w:rPr>
          <w:rFonts w:hint="eastAsia" w:eastAsia="仿宋_GB2312"/>
          <w:sz w:val="28"/>
          <w:szCs w:val="28"/>
        </w:rPr>
        <w:t>监测计划，构建</w:t>
      </w:r>
      <w:r>
        <w:rPr>
          <w:rFonts w:eastAsia="仿宋_GB2312"/>
          <w:sz w:val="28"/>
          <w:szCs w:val="28"/>
        </w:rPr>
        <w:t>监测指标体系，购置必要的</w:t>
      </w:r>
      <w:r>
        <w:rPr>
          <w:rFonts w:hint="eastAsia" w:eastAsia="仿宋_GB2312"/>
          <w:sz w:val="28"/>
          <w:szCs w:val="28"/>
        </w:rPr>
        <w:t>监测</w:t>
      </w:r>
      <w:r>
        <w:rPr>
          <w:rFonts w:eastAsia="仿宋_GB2312"/>
          <w:sz w:val="28"/>
          <w:szCs w:val="28"/>
        </w:rPr>
        <w:t>设备，加快遥感、物联网和大数据等技术应用，实时监测区域内生物及环境动态，构建自然保护地“天地空”一体化的监测防控网络。定期在</w:t>
      </w:r>
      <w:r>
        <w:rPr>
          <w:rFonts w:hint="eastAsia" w:eastAsia="仿宋_GB2312"/>
          <w:sz w:val="28"/>
          <w:szCs w:val="28"/>
        </w:rPr>
        <w:t>湿地公园</w:t>
      </w:r>
      <w:r>
        <w:rPr>
          <w:rFonts w:eastAsia="仿宋_GB2312"/>
          <w:sz w:val="28"/>
          <w:szCs w:val="28"/>
        </w:rPr>
        <w:t>内开展</w:t>
      </w:r>
      <w:r>
        <w:rPr>
          <w:rFonts w:hint="eastAsia" w:eastAsia="仿宋_GB2312"/>
          <w:sz w:val="28"/>
          <w:szCs w:val="28"/>
        </w:rPr>
        <w:t>生态环境保护</w:t>
      </w:r>
      <w:r>
        <w:rPr>
          <w:rFonts w:eastAsia="仿宋_GB2312"/>
          <w:sz w:val="28"/>
          <w:szCs w:val="28"/>
        </w:rPr>
        <w:t>科普宣教和生态文明建设活动，</w:t>
      </w:r>
      <w:r>
        <w:rPr>
          <w:rFonts w:hint="eastAsia" w:eastAsia="仿宋_GB2312"/>
          <w:sz w:val="28"/>
          <w:szCs w:val="28"/>
        </w:rPr>
        <w:t>增强</w:t>
      </w:r>
      <w:r>
        <w:rPr>
          <w:rFonts w:eastAsia="仿宋_GB2312"/>
          <w:sz w:val="28"/>
          <w:szCs w:val="28"/>
        </w:rPr>
        <w:t>公众保护意识，营造全民参与的氛围。</w:t>
      </w:r>
    </w:p>
    <w:p>
      <w:pPr>
        <w:overflowPunct w:val="0"/>
        <w:topLinePunct/>
        <w:spacing w:line="600" w:lineRule="exact"/>
        <w:ind w:firstLine="562" w:firstLineChars="200"/>
        <w:contextualSpacing/>
        <w:jc w:val="left"/>
        <w:outlineLvl w:val="2"/>
        <w:rPr>
          <w:rFonts w:eastAsia="仿宋_GB2312"/>
          <w:b/>
          <w:bCs/>
          <w:sz w:val="28"/>
          <w:szCs w:val="28"/>
        </w:rPr>
      </w:pPr>
      <w:bookmarkStart w:id="332" w:name="_Toc30361"/>
      <w:bookmarkStart w:id="333" w:name="_Toc817"/>
      <w:bookmarkStart w:id="334" w:name="_Toc25147"/>
      <w:bookmarkStart w:id="335" w:name="_Toc15848"/>
      <w:r>
        <w:rPr>
          <w:rFonts w:eastAsia="仿宋_GB2312"/>
          <w:b/>
          <w:bCs/>
          <w:sz w:val="28"/>
          <w:szCs w:val="28"/>
        </w:rPr>
        <w:t xml:space="preserve">3. </w:t>
      </w:r>
      <w:bookmarkEnd w:id="331"/>
      <w:r>
        <w:rPr>
          <w:rFonts w:eastAsia="仿宋_GB2312"/>
          <w:b/>
          <w:bCs/>
          <w:sz w:val="28"/>
          <w:szCs w:val="28"/>
        </w:rPr>
        <w:t>优化国土空间布局</w:t>
      </w:r>
      <w:bookmarkEnd w:id="332"/>
      <w:bookmarkEnd w:id="333"/>
      <w:bookmarkEnd w:id="334"/>
      <w:bookmarkEnd w:id="335"/>
    </w:p>
    <w:bookmarkEnd w:id="325"/>
    <w:p>
      <w:pPr>
        <w:spacing w:line="600" w:lineRule="exact"/>
        <w:ind w:firstLine="560" w:firstLineChars="200"/>
        <w:rPr>
          <w:rFonts w:eastAsia="仿宋_GB2312"/>
          <w:sz w:val="28"/>
          <w:szCs w:val="28"/>
        </w:rPr>
      </w:pPr>
      <w:bookmarkStart w:id="336" w:name="_Toc9731"/>
      <w:bookmarkStart w:id="337" w:name="_Toc92877706"/>
      <w:bookmarkStart w:id="338" w:name="_Toc97293495"/>
      <w:bookmarkStart w:id="339" w:name="_Toc25903"/>
      <w:bookmarkStart w:id="340" w:name="_Toc8887"/>
      <w:bookmarkStart w:id="341" w:name="_Toc96633637"/>
      <w:bookmarkStart w:id="342" w:name="_Toc12477"/>
      <w:bookmarkStart w:id="343" w:name="_Toc16961"/>
      <w:bookmarkStart w:id="344" w:name="_Toc26883"/>
      <w:r>
        <w:rPr>
          <w:rFonts w:eastAsia="仿宋_GB2312"/>
          <w:sz w:val="28"/>
          <w:szCs w:val="28"/>
        </w:rPr>
        <w:t>以国土空间开发适宜性和资源环境承载力评价为基础，落实</w:t>
      </w:r>
      <w:r>
        <w:rPr>
          <w:rFonts w:hint="eastAsia" w:eastAsia="仿宋_GB2312"/>
          <w:sz w:val="28"/>
          <w:szCs w:val="28"/>
        </w:rPr>
        <w:t>忻州市</w:t>
      </w:r>
      <w:r>
        <w:rPr>
          <w:rFonts w:eastAsia="仿宋_GB2312"/>
          <w:sz w:val="28"/>
          <w:szCs w:val="28"/>
        </w:rPr>
        <w:t>市级保护开发格局要求，在生态敏感脆弱、人口稀少的西部山区，实施国土保护、维护和修复，严格水平资源保护，提高自然生态系统服务功能。在资源环境承载力较强、集聚开发水平较高或潜力较大的城市化平川地区，着力推进国土集聚开发，引导人口产业相对集中布局。依托太佳、忻保</w:t>
      </w:r>
      <w:r>
        <w:rPr>
          <w:rFonts w:hint="eastAsia" w:eastAsia="仿宋_GB2312"/>
          <w:sz w:val="28"/>
          <w:szCs w:val="28"/>
        </w:rPr>
        <w:t>、忻黑线、宁白线</w:t>
      </w:r>
      <w:r>
        <w:rPr>
          <w:rFonts w:eastAsia="仿宋_GB2312"/>
          <w:sz w:val="28"/>
          <w:szCs w:val="28"/>
        </w:rPr>
        <w:t>等重要交通干线拓展成的国土开发轴，串联</w:t>
      </w:r>
      <w:r>
        <w:rPr>
          <w:rFonts w:hint="eastAsia" w:eastAsia="仿宋_GB2312"/>
          <w:sz w:val="28"/>
          <w:szCs w:val="28"/>
        </w:rPr>
        <w:t>静乐县</w:t>
      </w:r>
      <w:r>
        <w:rPr>
          <w:rFonts w:eastAsia="仿宋_GB2312"/>
          <w:sz w:val="28"/>
          <w:szCs w:val="28"/>
        </w:rPr>
        <w:t>各乡镇，统筹生态、农业、城镇三大空间，推动形成国土集聚开发和分类保护相适应的、开发保护与资源环境相协调的</w:t>
      </w:r>
      <w:r>
        <w:rPr>
          <w:rFonts w:hint="eastAsia" w:eastAsia="仿宋_GB2312"/>
          <w:sz w:val="28"/>
          <w:szCs w:val="28"/>
        </w:rPr>
        <w:t>“一心、两轴、三区、多点”</w:t>
      </w:r>
      <w:r>
        <w:rPr>
          <w:rFonts w:eastAsia="仿宋_GB2312"/>
          <w:sz w:val="28"/>
          <w:szCs w:val="28"/>
        </w:rPr>
        <w:t>的国土空间开发保护格局。</w:t>
      </w:r>
    </w:p>
    <w:p>
      <w:pPr>
        <w:numPr>
          <w:ilvl w:val="0"/>
          <w:numId w:val="1"/>
        </w:numPr>
        <w:overflowPunct w:val="0"/>
        <w:topLinePunct/>
        <w:spacing w:line="600" w:lineRule="exact"/>
        <w:ind w:firstLine="562" w:firstLineChars="200"/>
        <w:contextualSpacing/>
        <w:jc w:val="left"/>
        <w:outlineLvl w:val="2"/>
        <w:rPr>
          <w:rFonts w:eastAsia="仿宋_GB2312"/>
          <w:b/>
          <w:bCs/>
          <w:sz w:val="28"/>
          <w:szCs w:val="28"/>
        </w:rPr>
      </w:pPr>
      <w:r>
        <w:rPr>
          <w:rFonts w:hint="eastAsia" w:eastAsia="仿宋_GB2312"/>
          <w:b/>
          <w:bCs/>
          <w:sz w:val="28"/>
          <w:szCs w:val="28"/>
        </w:rPr>
        <w:t xml:space="preserve"> </w:t>
      </w:r>
      <w:bookmarkStart w:id="345" w:name="_Toc24850"/>
      <w:bookmarkStart w:id="346" w:name="_Toc16856"/>
      <w:bookmarkStart w:id="347" w:name="_Toc23942"/>
      <w:bookmarkStart w:id="348" w:name="_Toc11373"/>
      <w:r>
        <w:rPr>
          <w:rFonts w:hint="eastAsia" w:eastAsia="仿宋_GB2312"/>
          <w:b/>
          <w:bCs/>
          <w:sz w:val="28"/>
          <w:szCs w:val="28"/>
        </w:rPr>
        <w:t>加强河湖岸线保护</w:t>
      </w:r>
      <w:bookmarkEnd w:id="345"/>
      <w:bookmarkEnd w:id="346"/>
      <w:bookmarkEnd w:id="347"/>
      <w:bookmarkEnd w:id="348"/>
    </w:p>
    <w:p>
      <w:pPr>
        <w:spacing w:line="600" w:lineRule="exact"/>
        <w:ind w:firstLine="560" w:firstLineChars="200"/>
        <w:rPr>
          <w:rFonts w:eastAsia="仿宋_GB2312"/>
          <w:sz w:val="28"/>
          <w:szCs w:val="28"/>
        </w:rPr>
      </w:pPr>
      <w:r>
        <w:rPr>
          <w:rFonts w:hint="eastAsia" w:eastAsia="仿宋_GB2312"/>
          <w:sz w:val="28"/>
          <w:szCs w:val="28"/>
        </w:rPr>
        <w:t>落实岸线分区管理，积极完成县管14条河流的确权发证工作，明确河（库）水域岸线管理保护界限空间坐标，将全县河流岸线管理与保护范围成果数据纳入自然资源管理系统，作为涉河湖水域岸线土地利用审批的重要依据。通过疏浚河道，栽植水土保持林，修建护堤、封育治理、铺设生态绿化管道、修建滞蓄洪水塘坝等方式，进一步修复东碾河、龙家庄河、鸣河等流域水生态环境。在全面落实河长制基础上，建立多部门统筹协调的岸线管控机制，加大执法力度，严厉打击非法侵占水域岸线行为。开展岸线动态监测，构建岸线监管信息平台，定期评估岸线保护情况和生态效益。建立河湖管理动态监管信息公开制度，对违法违规项目信息及整改情况予以公布。</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349" w:name="_Toc5124"/>
      <w:bookmarkStart w:id="350" w:name="_Toc11923"/>
      <w:bookmarkStart w:id="351" w:name="_Toc29368"/>
      <w:bookmarkStart w:id="352" w:name="_Toc4915"/>
      <w:bookmarkStart w:id="353" w:name="_Toc18594"/>
      <w:r>
        <w:rPr>
          <w:rFonts w:ascii="Times New Roman" w:hAnsi="Times New Roman" w:eastAsia="楷体_GB2312"/>
          <w:kern w:val="0"/>
          <w:sz w:val="30"/>
          <w:szCs w:val="30"/>
        </w:rPr>
        <w:t>（四）生态经济体系建设</w:t>
      </w:r>
      <w:bookmarkEnd w:id="336"/>
      <w:bookmarkEnd w:id="337"/>
      <w:bookmarkEnd w:id="338"/>
      <w:bookmarkEnd w:id="339"/>
      <w:bookmarkEnd w:id="340"/>
      <w:bookmarkEnd w:id="341"/>
      <w:bookmarkEnd w:id="342"/>
      <w:bookmarkEnd w:id="343"/>
      <w:bookmarkEnd w:id="344"/>
      <w:bookmarkEnd w:id="349"/>
      <w:bookmarkEnd w:id="350"/>
      <w:bookmarkEnd w:id="351"/>
      <w:bookmarkEnd w:id="352"/>
      <w:bookmarkEnd w:id="353"/>
    </w:p>
    <w:p>
      <w:pPr>
        <w:spacing w:line="600" w:lineRule="exact"/>
        <w:ind w:firstLine="562" w:firstLineChars="200"/>
        <w:jc w:val="left"/>
        <w:outlineLvl w:val="2"/>
        <w:rPr>
          <w:rFonts w:eastAsia="仿宋_GB2312"/>
          <w:b/>
          <w:bCs/>
          <w:kern w:val="0"/>
          <w:sz w:val="28"/>
          <w:szCs w:val="28"/>
        </w:rPr>
      </w:pPr>
      <w:bookmarkStart w:id="354" w:name="_Toc11130"/>
      <w:bookmarkStart w:id="355" w:name="_Toc11401"/>
      <w:bookmarkStart w:id="356" w:name="_Toc97293496"/>
      <w:bookmarkStart w:id="357" w:name="_Toc9179"/>
      <w:bookmarkStart w:id="358" w:name="_Toc21559"/>
      <w:bookmarkStart w:id="359" w:name="_Toc12159"/>
      <w:r>
        <w:rPr>
          <w:rFonts w:eastAsia="仿宋_GB2312"/>
          <w:b/>
          <w:bCs/>
          <w:kern w:val="0"/>
          <w:sz w:val="28"/>
          <w:szCs w:val="28"/>
        </w:rPr>
        <w:t>1. 加快产业结构调整</w:t>
      </w:r>
      <w:bookmarkEnd w:id="354"/>
      <w:bookmarkEnd w:id="355"/>
      <w:bookmarkEnd w:id="356"/>
      <w:bookmarkEnd w:id="357"/>
      <w:bookmarkEnd w:id="358"/>
      <w:bookmarkEnd w:id="359"/>
    </w:p>
    <w:p>
      <w:pPr>
        <w:adjustRightInd w:val="0"/>
        <w:snapToGrid w:val="0"/>
        <w:spacing w:line="600" w:lineRule="exact"/>
        <w:ind w:firstLine="562" w:firstLineChars="200"/>
        <w:rPr>
          <w:rFonts w:eastAsia="仿宋_GB2312"/>
          <w:sz w:val="28"/>
          <w:szCs w:val="28"/>
        </w:rPr>
      </w:pPr>
      <w:bookmarkStart w:id="360" w:name="_Toc22776"/>
      <w:bookmarkStart w:id="361" w:name="_Toc97293497"/>
      <w:r>
        <w:rPr>
          <w:rFonts w:eastAsia="仿宋_GB2312"/>
          <w:b/>
          <w:bCs/>
          <w:sz w:val="28"/>
          <w:szCs w:val="28"/>
        </w:rPr>
        <w:t>推进资源型产业转型升级。</w:t>
      </w:r>
      <w:r>
        <w:rPr>
          <w:rFonts w:hint="eastAsia" w:eastAsia="仿宋_GB2312"/>
          <w:sz w:val="28"/>
          <w:szCs w:val="28"/>
        </w:rPr>
        <w:t>全力推进煤矿智能化改造，以5G通信、先进控制技术等为牵引推进智能煤矿建设，大力实施煤炭充填开采、保水开采、煤与瓦斯共采等绿色开采技术。积极推进煤炭绿色低碳高效开发利用，推进大远煤业、晋北煤业煤炭优质产能释放。推动绿色矿山和绿色矿业发展示范区建设，推动矿产资源全产业链发展。积极推进煤层气等非常规油气资源调查评价，挖掘其发展潜力。</w:t>
      </w:r>
      <w:r>
        <w:rPr>
          <w:rFonts w:eastAsia="仿宋_GB2312"/>
          <w:sz w:val="28"/>
          <w:szCs w:val="28"/>
        </w:rPr>
        <w:t>积极培育新能源产业发展</w:t>
      </w:r>
      <w:r>
        <w:rPr>
          <w:rFonts w:hint="eastAsia" w:eastAsia="仿宋_GB2312"/>
          <w:sz w:val="28"/>
          <w:szCs w:val="28"/>
        </w:rPr>
        <w:t>，</w:t>
      </w:r>
      <w:r>
        <w:rPr>
          <w:rFonts w:eastAsia="仿宋_GB2312"/>
          <w:sz w:val="28"/>
          <w:szCs w:val="28"/>
        </w:rPr>
        <w:t>建设以大型企业集团为龙头的光伏风电装备制造业基地。继续抓好光伏、风能、太阳能、生物质能等新能源开发，拓展能源及相关产业链条，牵引产业高质量转型发展。</w:t>
      </w:r>
    </w:p>
    <w:p>
      <w:pPr>
        <w:spacing w:line="600" w:lineRule="exact"/>
        <w:ind w:firstLine="562" w:firstLineChars="200"/>
        <w:jc w:val="left"/>
        <w:outlineLvl w:val="2"/>
        <w:rPr>
          <w:rFonts w:eastAsia="仿宋_GB2312"/>
          <w:b/>
          <w:bCs/>
          <w:kern w:val="0"/>
          <w:sz w:val="28"/>
          <w:szCs w:val="28"/>
        </w:rPr>
      </w:pPr>
      <w:bookmarkStart w:id="362" w:name="_Toc26316"/>
      <w:bookmarkStart w:id="363" w:name="_Toc2650"/>
      <w:bookmarkStart w:id="364" w:name="_Toc23782"/>
      <w:bookmarkStart w:id="365" w:name="_Toc18828"/>
      <w:r>
        <w:rPr>
          <w:rFonts w:eastAsia="仿宋_GB2312"/>
          <w:b/>
          <w:bCs/>
          <w:kern w:val="0"/>
          <w:sz w:val="28"/>
          <w:szCs w:val="28"/>
        </w:rPr>
        <w:t>2. 做优生态产业</w:t>
      </w:r>
      <w:bookmarkEnd w:id="360"/>
      <w:bookmarkEnd w:id="361"/>
      <w:bookmarkEnd w:id="362"/>
      <w:bookmarkEnd w:id="363"/>
      <w:bookmarkEnd w:id="364"/>
      <w:bookmarkEnd w:id="365"/>
    </w:p>
    <w:p>
      <w:pPr>
        <w:pStyle w:val="19"/>
        <w:spacing w:line="600" w:lineRule="exact"/>
        <w:ind w:firstLine="560" w:firstLineChars="200"/>
        <w:rPr>
          <w:rFonts w:ascii="Times New Roman" w:hAnsi="Times New Roman"/>
          <w:b/>
          <w:bCs/>
        </w:rPr>
      </w:pPr>
      <w:bookmarkStart w:id="366" w:name="_Toc12278"/>
      <w:bookmarkStart w:id="367" w:name="_Toc97293498"/>
      <w:r>
        <w:rPr>
          <w:rFonts w:hint="eastAsia"/>
        </w:rPr>
        <w:t>推进特色现代农业发展，</w:t>
      </w:r>
      <w:r>
        <w:rPr>
          <w:rFonts w:ascii="Times New Roman" w:hAnsi="Times New Roman"/>
        </w:rPr>
        <w:t>加强特色农产品优势区、重要农产品生产保护区和粮食生产功能区建设，采取“中心集聚、轴带拓展、极点增长”的农业产业布局模式，构建“产业增长点</w:t>
      </w:r>
      <w:r>
        <w:rPr>
          <w:rFonts w:hint="eastAsia" w:ascii="Times New Roman" w:hAnsi="Times New Roman"/>
        </w:rPr>
        <w:t>-</w:t>
      </w:r>
      <w:r>
        <w:rPr>
          <w:rFonts w:ascii="Times New Roman" w:hAnsi="Times New Roman"/>
        </w:rPr>
        <w:t>产业集聚区</w:t>
      </w:r>
      <w:r>
        <w:rPr>
          <w:rFonts w:hint="eastAsia" w:ascii="Times New Roman" w:hAnsi="Times New Roman"/>
        </w:rPr>
        <w:t>-</w:t>
      </w:r>
      <w:r>
        <w:rPr>
          <w:rFonts w:ascii="Times New Roman" w:hAnsi="Times New Roman"/>
        </w:rPr>
        <w:t>产业带”的产业空间发展格局。以综合性现代化农业产业为主，主导产业为现代科技种植、藜麦综合产业园区、农副产品加工，打造全省现代农业产业示范区和农业科技技术创新基地。</w:t>
      </w:r>
      <w:r>
        <w:rPr>
          <w:rFonts w:hint="eastAsia" w:ascii="Times New Roman" w:hAnsi="Times New Roman"/>
        </w:rPr>
        <w:t>依托静乐县的资源分布、交通格局、市场方向，科学规划空间布局，完善要素设施配置，构建“一心集散、一带引领、一廊延伸、六区共筑”的全域旅游发展空间格局。</w:t>
      </w:r>
      <w:r>
        <w:rPr>
          <w:rFonts w:ascii="Times New Roman" w:hAnsi="Times New Roman"/>
        </w:rPr>
        <w:t>以“旅游+产业”为引领，持续加快旅游与其他产业的融合发展</w:t>
      </w:r>
      <w:r>
        <w:rPr>
          <w:rFonts w:hint="eastAsia" w:ascii="Times New Roman" w:hAnsi="Times New Roman"/>
        </w:rPr>
        <w:t>。</w:t>
      </w:r>
      <w:r>
        <w:rPr>
          <w:rFonts w:ascii="Times New Roman" w:hAnsi="Times New Roman"/>
        </w:rPr>
        <w:t>提升文化旅游管理水平</w:t>
      </w:r>
      <w:r>
        <w:rPr>
          <w:rFonts w:hint="eastAsia" w:ascii="Times New Roman" w:hAnsi="Times New Roman"/>
        </w:rPr>
        <w:t>，</w:t>
      </w:r>
      <w:r>
        <w:rPr>
          <w:rFonts w:ascii="Times New Roman" w:hAnsi="Times New Roman"/>
        </w:rPr>
        <w:t>加强配套设施建设，推进智慧旅游建设，实现管理科学化、精细化、智能化。</w:t>
      </w:r>
    </w:p>
    <w:p>
      <w:pPr>
        <w:pStyle w:val="11"/>
        <w:spacing w:before="0" w:after="0" w:line="600" w:lineRule="exact"/>
        <w:ind w:firstLine="562" w:firstLineChars="200"/>
        <w:contextualSpacing/>
        <w:rPr>
          <w:rFonts w:eastAsia="仿宋_GB2312"/>
          <w:sz w:val="28"/>
          <w:szCs w:val="28"/>
        </w:rPr>
      </w:pPr>
      <w:bookmarkStart w:id="368" w:name="_Toc385"/>
      <w:bookmarkStart w:id="369" w:name="_Toc12427"/>
      <w:bookmarkStart w:id="370" w:name="_Toc15927"/>
      <w:bookmarkStart w:id="371" w:name="_Toc27859"/>
      <w:r>
        <w:rPr>
          <w:rFonts w:eastAsia="仿宋_GB2312"/>
          <w:sz w:val="28"/>
          <w:szCs w:val="28"/>
        </w:rPr>
        <w:t>3. 调整优化能源结构</w:t>
      </w:r>
      <w:bookmarkEnd w:id="366"/>
      <w:bookmarkEnd w:id="367"/>
      <w:bookmarkEnd w:id="368"/>
      <w:bookmarkEnd w:id="369"/>
      <w:bookmarkEnd w:id="370"/>
      <w:bookmarkEnd w:id="371"/>
    </w:p>
    <w:p>
      <w:pPr>
        <w:spacing w:line="600" w:lineRule="exact"/>
        <w:ind w:firstLine="560" w:firstLineChars="200"/>
        <w:rPr>
          <w:rFonts w:eastAsia="仿宋_GB2312"/>
          <w:sz w:val="28"/>
          <w:szCs w:val="28"/>
        </w:rPr>
      </w:pPr>
      <w:bookmarkStart w:id="372" w:name="_Toc97293499"/>
      <w:bookmarkStart w:id="373" w:name="_Toc4655"/>
      <w:r>
        <w:rPr>
          <w:rFonts w:eastAsia="仿宋_GB2312"/>
          <w:sz w:val="28"/>
          <w:szCs w:val="28"/>
        </w:rPr>
        <w:t>优化能源供给结构</w:t>
      </w:r>
      <w:r>
        <w:rPr>
          <w:rFonts w:hint="eastAsia" w:eastAsia="仿宋_GB2312"/>
          <w:sz w:val="28"/>
          <w:szCs w:val="28"/>
        </w:rPr>
        <w:t>，</w:t>
      </w:r>
      <w:r>
        <w:rPr>
          <w:rFonts w:eastAsia="仿宋_GB2312"/>
          <w:sz w:val="28"/>
          <w:szCs w:val="28"/>
        </w:rPr>
        <w:t>以能源革命专项行动为重点突破，依托</w:t>
      </w:r>
      <w:r>
        <w:rPr>
          <w:rFonts w:hint="eastAsia" w:eastAsia="仿宋_GB2312"/>
          <w:sz w:val="28"/>
          <w:szCs w:val="28"/>
        </w:rPr>
        <w:t>静乐县</w:t>
      </w:r>
      <w:r>
        <w:rPr>
          <w:rFonts w:eastAsia="仿宋_GB2312"/>
          <w:sz w:val="28"/>
          <w:szCs w:val="28"/>
        </w:rPr>
        <w:t>实际，以新型风电、光伏等清洁能源建设为主线，着力打造</w:t>
      </w:r>
      <w:r>
        <w:rPr>
          <w:rFonts w:hint="eastAsia" w:eastAsia="仿宋_GB2312"/>
          <w:sz w:val="28"/>
          <w:szCs w:val="28"/>
        </w:rPr>
        <w:t>静乐县</w:t>
      </w:r>
      <w:r>
        <w:rPr>
          <w:rFonts w:eastAsia="仿宋_GB2312"/>
          <w:sz w:val="28"/>
          <w:szCs w:val="28"/>
        </w:rPr>
        <w:t>清洁能源供应基地。大力推广新能源，支持鼓励光伏发电、风力发电</w:t>
      </w:r>
      <w:r>
        <w:rPr>
          <w:rFonts w:hint="eastAsia" w:eastAsia="仿宋_GB2312"/>
          <w:sz w:val="28"/>
          <w:szCs w:val="28"/>
        </w:rPr>
        <w:t>，</w:t>
      </w:r>
      <w:r>
        <w:rPr>
          <w:rFonts w:eastAsia="仿宋_GB2312"/>
          <w:sz w:val="28"/>
          <w:szCs w:val="28"/>
        </w:rPr>
        <w:t>推广分布式能源，协同提高可再生能源的利用率。加快发展清洁能源、新能源与可再生能源，严控非电生产用煤，推进现有非电用煤改用清洁能源，进一步降低煤炭占能源消费的比重。实施能源消费总量和强度双控行动，巩固和推进无煤区建设，禁止经营性燃煤，控制民用燃煤，加强煤质监管，推进煤炭清洁利用。推动“禁煤区”由城区向重点乡镇、工业集聚区扩展，加大</w:t>
      </w:r>
      <w:r>
        <w:rPr>
          <w:rFonts w:hint="eastAsia" w:eastAsia="仿宋_GB2312"/>
          <w:sz w:val="28"/>
          <w:szCs w:val="28"/>
        </w:rPr>
        <w:t>全县</w:t>
      </w:r>
      <w:r>
        <w:rPr>
          <w:rFonts w:eastAsia="仿宋_GB2312"/>
          <w:sz w:val="28"/>
          <w:szCs w:val="28"/>
        </w:rPr>
        <w:t>范围内燃煤锅炉的淘汰力度</w:t>
      </w:r>
      <w:r>
        <w:rPr>
          <w:rFonts w:hint="eastAsia" w:eastAsia="仿宋_GB2312"/>
          <w:sz w:val="28"/>
          <w:szCs w:val="28"/>
        </w:rPr>
        <w:t>，</w:t>
      </w:r>
      <w:r>
        <w:rPr>
          <w:rFonts w:eastAsia="仿宋_GB2312"/>
          <w:sz w:val="28"/>
          <w:szCs w:val="28"/>
        </w:rPr>
        <w:t>取缔高污染燃料区内各类高污染燃料设备。</w:t>
      </w:r>
      <w:r>
        <w:rPr>
          <w:rFonts w:hint="eastAsia" w:eastAsia="仿宋_GB2312"/>
          <w:sz w:val="28"/>
          <w:szCs w:val="28"/>
        </w:rPr>
        <w:t>优化清洁取暖路径，</w:t>
      </w:r>
      <w:r>
        <w:rPr>
          <w:rFonts w:eastAsia="仿宋_GB2312"/>
          <w:sz w:val="28"/>
          <w:szCs w:val="28"/>
        </w:rPr>
        <w:t>将清洁取暖与城乡基础设施建设和乡村振兴工作有机结合，优先采取热电联产、独立供热锅炉房等热源供热，鼓励分布式供暖方式。</w:t>
      </w:r>
    </w:p>
    <w:p>
      <w:pPr>
        <w:pStyle w:val="11"/>
        <w:spacing w:before="0" w:after="0" w:line="600" w:lineRule="exact"/>
        <w:ind w:firstLine="562" w:firstLineChars="200"/>
        <w:contextualSpacing/>
        <w:rPr>
          <w:rFonts w:eastAsia="仿宋_GB2312"/>
          <w:sz w:val="28"/>
          <w:szCs w:val="28"/>
        </w:rPr>
      </w:pPr>
      <w:bookmarkStart w:id="374" w:name="_Toc9592"/>
      <w:bookmarkStart w:id="375" w:name="_Toc9370"/>
      <w:bookmarkStart w:id="376" w:name="_Toc7421"/>
      <w:bookmarkStart w:id="377" w:name="_Toc15616"/>
      <w:r>
        <w:rPr>
          <w:rFonts w:eastAsia="仿宋_GB2312"/>
          <w:sz w:val="28"/>
          <w:szCs w:val="28"/>
        </w:rPr>
        <w:t xml:space="preserve">4. </w:t>
      </w:r>
      <w:bookmarkEnd w:id="372"/>
      <w:bookmarkEnd w:id="373"/>
      <w:r>
        <w:rPr>
          <w:rFonts w:eastAsia="仿宋_GB2312"/>
          <w:sz w:val="28"/>
          <w:szCs w:val="28"/>
        </w:rPr>
        <w:t>推动</w:t>
      </w:r>
      <w:r>
        <w:rPr>
          <w:rFonts w:hint="eastAsia" w:eastAsia="仿宋_GB2312"/>
          <w:sz w:val="28"/>
          <w:szCs w:val="28"/>
        </w:rPr>
        <w:t>运输结构调整</w:t>
      </w:r>
      <w:bookmarkEnd w:id="374"/>
      <w:bookmarkEnd w:id="375"/>
      <w:bookmarkEnd w:id="376"/>
      <w:bookmarkEnd w:id="377"/>
    </w:p>
    <w:p>
      <w:pPr>
        <w:spacing w:line="600" w:lineRule="exact"/>
        <w:ind w:firstLine="560" w:firstLineChars="200"/>
        <w:rPr>
          <w:rFonts w:eastAsia="仿宋_GB2312"/>
          <w:bCs/>
          <w:kern w:val="0"/>
          <w:sz w:val="28"/>
          <w:szCs w:val="28"/>
        </w:rPr>
      </w:pPr>
      <w:bookmarkStart w:id="378" w:name="_Toc20890"/>
      <w:bookmarkStart w:id="379" w:name="_Toc97293500"/>
      <w:bookmarkStart w:id="380" w:name="_Toc92877707"/>
      <w:bookmarkStart w:id="381" w:name="_Toc96633644"/>
      <w:r>
        <w:rPr>
          <w:rFonts w:hint="eastAsia" w:eastAsia="仿宋_GB2312"/>
          <w:bCs/>
          <w:kern w:val="0"/>
          <w:sz w:val="28"/>
          <w:szCs w:val="28"/>
        </w:rPr>
        <w:t>持续</w:t>
      </w:r>
      <w:r>
        <w:rPr>
          <w:rFonts w:eastAsia="仿宋_GB2312"/>
          <w:bCs/>
          <w:kern w:val="0"/>
          <w:sz w:val="28"/>
          <w:szCs w:val="28"/>
        </w:rPr>
        <w:t>推进货物运输绿色转型</w:t>
      </w:r>
      <w:r>
        <w:rPr>
          <w:rFonts w:hint="eastAsia" w:eastAsia="仿宋_GB2312"/>
          <w:bCs/>
          <w:kern w:val="0"/>
          <w:sz w:val="28"/>
          <w:szCs w:val="28"/>
        </w:rPr>
        <w:t>，</w:t>
      </w:r>
      <w:r>
        <w:rPr>
          <w:rFonts w:eastAsia="仿宋_GB2312"/>
          <w:bCs/>
          <w:kern w:val="0"/>
          <w:sz w:val="28"/>
          <w:szCs w:val="28"/>
        </w:rPr>
        <w:t>调整优化货物运输方式，煤炭、矿石等大宗货物中长距离运输以铁路为主，无法实施铁路运输的短距离运输及</w:t>
      </w:r>
      <w:r>
        <w:rPr>
          <w:rFonts w:hint="eastAsia" w:eastAsia="仿宋_GB2312"/>
          <w:bCs/>
          <w:kern w:val="0"/>
          <w:sz w:val="28"/>
          <w:szCs w:val="28"/>
        </w:rPr>
        <w:t>城区</w:t>
      </w:r>
      <w:r>
        <w:rPr>
          <w:rFonts w:eastAsia="仿宋_GB2312"/>
          <w:bCs/>
          <w:kern w:val="0"/>
          <w:sz w:val="28"/>
          <w:szCs w:val="28"/>
        </w:rPr>
        <w:t>、工业园区和企业内部物料转运优先采用封闭式皮带廊道或新能源车辆</w:t>
      </w:r>
      <w:r>
        <w:rPr>
          <w:rFonts w:hint="eastAsia" w:eastAsia="仿宋_GB2312"/>
          <w:bCs/>
          <w:kern w:val="0"/>
          <w:sz w:val="28"/>
          <w:szCs w:val="28"/>
        </w:rPr>
        <w:t>。</w:t>
      </w:r>
      <w:r>
        <w:rPr>
          <w:rFonts w:eastAsia="仿宋_GB2312"/>
          <w:bCs/>
          <w:kern w:val="0"/>
          <w:sz w:val="28"/>
          <w:szCs w:val="28"/>
        </w:rPr>
        <w:t>持续加大“公转铁”力度，推进年货运量150万吨以上工矿企业铁路专用线和联运转运衔接设施建设。</w:t>
      </w:r>
      <w:r>
        <w:rPr>
          <w:rFonts w:eastAsia="仿宋_GB2312"/>
          <w:kern w:val="0"/>
          <w:sz w:val="28"/>
          <w:szCs w:val="28"/>
        </w:rPr>
        <w:t>加快机动车结构升级</w:t>
      </w:r>
      <w:r>
        <w:rPr>
          <w:rFonts w:hint="eastAsia" w:eastAsia="仿宋_GB2312"/>
          <w:kern w:val="0"/>
          <w:sz w:val="28"/>
          <w:szCs w:val="28"/>
        </w:rPr>
        <w:t>，</w:t>
      </w:r>
      <w:r>
        <w:rPr>
          <w:rFonts w:eastAsia="仿宋_GB2312"/>
          <w:kern w:val="0"/>
          <w:sz w:val="28"/>
          <w:szCs w:val="28"/>
        </w:rPr>
        <w:t>推广新能源、清洁车辆应用，推进老旧车辆提前淘汰更新，推动国四及以下排放标准柴油货车和采用稀薄燃烧技术的燃气货车淘汰。</w:t>
      </w:r>
      <w:r>
        <w:rPr>
          <w:rFonts w:eastAsia="仿宋_GB2312"/>
          <w:bCs/>
          <w:kern w:val="0"/>
          <w:sz w:val="28"/>
          <w:szCs w:val="28"/>
        </w:rPr>
        <w:t>加强油品质量的监督检查，严厉打击非法销售不合格油品的行为。建立柴油货车尾气监管平台，完成</w:t>
      </w:r>
      <w:r>
        <w:rPr>
          <w:rFonts w:hint="eastAsia" w:eastAsia="仿宋_GB2312"/>
          <w:bCs/>
          <w:kern w:val="0"/>
          <w:sz w:val="28"/>
          <w:szCs w:val="28"/>
        </w:rPr>
        <w:t>全县</w:t>
      </w:r>
      <w:r>
        <w:rPr>
          <w:rFonts w:eastAsia="仿宋_GB2312"/>
          <w:bCs/>
          <w:kern w:val="0"/>
          <w:sz w:val="28"/>
          <w:szCs w:val="28"/>
        </w:rPr>
        <w:t>非道路移动机械登记监管平台。</w:t>
      </w:r>
    </w:p>
    <w:p>
      <w:pPr>
        <w:pStyle w:val="11"/>
        <w:spacing w:before="0" w:after="0" w:line="600" w:lineRule="exact"/>
        <w:ind w:firstLine="562" w:firstLineChars="200"/>
        <w:rPr>
          <w:rFonts w:eastAsia="仿宋_GB2312"/>
          <w:sz w:val="28"/>
          <w:szCs w:val="28"/>
        </w:rPr>
      </w:pPr>
      <w:bookmarkStart w:id="382" w:name="_Toc23032"/>
      <w:bookmarkStart w:id="383" w:name="_Toc13943"/>
      <w:bookmarkStart w:id="384" w:name="_Toc844"/>
      <w:bookmarkStart w:id="385" w:name="_Toc12949"/>
      <w:r>
        <w:rPr>
          <w:rFonts w:eastAsia="仿宋_GB2312"/>
          <w:sz w:val="28"/>
          <w:szCs w:val="28"/>
        </w:rPr>
        <w:t xml:space="preserve">5. </w:t>
      </w:r>
      <w:bookmarkEnd w:id="378"/>
      <w:bookmarkEnd w:id="379"/>
      <w:r>
        <w:rPr>
          <w:rFonts w:hint="eastAsia" w:eastAsia="仿宋_GB2312"/>
          <w:sz w:val="28"/>
          <w:szCs w:val="28"/>
        </w:rPr>
        <w:t>强化资源集约利用</w:t>
      </w:r>
      <w:bookmarkEnd w:id="382"/>
      <w:bookmarkEnd w:id="383"/>
      <w:bookmarkEnd w:id="384"/>
      <w:bookmarkEnd w:id="385"/>
    </w:p>
    <w:p>
      <w:pPr>
        <w:spacing w:line="600" w:lineRule="exact"/>
        <w:ind w:firstLine="560" w:firstLineChars="200"/>
        <w:rPr>
          <w:rFonts w:eastAsia="仿宋_GB2312"/>
          <w:bCs/>
          <w:kern w:val="0"/>
          <w:sz w:val="28"/>
          <w:szCs w:val="28"/>
        </w:rPr>
      </w:pPr>
      <w:r>
        <w:rPr>
          <w:rFonts w:hint="eastAsia" w:eastAsia="仿宋_GB2312"/>
          <w:sz w:val="28"/>
          <w:szCs w:val="28"/>
        </w:rPr>
        <w:t>鼓励采用</w:t>
      </w:r>
      <w:r>
        <w:rPr>
          <w:rFonts w:eastAsia="仿宋_GB2312"/>
          <w:sz w:val="28"/>
          <w:szCs w:val="28"/>
        </w:rPr>
        <w:t>工业固废减量化的生产工艺和设备，从源头上减少工业固废排放量。加强生产、收集、运输、存放、处置等各环节全过程监控，促进工业固体废物和危险废物按规范利用和处置。</w:t>
      </w:r>
      <w:r>
        <w:rPr>
          <w:rFonts w:hint="eastAsia" w:eastAsia="仿宋_GB2312"/>
          <w:sz w:val="28"/>
          <w:szCs w:val="28"/>
        </w:rPr>
        <w:t>拓宽工业固废综合利用渠道，扩大在生态修复、绿色建材、交通工程等领域的利用规模，推广以粉煤灰、煤矸石等工业固废为原料的新型墙体材料、装饰装修材料。加强农业面源污染综合治理，</w:t>
      </w:r>
      <w:r>
        <w:rPr>
          <w:rFonts w:eastAsia="仿宋_GB2312"/>
          <w:bCs/>
          <w:kern w:val="0"/>
          <w:sz w:val="28"/>
          <w:szCs w:val="28"/>
        </w:rPr>
        <w:t>支持畜</w:t>
      </w:r>
      <w:r>
        <w:rPr>
          <w:rFonts w:hint="eastAsia" w:eastAsia="仿宋_GB2312"/>
          <w:bCs/>
          <w:kern w:val="0"/>
          <w:sz w:val="28"/>
          <w:szCs w:val="28"/>
        </w:rPr>
        <w:t>禽规模养殖场设施改造，推广粪污全量收集还田、污水肥料化等资源化利用模式；加强农作物秸秆等农业废弃物饲料化、肥料化、资源化等“五化”利用；建立农药包装废弃物有偿分类回收试点，引导农药生产者、经营者开展农药包装废弃物回收、贮存、运输、处置工作；</w:t>
      </w:r>
      <w:r>
        <w:rPr>
          <w:rFonts w:eastAsia="仿宋_GB2312"/>
          <w:sz w:val="28"/>
          <w:szCs w:val="28"/>
        </w:rPr>
        <w:t>引导农民科学使用农用薄膜，鼓励回收农膜，设立“以旧换新”兑换点，对农户实行“交旧领新”的兑换补贴制度，提高农民群众参与废旧农膜回收的积极性</w:t>
      </w:r>
      <w:r>
        <w:rPr>
          <w:rFonts w:hint="eastAsia" w:eastAsia="仿宋_GB2312"/>
          <w:sz w:val="28"/>
          <w:szCs w:val="28"/>
        </w:rPr>
        <w:t>。约利用土地资源，强化建设用地总量管控，严格控制县域建设用地总量和开发强度上限，落实耕地占补平衡。</w:t>
      </w:r>
      <w:r>
        <w:rPr>
          <w:rFonts w:hint="eastAsia" w:eastAsia="仿宋_GB2312"/>
          <w:bCs/>
          <w:kern w:val="0"/>
          <w:sz w:val="28"/>
          <w:szCs w:val="28"/>
        </w:rPr>
        <w:t>强化水资源消耗总量和强度双控管理目标，根据国家鼓励和淘汰的用水技术、工艺、产品和设备目录完善高耗水行业取用水定额标准，开展节水诊断、水平衡测试、用水效率评估严格用水定额管理，制定相应的工业水循环利用规划。全面推行静乐县节水型社会建设，开展节水型社会达标建设重点工程项目建设。推进静乐现代农业产业示范区等产业园区中水设施建设，减少尾水排放，节水减污，力争产业园区废污水实现</w:t>
      </w:r>
      <w:r>
        <w:rPr>
          <w:rFonts w:eastAsia="仿宋_GB2312"/>
          <w:bCs/>
          <w:kern w:val="0"/>
          <w:sz w:val="28"/>
          <w:szCs w:val="28"/>
        </w:rPr>
        <w:t>“</w:t>
      </w:r>
      <w:r>
        <w:rPr>
          <w:rFonts w:hint="eastAsia" w:eastAsia="仿宋_GB2312"/>
          <w:bCs/>
          <w:kern w:val="0"/>
          <w:sz w:val="28"/>
          <w:szCs w:val="28"/>
        </w:rPr>
        <w:t>近零排放</w:t>
      </w:r>
      <w:r>
        <w:rPr>
          <w:rFonts w:eastAsia="仿宋_GB2312"/>
          <w:bCs/>
          <w:kern w:val="0"/>
          <w:sz w:val="28"/>
          <w:szCs w:val="28"/>
        </w:rPr>
        <w:t>”</w:t>
      </w:r>
      <w:r>
        <w:rPr>
          <w:rFonts w:hint="eastAsia" w:eastAsia="仿宋_GB2312"/>
          <w:bCs/>
          <w:kern w:val="0"/>
          <w:sz w:val="28"/>
          <w:szCs w:val="28"/>
        </w:rPr>
        <w:t>。</w:t>
      </w:r>
    </w:p>
    <w:p>
      <w:pPr>
        <w:pStyle w:val="11"/>
        <w:numPr>
          <w:ilvl w:val="0"/>
          <w:numId w:val="2"/>
        </w:numPr>
        <w:spacing w:before="0" w:after="0" w:line="600" w:lineRule="exact"/>
        <w:ind w:firstLine="562" w:firstLineChars="200"/>
        <w:rPr>
          <w:rFonts w:eastAsia="仿宋_GB2312"/>
          <w:sz w:val="28"/>
          <w:szCs w:val="28"/>
        </w:rPr>
      </w:pPr>
      <w:r>
        <w:rPr>
          <w:rFonts w:hint="eastAsia" w:eastAsia="仿宋_GB2312"/>
          <w:sz w:val="28"/>
          <w:szCs w:val="28"/>
        </w:rPr>
        <w:t xml:space="preserve"> </w:t>
      </w:r>
      <w:bookmarkStart w:id="386" w:name="_Toc23221"/>
      <w:bookmarkStart w:id="387" w:name="_Toc15817"/>
      <w:bookmarkStart w:id="388" w:name="_Toc20172"/>
      <w:bookmarkStart w:id="389" w:name="_Toc23104"/>
      <w:r>
        <w:rPr>
          <w:rFonts w:eastAsia="仿宋_GB2312"/>
          <w:sz w:val="28"/>
          <w:szCs w:val="28"/>
        </w:rPr>
        <w:t>加快开发区</w:t>
      </w:r>
      <w:r>
        <w:rPr>
          <w:rFonts w:hint="eastAsia" w:eastAsia="仿宋_GB2312"/>
          <w:sz w:val="28"/>
          <w:szCs w:val="28"/>
        </w:rPr>
        <w:t>循环化改造</w:t>
      </w:r>
      <w:bookmarkEnd w:id="386"/>
      <w:bookmarkEnd w:id="387"/>
      <w:bookmarkEnd w:id="388"/>
      <w:bookmarkEnd w:id="389"/>
    </w:p>
    <w:p>
      <w:pPr>
        <w:spacing w:line="600" w:lineRule="exact"/>
        <w:ind w:firstLine="560" w:firstLineChars="200"/>
        <w:rPr>
          <w:rFonts w:eastAsia="仿宋_GB2312"/>
          <w:kern w:val="0"/>
          <w:sz w:val="28"/>
          <w:szCs w:val="28"/>
        </w:rPr>
      </w:pPr>
      <w:bookmarkStart w:id="390" w:name="_Toc20322"/>
      <w:bookmarkStart w:id="391" w:name="_Toc32521"/>
      <w:bookmarkStart w:id="392" w:name="_Toc19974"/>
      <w:bookmarkStart w:id="393" w:name="_Toc27873"/>
      <w:bookmarkStart w:id="394" w:name="_Toc97293501"/>
      <w:bookmarkStart w:id="395" w:name="_Toc3790"/>
      <w:bookmarkStart w:id="396" w:name="_Toc13787"/>
      <w:r>
        <w:rPr>
          <w:rFonts w:hint="eastAsia" w:eastAsia="仿宋_GB2312"/>
          <w:kern w:val="0"/>
          <w:sz w:val="28"/>
          <w:szCs w:val="28"/>
        </w:rPr>
        <w:t>按照</w:t>
      </w:r>
      <w:r>
        <w:rPr>
          <w:rFonts w:eastAsia="仿宋_GB2312"/>
          <w:kern w:val="0"/>
          <w:sz w:val="28"/>
          <w:szCs w:val="28"/>
        </w:rPr>
        <w:t>“土地集约化经营、产业集群式发展、资源循环式利用”</w:t>
      </w:r>
      <w:r>
        <w:rPr>
          <w:rFonts w:hint="eastAsia" w:eastAsia="仿宋_GB2312"/>
          <w:kern w:val="0"/>
          <w:sz w:val="28"/>
          <w:szCs w:val="28"/>
        </w:rPr>
        <w:t>原则，</w:t>
      </w:r>
      <w:r>
        <w:rPr>
          <w:rFonts w:eastAsia="仿宋_GB2312"/>
          <w:kern w:val="0"/>
          <w:sz w:val="28"/>
          <w:szCs w:val="28"/>
        </w:rPr>
        <w:t>在静乐现代农业产业示范区探索</w:t>
      </w:r>
      <w:r>
        <w:rPr>
          <w:rFonts w:hint="eastAsia" w:eastAsia="仿宋_GB2312"/>
          <w:kern w:val="0"/>
          <w:sz w:val="28"/>
          <w:szCs w:val="28"/>
        </w:rPr>
        <w:t>建立现代生态循环农业发展</w:t>
      </w:r>
      <w:r>
        <w:rPr>
          <w:rFonts w:eastAsia="仿宋_GB2312"/>
          <w:kern w:val="0"/>
          <w:sz w:val="28"/>
          <w:szCs w:val="28"/>
        </w:rPr>
        <w:t>模式，</w:t>
      </w:r>
      <w:r>
        <w:rPr>
          <w:rFonts w:hint="eastAsia" w:eastAsia="仿宋_GB2312"/>
          <w:kern w:val="0"/>
          <w:sz w:val="28"/>
          <w:szCs w:val="28"/>
        </w:rPr>
        <w:t>以种植业减量化利用、畜禽养殖废弃物循环利用、秸秆高值利用、养殖污染减排、农田残膜回收利用、工业废水处理等为重点，扶持和引导以市场化运作为主的生态循环农业建设。</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397" w:name="_Toc10560"/>
      <w:bookmarkStart w:id="398" w:name="_Toc23838"/>
      <w:bookmarkStart w:id="399" w:name="_Toc5103"/>
      <w:bookmarkStart w:id="400" w:name="_Toc3608"/>
      <w:bookmarkStart w:id="401" w:name="_Toc2078"/>
      <w:r>
        <w:rPr>
          <w:rFonts w:ascii="Times New Roman" w:hAnsi="Times New Roman" w:eastAsia="楷体_GB2312"/>
          <w:kern w:val="0"/>
          <w:sz w:val="30"/>
          <w:szCs w:val="30"/>
        </w:rPr>
        <w:t>（五）生态生活体系建设</w:t>
      </w:r>
      <w:bookmarkEnd w:id="380"/>
      <w:bookmarkEnd w:id="381"/>
      <w:bookmarkEnd w:id="390"/>
      <w:bookmarkEnd w:id="391"/>
      <w:bookmarkEnd w:id="392"/>
      <w:bookmarkEnd w:id="393"/>
      <w:bookmarkEnd w:id="394"/>
      <w:bookmarkEnd w:id="395"/>
      <w:bookmarkEnd w:id="396"/>
      <w:bookmarkEnd w:id="397"/>
      <w:bookmarkEnd w:id="398"/>
      <w:bookmarkEnd w:id="399"/>
      <w:bookmarkEnd w:id="400"/>
      <w:bookmarkEnd w:id="401"/>
    </w:p>
    <w:p>
      <w:pPr>
        <w:pStyle w:val="11"/>
        <w:spacing w:before="0" w:after="0" w:line="600" w:lineRule="exact"/>
        <w:ind w:firstLine="562" w:firstLineChars="200"/>
        <w:rPr>
          <w:rFonts w:eastAsia="仿宋_GB2312"/>
          <w:sz w:val="28"/>
          <w:szCs w:val="28"/>
        </w:rPr>
      </w:pPr>
      <w:bookmarkStart w:id="402" w:name="_Toc96633645"/>
      <w:bookmarkStart w:id="403" w:name="_Toc8684"/>
      <w:bookmarkStart w:id="404" w:name="_Toc97293502"/>
      <w:bookmarkStart w:id="405" w:name="_Toc9422"/>
      <w:bookmarkStart w:id="406" w:name="_Toc26133"/>
      <w:bookmarkStart w:id="407" w:name="_Toc724"/>
      <w:bookmarkStart w:id="408" w:name="_Toc2299"/>
      <w:r>
        <w:rPr>
          <w:rFonts w:eastAsia="仿宋_GB2312"/>
          <w:sz w:val="28"/>
          <w:szCs w:val="28"/>
        </w:rPr>
        <w:t xml:space="preserve">1. </w:t>
      </w:r>
      <w:bookmarkEnd w:id="402"/>
      <w:bookmarkEnd w:id="403"/>
      <w:bookmarkEnd w:id="404"/>
      <w:r>
        <w:rPr>
          <w:rFonts w:eastAsia="仿宋_GB2312"/>
          <w:sz w:val="28"/>
          <w:szCs w:val="28"/>
        </w:rPr>
        <w:t>加强城乡环境一体化建设</w:t>
      </w:r>
      <w:bookmarkEnd w:id="405"/>
      <w:bookmarkEnd w:id="406"/>
      <w:bookmarkEnd w:id="407"/>
      <w:bookmarkEnd w:id="408"/>
    </w:p>
    <w:p>
      <w:pPr>
        <w:spacing w:line="600" w:lineRule="exact"/>
        <w:ind w:firstLine="560" w:firstLineChars="200"/>
        <w:rPr>
          <w:rFonts w:eastAsia="仿宋_GB2312"/>
          <w:sz w:val="28"/>
          <w:szCs w:val="28"/>
        </w:rPr>
      </w:pPr>
      <w:bookmarkStart w:id="409" w:name="_Toc97293503"/>
      <w:bookmarkStart w:id="410" w:name="_Toc7979"/>
      <w:r>
        <w:rPr>
          <w:rFonts w:eastAsia="仿宋_GB2312"/>
          <w:sz w:val="28"/>
          <w:szCs w:val="28"/>
        </w:rPr>
        <w:t>树立城乡一盘棋理念，突出以工促农、以城带乡，加快形成城乡发展一体化格局，完善全民覆盖、普惠共享、城乡一体的基本公共服务体系。加快基础设施建设及维护，提升义务教育、就业服务、社会保障、基本医疗和公共卫生、公共文化、环境保护等基本公共服务，打造城市15分钟生活圈和乡村30分钟生活圈。构建城乡基础设施一体化规划、建设、管护机制，推动城镇公共服务向农村延伸，加大公共资源向农村、社区和重点群体倾斜力度，把更多的人才、技术引向基层，解决基本公共服务重点领域和薄弱环节的困难问题，让城乡居民逐步享受到标准化、均等化的公共服务。</w:t>
      </w:r>
    </w:p>
    <w:p>
      <w:pPr>
        <w:pStyle w:val="11"/>
        <w:spacing w:before="0" w:after="0" w:line="600" w:lineRule="exact"/>
        <w:ind w:firstLine="562" w:firstLineChars="200"/>
        <w:rPr>
          <w:rFonts w:eastAsia="仿宋_GB2312"/>
          <w:sz w:val="28"/>
          <w:szCs w:val="28"/>
        </w:rPr>
      </w:pPr>
      <w:bookmarkStart w:id="411" w:name="_Toc8281"/>
      <w:bookmarkStart w:id="412" w:name="_Toc29002"/>
      <w:bookmarkStart w:id="413" w:name="_Toc27301"/>
      <w:bookmarkStart w:id="414" w:name="_Toc27889"/>
      <w:r>
        <w:rPr>
          <w:rFonts w:eastAsia="仿宋_GB2312"/>
          <w:sz w:val="28"/>
          <w:szCs w:val="28"/>
        </w:rPr>
        <w:t xml:space="preserve">2. </w:t>
      </w:r>
      <w:bookmarkEnd w:id="409"/>
      <w:bookmarkEnd w:id="410"/>
      <w:r>
        <w:rPr>
          <w:rFonts w:eastAsia="仿宋_GB2312"/>
          <w:sz w:val="28"/>
          <w:szCs w:val="28"/>
        </w:rPr>
        <w:t>推进生态城</w:t>
      </w:r>
      <w:r>
        <w:rPr>
          <w:rFonts w:hint="eastAsia" w:eastAsia="仿宋_GB2312"/>
          <w:sz w:val="28"/>
          <w:szCs w:val="28"/>
        </w:rPr>
        <w:t>区</w:t>
      </w:r>
      <w:r>
        <w:rPr>
          <w:rFonts w:eastAsia="仿宋_GB2312"/>
          <w:sz w:val="28"/>
          <w:szCs w:val="28"/>
        </w:rPr>
        <w:t>建设</w:t>
      </w:r>
      <w:bookmarkEnd w:id="411"/>
      <w:bookmarkEnd w:id="412"/>
      <w:bookmarkEnd w:id="413"/>
      <w:bookmarkEnd w:id="414"/>
    </w:p>
    <w:p>
      <w:pPr>
        <w:spacing w:line="600" w:lineRule="exact"/>
        <w:ind w:firstLine="560" w:firstLineChars="200"/>
        <w:rPr>
          <w:rFonts w:eastAsia="仿宋_GB2312"/>
          <w:sz w:val="28"/>
          <w:szCs w:val="28"/>
        </w:rPr>
      </w:pPr>
      <w:bookmarkStart w:id="415" w:name="_Toc96633646"/>
      <w:bookmarkStart w:id="416" w:name="_Toc32586"/>
      <w:bookmarkStart w:id="417" w:name="_Toc97293504"/>
      <w:r>
        <w:rPr>
          <w:rFonts w:eastAsia="仿宋_GB2312"/>
          <w:sz w:val="28"/>
          <w:szCs w:val="28"/>
        </w:rPr>
        <w:t>推进“四网覆盖”（路网、电网、水网、气网）工程</w:t>
      </w:r>
      <w:r>
        <w:rPr>
          <w:rFonts w:hint="eastAsia" w:eastAsia="仿宋_GB2312"/>
          <w:sz w:val="28"/>
          <w:szCs w:val="28"/>
        </w:rPr>
        <w:t>，</w:t>
      </w:r>
      <w:r>
        <w:rPr>
          <w:rFonts w:eastAsia="仿宋_GB2312"/>
          <w:sz w:val="28"/>
          <w:szCs w:val="28"/>
        </w:rPr>
        <w:t>进一步完善城镇基础设施。按照“三横一纵，贯穿全域”的发展策略，重点实施太佳高速静乐连接线（丰润</w:t>
      </w:r>
      <w:r>
        <w:rPr>
          <w:rFonts w:hint="eastAsia" w:eastAsia="仿宋_GB2312"/>
          <w:sz w:val="28"/>
          <w:szCs w:val="28"/>
        </w:rPr>
        <w:t>-</w:t>
      </w:r>
      <w:r>
        <w:rPr>
          <w:rFonts w:eastAsia="仿宋_GB2312"/>
          <w:sz w:val="28"/>
          <w:szCs w:val="28"/>
        </w:rPr>
        <w:t>县城）</w:t>
      </w:r>
      <w:r>
        <w:rPr>
          <w:rFonts w:hint="eastAsia" w:eastAsia="仿宋_GB2312"/>
          <w:sz w:val="28"/>
          <w:szCs w:val="28"/>
        </w:rPr>
        <w:t>工程、</w:t>
      </w:r>
      <w:r>
        <w:rPr>
          <w:rFonts w:eastAsia="仿宋_GB2312"/>
          <w:sz w:val="28"/>
          <w:szCs w:val="28"/>
        </w:rPr>
        <w:t>杜静线（杜家村</w:t>
      </w:r>
      <w:r>
        <w:rPr>
          <w:rFonts w:hint="eastAsia" w:eastAsia="仿宋_GB2312"/>
          <w:sz w:val="28"/>
          <w:szCs w:val="28"/>
        </w:rPr>
        <w:t>-</w:t>
      </w:r>
      <w:r>
        <w:rPr>
          <w:rFonts w:eastAsia="仿宋_GB2312"/>
          <w:sz w:val="28"/>
          <w:szCs w:val="28"/>
        </w:rPr>
        <w:t>县城）公路改造工程</w:t>
      </w:r>
      <w:r>
        <w:rPr>
          <w:rFonts w:hint="eastAsia" w:eastAsia="仿宋_GB2312"/>
          <w:sz w:val="28"/>
          <w:szCs w:val="28"/>
        </w:rPr>
        <w:t>、省道S313升级改造和维护管理工程等，强化静乐县与外界的运输能力。</w:t>
      </w:r>
      <w:r>
        <w:rPr>
          <w:rFonts w:eastAsia="仿宋_GB2312"/>
          <w:sz w:val="28"/>
          <w:szCs w:val="28"/>
        </w:rPr>
        <w:t>实施县城污水净化中心提升扩容改造，完善设施配套</w:t>
      </w:r>
      <w:r>
        <w:rPr>
          <w:rFonts w:hint="eastAsia" w:eastAsia="仿宋_GB2312"/>
          <w:sz w:val="28"/>
          <w:szCs w:val="28"/>
        </w:rPr>
        <w:t>，</w:t>
      </w:r>
      <w:r>
        <w:rPr>
          <w:rFonts w:eastAsia="仿宋_GB2312"/>
          <w:sz w:val="28"/>
          <w:szCs w:val="28"/>
        </w:rPr>
        <w:t>不断满足县城污水处理需求</w:t>
      </w:r>
      <w:r>
        <w:rPr>
          <w:rFonts w:hint="eastAsia" w:eastAsia="仿宋_GB2312"/>
          <w:sz w:val="28"/>
          <w:szCs w:val="28"/>
        </w:rPr>
        <w:t>。</w:t>
      </w:r>
      <w:r>
        <w:rPr>
          <w:rFonts w:eastAsia="仿宋_GB2312"/>
          <w:sz w:val="28"/>
          <w:szCs w:val="28"/>
        </w:rPr>
        <w:t>加大污水处理提质增效和雨污分流改造力度，提高污水管网覆盖率。加快天然气端口批复和并网入户工程，全力推进</w:t>
      </w:r>
      <w:r>
        <w:rPr>
          <w:rFonts w:hint="eastAsia" w:eastAsia="仿宋_GB2312"/>
          <w:sz w:val="28"/>
          <w:szCs w:val="28"/>
        </w:rPr>
        <w:t>城区</w:t>
      </w:r>
      <w:r>
        <w:rPr>
          <w:rFonts w:eastAsia="仿宋_GB2312"/>
          <w:sz w:val="28"/>
          <w:szCs w:val="28"/>
        </w:rPr>
        <w:t>电网建设，不断扩大“煤改气”“煤改电”覆盖面。</w:t>
      </w:r>
      <w:r>
        <w:rPr>
          <w:rFonts w:hint="eastAsia" w:eastAsia="仿宋_GB2312"/>
          <w:sz w:val="28"/>
          <w:szCs w:val="28"/>
        </w:rPr>
        <w:t>依托静乐县城三山两河生态基础，</w:t>
      </w:r>
      <w:r>
        <w:rPr>
          <w:rFonts w:eastAsia="仿宋_GB2312"/>
          <w:sz w:val="28"/>
          <w:szCs w:val="28"/>
        </w:rPr>
        <w:t>打造绿带通风廊道、滨河空间、湿地公园。推进</w:t>
      </w:r>
      <w:r>
        <w:rPr>
          <w:rFonts w:hint="eastAsia" w:eastAsia="仿宋_GB2312"/>
          <w:sz w:val="28"/>
          <w:szCs w:val="28"/>
        </w:rPr>
        <w:t>城区</w:t>
      </w:r>
      <w:r>
        <w:rPr>
          <w:rFonts w:eastAsia="仿宋_GB2312"/>
          <w:sz w:val="28"/>
          <w:szCs w:val="28"/>
        </w:rPr>
        <w:t>绿道、蓝道、环城生态休闲区建设，规划建设一批小游园、“口袋公园”、小型绿地，建设美丽宜居公园城市。</w:t>
      </w:r>
    </w:p>
    <w:p>
      <w:pPr>
        <w:pStyle w:val="11"/>
        <w:spacing w:before="0" w:after="0" w:line="600" w:lineRule="exact"/>
        <w:ind w:firstLine="562" w:firstLineChars="200"/>
        <w:rPr>
          <w:rFonts w:eastAsia="仿宋_GB2312"/>
          <w:sz w:val="28"/>
          <w:szCs w:val="28"/>
        </w:rPr>
      </w:pPr>
      <w:bookmarkStart w:id="418" w:name="_Toc28344"/>
      <w:bookmarkStart w:id="419" w:name="_Toc12181"/>
      <w:bookmarkStart w:id="420" w:name="_Toc10828"/>
      <w:bookmarkStart w:id="421" w:name="_Toc23109"/>
      <w:r>
        <w:rPr>
          <w:rFonts w:eastAsia="仿宋_GB2312"/>
          <w:sz w:val="28"/>
          <w:szCs w:val="28"/>
        </w:rPr>
        <w:t xml:space="preserve">3. </w:t>
      </w:r>
      <w:bookmarkEnd w:id="415"/>
      <w:bookmarkEnd w:id="416"/>
      <w:bookmarkEnd w:id="417"/>
      <w:r>
        <w:rPr>
          <w:rFonts w:eastAsia="仿宋_GB2312"/>
          <w:sz w:val="28"/>
          <w:szCs w:val="28"/>
        </w:rPr>
        <w:t>建设美丽乡村</w:t>
      </w:r>
      <w:bookmarkEnd w:id="418"/>
      <w:bookmarkEnd w:id="419"/>
      <w:bookmarkEnd w:id="420"/>
      <w:bookmarkEnd w:id="421"/>
    </w:p>
    <w:p>
      <w:pPr>
        <w:spacing w:line="600" w:lineRule="exact"/>
        <w:ind w:firstLine="560" w:firstLineChars="200"/>
        <w:rPr>
          <w:rFonts w:eastAsia="仿宋_GB2312"/>
          <w:sz w:val="28"/>
          <w:szCs w:val="28"/>
        </w:rPr>
      </w:pPr>
      <w:bookmarkStart w:id="422" w:name="_Toc20294"/>
      <w:bookmarkStart w:id="423" w:name="_Toc97293505"/>
      <w:bookmarkStart w:id="424" w:name="_Toc96633647"/>
      <w:r>
        <w:rPr>
          <w:rFonts w:eastAsia="仿宋_GB2312"/>
          <w:sz w:val="28"/>
          <w:szCs w:val="28"/>
        </w:rPr>
        <w:t>全面推进“四好”农村路建设，推进农村饮水安全巩固工程，全面实施乡村电气化提升工程，构建乡村物流基础设施体系，全面完成退出村卫生室建设、农村危房改造、宽带网络建设任务。大力实施贫困村整村提升和村容村貌改善工程，持续推进“百村示范、千村整治”行动。加快推进农村生活垃圾治理、生活污水治理、农村厕所革命、村容村貌提升等专项行动，提升</w:t>
      </w:r>
      <w:r>
        <w:rPr>
          <w:rFonts w:hint="eastAsia" w:eastAsia="仿宋_GB2312"/>
          <w:sz w:val="28"/>
          <w:szCs w:val="28"/>
        </w:rPr>
        <w:t>农村</w:t>
      </w:r>
      <w:r>
        <w:rPr>
          <w:rFonts w:eastAsia="仿宋_GB2312"/>
          <w:sz w:val="28"/>
          <w:szCs w:val="28"/>
        </w:rPr>
        <w:t>人居环境。扎实推进农村人居环境“六乱”整治，锁定交通沿线、村庄街巷、农户庭院、田间地头“四个战场”，综合运用拆、清、整、绿、建“五大举措”，营造干净、整洁、舒适的宜居环境。持续开展美丽乡村</w:t>
      </w:r>
      <w:r>
        <w:rPr>
          <w:rFonts w:hint="eastAsia" w:eastAsia="仿宋_GB2312"/>
          <w:sz w:val="28"/>
          <w:szCs w:val="28"/>
        </w:rPr>
        <w:t>、</w:t>
      </w:r>
      <w:r>
        <w:rPr>
          <w:rFonts w:eastAsia="仿宋_GB2312"/>
          <w:sz w:val="28"/>
          <w:szCs w:val="28"/>
        </w:rPr>
        <w:t>文明家庭等创建，提升群众的获得感、幸福感。</w:t>
      </w:r>
    </w:p>
    <w:p>
      <w:pPr>
        <w:pStyle w:val="11"/>
        <w:spacing w:before="0" w:after="0" w:line="600" w:lineRule="exact"/>
        <w:ind w:firstLine="562" w:firstLineChars="200"/>
        <w:rPr>
          <w:rFonts w:eastAsia="仿宋_GB2312"/>
          <w:sz w:val="28"/>
          <w:szCs w:val="28"/>
        </w:rPr>
      </w:pPr>
      <w:bookmarkStart w:id="425" w:name="_Toc16725"/>
      <w:bookmarkStart w:id="426" w:name="_Toc18434"/>
      <w:bookmarkStart w:id="427" w:name="_Toc27963"/>
      <w:bookmarkStart w:id="428" w:name="_Toc8154"/>
      <w:r>
        <w:rPr>
          <w:rFonts w:eastAsia="仿宋_GB2312"/>
          <w:sz w:val="28"/>
          <w:szCs w:val="28"/>
        </w:rPr>
        <w:t>4. 培育生态生活方式</w:t>
      </w:r>
      <w:bookmarkEnd w:id="422"/>
      <w:bookmarkEnd w:id="423"/>
      <w:bookmarkEnd w:id="424"/>
      <w:bookmarkEnd w:id="425"/>
      <w:bookmarkEnd w:id="426"/>
      <w:bookmarkEnd w:id="427"/>
      <w:bookmarkEnd w:id="428"/>
    </w:p>
    <w:p>
      <w:pPr>
        <w:spacing w:line="600" w:lineRule="exact"/>
        <w:ind w:firstLine="560" w:firstLineChars="200"/>
        <w:rPr>
          <w:rFonts w:eastAsia="仿宋_GB2312"/>
          <w:sz w:val="28"/>
          <w:szCs w:val="28"/>
        </w:rPr>
      </w:pPr>
      <w:bookmarkStart w:id="429" w:name="_Toc12687"/>
      <w:bookmarkStart w:id="430" w:name="_Toc28060"/>
      <w:bookmarkStart w:id="431" w:name="_Toc97293506"/>
      <w:bookmarkStart w:id="432" w:name="_Toc6197"/>
      <w:bookmarkStart w:id="433" w:name="_Toc96633648"/>
      <w:bookmarkStart w:id="434" w:name="_Toc92877708"/>
      <w:bookmarkStart w:id="435" w:name="_Toc26233"/>
      <w:bookmarkStart w:id="436" w:name="_Toc30349"/>
      <w:bookmarkStart w:id="437" w:name="_Toc16717"/>
      <w:r>
        <w:rPr>
          <w:rFonts w:hint="eastAsia" w:ascii="仿宋_GB2312" w:hAnsi="仿宋_GB2312" w:eastAsia="仿宋_GB2312" w:cs="仿宋_GB2312"/>
          <w:sz w:val="28"/>
          <w:szCs w:val="28"/>
        </w:rPr>
        <w:t>推行绿色出行，完善城市交通系统，引导公众出行优先选择公共交通、步行和自行车等绿色方式，提高绿色出行比例。倡导绿色消费，</w:t>
      </w:r>
      <w:r>
        <w:rPr>
          <w:rFonts w:eastAsia="仿宋_GB2312"/>
          <w:sz w:val="28"/>
          <w:szCs w:val="28"/>
        </w:rPr>
        <w:t>鼓励城乡居民使用节能低碳产品</w:t>
      </w:r>
      <w:r>
        <w:rPr>
          <w:rFonts w:hint="eastAsia" w:eastAsia="仿宋_GB2312"/>
          <w:sz w:val="28"/>
          <w:szCs w:val="28"/>
        </w:rPr>
        <w:t>，</w:t>
      </w:r>
      <w:r>
        <w:rPr>
          <w:rFonts w:hint="eastAsia" w:ascii="仿宋_GB2312" w:hAnsi="仿宋_GB2312" w:eastAsia="仿宋_GB2312" w:cs="仿宋_GB2312"/>
          <w:sz w:val="28"/>
          <w:szCs w:val="28"/>
        </w:rPr>
        <w:t>限制和禁止使用一次性产品</w:t>
      </w:r>
      <w:r>
        <w:rPr>
          <w:rFonts w:hint="eastAsia" w:eastAsia="仿宋_GB2312"/>
          <w:sz w:val="28"/>
          <w:szCs w:val="28"/>
        </w:rPr>
        <w:t>，坚决制止餐饮浪费行为，积极践行“光盘行动”。完善新建绿色建筑年度台账，城镇辖区内新建公共建筑执行绿色建筑标准，实施既有公共建筑节能改造工程</w:t>
      </w:r>
      <w:r>
        <w:rPr>
          <w:rFonts w:eastAsia="仿宋_GB2312"/>
          <w:sz w:val="28"/>
          <w:szCs w:val="28"/>
        </w:rPr>
        <w:t>。</w:t>
      </w:r>
      <w:r>
        <w:rPr>
          <w:rFonts w:hint="eastAsia" w:ascii="仿宋_GB2312" w:hAnsi="仿宋_GB2312" w:eastAsia="仿宋_GB2312" w:cs="仿宋_GB2312"/>
          <w:sz w:val="28"/>
          <w:szCs w:val="28"/>
        </w:rPr>
        <w:t>积极组织开展节约型机关、绿色家庭、绿色学校、绿色社区、绿色出行、绿色商场等创建活动。</w:t>
      </w:r>
      <w:r>
        <w:rPr>
          <w:rFonts w:hint="eastAsia" w:eastAsia="仿宋_GB2312"/>
          <w:sz w:val="28"/>
          <w:szCs w:val="28"/>
        </w:rPr>
        <w:t>推进生活垃圾分类处置，促进垃圾减量与资源化利用。</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438" w:name="_Toc5188"/>
      <w:bookmarkStart w:id="439" w:name="_Toc27304"/>
      <w:bookmarkStart w:id="440" w:name="_Toc6565"/>
      <w:bookmarkStart w:id="441" w:name="_Toc28413"/>
      <w:bookmarkStart w:id="442" w:name="_Toc27687"/>
      <w:r>
        <w:rPr>
          <w:rFonts w:ascii="Times New Roman" w:hAnsi="Times New Roman" w:eastAsia="楷体_GB2312"/>
          <w:kern w:val="0"/>
          <w:sz w:val="30"/>
          <w:szCs w:val="30"/>
        </w:rPr>
        <w:t>（六）生态文化体系建设</w:t>
      </w:r>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p>
    <w:p>
      <w:pPr>
        <w:pStyle w:val="11"/>
        <w:spacing w:before="0" w:after="0" w:line="600" w:lineRule="exact"/>
        <w:ind w:firstLine="562" w:firstLineChars="200"/>
        <w:rPr>
          <w:rFonts w:eastAsia="仿宋_GB2312"/>
          <w:sz w:val="28"/>
          <w:szCs w:val="28"/>
        </w:rPr>
      </w:pPr>
      <w:bookmarkStart w:id="443" w:name="_Toc3271"/>
      <w:bookmarkStart w:id="444" w:name="_Toc17115"/>
      <w:bookmarkStart w:id="445" w:name="_Toc8731"/>
      <w:bookmarkStart w:id="446" w:name="_Toc12335"/>
      <w:bookmarkStart w:id="447" w:name="_Toc24057"/>
      <w:bookmarkStart w:id="448" w:name="_Toc96633649"/>
      <w:r>
        <w:rPr>
          <w:rFonts w:eastAsia="仿宋_GB2312"/>
          <w:sz w:val="28"/>
          <w:szCs w:val="28"/>
        </w:rPr>
        <w:t>1. 加强生态文化载体建设</w:t>
      </w:r>
      <w:bookmarkEnd w:id="443"/>
      <w:bookmarkEnd w:id="444"/>
      <w:bookmarkEnd w:id="445"/>
      <w:bookmarkEnd w:id="446"/>
      <w:bookmarkEnd w:id="447"/>
    </w:p>
    <w:p>
      <w:pPr>
        <w:spacing w:line="600" w:lineRule="exact"/>
        <w:ind w:firstLine="560" w:firstLineChars="200"/>
        <w:rPr>
          <w:rFonts w:eastAsia="仿宋_GB2312"/>
          <w:sz w:val="28"/>
          <w:szCs w:val="28"/>
        </w:rPr>
      </w:pPr>
      <w:bookmarkStart w:id="449" w:name="_Toc24950"/>
      <w:r>
        <w:rPr>
          <w:rFonts w:eastAsia="仿宋_GB2312"/>
          <w:sz w:val="28"/>
          <w:szCs w:val="28"/>
        </w:rPr>
        <w:t>深入挖掘</w:t>
      </w:r>
      <w:r>
        <w:rPr>
          <w:rFonts w:hint="eastAsia" w:eastAsia="仿宋_GB2312"/>
          <w:sz w:val="28"/>
          <w:szCs w:val="28"/>
        </w:rPr>
        <w:t>静乐县传统</w:t>
      </w:r>
      <w:r>
        <w:rPr>
          <w:rFonts w:eastAsia="仿宋_GB2312"/>
          <w:sz w:val="28"/>
          <w:szCs w:val="28"/>
        </w:rPr>
        <w:t>文化内涵，拓展和丰富</w:t>
      </w:r>
      <w:r>
        <w:rPr>
          <w:rFonts w:hint="eastAsia" w:eastAsia="仿宋_GB2312"/>
          <w:sz w:val="28"/>
          <w:szCs w:val="28"/>
        </w:rPr>
        <w:t>传统</w:t>
      </w:r>
      <w:r>
        <w:rPr>
          <w:rFonts w:eastAsia="仿宋_GB2312"/>
          <w:sz w:val="28"/>
          <w:szCs w:val="28"/>
        </w:rPr>
        <w:t>文化保护内容，构建涵盖</w:t>
      </w:r>
      <w:r>
        <w:rPr>
          <w:rFonts w:hint="eastAsia" w:eastAsia="仿宋_GB2312"/>
          <w:sz w:val="28"/>
          <w:szCs w:val="28"/>
        </w:rPr>
        <w:t>文物古迹</w:t>
      </w:r>
      <w:r>
        <w:rPr>
          <w:rFonts w:eastAsia="仿宋_GB2312"/>
          <w:sz w:val="28"/>
          <w:szCs w:val="28"/>
        </w:rPr>
        <w:t>、传统村落、</w:t>
      </w:r>
      <w:r>
        <w:rPr>
          <w:rFonts w:hint="eastAsia" w:eastAsia="仿宋_GB2312"/>
          <w:sz w:val="28"/>
          <w:szCs w:val="28"/>
        </w:rPr>
        <w:t>民间风俗</w:t>
      </w:r>
      <w:r>
        <w:rPr>
          <w:rFonts w:eastAsia="仿宋_GB2312"/>
          <w:sz w:val="28"/>
          <w:szCs w:val="28"/>
        </w:rPr>
        <w:t>、革命遗址等方面的</w:t>
      </w:r>
      <w:r>
        <w:rPr>
          <w:rFonts w:hint="eastAsia" w:eastAsia="仿宋_GB2312"/>
          <w:sz w:val="28"/>
          <w:szCs w:val="28"/>
        </w:rPr>
        <w:t>静乐传统文化</w:t>
      </w:r>
      <w:r>
        <w:rPr>
          <w:rFonts w:eastAsia="仿宋_GB2312"/>
          <w:sz w:val="28"/>
          <w:szCs w:val="28"/>
        </w:rPr>
        <w:t>保护体系</w:t>
      </w:r>
      <w:r>
        <w:rPr>
          <w:rFonts w:hint="eastAsia" w:eastAsia="仿宋_GB2312"/>
          <w:sz w:val="28"/>
          <w:szCs w:val="28"/>
        </w:rPr>
        <w:t>。</w:t>
      </w:r>
      <w:r>
        <w:rPr>
          <w:rFonts w:eastAsia="仿宋_GB2312"/>
          <w:sz w:val="28"/>
          <w:szCs w:val="28"/>
        </w:rPr>
        <w:t>发展</w:t>
      </w:r>
      <w:r>
        <w:rPr>
          <w:rFonts w:hint="eastAsia" w:eastAsia="仿宋_GB2312"/>
          <w:sz w:val="28"/>
          <w:szCs w:val="28"/>
        </w:rPr>
        <w:t>静乐县</w:t>
      </w:r>
      <w:r>
        <w:rPr>
          <w:rFonts w:eastAsia="仿宋_GB2312"/>
          <w:sz w:val="28"/>
          <w:szCs w:val="28"/>
        </w:rPr>
        <w:t>特有的</w:t>
      </w:r>
      <w:r>
        <w:rPr>
          <w:rFonts w:hint="eastAsia" w:eastAsia="仿宋_GB2312"/>
          <w:sz w:val="28"/>
          <w:szCs w:val="28"/>
        </w:rPr>
        <w:t>民俗</w:t>
      </w:r>
      <w:r>
        <w:rPr>
          <w:rFonts w:eastAsia="仿宋_GB2312"/>
          <w:sz w:val="28"/>
          <w:szCs w:val="28"/>
        </w:rPr>
        <w:t>文化资源，</w:t>
      </w:r>
      <w:r>
        <w:rPr>
          <w:rFonts w:hint="eastAsia" w:eastAsia="仿宋_GB2312"/>
          <w:sz w:val="28"/>
          <w:szCs w:val="28"/>
        </w:rPr>
        <w:t>弘扬静乐剪纸、刺绣、古琴等传统技艺，</w:t>
      </w:r>
      <w:r>
        <w:rPr>
          <w:rFonts w:eastAsia="仿宋_GB2312"/>
          <w:sz w:val="28"/>
          <w:szCs w:val="28"/>
        </w:rPr>
        <w:t>丰富区域人文内涵。</w:t>
      </w:r>
      <w:r>
        <w:rPr>
          <w:rFonts w:hint="eastAsia" w:eastAsia="仿宋_GB2312"/>
          <w:sz w:val="28"/>
          <w:szCs w:val="28"/>
        </w:rPr>
        <w:t>以汾河生态旅游为载体，以农耕文化为内涵，在汾河沿线打造乡村旅游业态集群，形成以“假日经济、庭院经济和后备厢经济”为依托的文化旅游品牌。</w:t>
      </w:r>
      <w:r>
        <w:rPr>
          <w:rFonts w:hint="eastAsia" w:eastAsia="仿宋_GB2312"/>
          <w:bCs/>
          <w:sz w:val="28"/>
          <w:szCs w:val="28"/>
        </w:rPr>
        <w:t>精心打造风神山旧石器时代遗址、赵王古城、岑山书院以及汾河历史文化、红色革命文化等精品旅游线路，塑造“游山西就是读历史”的静乐品牌。</w:t>
      </w:r>
      <w:r>
        <w:rPr>
          <w:rFonts w:hint="eastAsia" w:eastAsia="仿宋_GB2312"/>
          <w:sz w:val="28"/>
          <w:szCs w:val="28"/>
        </w:rPr>
        <w:t>加强龙家庄村等传统古村落与民居、文物保护单位、优秀历史建筑等文化遗产信息库建设，</w:t>
      </w:r>
      <w:r>
        <w:rPr>
          <w:rFonts w:eastAsia="仿宋_GB2312"/>
          <w:bCs/>
          <w:sz w:val="28"/>
          <w:szCs w:val="28"/>
        </w:rPr>
        <w:t>完善各文化景区的基础设施建设</w:t>
      </w:r>
      <w:r>
        <w:rPr>
          <w:rFonts w:hint="eastAsia" w:eastAsia="仿宋_GB2312"/>
          <w:bCs/>
          <w:sz w:val="28"/>
          <w:szCs w:val="28"/>
        </w:rPr>
        <w:t>。</w:t>
      </w:r>
    </w:p>
    <w:p>
      <w:pPr>
        <w:pStyle w:val="11"/>
        <w:spacing w:before="0" w:after="0" w:line="600" w:lineRule="exact"/>
        <w:ind w:firstLine="562" w:firstLineChars="200"/>
        <w:rPr>
          <w:rFonts w:eastAsia="仿宋_GB2312"/>
          <w:sz w:val="28"/>
          <w:szCs w:val="28"/>
        </w:rPr>
      </w:pPr>
      <w:bookmarkStart w:id="450" w:name="_Toc22893"/>
      <w:bookmarkStart w:id="451" w:name="_Toc14691"/>
      <w:bookmarkStart w:id="452" w:name="_Toc10386"/>
      <w:bookmarkStart w:id="453" w:name="_Toc26314"/>
      <w:r>
        <w:rPr>
          <w:rFonts w:eastAsia="仿宋_GB2312"/>
          <w:sz w:val="28"/>
          <w:szCs w:val="28"/>
        </w:rPr>
        <w:t xml:space="preserve">2. </w:t>
      </w:r>
      <w:bookmarkEnd w:id="449"/>
      <w:r>
        <w:rPr>
          <w:rFonts w:eastAsia="仿宋_GB2312"/>
          <w:sz w:val="28"/>
          <w:szCs w:val="28"/>
        </w:rPr>
        <w:t>推进生态文明宣传教育</w:t>
      </w:r>
      <w:bookmarkEnd w:id="450"/>
      <w:bookmarkEnd w:id="451"/>
      <w:bookmarkEnd w:id="452"/>
      <w:bookmarkEnd w:id="453"/>
    </w:p>
    <w:p>
      <w:pPr>
        <w:spacing w:line="600" w:lineRule="exact"/>
        <w:ind w:firstLine="560" w:firstLineChars="200"/>
        <w:rPr>
          <w:rFonts w:eastAsia="仿宋_GB2312"/>
          <w:sz w:val="28"/>
          <w:szCs w:val="28"/>
        </w:rPr>
      </w:pPr>
      <w:bookmarkStart w:id="454" w:name="_Toc23892"/>
      <w:r>
        <w:rPr>
          <w:rFonts w:hint="eastAsia" w:eastAsia="仿宋_GB2312"/>
          <w:sz w:val="28"/>
          <w:szCs w:val="28"/>
        </w:rPr>
        <w:t>完善生态文明教育体系建设，将生态教育纳入到基础教育中，以县重点中小学为试点，</w:t>
      </w:r>
      <w:r>
        <w:rPr>
          <w:rFonts w:eastAsia="仿宋_GB2312"/>
          <w:bCs/>
          <w:sz w:val="28"/>
          <w:szCs w:val="28"/>
        </w:rPr>
        <w:t>开展</w:t>
      </w:r>
      <w:r>
        <w:rPr>
          <w:rFonts w:hint="eastAsia" w:eastAsia="仿宋_GB2312"/>
          <w:bCs/>
          <w:sz w:val="28"/>
          <w:szCs w:val="28"/>
        </w:rPr>
        <w:t>“生态文明进校园”等</w:t>
      </w:r>
      <w:r>
        <w:rPr>
          <w:rFonts w:eastAsia="仿宋_GB2312"/>
          <w:bCs/>
          <w:sz w:val="28"/>
          <w:szCs w:val="28"/>
        </w:rPr>
        <w:t>形式多样的实践教育活动，营造浓厚的创绿文化氛围</w:t>
      </w:r>
      <w:r>
        <w:rPr>
          <w:rFonts w:hint="eastAsia" w:eastAsia="仿宋_GB2312"/>
          <w:bCs/>
          <w:sz w:val="28"/>
          <w:szCs w:val="28"/>
        </w:rPr>
        <w:t>。</w:t>
      </w:r>
      <w:r>
        <w:rPr>
          <w:rFonts w:hint="eastAsia" w:eastAsia="仿宋_GB2312"/>
          <w:sz w:val="28"/>
          <w:szCs w:val="28"/>
        </w:rPr>
        <w:t>加强生态教育师资力量建设，开展生态教育必修课，丰富教学内容，实践与教学相结合，提高生态教育水平。加强党政生态文明教育，县乡村各级党校、行政学院要把生态文明建设作为干部教育培训的重要内容，提升党员干部的生态文明素养，牢固树立生态文明政绩观。积极开展社区、农村生态文化培育，通过广播、宣传栏、文艺演出等相关形式，充分增强全民生态文化意识，带动全社会生态文明建设行为。鼓励</w:t>
      </w:r>
      <w:r>
        <w:rPr>
          <w:rFonts w:eastAsia="仿宋_GB2312"/>
          <w:sz w:val="28"/>
          <w:szCs w:val="28"/>
        </w:rPr>
        <w:t>开展企业生态文明宣传教育</w:t>
      </w:r>
      <w:r>
        <w:rPr>
          <w:rFonts w:hint="eastAsia" w:eastAsia="仿宋_GB2312"/>
          <w:sz w:val="28"/>
          <w:szCs w:val="28"/>
        </w:rPr>
        <w:t>，建立企业生态文化的教育与培训制度，培育企业生态文化价值观念，指导企业生产经营活动。</w:t>
      </w:r>
    </w:p>
    <w:p>
      <w:pPr>
        <w:pStyle w:val="11"/>
        <w:spacing w:before="0" w:after="0" w:line="600" w:lineRule="exact"/>
        <w:ind w:firstLine="562" w:firstLineChars="200"/>
        <w:rPr>
          <w:rFonts w:eastAsia="仿宋_GB2312"/>
          <w:sz w:val="28"/>
          <w:szCs w:val="28"/>
        </w:rPr>
      </w:pPr>
      <w:bookmarkStart w:id="455" w:name="_Toc31778"/>
      <w:bookmarkStart w:id="456" w:name="_Toc5139"/>
      <w:bookmarkStart w:id="457" w:name="_Toc13579"/>
      <w:bookmarkStart w:id="458" w:name="_Toc15354"/>
      <w:r>
        <w:rPr>
          <w:rFonts w:eastAsia="仿宋_GB2312"/>
          <w:sz w:val="28"/>
          <w:szCs w:val="28"/>
        </w:rPr>
        <w:t xml:space="preserve">3. </w:t>
      </w:r>
      <w:bookmarkEnd w:id="454"/>
      <w:r>
        <w:rPr>
          <w:rFonts w:hint="eastAsia" w:eastAsia="仿宋_GB2312"/>
          <w:sz w:val="28"/>
          <w:szCs w:val="28"/>
        </w:rPr>
        <w:t>强化</w:t>
      </w:r>
      <w:r>
        <w:rPr>
          <w:rFonts w:eastAsia="仿宋_GB2312"/>
          <w:sz w:val="28"/>
          <w:szCs w:val="28"/>
        </w:rPr>
        <w:t>生态文明共享共建</w:t>
      </w:r>
      <w:bookmarkEnd w:id="455"/>
      <w:bookmarkEnd w:id="456"/>
      <w:bookmarkEnd w:id="457"/>
      <w:bookmarkEnd w:id="458"/>
    </w:p>
    <w:p>
      <w:pPr>
        <w:spacing w:line="600" w:lineRule="exact"/>
        <w:ind w:firstLine="560" w:firstLineChars="200"/>
        <w:rPr>
          <w:rFonts w:eastAsia="仿宋_GB2312"/>
          <w:sz w:val="28"/>
          <w:szCs w:val="28"/>
        </w:rPr>
      </w:pPr>
      <w:r>
        <w:rPr>
          <w:rFonts w:hint="eastAsia" w:eastAsia="仿宋_GB2312"/>
          <w:sz w:val="28"/>
          <w:szCs w:val="28"/>
        </w:rPr>
        <w:t>充分依托文化场所、公众媒体、党政机关简报等</w:t>
      </w:r>
      <w:r>
        <w:rPr>
          <w:rFonts w:eastAsia="仿宋_GB2312"/>
          <w:sz w:val="28"/>
          <w:szCs w:val="28"/>
        </w:rPr>
        <w:t>各种</w:t>
      </w:r>
      <w:r>
        <w:rPr>
          <w:rFonts w:hint="eastAsia" w:eastAsia="仿宋_GB2312"/>
          <w:sz w:val="28"/>
          <w:szCs w:val="28"/>
        </w:rPr>
        <w:t>渠道，</w:t>
      </w:r>
      <w:r>
        <w:rPr>
          <w:rFonts w:eastAsia="仿宋_GB2312"/>
          <w:sz w:val="28"/>
          <w:szCs w:val="28"/>
        </w:rPr>
        <w:t>普及</w:t>
      </w:r>
      <w:r>
        <w:rPr>
          <w:rFonts w:hint="eastAsia" w:eastAsia="仿宋_GB2312"/>
          <w:bCs/>
          <w:sz w:val="28"/>
          <w:szCs w:val="28"/>
        </w:rPr>
        <w:t>生态</w:t>
      </w:r>
      <w:r>
        <w:rPr>
          <w:rFonts w:eastAsia="仿宋_GB2312"/>
          <w:bCs/>
          <w:sz w:val="28"/>
          <w:szCs w:val="28"/>
        </w:rPr>
        <w:t>环境知识，</w:t>
      </w:r>
      <w:r>
        <w:rPr>
          <w:rFonts w:hint="eastAsia" w:eastAsia="仿宋_GB2312"/>
          <w:bCs/>
          <w:sz w:val="28"/>
          <w:szCs w:val="28"/>
        </w:rPr>
        <w:t>增强</w:t>
      </w:r>
      <w:r>
        <w:rPr>
          <w:rFonts w:eastAsia="仿宋_GB2312"/>
          <w:bCs/>
          <w:sz w:val="28"/>
          <w:szCs w:val="28"/>
        </w:rPr>
        <w:t>公众的</w:t>
      </w:r>
      <w:r>
        <w:rPr>
          <w:rFonts w:hint="eastAsia" w:eastAsia="仿宋_GB2312"/>
          <w:bCs/>
          <w:sz w:val="28"/>
          <w:szCs w:val="28"/>
        </w:rPr>
        <w:t>环保</w:t>
      </w:r>
      <w:r>
        <w:rPr>
          <w:rFonts w:eastAsia="仿宋_GB2312"/>
          <w:bCs/>
          <w:sz w:val="28"/>
          <w:szCs w:val="28"/>
        </w:rPr>
        <w:t>意识，宣传报道全县</w:t>
      </w:r>
      <w:r>
        <w:rPr>
          <w:rFonts w:hint="eastAsia" w:eastAsia="仿宋_GB2312"/>
          <w:bCs/>
          <w:sz w:val="28"/>
          <w:szCs w:val="28"/>
        </w:rPr>
        <w:t>生态环境保护</w:t>
      </w:r>
      <w:r>
        <w:rPr>
          <w:rFonts w:eastAsia="仿宋_GB2312"/>
          <w:bCs/>
          <w:sz w:val="28"/>
          <w:szCs w:val="28"/>
        </w:rPr>
        <w:t>工作情况与工作成效。</w:t>
      </w:r>
      <w:r>
        <w:rPr>
          <w:rFonts w:eastAsia="仿宋_GB2312"/>
          <w:sz w:val="28"/>
          <w:szCs w:val="28"/>
        </w:rPr>
        <w:t>建立公众参与环境管理决策的有效渠道和合理机制，充分发挥公众参与对推动环境治理、深化环保改革的强大动力。组织开展形式多样的环境宣传活动，营造浓厚的生态</w:t>
      </w:r>
      <w:r>
        <w:rPr>
          <w:rFonts w:hint="eastAsia" w:eastAsia="仿宋_GB2312"/>
          <w:sz w:val="28"/>
          <w:szCs w:val="28"/>
        </w:rPr>
        <w:t>文明</w:t>
      </w:r>
      <w:r>
        <w:rPr>
          <w:rFonts w:eastAsia="仿宋_GB2312"/>
          <w:sz w:val="28"/>
          <w:szCs w:val="28"/>
        </w:rPr>
        <w:t>示范创建氛围，不断提高居民对生态</w:t>
      </w:r>
      <w:r>
        <w:rPr>
          <w:rFonts w:hint="eastAsia" w:eastAsia="仿宋_GB2312"/>
          <w:sz w:val="28"/>
          <w:szCs w:val="28"/>
        </w:rPr>
        <w:t>文明</w:t>
      </w:r>
      <w:r>
        <w:rPr>
          <w:rFonts w:eastAsia="仿宋_GB2312"/>
          <w:sz w:val="28"/>
          <w:szCs w:val="28"/>
        </w:rPr>
        <w:t>示范创建、</w:t>
      </w:r>
      <w:r>
        <w:rPr>
          <w:rFonts w:hint="eastAsia" w:eastAsia="仿宋_GB2312"/>
          <w:sz w:val="28"/>
          <w:szCs w:val="28"/>
        </w:rPr>
        <w:t>生态</w:t>
      </w:r>
      <w:r>
        <w:rPr>
          <w:rFonts w:eastAsia="仿宋_GB2312"/>
          <w:sz w:val="28"/>
          <w:szCs w:val="28"/>
        </w:rPr>
        <w:t>环境保护工作的支持度与满意度。</w:t>
      </w:r>
    </w:p>
    <w:bookmarkEnd w:id="448"/>
    <w:p>
      <w:pPr>
        <w:adjustRightInd w:val="0"/>
        <w:snapToGrid w:val="0"/>
        <w:spacing w:line="600" w:lineRule="exact"/>
        <w:ind w:firstLine="560" w:firstLineChars="200"/>
        <w:rPr>
          <w:rFonts w:eastAsia="仿宋_GB2312"/>
          <w:sz w:val="28"/>
          <w:szCs w:val="28"/>
        </w:rPr>
        <w:sectPr>
          <w:pgSz w:w="11906" w:h="16838"/>
          <w:pgMar w:top="1440" w:right="1701" w:bottom="1440" w:left="1701" w:header="851" w:footer="992" w:gutter="0"/>
          <w:cols w:space="720" w:num="1"/>
          <w:docGrid w:type="lines" w:linePitch="312" w:charSpace="0"/>
        </w:sectPr>
      </w:pPr>
      <w:bookmarkStart w:id="459" w:name="_Toc92877709"/>
    </w:p>
    <w:bookmarkEnd w:id="459"/>
    <w:p>
      <w:pPr>
        <w:pStyle w:val="9"/>
        <w:keepLines w:val="0"/>
        <w:adjustRightInd w:val="0"/>
        <w:snapToGrid w:val="0"/>
        <w:spacing w:before="0" w:after="0" w:line="600" w:lineRule="exact"/>
        <w:ind w:firstLine="640" w:firstLineChars="200"/>
        <w:jc w:val="left"/>
        <w:rPr>
          <w:rFonts w:eastAsia="黑体"/>
          <w:b w:val="0"/>
          <w:kern w:val="32"/>
          <w:sz w:val="32"/>
          <w:szCs w:val="32"/>
        </w:rPr>
      </w:pPr>
      <w:bookmarkStart w:id="460" w:name="_Toc92877711"/>
      <w:bookmarkStart w:id="461" w:name="_Toc96633657"/>
      <w:bookmarkStart w:id="462" w:name="_Toc209"/>
      <w:bookmarkStart w:id="463" w:name="_Toc638"/>
      <w:bookmarkStart w:id="464" w:name="_Toc6525"/>
      <w:bookmarkStart w:id="465" w:name="_Toc943"/>
      <w:bookmarkStart w:id="466" w:name="_Toc21702"/>
      <w:bookmarkStart w:id="467" w:name="_Toc31730"/>
      <w:bookmarkStart w:id="468" w:name="_Toc16015"/>
      <w:bookmarkStart w:id="469" w:name="_Toc16724"/>
      <w:bookmarkStart w:id="470" w:name="_Toc25229"/>
      <w:bookmarkStart w:id="471" w:name="_Toc97293513"/>
      <w:r>
        <w:rPr>
          <w:rFonts w:hint="eastAsia" w:eastAsia="黑体"/>
          <w:b w:val="0"/>
          <w:kern w:val="32"/>
          <w:sz w:val="32"/>
          <w:szCs w:val="32"/>
        </w:rPr>
        <w:t>四</w:t>
      </w:r>
      <w:r>
        <w:rPr>
          <w:rFonts w:eastAsia="黑体"/>
          <w:b w:val="0"/>
          <w:kern w:val="32"/>
          <w:sz w:val="32"/>
          <w:szCs w:val="32"/>
        </w:rPr>
        <w:t>、保障措施</w:t>
      </w:r>
      <w:bookmarkEnd w:id="460"/>
      <w:bookmarkEnd w:id="461"/>
      <w:bookmarkEnd w:id="462"/>
      <w:bookmarkEnd w:id="463"/>
      <w:bookmarkEnd w:id="464"/>
      <w:bookmarkEnd w:id="465"/>
      <w:bookmarkEnd w:id="466"/>
      <w:bookmarkEnd w:id="467"/>
      <w:bookmarkEnd w:id="468"/>
      <w:bookmarkEnd w:id="469"/>
      <w:bookmarkEnd w:id="470"/>
      <w:bookmarkEnd w:id="471"/>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472" w:name="_Toc7894"/>
      <w:bookmarkStart w:id="473" w:name="_Toc14331"/>
      <w:bookmarkStart w:id="474" w:name="_Toc11694"/>
      <w:bookmarkStart w:id="475" w:name="_Toc6106"/>
      <w:bookmarkStart w:id="476" w:name="_Toc5689"/>
      <w:bookmarkStart w:id="477" w:name="_Toc3637"/>
      <w:bookmarkStart w:id="478" w:name="_Toc23784"/>
      <w:bookmarkStart w:id="479" w:name="_Toc26866"/>
      <w:bookmarkStart w:id="480" w:name="_Toc1620"/>
      <w:bookmarkStart w:id="481" w:name="_Toc17647"/>
      <w:bookmarkStart w:id="482" w:name="_Toc21492"/>
      <w:r>
        <w:rPr>
          <w:rFonts w:ascii="Times New Roman" w:hAnsi="Times New Roman" w:eastAsia="楷体_GB2312"/>
          <w:kern w:val="0"/>
          <w:sz w:val="30"/>
          <w:szCs w:val="30"/>
        </w:rPr>
        <w:t>（一）加强组织领导</w:t>
      </w:r>
      <w:bookmarkEnd w:id="472"/>
      <w:bookmarkEnd w:id="473"/>
      <w:bookmarkEnd w:id="474"/>
      <w:bookmarkEnd w:id="475"/>
      <w:bookmarkEnd w:id="476"/>
      <w:bookmarkEnd w:id="477"/>
      <w:bookmarkEnd w:id="478"/>
      <w:bookmarkEnd w:id="479"/>
      <w:bookmarkEnd w:id="480"/>
      <w:bookmarkEnd w:id="481"/>
      <w:bookmarkEnd w:id="482"/>
    </w:p>
    <w:p>
      <w:pPr>
        <w:spacing w:line="600" w:lineRule="exact"/>
        <w:ind w:firstLine="560" w:firstLineChars="200"/>
        <w:contextualSpacing/>
        <w:rPr>
          <w:rFonts w:eastAsia="仿宋_GB2312"/>
          <w:sz w:val="28"/>
          <w:szCs w:val="28"/>
        </w:rPr>
      </w:pPr>
      <w:bookmarkStart w:id="483" w:name="_Toc31487"/>
      <w:bookmarkStart w:id="484" w:name="_Toc13692"/>
      <w:bookmarkStart w:id="485" w:name="_Toc30555"/>
      <w:bookmarkStart w:id="486" w:name="_Toc31350"/>
      <w:bookmarkStart w:id="487" w:name="_Toc16212"/>
      <w:bookmarkStart w:id="488" w:name="_Toc6189"/>
      <w:r>
        <w:rPr>
          <w:rFonts w:eastAsia="仿宋_GB2312"/>
          <w:sz w:val="28"/>
          <w:szCs w:val="28"/>
        </w:rPr>
        <w:t>成立</w:t>
      </w:r>
      <w:r>
        <w:rPr>
          <w:rFonts w:hint="eastAsia" w:eastAsia="仿宋_GB2312"/>
          <w:sz w:val="28"/>
          <w:szCs w:val="28"/>
        </w:rPr>
        <w:t>静乐</w:t>
      </w:r>
      <w:r>
        <w:rPr>
          <w:rFonts w:eastAsia="仿宋_GB2312"/>
          <w:sz w:val="28"/>
          <w:szCs w:val="28"/>
        </w:rPr>
        <w:t>县生态文明建设示范</w:t>
      </w:r>
      <w:r>
        <w:rPr>
          <w:rFonts w:hint="eastAsia" w:eastAsia="仿宋_GB2312"/>
          <w:sz w:val="28"/>
          <w:szCs w:val="28"/>
        </w:rPr>
        <w:t>区</w:t>
      </w:r>
      <w:r>
        <w:rPr>
          <w:rFonts w:eastAsia="仿宋_GB2312"/>
          <w:sz w:val="28"/>
          <w:szCs w:val="28"/>
        </w:rPr>
        <w:t>工作领导小组，</w:t>
      </w:r>
      <w:r>
        <w:rPr>
          <w:rFonts w:hint="eastAsia" w:eastAsia="仿宋_GB2312"/>
          <w:sz w:val="28"/>
          <w:szCs w:val="28"/>
        </w:rPr>
        <w:t>统筹实施生态文明建设规划，</w:t>
      </w:r>
      <w:r>
        <w:rPr>
          <w:rFonts w:eastAsia="仿宋_GB2312"/>
          <w:sz w:val="28"/>
          <w:szCs w:val="28"/>
        </w:rPr>
        <w:t>推进生态文明示范创建工作。分解落实生态文明建设示范</w:t>
      </w:r>
      <w:r>
        <w:rPr>
          <w:rFonts w:hint="eastAsia" w:eastAsia="仿宋_GB2312"/>
          <w:sz w:val="28"/>
          <w:szCs w:val="28"/>
        </w:rPr>
        <w:t>区</w:t>
      </w:r>
      <w:r>
        <w:rPr>
          <w:rFonts w:eastAsia="仿宋_GB2312"/>
          <w:sz w:val="28"/>
          <w:szCs w:val="28"/>
        </w:rPr>
        <w:t>建设指标，明确各县直部门、各乡镇（街道）的工作责任和任务，各个部门分工协作、密切合作。以生态文明</w:t>
      </w:r>
      <w:r>
        <w:rPr>
          <w:rFonts w:hint="eastAsia" w:eastAsia="仿宋_GB2312"/>
          <w:sz w:val="28"/>
          <w:szCs w:val="28"/>
        </w:rPr>
        <w:t>示范</w:t>
      </w:r>
      <w:r>
        <w:rPr>
          <w:rFonts w:eastAsia="仿宋_GB2312"/>
          <w:sz w:val="28"/>
          <w:szCs w:val="28"/>
        </w:rPr>
        <w:t>建设为契机，构建跨部门跨行业的协调机制，建立生态文明建设的综合决策机制和部门信息共享和联动机制，实行定期研究和会商制度，对重大事项进行统筹协调、统一部署、科学决策，确保各项建设目标任务按时保质完成。</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489" w:name="_Toc20284"/>
      <w:bookmarkStart w:id="490" w:name="_Toc31859"/>
      <w:bookmarkStart w:id="491" w:name="_Toc2088"/>
      <w:bookmarkStart w:id="492" w:name="_Toc13781"/>
      <w:bookmarkStart w:id="493" w:name="_Toc5497"/>
      <w:r>
        <w:rPr>
          <w:rFonts w:ascii="Times New Roman" w:hAnsi="Times New Roman" w:eastAsia="楷体_GB2312"/>
          <w:kern w:val="0"/>
          <w:sz w:val="30"/>
          <w:szCs w:val="30"/>
        </w:rPr>
        <w:t>（二）严格监督考核</w:t>
      </w:r>
      <w:bookmarkEnd w:id="483"/>
      <w:bookmarkEnd w:id="484"/>
      <w:bookmarkEnd w:id="485"/>
      <w:bookmarkEnd w:id="486"/>
      <w:bookmarkEnd w:id="487"/>
      <w:bookmarkEnd w:id="488"/>
      <w:bookmarkEnd w:id="489"/>
      <w:bookmarkEnd w:id="490"/>
      <w:bookmarkEnd w:id="491"/>
      <w:bookmarkEnd w:id="492"/>
      <w:bookmarkEnd w:id="493"/>
    </w:p>
    <w:p>
      <w:pPr>
        <w:spacing w:line="600" w:lineRule="exact"/>
        <w:ind w:firstLine="560" w:firstLineChars="200"/>
        <w:contextualSpacing/>
        <w:rPr>
          <w:rFonts w:eastAsia="仿宋_GB2312"/>
          <w:sz w:val="28"/>
          <w:szCs w:val="28"/>
        </w:rPr>
      </w:pPr>
      <w:bookmarkStart w:id="494" w:name="_Toc23707"/>
      <w:bookmarkStart w:id="495" w:name="_Toc2769"/>
      <w:bookmarkStart w:id="496" w:name="_Toc4306"/>
      <w:bookmarkStart w:id="497" w:name="_Toc13402"/>
      <w:bookmarkStart w:id="498" w:name="_Toc15329"/>
      <w:bookmarkStart w:id="499" w:name="_Toc10194"/>
      <w:r>
        <w:rPr>
          <w:rFonts w:hint="eastAsia" w:eastAsia="仿宋_GB2312"/>
          <w:sz w:val="28"/>
          <w:szCs w:val="28"/>
        </w:rPr>
        <w:t>完善规划实施考核评价机制，</w:t>
      </w:r>
      <w:r>
        <w:rPr>
          <w:rFonts w:eastAsia="仿宋_GB2312"/>
          <w:sz w:val="28"/>
          <w:szCs w:val="28"/>
        </w:rPr>
        <w:t>将生态创建工作实绩列为领导政绩考核的重要内容，纳入政府部门目标考核体系。制定和完善考核评估管理办法，落实生态示范</w:t>
      </w:r>
      <w:r>
        <w:rPr>
          <w:rFonts w:hint="eastAsia" w:eastAsia="仿宋_GB2312"/>
          <w:sz w:val="28"/>
          <w:szCs w:val="28"/>
        </w:rPr>
        <w:t>区</w:t>
      </w:r>
      <w:r>
        <w:rPr>
          <w:rFonts w:eastAsia="仿宋_GB2312"/>
          <w:sz w:val="28"/>
          <w:szCs w:val="28"/>
        </w:rPr>
        <w:t>建设责任制，定期召开调度会议，及时掌握工作动态，分析存在问题，总结工作经验。建立督查督办制度，结合目标责任制对生态文明示范创建工作进行考核，评估各责任部门项目完成情况。县委、县政府加强对规划年度目标执行情况的督促和检查，进行生态创建工作总结，对完成责任指标的单位和个人给予表彰奖励，确保生态文明建设示范建设规划实施。</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500" w:name="_Toc25965"/>
      <w:bookmarkStart w:id="501" w:name="_Toc16611"/>
      <w:bookmarkStart w:id="502" w:name="_Toc11572"/>
      <w:bookmarkStart w:id="503" w:name="_Toc6960"/>
      <w:bookmarkStart w:id="504" w:name="_Toc10537"/>
      <w:r>
        <w:rPr>
          <w:rFonts w:ascii="Times New Roman" w:hAnsi="Times New Roman" w:eastAsia="楷体_GB2312"/>
          <w:kern w:val="0"/>
          <w:sz w:val="30"/>
          <w:szCs w:val="30"/>
        </w:rPr>
        <w:t>（三）促进资金统筹</w:t>
      </w:r>
      <w:bookmarkEnd w:id="494"/>
      <w:bookmarkEnd w:id="495"/>
      <w:bookmarkEnd w:id="496"/>
      <w:bookmarkEnd w:id="497"/>
      <w:bookmarkEnd w:id="498"/>
      <w:bookmarkEnd w:id="499"/>
      <w:bookmarkEnd w:id="500"/>
      <w:bookmarkEnd w:id="501"/>
      <w:bookmarkEnd w:id="502"/>
      <w:bookmarkEnd w:id="503"/>
      <w:bookmarkEnd w:id="504"/>
    </w:p>
    <w:p>
      <w:pPr>
        <w:spacing w:line="600" w:lineRule="exact"/>
        <w:ind w:firstLine="560" w:firstLineChars="200"/>
        <w:contextualSpacing/>
        <w:rPr>
          <w:rFonts w:eastAsia="仿宋_GB2312"/>
          <w:sz w:val="28"/>
          <w:szCs w:val="28"/>
        </w:rPr>
      </w:pPr>
      <w:bookmarkStart w:id="505" w:name="_Toc24041"/>
      <w:bookmarkStart w:id="506" w:name="_Toc26828"/>
      <w:bookmarkStart w:id="507" w:name="_Toc1735"/>
      <w:bookmarkStart w:id="508" w:name="_Toc27157"/>
      <w:bookmarkStart w:id="509" w:name="_Toc22862"/>
      <w:bookmarkStart w:id="510" w:name="_Toc4969"/>
      <w:r>
        <w:rPr>
          <w:rFonts w:eastAsia="仿宋_GB2312"/>
          <w:sz w:val="28"/>
          <w:szCs w:val="28"/>
        </w:rPr>
        <w:t>积极争取中央、省、市预算内资金及其他专项资金对</w:t>
      </w:r>
      <w:r>
        <w:rPr>
          <w:rFonts w:hint="eastAsia" w:eastAsia="仿宋_GB2312"/>
          <w:sz w:val="28"/>
          <w:szCs w:val="28"/>
        </w:rPr>
        <w:t>静乐</w:t>
      </w:r>
      <w:r>
        <w:rPr>
          <w:rFonts w:eastAsia="仿宋_GB2312"/>
          <w:sz w:val="28"/>
          <w:szCs w:val="28"/>
        </w:rPr>
        <w:t>县创建生态文明</w:t>
      </w:r>
      <w:r>
        <w:rPr>
          <w:rFonts w:hint="eastAsia" w:eastAsia="仿宋_GB2312"/>
          <w:sz w:val="28"/>
          <w:szCs w:val="28"/>
        </w:rPr>
        <w:t>建设</w:t>
      </w:r>
      <w:r>
        <w:rPr>
          <w:rFonts w:eastAsia="仿宋_GB2312"/>
          <w:sz w:val="28"/>
          <w:szCs w:val="28"/>
        </w:rPr>
        <w:t>示范区工作的支持，充分发挥财政资金的导向作用。在财政预算中足额安排生态环境保护</w:t>
      </w:r>
      <w:r>
        <w:rPr>
          <w:rFonts w:hint="eastAsia" w:eastAsia="仿宋_GB2312"/>
          <w:sz w:val="28"/>
          <w:szCs w:val="28"/>
        </w:rPr>
        <w:t>等</w:t>
      </w:r>
      <w:r>
        <w:rPr>
          <w:rFonts w:eastAsia="仿宋_GB2312"/>
          <w:sz w:val="28"/>
          <w:szCs w:val="28"/>
        </w:rPr>
        <w:t>资金，确保生态文明</w:t>
      </w:r>
      <w:r>
        <w:rPr>
          <w:rFonts w:hint="eastAsia" w:eastAsia="仿宋_GB2312"/>
          <w:sz w:val="28"/>
          <w:szCs w:val="28"/>
        </w:rPr>
        <w:t>示范</w:t>
      </w:r>
      <w:r>
        <w:rPr>
          <w:rFonts w:eastAsia="仿宋_GB2312"/>
          <w:sz w:val="28"/>
          <w:szCs w:val="28"/>
        </w:rPr>
        <w:t>建设工作正常开展。</w:t>
      </w:r>
      <w:r>
        <w:rPr>
          <w:rFonts w:hint="eastAsia" w:eastAsia="仿宋_GB2312"/>
          <w:sz w:val="28"/>
          <w:szCs w:val="28"/>
        </w:rPr>
        <w:t>同时，</w:t>
      </w:r>
      <w:r>
        <w:rPr>
          <w:rFonts w:eastAsia="仿宋_GB2312"/>
          <w:sz w:val="28"/>
          <w:szCs w:val="28"/>
        </w:rPr>
        <w:t>提高资金使用效率，按照建设总体部署</w:t>
      </w:r>
      <w:r>
        <w:rPr>
          <w:rFonts w:hint="eastAsia" w:eastAsia="仿宋_GB2312"/>
          <w:sz w:val="28"/>
          <w:szCs w:val="28"/>
        </w:rPr>
        <w:t>要求</w:t>
      </w:r>
      <w:r>
        <w:rPr>
          <w:rFonts w:eastAsia="仿宋_GB2312"/>
          <w:sz w:val="28"/>
          <w:szCs w:val="28"/>
        </w:rPr>
        <w:t>，明确生态文明</w:t>
      </w:r>
      <w:r>
        <w:rPr>
          <w:rFonts w:hint="eastAsia" w:eastAsia="仿宋_GB2312"/>
          <w:sz w:val="28"/>
          <w:szCs w:val="28"/>
        </w:rPr>
        <w:t>示范</w:t>
      </w:r>
      <w:r>
        <w:rPr>
          <w:rFonts w:eastAsia="仿宋_GB2312"/>
          <w:sz w:val="28"/>
          <w:szCs w:val="28"/>
        </w:rPr>
        <w:t>建设的建设项目和总体投入。加大生态文明</w:t>
      </w:r>
      <w:r>
        <w:rPr>
          <w:rFonts w:hint="eastAsia" w:eastAsia="仿宋_GB2312"/>
          <w:sz w:val="28"/>
          <w:szCs w:val="28"/>
        </w:rPr>
        <w:t>示范</w:t>
      </w:r>
      <w:r>
        <w:rPr>
          <w:rFonts w:eastAsia="仿宋_GB2312"/>
          <w:sz w:val="28"/>
          <w:szCs w:val="28"/>
        </w:rPr>
        <w:t>建设项目资金的审计和监督工作，统筹建设资金，确保建设目标和重点项目按计划推进。</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511" w:name="_Toc20404"/>
      <w:bookmarkStart w:id="512" w:name="_Toc10147"/>
      <w:bookmarkStart w:id="513" w:name="_Toc974"/>
      <w:bookmarkStart w:id="514" w:name="_Toc30456"/>
      <w:bookmarkStart w:id="515" w:name="_Toc1530"/>
      <w:r>
        <w:rPr>
          <w:rFonts w:ascii="Times New Roman" w:hAnsi="Times New Roman" w:eastAsia="楷体_GB2312"/>
          <w:kern w:val="0"/>
          <w:sz w:val="30"/>
          <w:szCs w:val="30"/>
        </w:rPr>
        <w:t>（四）强化科技支撑</w:t>
      </w:r>
      <w:bookmarkEnd w:id="505"/>
      <w:bookmarkEnd w:id="506"/>
      <w:bookmarkEnd w:id="507"/>
      <w:bookmarkEnd w:id="508"/>
      <w:bookmarkEnd w:id="509"/>
      <w:bookmarkEnd w:id="510"/>
      <w:bookmarkEnd w:id="511"/>
      <w:bookmarkEnd w:id="512"/>
      <w:bookmarkEnd w:id="513"/>
      <w:bookmarkEnd w:id="514"/>
      <w:bookmarkEnd w:id="515"/>
    </w:p>
    <w:p>
      <w:pPr>
        <w:spacing w:line="600" w:lineRule="exact"/>
        <w:ind w:firstLine="560" w:firstLineChars="200"/>
        <w:contextualSpacing/>
        <w:rPr>
          <w:rFonts w:eastAsia="仿宋_GB2312"/>
          <w:sz w:val="28"/>
          <w:szCs w:val="28"/>
        </w:rPr>
      </w:pPr>
      <w:bookmarkStart w:id="516" w:name="_Toc3155"/>
      <w:bookmarkStart w:id="517" w:name="_Toc23087"/>
      <w:bookmarkStart w:id="518" w:name="_Toc18365"/>
      <w:bookmarkStart w:id="519" w:name="_Toc6314"/>
      <w:bookmarkStart w:id="520" w:name="_Toc6773"/>
      <w:bookmarkStart w:id="521" w:name="_Toc28015"/>
      <w:r>
        <w:rPr>
          <w:rFonts w:eastAsia="仿宋_GB2312"/>
          <w:sz w:val="28"/>
          <w:szCs w:val="28"/>
        </w:rPr>
        <w:t>利用大数据、云计算、遥感监测等新技术和新手段，建立决策支持信息系统，为生态文明建设提供科学化信息决策支持。围绕能源节约、资源循环利用、新能源开发、污染治理、生态修复等领域，开展关键技术和产业设备的研发。</w:t>
      </w:r>
      <w:r>
        <w:rPr>
          <w:rFonts w:hint="eastAsia" w:eastAsia="仿宋_GB2312"/>
          <w:sz w:val="28"/>
          <w:szCs w:val="28"/>
        </w:rPr>
        <w:t>积极与科研院所、高校开展技术合作，聘请在环境保护和生态文明建设领域有杰出贡献和突出成绩的专家、学者担任顾问。强化科技队伍建设，营造良好的人才发展环境，加大生态环境保护相关专业人才的引进和培养。</w:t>
      </w:r>
    </w:p>
    <w:p>
      <w:pPr>
        <w:pStyle w:val="10"/>
        <w:keepLines w:val="0"/>
        <w:adjustRightInd w:val="0"/>
        <w:snapToGrid w:val="0"/>
        <w:spacing w:before="0" w:after="0" w:line="600" w:lineRule="exact"/>
        <w:ind w:firstLine="602" w:firstLineChars="200"/>
        <w:rPr>
          <w:rFonts w:ascii="Times New Roman" w:hAnsi="Times New Roman" w:eastAsia="楷体_GB2312"/>
          <w:kern w:val="0"/>
          <w:sz w:val="30"/>
          <w:szCs w:val="30"/>
        </w:rPr>
      </w:pPr>
      <w:bookmarkStart w:id="522" w:name="_Toc16723"/>
      <w:bookmarkStart w:id="523" w:name="_Toc18887"/>
      <w:bookmarkStart w:id="524" w:name="_Toc8642"/>
      <w:bookmarkStart w:id="525" w:name="_Toc24958"/>
      <w:bookmarkStart w:id="526" w:name="_Toc11044"/>
      <w:r>
        <w:rPr>
          <w:rFonts w:ascii="Times New Roman" w:hAnsi="Times New Roman" w:eastAsia="楷体_GB2312"/>
          <w:kern w:val="0"/>
          <w:sz w:val="30"/>
          <w:szCs w:val="30"/>
        </w:rPr>
        <w:t>（五）鼓励社会参与</w:t>
      </w:r>
      <w:bookmarkEnd w:id="516"/>
      <w:bookmarkEnd w:id="517"/>
      <w:bookmarkEnd w:id="518"/>
      <w:bookmarkEnd w:id="519"/>
      <w:bookmarkEnd w:id="520"/>
      <w:bookmarkEnd w:id="521"/>
      <w:bookmarkEnd w:id="522"/>
      <w:bookmarkEnd w:id="523"/>
      <w:bookmarkEnd w:id="524"/>
      <w:bookmarkEnd w:id="525"/>
      <w:bookmarkEnd w:id="526"/>
    </w:p>
    <w:p>
      <w:pPr>
        <w:spacing w:line="600" w:lineRule="exact"/>
        <w:ind w:firstLine="560" w:firstLineChars="200"/>
        <w:contextualSpacing/>
        <w:rPr>
          <w:rFonts w:eastAsia="仿宋_GB2312"/>
          <w:sz w:val="28"/>
          <w:szCs w:val="28"/>
        </w:rPr>
      </w:pPr>
      <w:r>
        <w:rPr>
          <w:rFonts w:hint="eastAsia" w:eastAsia="仿宋_GB2312"/>
          <w:sz w:val="28"/>
          <w:szCs w:val="28"/>
        </w:rPr>
        <w:t>加大习近平生态文明思想宣传力度，积极开展生态文明建设与生态环境保护规划政策、法规制度、进展成效、实践经验宣传与交流。充分利用网络、社交平台和数字媒介等各类媒体，加大创建生态文明建设示范区的宣传力度，强化社会公众参与。及时总结、宣传、推广先进经验典型，在全社会营造全民创建绿色生活、全社会共享生态文明的良好氛围。</w:t>
      </w:r>
    </w:p>
    <w:sectPr>
      <w:pgSz w:w="11906" w:h="16838"/>
      <w:pgMar w:top="1440" w:right="1701" w:bottom="1440" w:left="1701"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_GB2312">
    <w:altName w:val="Times New Roman"/>
    <w:panose1 w:val="00000000000000000000"/>
    <w:charset w:val="00"/>
    <w:family w:val="auto"/>
    <w:pitch w:val="default"/>
    <w:sig w:usb0="00000000" w:usb1="00000000" w:usb2="00000000" w:usb3="00000000" w:csb0="00000001" w:csb1="00000000"/>
  </w:font>
  <w:font w:name="Courier New">
    <w:panose1 w:val="02070309020205020404"/>
    <w:charset w:val="00"/>
    <w:family w:val="modern"/>
    <w:pitch w:val="default"/>
    <w:sig w:usb0="E0002EFF" w:usb1="C0007843" w:usb2="00000009" w:usb3="00000000" w:csb0="400001FF" w:csb1="FFFF0000"/>
  </w:font>
  <w:font w:name="仿宋_GB2312">
    <w:altName w:val="仿宋"/>
    <w:panose1 w:val="00000000000000000000"/>
    <w:charset w:val="86"/>
    <w:family w:val="modern"/>
    <w:pitch w:val="default"/>
    <w:sig w:usb0="00000000" w:usb1="00000000" w:usb2="00000000" w:usb3="00000000" w:csb0="00040000" w:csb1="00000000"/>
  </w:font>
  <w:font w:name="方正小标宋简体">
    <w:panose1 w:val="02010601030101010101"/>
    <w:charset w:val="86"/>
    <w:family w:val="script"/>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pPr>
  </w:p>
  <w:p>
    <w:pPr>
      <w:pStyle w:val="23"/>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rPr>
        <w:sz w:val="21"/>
        <w:szCs w:val="21"/>
      </w:rPr>
    </w:pPr>
    <w:r>
      <w:rPr>
        <w:sz w:val="21"/>
      </w:rPr>
      <w:pict>
        <v:shape id="_x0000_s2049" o:spid="_x0000_s2049"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path/>
          <v:fill on="f" focussize="0,0"/>
          <v:stroke on="f" joinstyle="miter"/>
          <v:imagedata o:title=""/>
          <o:lock v:ext="edit"/>
          <v:textbox inset="0mm,0mm,0mm,0mm" style="mso-fit-shape-to-text:t;">
            <w:txbxContent>
              <w:p>
                <w:pPr>
                  <w:pStyle w:val="23"/>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34</w:t>
                </w:r>
                <w:r>
                  <w:rPr>
                    <w:sz w:val="21"/>
                    <w:szCs w:val="21"/>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thickThinSmallGap" w:color="auto" w:sz="12" w:space="1"/>
        <w:between w:val="thickThinSmallGap" w:color="auto" w:sz="12" w:space="1"/>
      </w:pBdr>
      <w:rPr>
        <w:rFonts w:eastAsia="仿宋_GB2312"/>
        <w:color w:val="0C0C0C"/>
        <w:sz w:val="21"/>
        <w:szCs w:val="21"/>
      </w:rPr>
    </w:pPr>
    <w:r>
      <w:rPr>
        <w:rFonts w:hint="eastAsia" w:eastAsia="仿宋_GB2312"/>
        <w:color w:val="0C0C0C"/>
        <w:sz w:val="21"/>
        <w:szCs w:val="21"/>
      </w:rPr>
      <w:t>山西省静乐县国家</w:t>
    </w:r>
    <w:r>
      <w:rPr>
        <w:rFonts w:eastAsia="仿宋_GB2312"/>
        <w:color w:val="0C0C0C"/>
        <w:sz w:val="21"/>
        <w:szCs w:val="21"/>
      </w:rPr>
      <w:t>生态文明建设示范区规划（202</w:t>
    </w:r>
    <w:r>
      <w:rPr>
        <w:rFonts w:hint="eastAsia" w:eastAsia="仿宋_GB2312"/>
        <w:color w:val="0C0C0C"/>
        <w:sz w:val="21"/>
        <w:szCs w:val="21"/>
      </w:rPr>
      <w:t>3</w:t>
    </w:r>
    <w:r>
      <w:rPr>
        <w:rFonts w:eastAsia="仿宋_GB2312"/>
        <w:color w:val="0C0C0C"/>
        <w:sz w:val="21"/>
        <w:szCs w:val="21"/>
      </w:rPr>
      <w:t>-20</w:t>
    </w:r>
    <w:r>
      <w:rPr>
        <w:rFonts w:hint="eastAsia" w:eastAsia="仿宋_GB2312"/>
        <w:color w:val="0C0C0C"/>
        <w:sz w:val="21"/>
        <w:szCs w:val="21"/>
      </w:rPr>
      <w:t>30</w:t>
    </w:r>
    <w:r>
      <w:rPr>
        <w:rFonts w:eastAsia="仿宋_GB2312"/>
        <w:color w:val="0C0C0C"/>
        <w:sz w:val="21"/>
        <w:szCs w:val="21"/>
      </w:rPr>
      <w:t>年）</w:t>
    </w:r>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thickThinSmallGap" w:color="auto" w:sz="12" w:space="1"/>
        <w:between w:val="thickThinSmallGap" w:color="auto" w:sz="12" w:space="1"/>
      </w:pBdr>
      <w:rPr>
        <w:rFonts w:eastAsia="仿宋_GB2312"/>
        <w:color w:val="0C0C0C" w:themeColor="text1" w:themeTint="F2"/>
        <w:sz w:val="21"/>
        <w:szCs w:val="21"/>
      </w:rPr>
    </w:pPr>
    <w:r>
      <w:rPr>
        <w:rFonts w:hint="eastAsia" w:eastAsia="仿宋_GB2312"/>
        <w:color w:val="0C0C0C" w:themeColor="text1" w:themeTint="F2"/>
        <w:sz w:val="21"/>
        <w:szCs w:val="21"/>
      </w:rPr>
      <w:t>山西省静乐县</w:t>
    </w:r>
    <w:r>
      <w:rPr>
        <w:rFonts w:eastAsia="仿宋_GB2312"/>
        <w:color w:val="0C0C0C" w:themeColor="text1" w:themeTint="F2"/>
        <w:sz w:val="21"/>
        <w:szCs w:val="21"/>
      </w:rPr>
      <w:t>国家生态文明建设示范区规划</w:t>
    </w:r>
    <w:r>
      <w:rPr>
        <w:rFonts w:hint="eastAsia" w:eastAsia="仿宋_GB2312"/>
        <w:color w:val="0C0C0C" w:themeColor="text1" w:themeTint="F2"/>
        <w:sz w:val="21"/>
        <w:szCs w:val="21"/>
      </w:rPr>
      <w:t>（2023-2030年）</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CB7346"/>
    <w:multiLevelType w:val="singleLevel"/>
    <w:tmpl w:val="A1CB7346"/>
    <w:lvl w:ilvl="0" w:tentative="0">
      <w:start w:val="6"/>
      <w:numFmt w:val="decimal"/>
      <w:suff w:val="space"/>
      <w:lvlText w:val="%1."/>
      <w:lvlJc w:val="left"/>
    </w:lvl>
  </w:abstractNum>
  <w:abstractNum w:abstractNumId="1">
    <w:nsid w:val="22A5CAF9"/>
    <w:multiLevelType w:val="singleLevel"/>
    <w:tmpl w:val="22A5CAF9"/>
    <w:lvl w:ilvl="0" w:tentative="0">
      <w:start w:val="4"/>
      <w:numFmt w:val="decimal"/>
      <w:suff w:val="space"/>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noPunctuationKerning w:val="1"/>
  <w:characterSpacingControl w:val="doNotCompress"/>
  <w:hdrShapeDefaults>
    <o:shapelayout v:ext="edit">
      <o:idmap v:ext="edit" data="2"/>
    </o:shapelayout>
  </w:hdrShapeDefaults>
  <w:compat>
    <w:doNotLeaveBackslashAlone/>
    <w:doNotExpandShiftReturn/>
    <w:doNotWrapTextWithPunct/>
    <w:doNotUseEastAsianBreakRules/>
    <w:useFELayout/>
    <w:doNotUseIndentAsNumberingTabStop/>
    <w:compatSetting w:name="compatibilityMode" w:uri="http://schemas.microsoft.com/office/word" w:val="12"/>
  </w:compat>
  <w:docVars>
    <w:docVar w:name="commondata" w:val="eyJoZGlkIjoiYzg2Y2YwNWI3NWVjYWZkZDliNTkzYTc3YjZiNDFmMDEifQ=="/>
  </w:docVars>
  <w:rsids>
    <w:rsidRoot w:val="004D377D"/>
    <w:rsid w:val="000010AE"/>
    <w:rsid w:val="00002EE9"/>
    <w:rsid w:val="00003D6D"/>
    <w:rsid w:val="000057BF"/>
    <w:rsid w:val="00006494"/>
    <w:rsid w:val="00010533"/>
    <w:rsid w:val="00010EB8"/>
    <w:rsid w:val="00010F97"/>
    <w:rsid w:val="00010FCD"/>
    <w:rsid w:val="00011B96"/>
    <w:rsid w:val="00012056"/>
    <w:rsid w:val="000133AB"/>
    <w:rsid w:val="000135FF"/>
    <w:rsid w:val="00013B19"/>
    <w:rsid w:val="000142E9"/>
    <w:rsid w:val="0001436E"/>
    <w:rsid w:val="0001496B"/>
    <w:rsid w:val="00014EB4"/>
    <w:rsid w:val="00015509"/>
    <w:rsid w:val="000155D2"/>
    <w:rsid w:val="000171C1"/>
    <w:rsid w:val="000173E7"/>
    <w:rsid w:val="0001748C"/>
    <w:rsid w:val="00017C83"/>
    <w:rsid w:val="00020048"/>
    <w:rsid w:val="00020561"/>
    <w:rsid w:val="00021CD8"/>
    <w:rsid w:val="0002207B"/>
    <w:rsid w:val="00022311"/>
    <w:rsid w:val="0002382D"/>
    <w:rsid w:val="00024B8D"/>
    <w:rsid w:val="00024C11"/>
    <w:rsid w:val="00026FFF"/>
    <w:rsid w:val="00027F6B"/>
    <w:rsid w:val="00030DFB"/>
    <w:rsid w:val="00031A3E"/>
    <w:rsid w:val="00033359"/>
    <w:rsid w:val="00033978"/>
    <w:rsid w:val="00034D29"/>
    <w:rsid w:val="00034FB9"/>
    <w:rsid w:val="000352BE"/>
    <w:rsid w:val="00037590"/>
    <w:rsid w:val="00037E72"/>
    <w:rsid w:val="00041BFE"/>
    <w:rsid w:val="00041FB4"/>
    <w:rsid w:val="000444DF"/>
    <w:rsid w:val="00044C34"/>
    <w:rsid w:val="00045135"/>
    <w:rsid w:val="00045A59"/>
    <w:rsid w:val="000464CE"/>
    <w:rsid w:val="00047C86"/>
    <w:rsid w:val="00051907"/>
    <w:rsid w:val="00051C8C"/>
    <w:rsid w:val="00051E86"/>
    <w:rsid w:val="00051FD3"/>
    <w:rsid w:val="00052561"/>
    <w:rsid w:val="000528B8"/>
    <w:rsid w:val="00052F87"/>
    <w:rsid w:val="000535CF"/>
    <w:rsid w:val="00053861"/>
    <w:rsid w:val="000538C6"/>
    <w:rsid w:val="00053E38"/>
    <w:rsid w:val="00053F88"/>
    <w:rsid w:val="00054005"/>
    <w:rsid w:val="00055218"/>
    <w:rsid w:val="000554BE"/>
    <w:rsid w:val="000555AE"/>
    <w:rsid w:val="0005583E"/>
    <w:rsid w:val="00056B30"/>
    <w:rsid w:val="0005731E"/>
    <w:rsid w:val="00057522"/>
    <w:rsid w:val="000577B2"/>
    <w:rsid w:val="00057BFF"/>
    <w:rsid w:val="000610D3"/>
    <w:rsid w:val="00061332"/>
    <w:rsid w:val="0006146C"/>
    <w:rsid w:val="00061AC5"/>
    <w:rsid w:val="00061DDA"/>
    <w:rsid w:val="000623F6"/>
    <w:rsid w:val="00062B8F"/>
    <w:rsid w:val="00062E79"/>
    <w:rsid w:val="000640AC"/>
    <w:rsid w:val="00064160"/>
    <w:rsid w:val="00064D6F"/>
    <w:rsid w:val="00065291"/>
    <w:rsid w:val="00065519"/>
    <w:rsid w:val="00065ED6"/>
    <w:rsid w:val="00065EDB"/>
    <w:rsid w:val="0006739D"/>
    <w:rsid w:val="000708B2"/>
    <w:rsid w:val="000716F8"/>
    <w:rsid w:val="000717DA"/>
    <w:rsid w:val="00071F7D"/>
    <w:rsid w:val="000733F2"/>
    <w:rsid w:val="00074480"/>
    <w:rsid w:val="00074A2A"/>
    <w:rsid w:val="00075141"/>
    <w:rsid w:val="00076DAD"/>
    <w:rsid w:val="00076E75"/>
    <w:rsid w:val="00077EC5"/>
    <w:rsid w:val="0008009B"/>
    <w:rsid w:val="00080D6B"/>
    <w:rsid w:val="0008130D"/>
    <w:rsid w:val="000816EE"/>
    <w:rsid w:val="00082413"/>
    <w:rsid w:val="00082436"/>
    <w:rsid w:val="000825D0"/>
    <w:rsid w:val="00082B5D"/>
    <w:rsid w:val="00083044"/>
    <w:rsid w:val="00083FD7"/>
    <w:rsid w:val="000840AD"/>
    <w:rsid w:val="00084714"/>
    <w:rsid w:val="00085320"/>
    <w:rsid w:val="00085397"/>
    <w:rsid w:val="00085896"/>
    <w:rsid w:val="00085B6B"/>
    <w:rsid w:val="000864BE"/>
    <w:rsid w:val="000869AB"/>
    <w:rsid w:val="00086A2C"/>
    <w:rsid w:val="00086FA4"/>
    <w:rsid w:val="00087C49"/>
    <w:rsid w:val="00090684"/>
    <w:rsid w:val="00090E5A"/>
    <w:rsid w:val="00090F8C"/>
    <w:rsid w:val="00090FD3"/>
    <w:rsid w:val="000919CF"/>
    <w:rsid w:val="00091BDE"/>
    <w:rsid w:val="00091CAF"/>
    <w:rsid w:val="00093A8A"/>
    <w:rsid w:val="00094099"/>
    <w:rsid w:val="000946A3"/>
    <w:rsid w:val="00094BC9"/>
    <w:rsid w:val="000950F8"/>
    <w:rsid w:val="00095551"/>
    <w:rsid w:val="0009595D"/>
    <w:rsid w:val="00095BE0"/>
    <w:rsid w:val="0009603E"/>
    <w:rsid w:val="00096B8B"/>
    <w:rsid w:val="000A069D"/>
    <w:rsid w:val="000A06B1"/>
    <w:rsid w:val="000A1D56"/>
    <w:rsid w:val="000A23B4"/>
    <w:rsid w:val="000A2EF7"/>
    <w:rsid w:val="000A401A"/>
    <w:rsid w:val="000A4A1E"/>
    <w:rsid w:val="000A4C5F"/>
    <w:rsid w:val="000A4FCC"/>
    <w:rsid w:val="000A6929"/>
    <w:rsid w:val="000A6C86"/>
    <w:rsid w:val="000A6D29"/>
    <w:rsid w:val="000A7E1F"/>
    <w:rsid w:val="000B0452"/>
    <w:rsid w:val="000B0C6A"/>
    <w:rsid w:val="000B1298"/>
    <w:rsid w:val="000B1831"/>
    <w:rsid w:val="000B1EBD"/>
    <w:rsid w:val="000B2A58"/>
    <w:rsid w:val="000B3133"/>
    <w:rsid w:val="000B3EEB"/>
    <w:rsid w:val="000B4B74"/>
    <w:rsid w:val="000B5275"/>
    <w:rsid w:val="000B5812"/>
    <w:rsid w:val="000B62AE"/>
    <w:rsid w:val="000B6569"/>
    <w:rsid w:val="000B7B43"/>
    <w:rsid w:val="000C08F9"/>
    <w:rsid w:val="000C0B97"/>
    <w:rsid w:val="000C0D57"/>
    <w:rsid w:val="000C0DE3"/>
    <w:rsid w:val="000C2F7A"/>
    <w:rsid w:val="000C367D"/>
    <w:rsid w:val="000C45F2"/>
    <w:rsid w:val="000C5967"/>
    <w:rsid w:val="000C660B"/>
    <w:rsid w:val="000C68BA"/>
    <w:rsid w:val="000C6D70"/>
    <w:rsid w:val="000C7F94"/>
    <w:rsid w:val="000D0034"/>
    <w:rsid w:val="000D03D1"/>
    <w:rsid w:val="000D0FA4"/>
    <w:rsid w:val="000D12AC"/>
    <w:rsid w:val="000D1A27"/>
    <w:rsid w:val="000D2204"/>
    <w:rsid w:val="000D25F4"/>
    <w:rsid w:val="000D2611"/>
    <w:rsid w:val="000D2DF6"/>
    <w:rsid w:val="000D3D4C"/>
    <w:rsid w:val="000D3F18"/>
    <w:rsid w:val="000D46BD"/>
    <w:rsid w:val="000D4B75"/>
    <w:rsid w:val="000D6FE5"/>
    <w:rsid w:val="000D7445"/>
    <w:rsid w:val="000D783E"/>
    <w:rsid w:val="000E10EC"/>
    <w:rsid w:val="000E1456"/>
    <w:rsid w:val="000E2EBA"/>
    <w:rsid w:val="000E3B0F"/>
    <w:rsid w:val="000E3C2F"/>
    <w:rsid w:val="000E4FFB"/>
    <w:rsid w:val="000E5220"/>
    <w:rsid w:val="000E55D6"/>
    <w:rsid w:val="000E58D7"/>
    <w:rsid w:val="000E60FF"/>
    <w:rsid w:val="000E6ABB"/>
    <w:rsid w:val="000E7293"/>
    <w:rsid w:val="000E751C"/>
    <w:rsid w:val="000E7B65"/>
    <w:rsid w:val="000F00F3"/>
    <w:rsid w:val="000F0ACF"/>
    <w:rsid w:val="000F0AD3"/>
    <w:rsid w:val="000F1E95"/>
    <w:rsid w:val="000F212A"/>
    <w:rsid w:val="000F25B1"/>
    <w:rsid w:val="000F3B6C"/>
    <w:rsid w:val="000F543E"/>
    <w:rsid w:val="000F6DB6"/>
    <w:rsid w:val="000F6F71"/>
    <w:rsid w:val="00100E47"/>
    <w:rsid w:val="00101884"/>
    <w:rsid w:val="00101CDD"/>
    <w:rsid w:val="0010228C"/>
    <w:rsid w:val="00102F27"/>
    <w:rsid w:val="00102F9C"/>
    <w:rsid w:val="001037B0"/>
    <w:rsid w:val="001037EA"/>
    <w:rsid w:val="00103C4C"/>
    <w:rsid w:val="00103D81"/>
    <w:rsid w:val="0010499F"/>
    <w:rsid w:val="00106589"/>
    <w:rsid w:val="00106912"/>
    <w:rsid w:val="00106F59"/>
    <w:rsid w:val="00107EA3"/>
    <w:rsid w:val="0011098F"/>
    <w:rsid w:val="00111B81"/>
    <w:rsid w:val="00111D00"/>
    <w:rsid w:val="00111F93"/>
    <w:rsid w:val="00112B47"/>
    <w:rsid w:val="00112C28"/>
    <w:rsid w:val="0011328C"/>
    <w:rsid w:val="001143E6"/>
    <w:rsid w:val="0011484F"/>
    <w:rsid w:val="00114960"/>
    <w:rsid w:val="00114A4B"/>
    <w:rsid w:val="00114BE2"/>
    <w:rsid w:val="00114D20"/>
    <w:rsid w:val="00116044"/>
    <w:rsid w:val="0011773E"/>
    <w:rsid w:val="00117A1E"/>
    <w:rsid w:val="0012015C"/>
    <w:rsid w:val="00120C95"/>
    <w:rsid w:val="001218FC"/>
    <w:rsid w:val="001219A7"/>
    <w:rsid w:val="00122ABB"/>
    <w:rsid w:val="001231FD"/>
    <w:rsid w:val="00123CD6"/>
    <w:rsid w:val="00124C9B"/>
    <w:rsid w:val="00125578"/>
    <w:rsid w:val="001259CA"/>
    <w:rsid w:val="001270C8"/>
    <w:rsid w:val="0012717D"/>
    <w:rsid w:val="001272D6"/>
    <w:rsid w:val="0012771F"/>
    <w:rsid w:val="00127A26"/>
    <w:rsid w:val="00127D43"/>
    <w:rsid w:val="00130495"/>
    <w:rsid w:val="00130B96"/>
    <w:rsid w:val="00130D76"/>
    <w:rsid w:val="0013272D"/>
    <w:rsid w:val="00134195"/>
    <w:rsid w:val="001347DE"/>
    <w:rsid w:val="00134AD6"/>
    <w:rsid w:val="00135117"/>
    <w:rsid w:val="0013604E"/>
    <w:rsid w:val="001362E7"/>
    <w:rsid w:val="00137300"/>
    <w:rsid w:val="00137414"/>
    <w:rsid w:val="001379E0"/>
    <w:rsid w:val="0014110F"/>
    <w:rsid w:val="00141C57"/>
    <w:rsid w:val="00142ADC"/>
    <w:rsid w:val="00142B10"/>
    <w:rsid w:val="00142BB9"/>
    <w:rsid w:val="001431CB"/>
    <w:rsid w:val="001435FD"/>
    <w:rsid w:val="001439C2"/>
    <w:rsid w:val="00144AB9"/>
    <w:rsid w:val="00145436"/>
    <w:rsid w:val="001460E8"/>
    <w:rsid w:val="001461EC"/>
    <w:rsid w:val="00147F58"/>
    <w:rsid w:val="00147FD2"/>
    <w:rsid w:val="00150420"/>
    <w:rsid w:val="00150D70"/>
    <w:rsid w:val="001512CB"/>
    <w:rsid w:val="001514EB"/>
    <w:rsid w:val="00151CBE"/>
    <w:rsid w:val="00152216"/>
    <w:rsid w:val="00152251"/>
    <w:rsid w:val="0015244C"/>
    <w:rsid w:val="00152911"/>
    <w:rsid w:val="00152C64"/>
    <w:rsid w:val="0015377F"/>
    <w:rsid w:val="00154F6A"/>
    <w:rsid w:val="00155390"/>
    <w:rsid w:val="00155740"/>
    <w:rsid w:val="00156407"/>
    <w:rsid w:val="0015679E"/>
    <w:rsid w:val="00156880"/>
    <w:rsid w:val="001569E9"/>
    <w:rsid w:val="00156BA7"/>
    <w:rsid w:val="00156BF1"/>
    <w:rsid w:val="00157BDB"/>
    <w:rsid w:val="00160802"/>
    <w:rsid w:val="001608BF"/>
    <w:rsid w:val="00160909"/>
    <w:rsid w:val="00161729"/>
    <w:rsid w:val="00162A90"/>
    <w:rsid w:val="00162BF3"/>
    <w:rsid w:val="001630DC"/>
    <w:rsid w:val="00163170"/>
    <w:rsid w:val="001638C3"/>
    <w:rsid w:val="00163DF2"/>
    <w:rsid w:val="00164C59"/>
    <w:rsid w:val="00164D2A"/>
    <w:rsid w:val="001654A7"/>
    <w:rsid w:val="0016579C"/>
    <w:rsid w:val="00165CFE"/>
    <w:rsid w:val="00165F20"/>
    <w:rsid w:val="00166282"/>
    <w:rsid w:val="00166A76"/>
    <w:rsid w:val="00166F3B"/>
    <w:rsid w:val="00167609"/>
    <w:rsid w:val="001707D4"/>
    <w:rsid w:val="00170B11"/>
    <w:rsid w:val="00170FAE"/>
    <w:rsid w:val="00171701"/>
    <w:rsid w:val="00172901"/>
    <w:rsid w:val="00173B3F"/>
    <w:rsid w:val="0017472A"/>
    <w:rsid w:val="0017493B"/>
    <w:rsid w:val="00174B1B"/>
    <w:rsid w:val="0017542B"/>
    <w:rsid w:val="0017584A"/>
    <w:rsid w:val="001761D0"/>
    <w:rsid w:val="00176888"/>
    <w:rsid w:val="00177A96"/>
    <w:rsid w:val="00177B74"/>
    <w:rsid w:val="00180364"/>
    <w:rsid w:val="0018053F"/>
    <w:rsid w:val="00180D43"/>
    <w:rsid w:val="00181388"/>
    <w:rsid w:val="0018206F"/>
    <w:rsid w:val="001821D8"/>
    <w:rsid w:val="0018283B"/>
    <w:rsid w:val="00182F22"/>
    <w:rsid w:val="0018534A"/>
    <w:rsid w:val="00185422"/>
    <w:rsid w:val="00186148"/>
    <w:rsid w:val="00186D40"/>
    <w:rsid w:val="00186FA1"/>
    <w:rsid w:val="00187B93"/>
    <w:rsid w:val="00187E80"/>
    <w:rsid w:val="001905C6"/>
    <w:rsid w:val="001908F3"/>
    <w:rsid w:val="00190F1F"/>
    <w:rsid w:val="00190F91"/>
    <w:rsid w:val="00191E5A"/>
    <w:rsid w:val="00192407"/>
    <w:rsid w:val="00192EBB"/>
    <w:rsid w:val="00192FB2"/>
    <w:rsid w:val="001934F4"/>
    <w:rsid w:val="001937A7"/>
    <w:rsid w:val="00193BE4"/>
    <w:rsid w:val="001949DC"/>
    <w:rsid w:val="00194BD3"/>
    <w:rsid w:val="00195C06"/>
    <w:rsid w:val="001967E3"/>
    <w:rsid w:val="001A02E4"/>
    <w:rsid w:val="001A0ACE"/>
    <w:rsid w:val="001A12EE"/>
    <w:rsid w:val="001A1929"/>
    <w:rsid w:val="001A26FE"/>
    <w:rsid w:val="001A2D0E"/>
    <w:rsid w:val="001A3825"/>
    <w:rsid w:val="001A38C7"/>
    <w:rsid w:val="001A39D8"/>
    <w:rsid w:val="001A4A4B"/>
    <w:rsid w:val="001A5E1F"/>
    <w:rsid w:val="001A5F28"/>
    <w:rsid w:val="001A7CE1"/>
    <w:rsid w:val="001A7F34"/>
    <w:rsid w:val="001B136E"/>
    <w:rsid w:val="001B1653"/>
    <w:rsid w:val="001B1EA9"/>
    <w:rsid w:val="001B305E"/>
    <w:rsid w:val="001B3378"/>
    <w:rsid w:val="001B39E0"/>
    <w:rsid w:val="001B3C48"/>
    <w:rsid w:val="001B4D8C"/>
    <w:rsid w:val="001B595D"/>
    <w:rsid w:val="001B5F0C"/>
    <w:rsid w:val="001C01F5"/>
    <w:rsid w:val="001C0974"/>
    <w:rsid w:val="001C128E"/>
    <w:rsid w:val="001C1395"/>
    <w:rsid w:val="001C19A2"/>
    <w:rsid w:val="001C2A1E"/>
    <w:rsid w:val="001C301B"/>
    <w:rsid w:val="001C4055"/>
    <w:rsid w:val="001C416D"/>
    <w:rsid w:val="001C4B62"/>
    <w:rsid w:val="001C4CFC"/>
    <w:rsid w:val="001C5513"/>
    <w:rsid w:val="001C6FE3"/>
    <w:rsid w:val="001C7478"/>
    <w:rsid w:val="001C76A9"/>
    <w:rsid w:val="001C770F"/>
    <w:rsid w:val="001C7EC6"/>
    <w:rsid w:val="001C7FD1"/>
    <w:rsid w:val="001D08BC"/>
    <w:rsid w:val="001D0E16"/>
    <w:rsid w:val="001D1036"/>
    <w:rsid w:val="001D1564"/>
    <w:rsid w:val="001D16D8"/>
    <w:rsid w:val="001D25C3"/>
    <w:rsid w:val="001D3814"/>
    <w:rsid w:val="001D3D38"/>
    <w:rsid w:val="001D47F9"/>
    <w:rsid w:val="001D5870"/>
    <w:rsid w:val="001D590C"/>
    <w:rsid w:val="001D623F"/>
    <w:rsid w:val="001D64D9"/>
    <w:rsid w:val="001D6958"/>
    <w:rsid w:val="001D7640"/>
    <w:rsid w:val="001E0355"/>
    <w:rsid w:val="001E0D87"/>
    <w:rsid w:val="001E0F61"/>
    <w:rsid w:val="001E1578"/>
    <w:rsid w:val="001E1F67"/>
    <w:rsid w:val="001E2C98"/>
    <w:rsid w:val="001E3153"/>
    <w:rsid w:val="001E3239"/>
    <w:rsid w:val="001E332B"/>
    <w:rsid w:val="001E3482"/>
    <w:rsid w:val="001E37D7"/>
    <w:rsid w:val="001E3D69"/>
    <w:rsid w:val="001E3E33"/>
    <w:rsid w:val="001E4134"/>
    <w:rsid w:val="001E514A"/>
    <w:rsid w:val="001E5336"/>
    <w:rsid w:val="001E54C0"/>
    <w:rsid w:val="001E59BE"/>
    <w:rsid w:val="001E59F0"/>
    <w:rsid w:val="001E5F7F"/>
    <w:rsid w:val="001E6005"/>
    <w:rsid w:val="001E60BD"/>
    <w:rsid w:val="001F1455"/>
    <w:rsid w:val="001F16C3"/>
    <w:rsid w:val="001F17D0"/>
    <w:rsid w:val="001F1DFC"/>
    <w:rsid w:val="001F31A0"/>
    <w:rsid w:val="001F388E"/>
    <w:rsid w:val="001F3D0A"/>
    <w:rsid w:val="001F4296"/>
    <w:rsid w:val="001F44C3"/>
    <w:rsid w:val="001F479F"/>
    <w:rsid w:val="001F4AA3"/>
    <w:rsid w:val="001F4B3E"/>
    <w:rsid w:val="001F4D04"/>
    <w:rsid w:val="001F56A9"/>
    <w:rsid w:val="001F5754"/>
    <w:rsid w:val="001F5A72"/>
    <w:rsid w:val="001F6376"/>
    <w:rsid w:val="001F6707"/>
    <w:rsid w:val="001F6997"/>
    <w:rsid w:val="001F7A26"/>
    <w:rsid w:val="001F7C4D"/>
    <w:rsid w:val="0020033D"/>
    <w:rsid w:val="00200431"/>
    <w:rsid w:val="0020155D"/>
    <w:rsid w:val="00201D1E"/>
    <w:rsid w:val="0020208A"/>
    <w:rsid w:val="002022F0"/>
    <w:rsid w:val="0020360C"/>
    <w:rsid w:val="00203A03"/>
    <w:rsid w:val="00204687"/>
    <w:rsid w:val="0020484E"/>
    <w:rsid w:val="00206291"/>
    <w:rsid w:val="00206C52"/>
    <w:rsid w:val="00207932"/>
    <w:rsid w:val="00210049"/>
    <w:rsid w:val="00211194"/>
    <w:rsid w:val="00212DA3"/>
    <w:rsid w:val="00214A6E"/>
    <w:rsid w:val="002151BB"/>
    <w:rsid w:val="00215508"/>
    <w:rsid w:val="00216542"/>
    <w:rsid w:val="00217974"/>
    <w:rsid w:val="002212ED"/>
    <w:rsid w:val="00223EA1"/>
    <w:rsid w:val="002243A6"/>
    <w:rsid w:val="00225786"/>
    <w:rsid w:val="002257A0"/>
    <w:rsid w:val="00225889"/>
    <w:rsid w:val="002262EC"/>
    <w:rsid w:val="0022672B"/>
    <w:rsid w:val="00226899"/>
    <w:rsid w:val="00226CC1"/>
    <w:rsid w:val="00226FB2"/>
    <w:rsid w:val="0022717B"/>
    <w:rsid w:val="00230A99"/>
    <w:rsid w:val="00231883"/>
    <w:rsid w:val="00232271"/>
    <w:rsid w:val="00232764"/>
    <w:rsid w:val="002332CC"/>
    <w:rsid w:val="00233C81"/>
    <w:rsid w:val="00233DE6"/>
    <w:rsid w:val="0023494B"/>
    <w:rsid w:val="00235C2E"/>
    <w:rsid w:val="00236067"/>
    <w:rsid w:val="00237D95"/>
    <w:rsid w:val="002405AB"/>
    <w:rsid w:val="00240A81"/>
    <w:rsid w:val="00242208"/>
    <w:rsid w:val="0024355C"/>
    <w:rsid w:val="00243C3A"/>
    <w:rsid w:val="00244835"/>
    <w:rsid w:val="00244E09"/>
    <w:rsid w:val="00245277"/>
    <w:rsid w:val="00246AA1"/>
    <w:rsid w:val="00246AAB"/>
    <w:rsid w:val="0024715D"/>
    <w:rsid w:val="0025024D"/>
    <w:rsid w:val="00250548"/>
    <w:rsid w:val="002506D2"/>
    <w:rsid w:val="00251832"/>
    <w:rsid w:val="00251D63"/>
    <w:rsid w:val="00252B18"/>
    <w:rsid w:val="00254BE1"/>
    <w:rsid w:val="00254FAE"/>
    <w:rsid w:val="002552B7"/>
    <w:rsid w:val="002552FA"/>
    <w:rsid w:val="00256E41"/>
    <w:rsid w:val="00261010"/>
    <w:rsid w:val="0026106F"/>
    <w:rsid w:val="002613A5"/>
    <w:rsid w:val="00261B7D"/>
    <w:rsid w:val="00261D70"/>
    <w:rsid w:val="00262296"/>
    <w:rsid w:val="00263663"/>
    <w:rsid w:val="00263F35"/>
    <w:rsid w:val="00264442"/>
    <w:rsid w:val="0026497B"/>
    <w:rsid w:val="00265F77"/>
    <w:rsid w:val="00266921"/>
    <w:rsid w:val="00267914"/>
    <w:rsid w:val="00267964"/>
    <w:rsid w:val="0026799A"/>
    <w:rsid w:val="00270545"/>
    <w:rsid w:val="002705F4"/>
    <w:rsid w:val="00270D2E"/>
    <w:rsid w:val="00271160"/>
    <w:rsid w:val="00271546"/>
    <w:rsid w:val="00271CF0"/>
    <w:rsid w:val="00271E74"/>
    <w:rsid w:val="0027278E"/>
    <w:rsid w:val="00272AC7"/>
    <w:rsid w:val="0027328C"/>
    <w:rsid w:val="00273C87"/>
    <w:rsid w:val="00274615"/>
    <w:rsid w:val="0027487F"/>
    <w:rsid w:val="00274C4A"/>
    <w:rsid w:val="0027512E"/>
    <w:rsid w:val="00275309"/>
    <w:rsid w:val="0027588C"/>
    <w:rsid w:val="002773B6"/>
    <w:rsid w:val="00277A7F"/>
    <w:rsid w:val="00277DE2"/>
    <w:rsid w:val="0028154D"/>
    <w:rsid w:val="0028163F"/>
    <w:rsid w:val="0028298A"/>
    <w:rsid w:val="002829A1"/>
    <w:rsid w:val="00282C3D"/>
    <w:rsid w:val="00283833"/>
    <w:rsid w:val="0028392B"/>
    <w:rsid w:val="00283B60"/>
    <w:rsid w:val="00284497"/>
    <w:rsid w:val="0028545F"/>
    <w:rsid w:val="00287260"/>
    <w:rsid w:val="00287DA6"/>
    <w:rsid w:val="002901E8"/>
    <w:rsid w:val="0029056B"/>
    <w:rsid w:val="00291212"/>
    <w:rsid w:val="0029121B"/>
    <w:rsid w:val="0029166F"/>
    <w:rsid w:val="00291BE4"/>
    <w:rsid w:val="00293D52"/>
    <w:rsid w:val="00294266"/>
    <w:rsid w:val="002946DB"/>
    <w:rsid w:val="00294744"/>
    <w:rsid w:val="00294A33"/>
    <w:rsid w:val="00294F7D"/>
    <w:rsid w:val="002951C0"/>
    <w:rsid w:val="00295413"/>
    <w:rsid w:val="00295E6B"/>
    <w:rsid w:val="0029609B"/>
    <w:rsid w:val="002974DB"/>
    <w:rsid w:val="002976AE"/>
    <w:rsid w:val="002979A6"/>
    <w:rsid w:val="00297BDD"/>
    <w:rsid w:val="00297CF6"/>
    <w:rsid w:val="002A195D"/>
    <w:rsid w:val="002A1C91"/>
    <w:rsid w:val="002A1EBF"/>
    <w:rsid w:val="002A2767"/>
    <w:rsid w:val="002A2FC3"/>
    <w:rsid w:val="002A3EE2"/>
    <w:rsid w:val="002A4386"/>
    <w:rsid w:val="002A4D73"/>
    <w:rsid w:val="002A75B8"/>
    <w:rsid w:val="002B0569"/>
    <w:rsid w:val="002B08E4"/>
    <w:rsid w:val="002B0D90"/>
    <w:rsid w:val="002B0FBB"/>
    <w:rsid w:val="002B1522"/>
    <w:rsid w:val="002B16DC"/>
    <w:rsid w:val="002B1857"/>
    <w:rsid w:val="002B28CF"/>
    <w:rsid w:val="002B3672"/>
    <w:rsid w:val="002B3C96"/>
    <w:rsid w:val="002B5AB0"/>
    <w:rsid w:val="002B603B"/>
    <w:rsid w:val="002B6CE3"/>
    <w:rsid w:val="002B7603"/>
    <w:rsid w:val="002C0A2F"/>
    <w:rsid w:val="002C1081"/>
    <w:rsid w:val="002C1431"/>
    <w:rsid w:val="002C1BDE"/>
    <w:rsid w:val="002C2113"/>
    <w:rsid w:val="002C22C6"/>
    <w:rsid w:val="002C2360"/>
    <w:rsid w:val="002C2B1D"/>
    <w:rsid w:val="002C3390"/>
    <w:rsid w:val="002C40F5"/>
    <w:rsid w:val="002C58E2"/>
    <w:rsid w:val="002C5A95"/>
    <w:rsid w:val="002C6EFF"/>
    <w:rsid w:val="002D0F37"/>
    <w:rsid w:val="002D1AB8"/>
    <w:rsid w:val="002D1DD8"/>
    <w:rsid w:val="002D23BE"/>
    <w:rsid w:val="002D3A4F"/>
    <w:rsid w:val="002D4921"/>
    <w:rsid w:val="002D4B8F"/>
    <w:rsid w:val="002D5474"/>
    <w:rsid w:val="002D58C2"/>
    <w:rsid w:val="002D5EB3"/>
    <w:rsid w:val="002D7171"/>
    <w:rsid w:val="002D75EC"/>
    <w:rsid w:val="002D781E"/>
    <w:rsid w:val="002E0279"/>
    <w:rsid w:val="002E05B3"/>
    <w:rsid w:val="002E064B"/>
    <w:rsid w:val="002E0A56"/>
    <w:rsid w:val="002E12AF"/>
    <w:rsid w:val="002E19C8"/>
    <w:rsid w:val="002E1B39"/>
    <w:rsid w:val="002E242B"/>
    <w:rsid w:val="002E3521"/>
    <w:rsid w:val="002E3E69"/>
    <w:rsid w:val="002E3E7E"/>
    <w:rsid w:val="002E4009"/>
    <w:rsid w:val="002E5292"/>
    <w:rsid w:val="002E58C5"/>
    <w:rsid w:val="002E5AAF"/>
    <w:rsid w:val="002E61EE"/>
    <w:rsid w:val="002E632A"/>
    <w:rsid w:val="002E6583"/>
    <w:rsid w:val="002E78CA"/>
    <w:rsid w:val="002E7E94"/>
    <w:rsid w:val="002F0617"/>
    <w:rsid w:val="002F1CA4"/>
    <w:rsid w:val="002F1EC2"/>
    <w:rsid w:val="002F1F5D"/>
    <w:rsid w:val="002F26B1"/>
    <w:rsid w:val="002F3445"/>
    <w:rsid w:val="002F3A58"/>
    <w:rsid w:val="002F4329"/>
    <w:rsid w:val="002F4676"/>
    <w:rsid w:val="002F4703"/>
    <w:rsid w:val="002F4CBE"/>
    <w:rsid w:val="002F546A"/>
    <w:rsid w:val="002F5674"/>
    <w:rsid w:val="002F62B0"/>
    <w:rsid w:val="002F6DFD"/>
    <w:rsid w:val="002F6F6F"/>
    <w:rsid w:val="002F7DEA"/>
    <w:rsid w:val="00300409"/>
    <w:rsid w:val="003012BA"/>
    <w:rsid w:val="003014B1"/>
    <w:rsid w:val="00301E55"/>
    <w:rsid w:val="00302413"/>
    <w:rsid w:val="003033B8"/>
    <w:rsid w:val="003038CE"/>
    <w:rsid w:val="00303D3E"/>
    <w:rsid w:val="00303D6C"/>
    <w:rsid w:val="003050E5"/>
    <w:rsid w:val="0030513D"/>
    <w:rsid w:val="00305433"/>
    <w:rsid w:val="003064BE"/>
    <w:rsid w:val="00306AD3"/>
    <w:rsid w:val="00306B48"/>
    <w:rsid w:val="00306E90"/>
    <w:rsid w:val="00307501"/>
    <w:rsid w:val="00307884"/>
    <w:rsid w:val="00307999"/>
    <w:rsid w:val="0031089A"/>
    <w:rsid w:val="00311023"/>
    <w:rsid w:val="0031188B"/>
    <w:rsid w:val="00311ACD"/>
    <w:rsid w:val="00311C90"/>
    <w:rsid w:val="00312855"/>
    <w:rsid w:val="00312DDF"/>
    <w:rsid w:val="0031458A"/>
    <w:rsid w:val="00314A62"/>
    <w:rsid w:val="00314B3C"/>
    <w:rsid w:val="00314B69"/>
    <w:rsid w:val="00315BE5"/>
    <w:rsid w:val="00316513"/>
    <w:rsid w:val="0031671A"/>
    <w:rsid w:val="00316E53"/>
    <w:rsid w:val="0031754F"/>
    <w:rsid w:val="003176D0"/>
    <w:rsid w:val="00317D2A"/>
    <w:rsid w:val="00320BC5"/>
    <w:rsid w:val="0032172C"/>
    <w:rsid w:val="00321BB6"/>
    <w:rsid w:val="00321DBB"/>
    <w:rsid w:val="00322100"/>
    <w:rsid w:val="00322B0D"/>
    <w:rsid w:val="00322C06"/>
    <w:rsid w:val="0032422F"/>
    <w:rsid w:val="003252CC"/>
    <w:rsid w:val="00325B07"/>
    <w:rsid w:val="00325CA2"/>
    <w:rsid w:val="00327621"/>
    <w:rsid w:val="00327755"/>
    <w:rsid w:val="00330AC9"/>
    <w:rsid w:val="003310B9"/>
    <w:rsid w:val="00332356"/>
    <w:rsid w:val="00332627"/>
    <w:rsid w:val="00332AAA"/>
    <w:rsid w:val="003332D1"/>
    <w:rsid w:val="003336BC"/>
    <w:rsid w:val="00334DE7"/>
    <w:rsid w:val="00334E84"/>
    <w:rsid w:val="00334FD4"/>
    <w:rsid w:val="0033509D"/>
    <w:rsid w:val="003354E1"/>
    <w:rsid w:val="00335F33"/>
    <w:rsid w:val="003367D8"/>
    <w:rsid w:val="00337C42"/>
    <w:rsid w:val="00340432"/>
    <w:rsid w:val="00340903"/>
    <w:rsid w:val="00340E14"/>
    <w:rsid w:val="00343AA1"/>
    <w:rsid w:val="0034406E"/>
    <w:rsid w:val="0034481A"/>
    <w:rsid w:val="00344C0B"/>
    <w:rsid w:val="00344D35"/>
    <w:rsid w:val="00344F1E"/>
    <w:rsid w:val="0034502C"/>
    <w:rsid w:val="00346DC4"/>
    <w:rsid w:val="003475E0"/>
    <w:rsid w:val="0034767B"/>
    <w:rsid w:val="00347796"/>
    <w:rsid w:val="00347C21"/>
    <w:rsid w:val="00347EA2"/>
    <w:rsid w:val="003500B1"/>
    <w:rsid w:val="003500CF"/>
    <w:rsid w:val="0035038B"/>
    <w:rsid w:val="003505F1"/>
    <w:rsid w:val="003508AE"/>
    <w:rsid w:val="00350A55"/>
    <w:rsid w:val="00350EF0"/>
    <w:rsid w:val="0035313E"/>
    <w:rsid w:val="00353752"/>
    <w:rsid w:val="00353BF2"/>
    <w:rsid w:val="00353C9A"/>
    <w:rsid w:val="00353FAC"/>
    <w:rsid w:val="00354493"/>
    <w:rsid w:val="003554FD"/>
    <w:rsid w:val="00355644"/>
    <w:rsid w:val="003557D9"/>
    <w:rsid w:val="003559E1"/>
    <w:rsid w:val="00355A72"/>
    <w:rsid w:val="003562D5"/>
    <w:rsid w:val="003565C6"/>
    <w:rsid w:val="0035676B"/>
    <w:rsid w:val="00360006"/>
    <w:rsid w:val="00360A90"/>
    <w:rsid w:val="003612C6"/>
    <w:rsid w:val="003614CC"/>
    <w:rsid w:val="00362271"/>
    <w:rsid w:val="003625AC"/>
    <w:rsid w:val="003626BF"/>
    <w:rsid w:val="00362803"/>
    <w:rsid w:val="003628C2"/>
    <w:rsid w:val="00362A1A"/>
    <w:rsid w:val="00363340"/>
    <w:rsid w:val="003640BA"/>
    <w:rsid w:val="003646F5"/>
    <w:rsid w:val="00364BC6"/>
    <w:rsid w:val="00365441"/>
    <w:rsid w:val="00365FB9"/>
    <w:rsid w:val="00366596"/>
    <w:rsid w:val="0036703E"/>
    <w:rsid w:val="00370997"/>
    <w:rsid w:val="00370A44"/>
    <w:rsid w:val="0037149F"/>
    <w:rsid w:val="00372181"/>
    <w:rsid w:val="00372ED1"/>
    <w:rsid w:val="00373151"/>
    <w:rsid w:val="003736F3"/>
    <w:rsid w:val="00373858"/>
    <w:rsid w:val="00373BA0"/>
    <w:rsid w:val="00373D05"/>
    <w:rsid w:val="0037431F"/>
    <w:rsid w:val="003749D7"/>
    <w:rsid w:val="00375686"/>
    <w:rsid w:val="00376CEC"/>
    <w:rsid w:val="00376F81"/>
    <w:rsid w:val="00377738"/>
    <w:rsid w:val="00377F78"/>
    <w:rsid w:val="00377F8A"/>
    <w:rsid w:val="0038152A"/>
    <w:rsid w:val="003819DC"/>
    <w:rsid w:val="00381F94"/>
    <w:rsid w:val="00382659"/>
    <w:rsid w:val="00382CF6"/>
    <w:rsid w:val="00383DDC"/>
    <w:rsid w:val="003848B8"/>
    <w:rsid w:val="003858C7"/>
    <w:rsid w:val="00385AD2"/>
    <w:rsid w:val="003861FD"/>
    <w:rsid w:val="00386AC2"/>
    <w:rsid w:val="00386E1E"/>
    <w:rsid w:val="00387757"/>
    <w:rsid w:val="00387A6B"/>
    <w:rsid w:val="00387D23"/>
    <w:rsid w:val="00387E2F"/>
    <w:rsid w:val="00391A9B"/>
    <w:rsid w:val="00391C2D"/>
    <w:rsid w:val="00392ACD"/>
    <w:rsid w:val="00392F96"/>
    <w:rsid w:val="00392F97"/>
    <w:rsid w:val="003931CB"/>
    <w:rsid w:val="0039368E"/>
    <w:rsid w:val="00393FA1"/>
    <w:rsid w:val="00394F36"/>
    <w:rsid w:val="003954AA"/>
    <w:rsid w:val="00395541"/>
    <w:rsid w:val="00395C97"/>
    <w:rsid w:val="003966D2"/>
    <w:rsid w:val="00396CDD"/>
    <w:rsid w:val="00396D54"/>
    <w:rsid w:val="00397057"/>
    <w:rsid w:val="0039722C"/>
    <w:rsid w:val="00397351"/>
    <w:rsid w:val="003A12BE"/>
    <w:rsid w:val="003A1E41"/>
    <w:rsid w:val="003A22A6"/>
    <w:rsid w:val="003A24D7"/>
    <w:rsid w:val="003A266D"/>
    <w:rsid w:val="003A2C20"/>
    <w:rsid w:val="003A3A12"/>
    <w:rsid w:val="003A4B7F"/>
    <w:rsid w:val="003A62CB"/>
    <w:rsid w:val="003A6742"/>
    <w:rsid w:val="003A692E"/>
    <w:rsid w:val="003A6FA0"/>
    <w:rsid w:val="003A7AC1"/>
    <w:rsid w:val="003B0233"/>
    <w:rsid w:val="003B0254"/>
    <w:rsid w:val="003B0798"/>
    <w:rsid w:val="003B1937"/>
    <w:rsid w:val="003B2136"/>
    <w:rsid w:val="003B4705"/>
    <w:rsid w:val="003B52F2"/>
    <w:rsid w:val="003B59E9"/>
    <w:rsid w:val="003B5B41"/>
    <w:rsid w:val="003B6017"/>
    <w:rsid w:val="003B71D1"/>
    <w:rsid w:val="003B7DF4"/>
    <w:rsid w:val="003C0336"/>
    <w:rsid w:val="003C07DC"/>
    <w:rsid w:val="003C1992"/>
    <w:rsid w:val="003C2252"/>
    <w:rsid w:val="003C2275"/>
    <w:rsid w:val="003C2630"/>
    <w:rsid w:val="003C4FA4"/>
    <w:rsid w:val="003C5640"/>
    <w:rsid w:val="003C593F"/>
    <w:rsid w:val="003C5C4B"/>
    <w:rsid w:val="003C5DE4"/>
    <w:rsid w:val="003C6788"/>
    <w:rsid w:val="003C6AD1"/>
    <w:rsid w:val="003C6D7A"/>
    <w:rsid w:val="003C6E30"/>
    <w:rsid w:val="003C6E5E"/>
    <w:rsid w:val="003C72BC"/>
    <w:rsid w:val="003C72BF"/>
    <w:rsid w:val="003C7389"/>
    <w:rsid w:val="003D26ED"/>
    <w:rsid w:val="003D2F96"/>
    <w:rsid w:val="003D365D"/>
    <w:rsid w:val="003D3AB6"/>
    <w:rsid w:val="003D3C9F"/>
    <w:rsid w:val="003D3D80"/>
    <w:rsid w:val="003D4063"/>
    <w:rsid w:val="003D4221"/>
    <w:rsid w:val="003D426E"/>
    <w:rsid w:val="003D4629"/>
    <w:rsid w:val="003D5360"/>
    <w:rsid w:val="003D5534"/>
    <w:rsid w:val="003D5586"/>
    <w:rsid w:val="003D6712"/>
    <w:rsid w:val="003D677D"/>
    <w:rsid w:val="003D68C3"/>
    <w:rsid w:val="003D68FA"/>
    <w:rsid w:val="003E0534"/>
    <w:rsid w:val="003E09B6"/>
    <w:rsid w:val="003E14AC"/>
    <w:rsid w:val="003E219E"/>
    <w:rsid w:val="003E2AD7"/>
    <w:rsid w:val="003E2B08"/>
    <w:rsid w:val="003E2F14"/>
    <w:rsid w:val="003E31F7"/>
    <w:rsid w:val="003E454F"/>
    <w:rsid w:val="003E5DCF"/>
    <w:rsid w:val="003E5EAA"/>
    <w:rsid w:val="003E75DC"/>
    <w:rsid w:val="003E797A"/>
    <w:rsid w:val="003E7E6F"/>
    <w:rsid w:val="003F01A8"/>
    <w:rsid w:val="003F0604"/>
    <w:rsid w:val="003F0C5F"/>
    <w:rsid w:val="003F2231"/>
    <w:rsid w:val="003F2306"/>
    <w:rsid w:val="003F23DB"/>
    <w:rsid w:val="003F2972"/>
    <w:rsid w:val="003F307D"/>
    <w:rsid w:val="003F3508"/>
    <w:rsid w:val="003F3F3A"/>
    <w:rsid w:val="003F4330"/>
    <w:rsid w:val="003F433A"/>
    <w:rsid w:val="003F4402"/>
    <w:rsid w:val="003F4F8C"/>
    <w:rsid w:val="003F58D1"/>
    <w:rsid w:val="003F63AE"/>
    <w:rsid w:val="003F6825"/>
    <w:rsid w:val="003F7496"/>
    <w:rsid w:val="003F74FF"/>
    <w:rsid w:val="003F7A4A"/>
    <w:rsid w:val="003F7B3E"/>
    <w:rsid w:val="003F7E0A"/>
    <w:rsid w:val="0040009E"/>
    <w:rsid w:val="00401CDE"/>
    <w:rsid w:val="00402CB7"/>
    <w:rsid w:val="00403346"/>
    <w:rsid w:val="004035C4"/>
    <w:rsid w:val="004044AA"/>
    <w:rsid w:val="004056C4"/>
    <w:rsid w:val="00405C6C"/>
    <w:rsid w:val="00406C13"/>
    <w:rsid w:val="004075BA"/>
    <w:rsid w:val="004102EE"/>
    <w:rsid w:val="0041066F"/>
    <w:rsid w:val="00410718"/>
    <w:rsid w:val="00410876"/>
    <w:rsid w:val="00410C9A"/>
    <w:rsid w:val="00411124"/>
    <w:rsid w:val="004114A1"/>
    <w:rsid w:val="00411F3A"/>
    <w:rsid w:val="00412458"/>
    <w:rsid w:val="004126B6"/>
    <w:rsid w:val="00413727"/>
    <w:rsid w:val="00414171"/>
    <w:rsid w:val="004145C7"/>
    <w:rsid w:val="00414924"/>
    <w:rsid w:val="004163EF"/>
    <w:rsid w:val="004171EA"/>
    <w:rsid w:val="0041789C"/>
    <w:rsid w:val="00417FC2"/>
    <w:rsid w:val="00420964"/>
    <w:rsid w:val="00420A77"/>
    <w:rsid w:val="004211D0"/>
    <w:rsid w:val="0042131D"/>
    <w:rsid w:val="00421956"/>
    <w:rsid w:val="00422895"/>
    <w:rsid w:val="00423348"/>
    <w:rsid w:val="00423A5D"/>
    <w:rsid w:val="00423B5F"/>
    <w:rsid w:val="004246C9"/>
    <w:rsid w:val="004248E4"/>
    <w:rsid w:val="00424EF8"/>
    <w:rsid w:val="00425584"/>
    <w:rsid w:val="00426747"/>
    <w:rsid w:val="00426D8E"/>
    <w:rsid w:val="00430781"/>
    <w:rsid w:val="00430F34"/>
    <w:rsid w:val="004315B8"/>
    <w:rsid w:val="0043241C"/>
    <w:rsid w:val="00432B46"/>
    <w:rsid w:val="00432EE6"/>
    <w:rsid w:val="00433809"/>
    <w:rsid w:val="004339F1"/>
    <w:rsid w:val="00433FE9"/>
    <w:rsid w:val="0043451F"/>
    <w:rsid w:val="00434934"/>
    <w:rsid w:val="00434C33"/>
    <w:rsid w:val="00435222"/>
    <w:rsid w:val="00435C6E"/>
    <w:rsid w:val="0043706F"/>
    <w:rsid w:val="00437484"/>
    <w:rsid w:val="004376C4"/>
    <w:rsid w:val="0044000E"/>
    <w:rsid w:val="00440BBF"/>
    <w:rsid w:val="00441050"/>
    <w:rsid w:val="00441E1A"/>
    <w:rsid w:val="00444EC8"/>
    <w:rsid w:val="004451FC"/>
    <w:rsid w:val="00445AE6"/>
    <w:rsid w:val="0044628A"/>
    <w:rsid w:val="00446EE9"/>
    <w:rsid w:val="00447244"/>
    <w:rsid w:val="00447F5C"/>
    <w:rsid w:val="0045013F"/>
    <w:rsid w:val="00450892"/>
    <w:rsid w:val="00450A26"/>
    <w:rsid w:val="004511E1"/>
    <w:rsid w:val="00451866"/>
    <w:rsid w:val="004523D6"/>
    <w:rsid w:val="0045267C"/>
    <w:rsid w:val="004527BB"/>
    <w:rsid w:val="004533D4"/>
    <w:rsid w:val="00453946"/>
    <w:rsid w:val="0045408E"/>
    <w:rsid w:val="00454458"/>
    <w:rsid w:val="004545D3"/>
    <w:rsid w:val="00454AEA"/>
    <w:rsid w:val="00454EF4"/>
    <w:rsid w:val="00454FB1"/>
    <w:rsid w:val="004550E3"/>
    <w:rsid w:val="0045647A"/>
    <w:rsid w:val="00456960"/>
    <w:rsid w:val="00456D0E"/>
    <w:rsid w:val="00461AF5"/>
    <w:rsid w:val="00461CD6"/>
    <w:rsid w:val="0046207E"/>
    <w:rsid w:val="004630B9"/>
    <w:rsid w:val="004632D2"/>
    <w:rsid w:val="0046457F"/>
    <w:rsid w:val="0046485F"/>
    <w:rsid w:val="00465527"/>
    <w:rsid w:val="00465725"/>
    <w:rsid w:val="00465A2E"/>
    <w:rsid w:val="004666D6"/>
    <w:rsid w:val="004674A1"/>
    <w:rsid w:val="004706FB"/>
    <w:rsid w:val="0047074A"/>
    <w:rsid w:val="00470AFB"/>
    <w:rsid w:val="0047161C"/>
    <w:rsid w:val="0047215F"/>
    <w:rsid w:val="00472E3A"/>
    <w:rsid w:val="00473996"/>
    <w:rsid w:val="00473BB4"/>
    <w:rsid w:val="00473DC5"/>
    <w:rsid w:val="00473F71"/>
    <w:rsid w:val="00473F89"/>
    <w:rsid w:val="00474C3C"/>
    <w:rsid w:val="004756D5"/>
    <w:rsid w:val="00476425"/>
    <w:rsid w:val="00476DB8"/>
    <w:rsid w:val="00476E96"/>
    <w:rsid w:val="00476FCC"/>
    <w:rsid w:val="004770A4"/>
    <w:rsid w:val="0047741B"/>
    <w:rsid w:val="00477781"/>
    <w:rsid w:val="00477A73"/>
    <w:rsid w:val="0048049A"/>
    <w:rsid w:val="00480627"/>
    <w:rsid w:val="00480817"/>
    <w:rsid w:val="00480DC5"/>
    <w:rsid w:val="0048204A"/>
    <w:rsid w:val="00482386"/>
    <w:rsid w:val="00482B86"/>
    <w:rsid w:val="00483E19"/>
    <w:rsid w:val="00483F6E"/>
    <w:rsid w:val="004840C3"/>
    <w:rsid w:val="00485223"/>
    <w:rsid w:val="00486135"/>
    <w:rsid w:val="0048637C"/>
    <w:rsid w:val="004866DC"/>
    <w:rsid w:val="004871C3"/>
    <w:rsid w:val="004879E9"/>
    <w:rsid w:val="00487E3A"/>
    <w:rsid w:val="00487ED7"/>
    <w:rsid w:val="004902C9"/>
    <w:rsid w:val="00490986"/>
    <w:rsid w:val="00490AB1"/>
    <w:rsid w:val="00491D9A"/>
    <w:rsid w:val="00491DC8"/>
    <w:rsid w:val="0049209C"/>
    <w:rsid w:val="0049220E"/>
    <w:rsid w:val="004922CF"/>
    <w:rsid w:val="00492A56"/>
    <w:rsid w:val="00492F58"/>
    <w:rsid w:val="0049303F"/>
    <w:rsid w:val="004933D4"/>
    <w:rsid w:val="00493DD4"/>
    <w:rsid w:val="00494745"/>
    <w:rsid w:val="00494906"/>
    <w:rsid w:val="0049592E"/>
    <w:rsid w:val="00495CDF"/>
    <w:rsid w:val="004966B1"/>
    <w:rsid w:val="00496849"/>
    <w:rsid w:val="00496B32"/>
    <w:rsid w:val="00496E1D"/>
    <w:rsid w:val="004973B8"/>
    <w:rsid w:val="00497D1E"/>
    <w:rsid w:val="004A058B"/>
    <w:rsid w:val="004A1413"/>
    <w:rsid w:val="004A166E"/>
    <w:rsid w:val="004A1AFC"/>
    <w:rsid w:val="004A341A"/>
    <w:rsid w:val="004A468C"/>
    <w:rsid w:val="004A6252"/>
    <w:rsid w:val="004A7855"/>
    <w:rsid w:val="004B1A39"/>
    <w:rsid w:val="004B1EA1"/>
    <w:rsid w:val="004B3105"/>
    <w:rsid w:val="004B36D9"/>
    <w:rsid w:val="004B463F"/>
    <w:rsid w:val="004B481D"/>
    <w:rsid w:val="004B4DE4"/>
    <w:rsid w:val="004B5734"/>
    <w:rsid w:val="004B580B"/>
    <w:rsid w:val="004B5A6D"/>
    <w:rsid w:val="004B5CA7"/>
    <w:rsid w:val="004B6266"/>
    <w:rsid w:val="004B71BC"/>
    <w:rsid w:val="004B7701"/>
    <w:rsid w:val="004B7E73"/>
    <w:rsid w:val="004C024C"/>
    <w:rsid w:val="004C03B2"/>
    <w:rsid w:val="004C0A6B"/>
    <w:rsid w:val="004C0CA5"/>
    <w:rsid w:val="004C1015"/>
    <w:rsid w:val="004C1390"/>
    <w:rsid w:val="004C2215"/>
    <w:rsid w:val="004C2459"/>
    <w:rsid w:val="004C3036"/>
    <w:rsid w:val="004C3848"/>
    <w:rsid w:val="004C43DD"/>
    <w:rsid w:val="004C45B2"/>
    <w:rsid w:val="004C49C3"/>
    <w:rsid w:val="004C4AAD"/>
    <w:rsid w:val="004C4E61"/>
    <w:rsid w:val="004C5EE8"/>
    <w:rsid w:val="004C6BC3"/>
    <w:rsid w:val="004C6CE8"/>
    <w:rsid w:val="004D07E0"/>
    <w:rsid w:val="004D0B63"/>
    <w:rsid w:val="004D0E10"/>
    <w:rsid w:val="004D2194"/>
    <w:rsid w:val="004D248C"/>
    <w:rsid w:val="004D355A"/>
    <w:rsid w:val="004D377D"/>
    <w:rsid w:val="004D37A9"/>
    <w:rsid w:val="004D395D"/>
    <w:rsid w:val="004D3C15"/>
    <w:rsid w:val="004D4603"/>
    <w:rsid w:val="004D473A"/>
    <w:rsid w:val="004D6FB2"/>
    <w:rsid w:val="004D6FFC"/>
    <w:rsid w:val="004E0052"/>
    <w:rsid w:val="004E00EC"/>
    <w:rsid w:val="004E0A69"/>
    <w:rsid w:val="004E1A1C"/>
    <w:rsid w:val="004E25A5"/>
    <w:rsid w:val="004E362A"/>
    <w:rsid w:val="004E38A5"/>
    <w:rsid w:val="004E395D"/>
    <w:rsid w:val="004E3C4E"/>
    <w:rsid w:val="004E3EAB"/>
    <w:rsid w:val="004E44A4"/>
    <w:rsid w:val="004E4A65"/>
    <w:rsid w:val="004E5675"/>
    <w:rsid w:val="004E5FD6"/>
    <w:rsid w:val="004E630B"/>
    <w:rsid w:val="004E635F"/>
    <w:rsid w:val="004E6449"/>
    <w:rsid w:val="004E6AFA"/>
    <w:rsid w:val="004E6BB8"/>
    <w:rsid w:val="004E6D77"/>
    <w:rsid w:val="004E76AB"/>
    <w:rsid w:val="004F02AA"/>
    <w:rsid w:val="004F0CA8"/>
    <w:rsid w:val="004F0EDA"/>
    <w:rsid w:val="004F1878"/>
    <w:rsid w:val="004F29C6"/>
    <w:rsid w:val="004F361D"/>
    <w:rsid w:val="004F3A0A"/>
    <w:rsid w:val="004F47FD"/>
    <w:rsid w:val="004F4DDD"/>
    <w:rsid w:val="004F58C1"/>
    <w:rsid w:val="004F5EE3"/>
    <w:rsid w:val="004F67FA"/>
    <w:rsid w:val="004F7553"/>
    <w:rsid w:val="004F7853"/>
    <w:rsid w:val="005003C7"/>
    <w:rsid w:val="00500CDF"/>
    <w:rsid w:val="005010A5"/>
    <w:rsid w:val="00501124"/>
    <w:rsid w:val="00501499"/>
    <w:rsid w:val="005015CE"/>
    <w:rsid w:val="00501AD7"/>
    <w:rsid w:val="00501FD3"/>
    <w:rsid w:val="0050223C"/>
    <w:rsid w:val="00503F68"/>
    <w:rsid w:val="00504463"/>
    <w:rsid w:val="005045B3"/>
    <w:rsid w:val="00504B8B"/>
    <w:rsid w:val="00504D98"/>
    <w:rsid w:val="005057A6"/>
    <w:rsid w:val="00512A01"/>
    <w:rsid w:val="00512C12"/>
    <w:rsid w:val="00512E07"/>
    <w:rsid w:val="00513315"/>
    <w:rsid w:val="00513D60"/>
    <w:rsid w:val="00513D82"/>
    <w:rsid w:val="0051406E"/>
    <w:rsid w:val="0051435A"/>
    <w:rsid w:val="00514650"/>
    <w:rsid w:val="005149F8"/>
    <w:rsid w:val="00515149"/>
    <w:rsid w:val="00515D7F"/>
    <w:rsid w:val="00515E79"/>
    <w:rsid w:val="00516145"/>
    <w:rsid w:val="005163EE"/>
    <w:rsid w:val="0051646D"/>
    <w:rsid w:val="005168A1"/>
    <w:rsid w:val="00516A94"/>
    <w:rsid w:val="00517474"/>
    <w:rsid w:val="00517EEB"/>
    <w:rsid w:val="0052046D"/>
    <w:rsid w:val="00520A4B"/>
    <w:rsid w:val="00520AA1"/>
    <w:rsid w:val="00521697"/>
    <w:rsid w:val="00521B71"/>
    <w:rsid w:val="00522492"/>
    <w:rsid w:val="00522CEE"/>
    <w:rsid w:val="00523CEF"/>
    <w:rsid w:val="0052511C"/>
    <w:rsid w:val="005258C1"/>
    <w:rsid w:val="00525E2A"/>
    <w:rsid w:val="00526139"/>
    <w:rsid w:val="0052791F"/>
    <w:rsid w:val="005279A2"/>
    <w:rsid w:val="00527FCA"/>
    <w:rsid w:val="005300F8"/>
    <w:rsid w:val="00530832"/>
    <w:rsid w:val="00530AA3"/>
    <w:rsid w:val="00530DCA"/>
    <w:rsid w:val="00530FCE"/>
    <w:rsid w:val="005311EB"/>
    <w:rsid w:val="00531CCB"/>
    <w:rsid w:val="00531D1D"/>
    <w:rsid w:val="0053210B"/>
    <w:rsid w:val="00532221"/>
    <w:rsid w:val="00532466"/>
    <w:rsid w:val="005333A7"/>
    <w:rsid w:val="00533483"/>
    <w:rsid w:val="00533969"/>
    <w:rsid w:val="005339F2"/>
    <w:rsid w:val="00533EA1"/>
    <w:rsid w:val="00534103"/>
    <w:rsid w:val="005343CD"/>
    <w:rsid w:val="00534489"/>
    <w:rsid w:val="00534868"/>
    <w:rsid w:val="005349D1"/>
    <w:rsid w:val="00534EAF"/>
    <w:rsid w:val="00535244"/>
    <w:rsid w:val="00535A6F"/>
    <w:rsid w:val="005363E6"/>
    <w:rsid w:val="005366FF"/>
    <w:rsid w:val="00536D41"/>
    <w:rsid w:val="00536E6C"/>
    <w:rsid w:val="00537591"/>
    <w:rsid w:val="00537CF1"/>
    <w:rsid w:val="00537EA5"/>
    <w:rsid w:val="00540587"/>
    <w:rsid w:val="005409D6"/>
    <w:rsid w:val="00540BF9"/>
    <w:rsid w:val="00540C75"/>
    <w:rsid w:val="00541221"/>
    <w:rsid w:val="005413C8"/>
    <w:rsid w:val="005414D4"/>
    <w:rsid w:val="005415D6"/>
    <w:rsid w:val="00542BF5"/>
    <w:rsid w:val="00542C09"/>
    <w:rsid w:val="005435C1"/>
    <w:rsid w:val="0054389D"/>
    <w:rsid w:val="00543A70"/>
    <w:rsid w:val="00544074"/>
    <w:rsid w:val="00544117"/>
    <w:rsid w:val="00544288"/>
    <w:rsid w:val="00544304"/>
    <w:rsid w:val="00545613"/>
    <w:rsid w:val="005478EE"/>
    <w:rsid w:val="005505D4"/>
    <w:rsid w:val="00550C4A"/>
    <w:rsid w:val="00551539"/>
    <w:rsid w:val="00551A7B"/>
    <w:rsid w:val="00552064"/>
    <w:rsid w:val="0055357A"/>
    <w:rsid w:val="005538C3"/>
    <w:rsid w:val="00553EEC"/>
    <w:rsid w:val="00554C89"/>
    <w:rsid w:val="00554D41"/>
    <w:rsid w:val="00555099"/>
    <w:rsid w:val="0055509F"/>
    <w:rsid w:val="005558FF"/>
    <w:rsid w:val="0055668A"/>
    <w:rsid w:val="00556B08"/>
    <w:rsid w:val="00556B95"/>
    <w:rsid w:val="00557360"/>
    <w:rsid w:val="00557618"/>
    <w:rsid w:val="005579D3"/>
    <w:rsid w:val="00557FD4"/>
    <w:rsid w:val="00560786"/>
    <w:rsid w:val="00560B9E"/>
    <w:rsid w:val="00560DF2"/>
    <w:rsid w:val="00560F0A"/>
    <w:rsid w:val="00560F54"/>
    <w:rsid w:val="00562576"/>
    <w:rsid w:val="00562C4E"/>
    <w:rsid w:val="00562CA4"/>
    <w:rsid w:val="005636AE"/>
    <w:rsid w:val="005638BA"/>
    <w:rsid w:val="00563EDD"/>
    <w:rsid w:val="00564574"/>
    <w:rsid w:val="0056464B"/>
    <w:rsid w:val="00564AEE"/>
    <w:rsid w:val="00564B2D"/>
    <w:rsid w:val="00564E52"/>
    <w:rsid w:val="0056517B"/>
    <w:rsid w:val="005659D1"/>
    <w:rsid w:val="00565F40"/>
    <w:rsid w:val="00566534"/>
    <w:rsid w:val="005665A8"/>
    <w:rsid w:val="00566B19"/>
    <w:rsid w:val="00567727"/>
    <w:rsid w:val="005701AC"/>
    <w:rsid w:val="0057046B"/>
    <w:rsid w:val="0057093E"/>
    <w:rsid w:val="00571078"/>
    <w:rsid w:val="00571283"/>
    <w:rsid w:val="005713C2"/>
    <w:rsid w:val="00571D30"/>
    <w:rsid w:val="0057214B"/>
    <w:rsid w:val="00572823"/>
    <w:rsid w:val="00572886"/>
    <w:rsid w:val="00573F0B"/>
    <w:rsid w:val="00574183"/>
    <w:rsid w:val="00574B03"/>
    <w:rsid w:val="00574BD2"/>
    <w:rsid w:val="00575C62"/>
    <w:rsid w:val="00577593"/>
    <w:rsid w:val="00577A00"/>
    <w:rsid w:val="0058143B"/>
    <w:rsid w:val="00581C35"/>
    <w:rsid w:val="005833B2"/>
    <w:rsid w:val="00583722"/>
    <w:rsid w:val="00583C6C"/>
    <w:rsid w:val="00583F41"/>
    <w:rsid w:val="00584799"/>
    <w:rsid w:val="00585568"/>
    <w:rsid w:val="0058579D"/>
    <w:rsid w:val="00585C23"/>
    <w:rsid w:val="00587B85"/>
    <w:rsid w:val="00587BCF"/>
    <w:rsid w:val="0059064C"/>
    <w:rsid w:val="00590C49"/>
    <w:rsid w:val="00590F64"/>
    <w:rsid w:val="00591446"/>
    <w:rsid w:val="005918E8"/>
    <w:rsid w:val="00591BD1"/>
    <w:rsid w:val="00592BAA"/>
    <w:rsid w:val="00593182"/>
    <w:rsid w:val="0059393E"/>
    <w:rsid w:val="0059473D"/>
    <w:rsid w:val="005952D4"/>
    <w:rsid w:val="00595B3C"/>
    <w:rsid w:val="00596EC8"/>
    <w:rsid w:val="005972AC"/>
    <w:rsid w:val="0059749A"/>
    <w:rsid w:val="00597B6C"/>
    <w:rsid w:val="005A011D"/>
    <w:rsid w:val="005A05D0"/>
    <w:rsid w:val="005A09DF"/>
    <w:rsid w:val="005A1591"/>
    <w:rsid w:val="005A2790"/>
    <w:rsid w:val="005A2F04"/>
    <w:rsid w:val="005A3149"/>
    <w:rsid w:val="005A373D"/>
    <w:rsid w:val="005A48A2"/>
    <w:rsid w:val="005A4ABA"/>
    <w:rsid w:val="005A4E88"/>
    <w:rsid w:val="005A5076"/>
    <w:rsid w:val="005A5462"/>
    <w:rsid w:val="005A59F4"/>
    <w:rsid w:val="005A7049"/>
    <w:rsid w:val="005B0454"/>
    <w:rsid w:val="005B16F8"/>
    <w:rsid w:val="005B1BB8"/>
    <w:rsid w:val="005B1BB9"/>
    <w:rsid w:val="005B295A"/>
    <w:rsid w:val="005B3391"/>
    <w:rsid w:val="005B35CE"/>
    <w:rsid w:val="005B4140"/>
    <w:rsid w:val="005B4832"/>
    <w:rsid w:val="005B5037"/>
    <w:rsid w:val="005B505E"/>
    <w:rsid w:val="005B51E3"/>
    <w:rsid w:val="005B5874"/>
    <w:rsid w:val="005B66EB"/>
    <w:rsid w:val="005B7149"/>
    <w:rsid w:val="005B79C0"/>
    <w:rsid w:val="005C01D0"/>
    <w:rsid w:val="005C1528"/>
    <w:rsid w:val="005C15C0"/>
    <w:rsid w:val="005C1958"/>
    <w:rsid w:val="005C1A25"/>
    <w:rsid w:val="005C1BB5"/>
    <w:rsid w:val="005C30A9"/>
    <w:rsid w:val="005C4530"/>
    <w:rsid w:val="005C56E7"/>
    <w:rsid w:val="005C648D"/>
    <w:rsid w:val="005C675C"/>
    <w:rsid w:val="005C67BC"/>
    <w:rsid w:val="005C69F3"/>
    <w:rsid w:val="005C7BCC"/>
    <w:rsid w:val="005C7D99"/>
    <w:rsid w:val="005D0688"/>
    <w:rsid w:val="005D07D7"/>
    <w:rsid w:val="005D07FD"/>
    <w:rsid w:val="005D1153"/>
    <w:rsid w:val="005D1361"/>
    <w:rsid w:val="005D24E5"/>
    <w:rsid w:val="005D284B"/>
    <w:rsid w:val="005D2DA3"/>
    <w:rsid w:val="005D3213"/>
    <w:rsid w:val="005D3DB4"/>
    <w:rsid w:val="005D416D"/>
    <w:rsid w:val="005D452A"/>
    <w:rsid w:val="005D5515"/>
    <w:rsid w:val="005D5913"/>
    <w:rsid w:val="005D664C"/>
    <w:rsid w:val="005D67D0"/>
    <w:rsid w:val="005D6E04"/>
    <w:rsid w:val="005D716F"/>
    <w:rsid w:val="005D7309"/>
    <w:rsid w:val="005D73B1"/>
    <w:rsid w:val="005E0066"/>
    <w:rsid w:val="005E085F"/>
    <w:rsid w:val="005E0AF8"/>
    <w:rsid w:val="005E11D5"/>
    <w:rsid w:val="005E129F"/>
    <w:rsid w:val="005E1E0A"/>
    <w:rsid w:val="005E21B7"/>
    <w:rsid w:val="005E21CD"/>
    <w:rsid w:val="005E23B5"/>
    <w:rsid w:val="005E2535"/>
    <w:rsid w:val="005E362C"/>
    <w:rsid w:val="005E4F19"/>
    <w:rsid w:val="005E5D9E"/>
    <w:rsid w:val="005E5E7D"/>
    <w:rsid w:val="005F16C0"/>
    <w:rsid w:val="005F1CEA"/>
    <w:rsid w:val="005F2364"/>
    <w:rsid w:val="005F2FF4"/>
    <w:rsid w:val="005F331A"/>
    <w:rsid w:val="005F36F3"/>
    <w:rsid w:val="005F3727"/>
    <w:rsid w:val="005F3D6C"/>
    <w:rsid w:val="005F560A"/>
    <w:rsid w:val="005F63E6"/>
    <w:rsid w:val="005F6A24"/>
    <w:rsid w:val="005F76CD"/>
    <w:rsid w:val="005F7D1A"/>
    <w:rsid w:val="006017A5"/>
    <w:rsid w:val="00601CD2"/>
    <w:rsid w:val="0060255D"/>
    <w:rsid w:val="0060258D"/>
    <w:rsid w:val="00602B8A"/>
    <w:rsid w:val="00602ECC"/>
    <w:rsid w:val="006040DE"/>
    <w:rsid w:val="00604762"/>
    <w:rsid w:val="00604B1E"/>
    <w:rsid w:val="00604B74"/>
    <w:rsid w:val="006062EA"/>
    <w:rsid w:val="00606B58"/>
    <w:rsid w:val="00606E0B"/>
    <w:rsid w:val="00606F81"/>
    <w:rsid w:val="006105C7"/>
    <w:rsid w:val="00610AC6"/>
    <w:rsid w:val="0061144C"/>
    <w:rsid w:val="00612248"/>
    <w:rsid w:val="00612529"/>
    <w:rsid w:val="00612FCE"/>
    <w:rsid w:val="006140C8"/>
    <w:rsid w:val="006141DF"/>
    <w:rsid w:val="00614420"/>
    <w:rsid w:val="00614450"/>
    <w:rsid w:val="00614ACB"/>
    <w:rsid w:val="00614D74"/>
    <w:rsid w:val="00615358"/>
    <w:rsid w:val="006155E0"/>
    <w:rsid w:val="0061582F"/>
    <w:rsid w:val="0061584F"/>
    <w:rsid w:val="00615C10"/>
    <w:rsid w:val="006164E3"/>
    <w:rsid w:val="00617817"/>
    <w:rsid w:val="00617C61"/>
    <w:rsid w:val="00617C6C"/>
    <w:rsid w:val="00621289"/>
    <w:rsid w:val="00621689"/>
    <w:rsid w:val="00621D41"/>
    <w:rsid w:val="00622D31"/>
    <w:rsid w:val="00622F0C"/>
    <w:rsid w:val="00622F2A"/>
    <w:rsid w:val="0062327F"/>
    <w:rsid w:val="0062336E"/>
    <w:rsid w:val="00623462"/>
    <w:rsid w:val="00623B13"/>
    <w:rsid w:val="00624BAD"/>
    <w:rsid w:val="00625210"/>
    <w:rsid w:val="00625E41"/>
    <w:rsid w:val="0062712E"/>
    <w:rsid w:val="00627354"/>
    <w:rsid w:val="00627642"/>
    <w:rsid w:val="00627959"/>
    <w:rsid w:val="00627BB5"/>
    <w:rsid w:val="00630681"/>
    <w:rsid w:val="0063090D"/>
    <w:rsid w:val="00630D05"/>
    <w:rsid w:val="00630D1E"/>
    <w:rsid w:val="00631131"/>
    <w:rsid w:val="006320EB"/>
    <w:rsid w:val="0063263D"/>
    <w:rsid w:val="006331A8"/>
    <w:rsid w:val="00633B6B"/>
    <w:rsid w:val="0063467E"/>
    <w:rsid w:val="00634E02"/>
    <w:rsid w:val="00634EFB"/>
    <w:rsid w:val="00635644"/>
    <w:rsid w:val="006357E2"/>
    <w:rsid w:val="00635E7C"/>
    <w:rsid w:val="006360CD"/>
    <w:rsid w:val="006366FE"/>
    <w:rsid w:val="006367C4"/>
    <w:rsid w:val="00636831"/>
    <w:rsid w:val="00636D77"/>
    <w:rsid w:val="00637805"/>
    <w:rsid w:val="00640081"/>
    <w:rsid w:val="00641A8E"/>
    <w:rsid w:val="00642920"/>
    <w:rsid w:val="00642A6C"/>
    <w:rsid w:val="00642E7C"/>
    <w:rsid w:val="00642FEF"/>
    <w:rsid w:val="006431D6"/>
    <w:rsid w:val="006432D1"/>
    <w:rsid w:val="006436AD"/>
    <w:rsid w:val="00644A70"/>
    <w:rsid w:val="00645A7B"/>
    <w:rsid w:val="00650C64"/>
    <w:rsid w:val="00650D0C"/>
    <w:rsid w:val="00650F38"/>
    <w:rsid w:val="0065194D"/>
    <w:rsid w:val="00651A7C"/>
    <w:rsid w:val="00651F98"/>
    <w:rsid w:val="00653CD4"/>
    <w:rsid w:val="00653D08"/>
    <w:rsid w:val="006540FA"/>
    <w:rsid w:val="0065479C"/>
    <w:rsid w:val="006548E1"/>
    <w:rsid w:val="00654D09"/>
    <w:rsid w:val="00655395"/>
    <w:rsid w:val="00655F9A"/>
    <w:rsid w:val="00656361"/>
    <w:rsid w:val="00656EBF"/>
    <w:rsid w:val="00660A71"/>
    <w:rsid w:val="0066273F"/>
    <w:rsid w:val="0066346E"/>
    <w:rsid w:val="006638F0"/>
    <w:rsid w:val="00663CE2"/>
    <w:rsid w:val="006645CF"/>
    <w:rsid w:val="00664A3A"/>
    <w:rsid w:val="00664BD1"/>
    <w:rsid w:val="00667EEF"/>
    <w:rsid w:val="00667FB0"/>
    <w:rsid w:val="006705F4"/>
    <w:rsid w:val="006718E0"/>
    <w:rsid w:val="0067328C"/>
    <w:rsid w:val="0067407C"/>
    <w:rsid w:val="006745AD"/>
    <w:rsid w:val="00674C53"/>
    <w:rsid w:val="00674DED"/>
    <w:rsid w:val="00675904"/>
    <w:rsid w:val="00675C52"/>
    <w:rsid w:val="00676593"/>
    <w:rsid w:val="00676A6D"/>
    <w:rsid w:val="00676C60"/>
    <w:rsid w:val="00680377"/>
    <w:rsid w:val="00682797"/>
    <w:rsid w:val="00683AD4"/>
    <w:rsid w:val="00683B3D"/>
    <w:rsid w:val="00683F4A"/>
    <w:rsid w:val="00684298"/>
    <w:rsid w:val="006847A6"/>
    <w:rsid w:val="00685000"/>
    <w:rsid w:val="0068526C"/>
    <w:rsid w:val="00685B98"/>
    <w:rsid w:val="006872CB"/>
    <w:rsid w:val="006874A8"/>
    <w:rsid w:val="00690168"/>
    <w:rsid w:val="00690281"/>
    <w:rsid w:val="0069182D"/>
    <w:rsid w:val="00691CA0"/>
    <w:rsid w:val="0069398F"/>
    <w:rsid w:val="00693CB7"/>
    <w:rsid w:val="0069524C"/>
    <w:rsid w:val="006963D5"/>
    <w:rsid w:val="0069799B"/>
    <w:rsid w:val="00697E5B"/>
    <w:rsid w:val="006A04AC"/>
    <w:rsid w:val="006A0F6F"/>
    <w:rsid w:val="006A103A"/>
    <w:rsid w:val="006A153F"/>
    <w:rsid w:val="006A1650"/>
    <w:rsid w:val="006A2000"/>
    <w:rsid w:val="006A29BE"/>
    <w:rsid w:val="006A3FF8"/>
    <w:rsid w:val="006A4993"/>
    <w:rsid w:val="006A501E"/>
    <w:rsid w:val="006A5B51"/>
    <w:rsid w:val="006A73A4"/>
    <w:rsid w:val="006B06C7"/>
    <w:rsid w:val="006B093D"/>
    <w:rsid w:val="006B0A1A"/>
    <w:rsid w:val="006B10EB"/>
    <w:rsid w:val="006B1496"/>
    <w:rsid w:val="006B164B"/>
    <w:rsid w:val="006B31F5"/>
    <w:rsid w:val="006B32A3"/>
    <w:rsid w:val="006B35A5"/>
    <w:rsid w:val="006B443C"/>
    <w:rsid w:val="006B4FC9"/>
    <w:rsid w:val="006B5199"/>
    <w:rsid w:val="006B5292"/>
    <w:rsid w:val="006B5666"/>
    <w:rsid w:val="006B56EE"/>
    <w:rsid w:val="006B7146"/>
    <w:rsid w:val="006B7468"/>
    <w:rsid w:val="006B7ADD"/>
    <w:rsid w:val="006B7EBD"/>
    <w:rsid w:val="006B7FB7"/>
    <w:rsid w:val="006C019F"/>
    <w:rsid w:val="006C1F51"/>
    <w:rsid w:val="006C27EB"/>
    <w:rsid w:val="006C29AA"/>
    <w:rsid w:val="006C2E09"/>
    <w:rsid w:val="006C36F5"/>
    <w:rsid w:val="006C3776"/>
    <w:rsid w:val="006C4449"/>
    <w:rsid w:val="006C4ABA"/>
    <w:rsid w:val="006C4AF3"/>
    <w:rsid w:val="006C4D05"/>
    <w:rsid w:val="006C50CB"/>
    <w:rsid w:val="006C525A"/>
    <w:rsid w:val="006C53DB"/>
    <w:rsid w:val="006C55FB"/>
    <w:rsid w:val="006C5CE6"/>
    <w:rsid w:val="006C5E1F"/>
    <w:rsid w:val="006C68A2"/>
    <w:rsid w:val="006C7655"/>
    <w:rsid w:val="006C7A73"/>
    <w:rsid w:val="006D036E"/>
    <w:rsid w:val="006D0452"/>
    <w:rsid w:val="006D0633"/>
    <w:rsid w:val="006D11B0"/>
    <w:rsid w:val="006D12E1"/>
    <w:rsid w:val="006D14A9"/>
    <w:rsid w:val="006D3B11"/>
    <w:rsid w:val="006D4807"/>
    <w:rsid w:val="006D51E7"/>
    <w:rsid w:val="006D586E"/>
    <w:rsid w:val="006D5B4C"/>
    <w:rsid w:val="006D61EF"/>
    <w:rsid w:val="006D7D91"/>
    <w:rsid w:val="006E0A80"/>
    <w:rsid w:val="006E19D4"/>
    <w:rsid w:val="006E3238"/>
    <w:rsid w:val="006E340F"/>
    <w:rsid w:val="006E3463"/>
    <w:rsid w:val="006E3932"/>
    <w:rsid w:val="006E399F"/>
    <w:rsid w:val="006E3F0D"/>
    <w:rsid w:val="006E3FF5"/>
    <w:rsid w:val="006E45FF"/>
    <w:rsid w:val="006E614E"/>
    <w:rsid w:val="006E681C"/>
    <w:rsid w:val="006E6BAB"/>
    <w:rsid w:val="006E7535"/>
    <w:rsid w:val="006F0A44"/>
    <w:rsid w:val="006F0DE0"/>
    <w:rsid w:val="006F16C7"/>
    <w:rsid w:val="006F1D51"/>
    <w:rsid w:val="006F3115"/>
    <w:rsid w:val="006F365B"/>
    <w:rsid w:val="006F37E4"/>
    <w:rsid w:val="006F39B7"/>
    <w:rsid w:val="006F3B35"/>
    <w:rsid w:val="006F403B"/>
    <w:rsid w:val="006F50A9"/>
    <w:rsid w:val="006F5E36"/>
    <w:rsid w:val="006F5F9F"/>
    <w:rsid w:val="006F62C7"/>
    <w:rsid w:val="006F751E"/>
    <w:rsid w:val="006F7F28"/>
    <w:rsid w:val="00701ADC"/>
    <w:rsid w:val="00702299"/>
    <w:rsid w:val="007026D3"/>
    <w:rsid w:val="00702E9A"/>
    <w:rsid w:val="007036B8"/>
    <w:rsid w:val="00706E07"/>
    <w:rsid w:val="007077E6"/>
    <w:rsid w:val="0071040E"/>
    <w:rsid w:val="00710587"/>
    <w:rsid w:val="0071097C"/>
    <w:rsid w:val="0071103D"/>
    <w:rsid w:val="00711278"/>
    <w:rsid w:val="00712DEC"/>
    <w:rsid w:val="0071335B"/>
    <w:rsid w:val="007135B1"/>
    <w:rsid w:val="007136D4"/>
    <w:rsid w:val="00714200"/>
    <w:rsid w:val="00714465"/>
    <w:rsid w:val="00714727"/>
    <w:rsid w:val="0071497C"/>
    <w:rsid w:val="0071633E"/>
    <w:rsid w:val="00716655"/>
    <w:rsid w:val="0071678B"/>
    <w:rsid w:val="00716827"/>
    <w:rsid w:val="00716EE3"/>
    <w:rsid w:val="007206C5"/>
    <w:rsid w:val="00720747"/>
    <w:rsid w:val="00720A22"/>
    <w:rsid w:val="0072103D"/>
    <w:rsid w:val="007213E6"/>
    <w:rsid w:val="007218C5"/>
    <w:rsid w:val="0072276E"/>
    <w:rsid w:val="00722FA9"/>
    <w:rsid w:val="007239CF"/>
    <w:rsid w:val="007249CD"/>
    <w:rsid w:val="00725419"/>
    <w:rsid w:val="007263A5"/>
    <w:rsid w:val="00726F2F"/>
    <w:rsid w:val="00727BF0"/>
    <w:rsid w:val="00730388"/>
    <w:rsid w:val="0073064C"/>
    <w:rsid w:val="00730F75"/>
    <w:rsid w:val="00730FA4"/>
    <w:rsid w:val="0073263C"/>
    <w:rsid w:val="00732F96"/>
    <w:rsid w:val="007332CC"/>
    <w:rsid w:val="0073355A"/>
    <w:rsid w:val="007337A1"/>
    <w:rsid w:val="007340FB"/>
    <w:rsid w:val="007341C2"/>
    <w:rsid w:val="00736A2E"/>
    <w:rsid w:val="00737045"/>
    <w:rsid w:val="00740189"/>
    <w:rsid w:val="0074035F"/>
    <w:rsid w:val="007404F0"/>
    <w:rsid w:val="00741132"/>
    <w:rsid w:val="007415F7"/>
    <w:rsid w:val="00741794"/>
    <w:rsid w:val="00742EAF"/>
    <w:rsid w:val="00743631"/>
    <w:rsid w:val="00743824"/>
    <w:rsid w:val="00743F03"/>
    <w:rsid w:val="007446E6"/>
    <w:rsid w:val="00744BC1"/>
    <w:rsid w:val="0074517B"/>
    <w:rsid w:val="00745546"/>
    <w:rsid w:val="007458EE"/>
    <w:rsid w:val="00745C42"/>
    <w:rsid w:val="007461C2"/>
    <w:rsid w:val="0074692C"/>
    <w:rsid w:val="00746C49"/>
    <w:rsid w:val="00747528"/>
    <w:rsid w:val="00750B8F"/>
    <w:rsid w:val="007511B7"/>
    <w:rsid w:val="00751AEE"/>
    <w:rsid w:val="00751D9F"/>
    <w:rsid w:val="00751E4C"/>
    <w:rsid w:val="007528B5"/>
    <w:rsid w:val="00752C29"/>
    <w:rsid w:val="00753877"/>
    <w:rsid w:val="0075489F"/>
    <w:rsid w:val="00755554"/>
    <w:rsid w:val="00755909"/>
    <w:rsid w:val="007564E6"/>
    <w:rsid w:val="00756B66"/>
    <w:rsid w:val="0075793D"/>
    <w:rsid w:val="00757E6D"/>
    <w:rsid w:val="0076034E"/>
    <w:rsid w:val="007605AB"/>
    <w:rsid w:val="00760F2C"/>
    <w:rsid w:val="00761090"/>
    <w:rsid w:val="007612B8"/>
    <w:rsid w:val="0076130D"/>
    <w:rsid w:val="0076154D"/>
    <w:rsid w:val="007615F3"/>
    <w:rsid w:val="00761C56"/>
    <w:rsid w:val="00761E55"/>
    <w:rsid w:val="0076214A"/>
    <w:rsid w:val="00762261"/>
    <w:rsid w:val="007634B7"/>
    <w:rsid w:val="00763F59"/>
    <w:rsid w:val="0076471B"/>
    <w:rsid w:val="00764B6F"/>
    <w:rsid w:val="00764FA0"/>
    <w:rsid w:val="007660B9"/>
    <w:rsid w:val="00766917"/>
    <w:rsid w:val="00767715"/>
    <w:rsid w:val="00770F06"/>
    <w:rsid w:val="00771E9C"/>
    <w:rsid w:val="00772D55"/>
    <w:rsid w:val="00772E21"/>
    <w:rsid w:val="0077312C"/>
    <w:rsid w:val="00773518"/>
    <w:rsid w:val="00773E8D"/>
    <w:rsid w:val="00774092"/>
    <w:rsid w:val="007744CF"/>
    <w:rsid w:val="00774FCF"/>
    <w:rsid w:val="0077516F"/>
    <w:rsid w:val="00775378"/>
    <w:rsid w:val="00776F5F"/>
    <w:rsid w:val="0077779E"/>
    <w:rsid w:val="00780206"/>
    <w:rsid w:val="00780944"/>
    <w:rsid w:val="00781067"/>
    <w:rsid w:val="007810D5"/>
    <w:rsid w:val="00781425"/>
    <w:rsid w:val="007818C2"/>
    <w:rsid w:val="00781DCE"/>
    <w:rsid w:val="007821C5"/>
    <w:rsid w:val="007821E8"/>
    <w:rsid w:val="00782A7F"/>
    <w:rsid w:val="0078324F"/>
    <w:rsid w:val="0078352B"/>
    <w:rsid w:val="007841B1"/>
    <w:rsid w:val="0078432A"/>
    <w:rsid w:val="00784343"/>
    <w:rsid w:val="0078594F"/>
    <w:rsid w:val="007863F7"/>
    <w:rsid w:val="007865D5"/>
    <w:rsid w:val="007866EA"/>
    <w:rsid w:val="007869CE"/>
    <w:rsid w:val="007872A9"/>
    <w:rsid w:val="007879E2"/>
    <w:rsid w:val="00787C03"/>
    <w:rsid w:val="007900F2"/>
    <w:rsid w:val="00790AB5"/>
    <w:rsid w:val="007916DA"/>
    <w:rsid w:val="00793D60"/>
    <w:rsid w:val="00795D23"/>
    <w:rsid w:val="0079614F"/>
    <w:rsid w:val="00796B12"/>
    <w:rsid w:val="00796F39"/>
    <w:rsid w:val="00797C7D"/>
    <w:rsid w:val="00797CB7"/>
    <w:rsid w:val="007A0AAB"/>
    <w:rsid w:val="007A172F"/>
    <w:rsid w:val="007A1898"/>
    <w:rsid w:val="007A2846"/>
    <w:rsid w:val="007A31C7"/>
    <w:rsid w:val="007A39E4"/>
    <w:rsid w:val="007A4DAA"/>
    <w:rsid w:val="007A5637"/>
    <w:rsid w:val="007A5E86"/>
    <w:rsid w:val="007A6000"/>
    <w:rsid w:val="007A6073"/>
    <w:rsid w:val="007A76E9"/>
    <w:rsid w:val="007A7C0D"/>
    <w:rsid w:val="007B1BAB"/>
    <w:rsid w:val="007B22F0"/>
    <w:rsid w:val="007B3076"/>
    <w:rsid w:val="007B30A2"/>
    <w:rsid w:val="007B3B46"/>
    <w:rsid w:val="007B45F0"/>
    <w:rsid w:val="007B4E40"/>
    <w:rsid w:val="007B5BB5"/>
    <w:rsid w:val="007B5F19"/>
    <w:rsid w:val="007B6376"/>
    <w:rsid w:val="007B6912"/>
    <w:rsid w:val="007B6992"/>
    <w:rsid w:val="007B7854"/>
    <w:rsid w:val="007C0110"/>
    <w:rsid w:val="007C0BC0"/>
    <w:rsid w:val="007C176D"/>
    <w:rsid w:val="007C1EAE"/>
    <w:rsid w:val="007C20F9"/>
    <w:rsid w:val="007C22FF"/>
    <w:rsid w:val="007C387B"/>
    <w:rsid w:val="007C419F"/>
    <w:rsid w:val="007C4B31"/>
    <w:rsid w:val="007C4FF2"/>
    <w:rsid w:val="007C527A"/>
    <w:rsid w:val="007C5A4A"/>
    <w:rsid w:val="007C6290"/>
    <w:rsid w:val="007C69FF"/>
    <w:rsid w:val="007C6FC1"/>
    <w:rsid w:val="007C7B67"/>
    <w:rsid w:val="007C7B93"/>
    <w:rsid w:val="007D0261"/>
    <w:rsid w:val="007D02A3"/>
    <w:rsid w:val="007D04DB"/>
    <w:rsid w:val="007D0770"/>
    <w:rsid w:val="007D0DB1"/>
    <w:rsid w:val="007D136A"/>
    <w:rsid w:val="007D24D5"/>
    <w:rsid w:val="007D27CD"/>
    <w:rsid w:val="007D2A1D"/>
    <w:rsid w:val="007D2BAB"/>
    <w:rsid w:val="007D4B2C"/>
    <w:rsid w:val="007D55E9"/>
    <w:rsid w:val="007D65FA"/>
    <w:rsid w:val="007D7543"/>
    <w:rsid w:val="007D797F"/>
    <w:rsid w:val="007D7C2F"/>
    <w:rsid w:val="007E0031"/>
    <w:rsid w:val="007E047A"/>
    <w:rsid w:val="007E13A9"/>
    <w:rsid w:val="007E1916"/>
    <w:rsid w:val="007E1EAB"/>
    <w:rsid w:val="007E2C34"/>
    <w:rsid w:val="007E40CC"/>
    <w:rsid w:val="007E4208"/>
    <w:rsid w:val="007E4A02"/>
    <w:rsid w:val="007E4B1C"/>
    <w:rsid w:val="007E5394"/>
    <w:rsid w:val="007E5681"/>
    <w:rsid w:val="007E5E57"/>
    <w:rsid w:val="007E6313"/>
    <w:rsid w:val="007E68B2"/>
    <w:rsid w:val="007E6B79"/>
    <w:rsid w:val="007E7403"/>
    <w:rsid w:val="007E7C20"/>
    <w:rsid w:val="007E7EAC"/>
    <w:rsid w:val="007F0712"/>
    <w:rsid w:val="007F0B75"/>
    <w:rsid w:val="007F0C92"/>
    <w:rsid w:val="007F0CA4"/>
    <w:rsid w:val="007F1651"/>
    <w:rsid w:val="007F1CB3"/>
    <w:rsid w:val="007F3222"/>
    <w:rsid w:val="007F4210"/>
    <w:rsid w:val="007F4667"/>
    <w:rsid w:val="007F4C2D"/>
    <w:rsid w:val="007F4C7E"/>
    <w:rsid w:val="007F4F73"/>
    <w:rsid w:val="007F53D6"/>
    <w:rsid w:val="007F5D8B"/>
    <w:rsid w:val="007F5E32"/>
    <w:rsid w:val="007F6839"/>
    <w:rsid w:val="007F6911"/>
    <w:rsid w:val="007F6943"/>
    <w:rsid w:val="007F6A7F"/>
    <w:rsid w:val="007F73E5"/>
    <w:rsid w:val="007F7435"/>
    <w:rsid w:val="007F7C33"/>
    <w:rsid w:val="007F7D39"/>
    <w:rsid w:val="007F7FC5"/>
    <w:rsid w:val="0080036D"/>
    <w:rsid w:val="00800451"/>
    <w:rsid w:val="00800A3B"/>
    <w:rsid w:val="00800AF6"/>
    <w:rsid w:val="00801056"/>
    <w:rsid w:val="008016CD"/>
    <w:rsid w:val="0080176C"/>
    <w:rsid w:val="008019F1"/>
    <w:rsid w:val="00801F19"/>
    <w:rsid w:val="00802659"/>
    <w:rsid w:val="008027E9"/>
    <w:rsid w:val="00802F8F"/>
    <w:rsid w:val="0080304E"/>
    <w:rsid w:val="00803D05"/>
    <w:rsid w:val="00804229"/>
    <w:rsid w:val="00804405"/>
    <w:rsid w:val="00804858"/>
    <w:rsid w:val="00806105"/>
    <w:rsid w:val="00806325"/>
    <w:rsid w:val="008066D0"/>
    <w:rsid w:val="00806FEE"/>
    <w:rsid w:val="0080780A"/>
    <w:rsid w:val="00810010"/>
    <w:rsid w:val="0081019C"/>
    <w:rsid w:val="0081034B"/>
    <w:rsid w:val="008103BF"/>
    <w:rsid w:val="0081067C"/>
    <w:rsid w:val="00810A42"/>
    <w:rsid w:val="00811B92"/>
    <w:rsid w:val="00813385"/>
    <w:rsid w:val="008136D8"/>
    <w:rsid w:val="00813826"/>
    <w:rsid w:val="0081489D"/>
    <w:rsid w:val="00815771"/>
    <w:rsid w:val="00816689"/>
    <w:rsid w:val="00817745"/>
    <w:rsid w:val="00820366"/>
    <w:rsid w:val="00820819"/>
    <w:rsid w:val="00820A9E"/>
    <w:rsid w:val="00820F4C"/>
    <w:rsid w:val="00821945"/>
    <w:rsid w:val="00821A9C"/>
    <w:rsid w:val="00821FD0"/>
    <w:rsid w:val="0082245F"/>
    <w:rsid w:val="008226C7"/>
    <w:rsid w:val="00822D82"/>
    <w:rsid w:val="008234EA"/>
    <w:rsid w:val="0082367B"/>
    <w:rsid w:val="008239BE"/>
    <w:rsid w:val="008246F0"/>
    <w:rsid w:val="00824A23"/>
    <w:rsid w:val="00825CFE"/>
    <w:rsid w:val="00825FE5"/>
    <w:rsid w:val="008261A7"/>
    <w:rsid w:val="00826210"/>
    <w:rsid w:val="00826373"/>
    <w:rsid w:val="00826395"/>
    <w:rsid w:val="008266BB"/>
    <w:rsid w:val="00826857"/>
    <w:rsid w:val="008269DF"/>
    <w:rsid w:val="00826BE3"/>
    <w:rsid w:val="008272FF"/>
    <w:rsid w:val="008277D2"/>
    <w:rsid w:val="00827998"/>
    <w:rsid w:val="00827AF5"/>
    <w:rsid w:val="00827C5A"/>
    <w:rsid w:val="00830217"/>
    <w:rsid w:val="008304E3"/>
    <w:rsid w:val="00830847"/>
    <w:rsid w:val="00830F8A"/>
    <w:rsid w:val="00831AFD"/>
    <w:rsid w:val="00832924"/>
    <w:rsid w:val="0083403C"/>
    <w:rsid w:val="00834370"/>
    <w:rsid w:val="00834A6E"/>
    <w:rsid w:val="00834ED3"/>
    <w:rsid w:val="0083577F"/>
    <w:rsid w:val="00835DBB"/>
    <w:rsid w:val="00835F43"/>
    <w:rsid w:val="008372F9"/>
    <w:rsid w:val="0083742A"/>
    <w:rsid w:val="008378D5"/>
    <w:rsid w:val="00840389"/>
    <w:rsid w:val="0084100D"/>
    <w:rsid w:val="0084157A"/>
    <w:rsid w:val="00842265"/>
    <w:rsid w:val="008433E5"/>
    <w:rsid w:val="008439A8"/>
    <w:rsid w:val="00843AE7"/>
    <w:rsid w:val="0084408A"/>
    <w:rsid w:val="008458E3"/>
    <w:rsid w:val="00846FD7"/>
    <w:rsid w:val="008472F5"/>
    <w:rsid w:val="00847AE5"/>
    <w:rsid w:val="00847D2E"/>
    <w:rsid w:val="008506ED"/>
    <w:rsid w:val="008511BF"/>
    <w:rsid w:val="00851B39"/>
    <w:rsid w:val="008530EB"/>
    <w:rsid w:val="008535A2"/>
    <w:rsid w:val="00853C40"/>
    <w:rsid w:val="00855AB9"/>
    <w:rsid w:val="008560D0"/>
    <w:rsid w:val="00856499"/>
    <w:rsid w:val="0085667E"/>
    <w:rsid w:val="00856C5D"/>
    <w:rsid w:val="00857DF1"/>
    <w:rsid w:val="00860617"/>
    <w:rsid w:val="00860A05"/>
    <w:rsid w:val="0086136E"/>
    <w:rsid w:val="008614EC"/>
    <w:rsid w:val="00861DB9"/>
    <w:rsid w:val="00862B9C"/>
    <w:rsid w:val="00863141"/>
    <w:rsid w:val="00864953"/>
    <w:rsid w:val="008656E2"/>
    <w:rsid w:val="008662E2"/>
    <w:rsid w:val="0086687D"/>
    <w:rsid w:val="00866A2B"/>
    <w:rsid w:val="00866D74"/>
    <w:rsid w:val="0086759D"/>
    <w:rsid w:val="008710C3"/>
    <w:rsid w:val="00871F48"/>
    <w:rsid w:val="008721D0"/>
    <w:rsid w:val="0087223A"/>
    <w:rsid w:val="008723A4"/>
    <w:rsid w:val="00872FF8"/>
    <w:rsid w:val="008731A8"/>
    <w:rsid w:val="008744DA"/>
    <w:rsid w:val="008747D5"/>
    <w:rsid w:val="00874DB4"/>
    <w:rsid w:val="00876425"/>
    <w:rsid w:val="00876768"/>
    <w:rsid w:val="0087682D"/>
    <w:rsid w:val="00876A28"/>
    <w:rsid w:val="00877AAE"/>
    <w:rsid w:val="00877B3F"/>
    <w:rsid w:val="008802D1"/>
    <w:rsid w:val="0088139B"/>
    <w:rsid w:val="0088216F"/>
    <w:rsid w:val="00882EC4"/>
    <w:rsid w:val="00882EE3"/>
    <w:rsid w:val="00883740"/>
    <w:rsid w:val="00883F01"/>
    <w:rsid w:val="00884A65"/>
    <w:rsid w:val="00884C9C"/>
    <w:rsid w:val="00885210"/>
    <w:rsid w:val="00885244"/>
    <w:rsid w:val="008856C4"/>
    <w:rsid w:val="00885D2B"/>
    <w:rsid w:val="00886009"/>
    <w:rsid w:val="008905D9"/>
    <w:rsid w:val="008913F1"/>
    <w:rsid w:val="00892C14"/>
    <w:rsid w:val="008934FD"/>
    <w:rsid w:val="008948F4"/>
    <w:rsid w:val="0089549E"/>
    <w:rsid w:val="008958F7"/>
    <w:rsid w:val="00896481"/>
    <w:rsid w:val="0089667C"/>
    <w:rsid w:val="0089707B"/>
    <w:rsid w:val="0089751D"/>
    <w:rsid w:val="00897BB6"/>
    <w:rsid w:val="008A07C8"/>
    <w:rsid w:val="008A0B93"/>
    <w:rsid w:val="008A0CD2"/>
    <w:rsid w:val="008A2582"/>
    <w:rsid w:val="008A38D3"/>
    <w:rsid w:val="008A3BCC"/>
    <w:rsid w:val="008A3E03"/>
    <w:rsid w:val="008A5246"/>
    <w:rsid w:val="008A59E9"/>
    <w:rsid w:val="008A6F38"/>
    <w:rsid w:val="008A6F9C"/>
    <w:rsid w:val="008A73B7"/>
    <w:rsid w:val="008A7CD7"/>
    <w:rsid w:val="008A7DF2"/>
    <w:rsid w:val="008B10AA"/>
    <w:rsid w:val="008B135F"/>
    <w:rsid w:val="008B169D"/>
    <w:rsid w:val="008B1701"/>
    <w:rsid w:val="008B1B75"/>
    <w:rsid w:val="008B1D5D"/>
    <w:rsid w:val="008B22E3"/>
    <w:rsid w:val="008B2C4C"/>
    <w:rsid w:val="008B36F3"/>
    <w:rsid w:val="008B4782"/>
    <w:rsid w:val="008B6387"/>
    <w:rsid w:val="008B6A04"/>
    <w:rsid w:val="008B7F01"/>
    <w:rsid w:val="008C1CB4"/>
    <w:rsid w:val="008C2472"/>
    <w:rsid w:val="008C2960"/>
    <w:rsid w:val="008C29A5"/>
    <w:rsid w:val="008C29DB"/>
    <w:rsid w:val="008C2B39"/>
    <w:rsid w:val="008C2FB5"/>
    <w:rsid w:val="008C3ACF"/>
    <w:rsid w:val="008C41CF"/>
    <w:rsid w:val="008C437A"/>
    <w:rsid w:val="008C5535"/>
    <w:rsid w:val="008C553B"/>
    <w:rsid w:val="008C6715"/>
    <w:rsid w:val="008C6751"/>
    <w:rsid w:val="008C6AED"/>
    <w:rsid w:val="008C70EE"/>
    <w:rsid w:val="008C7516"/>
    <w:rsid w:val="008C7CF8"/>
    <w:rsid w:val="008D1434"/>
    <w:rsid w:val="008D1E3F"/>
    <w:rsid w:val="008D1E44"/>
    <w:rsid w:val="008D20D4"/>
    <w:rsid w:val="008D2483"/>
    <w:rsid w:val="008D2846"/>
    <w:rsid w:val="008D3A89"/>
    <w:rsid w:val="008D4127"/>
    <w:rsid w:val="008D4C0E"/>
    <w:rsid w:val="008D6B3D"/>
    <w:rsid w:val="008D6EFB"/>
    <w:rsid w:val="008D6F4B"/>
    <w:rsid w:val="008D7A9C"/>
    <w:rsid w:val="008E092F"/>
    <w:rsid w:val="008E128E"/>
    <w:rsid w:val="008E1516"/>
    <w:rsid w:val="008E1B41"/>
    <w:rsid w:val="008E1BEB"/>
    <w:rsid w:val="008E2FA3"/>
    <w:rsid w:val="008E3965"/>
    <w:rsid w:val="008E4901"/>
    <w:rsid w:val="008E5487"/>
    <w:rsid w:val="008E5593"/>
    <w:rsid w:val="008E58A0"/>
    <w:rsid w:val="008E66A3"/>
    <w:rsid w:val="008E692C"/>
    <w:rsid w:val="008E69A6"/>
    <w:rsid w:val="008E6B63"/>
    <w:rsid w:val="008E6CA6"/>
    <w:rsid w:val="008E7F76"/>
    <w:rsid w:val="008F00C6"/>
    <w:rsid w:val="008F01E3"/>
    <w:rsid w:val="008F0DCE"/>
    <w:rsid w:val="008F1586"/>
    <w:rsid w:val="008F1854"/>
    <w:rsid w:val="008F2251"/>
    <w:rsid w:val="008F238C"/>
    <w:rsid w:val="008F2BF2"/>
    <w:rsid w:val="008F36D6"/>
    <w:rsid w:val="008F5835"/>
    <w:rsid w:val="008F6017"/>
    <w:rsid w:val="008F6863"/>
    <w:rsid w:val="008F6DF4"/>
    <w:rsid w:val="008F6E85"/>
    <w:rsid w:val="008F78B8"/>
    <w:rsid w:val="009001AE"/>
    <w:rsid w:val="00901E5E"/>
    <w:rsid w:val="009028AE"/>
    <w:rsid w:val="009035C5"/>
    <w:rsid w:val="00903817"/>
    <w:rsid w:val="00903FDA"/>
    <w:rsid w:val="00905308"/>
    <w:rsid w:val="00905A2E"/>
    <w:rsid w:val="00905A32"/>
    <w:rsid w:val="00905D29"/>
    <w:rsid w:val="00905DE6"/>
    <w:rsid w:val="009064BC"/>
    <w:rsid w:val="00910661"/>
    <w:rsid w:val="0091179A"/>
    <w:rsid w:val="00911C30"/>
    <w:rsid w:val="00912341"/>
    <w:rsid w:val="00912A3E"/>
    <w:rsid w:val="00912B70"/>
    <w:rsid w:val="00912FB5"/>
    <w:rsid w:val="00913021"/>
    <w:rsid w:val="0091304A"/>
    <w:rsid w:val="009134AE"/>
    <w:rsid w:val="0091392C"/>
    <w:rsid w:val="009140AB"/>
    <w:rsid w:val="00914521"/>
    <w:rsid w:val="00915136"/>
    <w:rsid w:val="009151EA"/>
    <w:rsid w:val="0091561B"/>
    <w:rsid w:val="00915866"/>
    <w:rsid w:val="00915F3E"/>
    <w:rsid w:val="009162CE"/>
    <w:rsid w:val="00916F75"/>
    <w:rsid w:val="00920174"/>
    <w:rsid w:val="0092072C"/>
    <w:rsid w:val="0092089D"/>
    <w:rsid w:val="009209C3"/>
    <w:rsid w:val="00920F02"/>
    <w:rsid w:val="00922343"/>
    <w:rsid w:val="00922BDB"/>
    <w:rsid w:val="00922E33"/>
    <w:rsid w:val="00923773"/>
    <w:rsid w:val="00924EF0"/>
    <w:rsid w:val="0092527D"/>
    <w:rsid w:val="00925F3B"/>
    <w:rsid w:val="00925FBF"/>
    <w:rsid w:val="00926245"/>
    <w:rsid w:val="00926798"/>
    <w:rsid w:val="00927380"/>
    <w:rsid w:val="00927399"/>
    <w:rsid w:val="00927FD1"/>
    <w:rsid w:val="00930277"/>
    <w:rsid w:val="009303D5"/>
    <w:rsid w:val="00930410"/>
    <w:rsid w:val="009318DD"/>
    <w:rsid w:val="00932742"/>
    <w:rsid w:val="00932885"/>
    <w:rsid w:val="00933EDC"/>
    <w:rsid w:val="00933EFC"/>
    <w:rsid w:val="00934896"/>
    <w:rsid w:val="00935A82"/>
    <w:rsid w:val="009364F6"/>
    <w:rsid w:val="00936F5B"/>
    <w:rsid w:val="00937171"/>
    <w:rsid w:val="009373E5"/>
    <w:rsid w:val="009376BC"/>
    <w:rsid w:val="00937F87"/>
    <w:rsid w:val="00937FF3"/>
    <w:rsid w:val="0094090D"/>
    <w:rsid w:val="00940BEF"/>
    <w:rsid w:val="00941E1A"/>
    <w:rsid w:val="00941EB4"/>
    <w:rsid w:val="00941FDA"/>
    <w:rsid w:val="00942651"/>
    <w:rsid w:val="00942A35"/>
    <w:rsid w:val="00942E35"/>
    <w:rsid w:val="00942EBA"/>
    <w:rsid w:val="00943041"/>
    <w:rsid w:val="0094345B"/>
    <w:rsid w:val="0094453F"/>
    <w:rsid w:val="009446EA"/>
    <w:rsid w:val="00945692"/>
    <w:rsid w:val="009471CE"/>
    <w:rsid w:val="00947D49"/>
    <w:rsid w:val="009511D1"/>
    <w:rsid w:val="00951503"/>
    <w:rsid w:val="00952047"/>
    <w:rsid w:val="00952361"/>
    <w:rsid w:val="00952AB7"/>
    <w:rsid w:val="00952AC1"/>
    <w:rsid w:val="00954547"/>
    <w:rsid w:val="00954A89"/>
    <w:rsid w:val="00955F7F"/>
    <w:rsid w:val="00955FC5"/>
    <w:rsid w:val="00956A54"/>
    <w:rsid w:val="009571F6"/>
    <w:rsid w:val="00957BD8"/>
    <w:rsid w:val="00957D03"/>
    <w:rsid w:val="00960C6C"/>
    <w:rsid w:val="00961131"/>
    <w:rsid w:val="00961EA4"/>
    <w:rsid w:val="00962021"/>
    <w:rsid w:val="00963180"/>
    <w:rsid w:val="00963276"/>
    <w:rsid w:val="009635E6"/>
    <w:rsid w:val="00963B4D"/>
    <w:rsid w:val="009646D2"/>
    <w:rsid w:val="009648D3"/>
    <w:rsid w:val="00964DED"/>
    <w:rsid w:val="009657B3"/>
    <w:rsid w:val="00965952"/>
    <w:rsid w:val="009664D0"/>
    <w:rsid w:val="0096689B"/>
    <w:rsid w:val="00967884"/>
    <w:rsid w:val="00970059"/>
    <w:rsid w:val="009706C4"/>
    <w:rsid w:val="009713C9"/>
    <w:rsid w:val="009715ED"/>
    <w:rsid w:val="009718A5"/>
    <w:rsid w:val="00972097"/>
    <w:rsid w:val="0097296A"/>
    <w:rsid w:val="00972A9A"/>
    <w:rsid w:val="00972B07"/>
    <w:rsid w:val="00973DBE"/>
    <w:rsid w:val="00974161"/>
    <w:rsid w:val="0097485A"/>
    <w:rsid w:val="0097740A"/>
    <w:rsid w:val="00977607"/>
    <w:rsid w:val="009777EC"/>
    <w:rsid w:val="00977C8A"/>
    <w:rsid w:val="00981E64"/>
    <w:rsid w:val="00981ECD"/>
    <w:rsid w:val="00982491"/>
    <w:rsid w:val="009827C7"/>
    <w:rsid w:val="00982D45"/>
    <w:rsid w:val="00983072"/>
    <w:rsid w:val="00983431"/>
    <w:rsid w:val="00983858"/>
    <w:rsid w:val="0098418D"/>
    <w:rsid w:val="00984F86"/>
    <w:rsid w:val="00985039"/>
    <w:rsid w:val="009853EE"/>
    <w:rsid w:val="0098630B"/>
    <w:rsid w:val="00987113"/>
    <w:rsid w:val="00987381"/>
    <w:rsid w:val="00987706"/>
    <w:rsid w:val="009903A3"/>
    <w:rsid w:val="00990940"/>
    <w:rsid w:val="00990C48"/>
    <w:rsid w:val="00990C6A"/>
    <w:rsid w:val="00990F56"/>
    <w:rsid w:val="0099154D"/>
    <w:rsid w:val="00992101"/>
    <w:rsid w:val="009923E3"/>
    <w:rsid w:val="009927F9"/>
    <w:rsid w:val="0099289E"/>
    <w:rsid w:val="0099353A"/>
    <w:rsid w:val="00993875"/>
    <w:rsid w:val="0099392B"/>
    <w:rsid w:val="00993BF8"/>
    <w:rsid w:val="00994705"/>
    <w:rsid w:val="00994C24"/>
    <w:rsid w:val="00995713"/>
    <w:rsid w:val="00996146"/>
    <w:rsid w:val="00996A44"/>
    <w:rsid w:val="009974A0"/>
    <w:rsid w:val="009A0215"/>
    <w:rsid w:val="009A0F67"/>
    <w:rsid w:val="009A23F9"/>
    <w:rsid w:val="009A31D4"/>
    <w:rsid w:val="009A3D17"/>
    <w:rsid w:val="009A4144"/>
    <w:rsid w:val="009A46A0"/>
    <w:rsid w:val="009A51E9"/>
    <w:rsid w:val="009A5405"/>
    <w:rsid w:val="009A68A9"/>
    <w:rsid w:val="009A6FF3"/>
    <w:rsid w:val="009B0C97"/>
    <w:rsid w:val="009B10F8"/>
    <w:rsid w:val="009B1C49"/>
    <w:rsid w:val="009B21CB"/>
    <w:rsid w:val="009B237C"/>
    <w:rsid w:val="009B2F87"/>
    <w:rsid w:val="009B39EC"/>
    <w:rsid w:val="009B444D"/>
    <w:rsid w:val="009B5021"/>
    <w:rsid w:val="009B5393"/>
    <w:rsid w:val="009B6221"/>
    <w:rsid w:val="009B66DE"/>
    <w:rsid w:val="009B6D43"/>
    <w:rsid w:val="009B7888"/>
    <w:rsid w:val="009C03B8"/>
    <w:rsid w:val="009C1154"/>
    <w:rsid w:val="009C2ECE"/>
    <w:rsid w:val="009C3E10"/>
    <w:rsid w:val="009C437D"/>
    <w:rsid w:val="009C452F"/>
    <w:rsid w:val="009C456F"/>
    <w:rsid w:val="009C474C"/>
    <w:rsid w:val="009C4D95"/>
    <w:rsid w:val="009C5000"/>
    <w:rsid w:val="009C652F"/>
    <w:rsid w:val="009C6F5C"/>
    <w:rsid w:val="009C7F51"/>
    <w:rsid w:val="009D0173"/>
    <w:rsid w:val="009D1943"/>
    <w:rsid w:val="009D2039"/>
    <w:rsid w:val="009D2235"/>
    <w:rsid w:val="009D225C"/>
    <w:rsid w:val="009D22BE"/>
    <w:rsid w:val="009D29B0"/>
    <w:rsid w:val="009D2F9A"/>
    <w:rsid w:val="009D2FEA"/>
    <w:rsid w:val="009D30AD"/>
    <w:rsid w:val="009D335E"/>
    <w:rsid w:val="009D3777"/>
    <w:rsid w:val="009D3CA6"/>
    <w:rsid w:val="009D3D40"/>
    <w:rsid w:val="009D436C"/>
    <w:rsid w:val="009D4993"/>
    <w:rsid w:val="009D5036"/>
    <w:rsid w:val="009D5076"/>
    <w:rsid w:val="009D5733"/>
    <w:rsid w:val="009D679C"/>
    <w:rsid w:val="009D7422"/>
    <w:rsid w:val="009D7873"/>
    <w:rsid w:val="009D7972"/>
    <w:rsid w:val="009D798B"/>
    <w:rsid w:val="009D7DFC"/>
    <w:rsid w:val="009E1BF4"/>
    <w:rsid w:val="009E1F2B"/>
    <w:rsid w:val="009E3151"/>
    <w:rsid w:val="009E3D27"/>
    <w:rsid w:val="009E463D"/>
    <w:rsid w:val="009E4E94"/>
    <w:rsid w:val="009E50A9"/>
    <w:rsid w:val="009E5FF3"/>
    <w:rsid w:val="009E6293"/>
    <w:rsid w:val="009E661E"/>
    <w:rsid w:val="009E6973"/>
    <w:rsid w:val="009F041A"/>
    <w:rsid w:val="009F059D"/>
    <w:rsid w:val="009F08C9"/>
    <w:rsid w:val="009F09B0"/>
    <w:rsid w:val="009F0C4D"/>
    <w:rsid w:val="009F0F33"/>
    <w:rsid w:val="009F1437"/>
    <w:rsid w:val="009F1C12"/>
    <w:rsid w:val="009F2197"/>
    <w:rsid w:val="009F2A5F"/>
    <w:rsid w:val="009F422E"/>
    <w:rsid w:val="009F4367"/>
    <w:rsid w:val="009F4848"/>
    <w:rsid w:val="009F4A5E"/>
    <w:rsid w:val="009F4F59"/>
    <w:rsid w:val="009F5085"/>
    <w:rsid w:val="009F608F"/>
    <w:rsid w:val="009F674E"/>
    <w:rsid w:val="009F6B0E"/>
    <w:rsid w:val="009F716F"/>
    <w:rsid w:val="009F73D5"/>
    <w:rsid w:val="009F7A2C"/>
    <w:rsid w:val="00A00732"/>
    <w:rsid w:val="00A00CE2"/>
    <w:rsid w:val="00A0100F"/>
    <w:rsid w:val="00A010CB"/>
    <w:rsid w:val="00A01600"/>
    <w:rsid w:val="00A022B3"/>
    <w:rsid w:val="00A034E1"/>
    <w:rsid w:val="00A03BFA"/>
    <w:rsid w:val="00A05933"/>
    <w:rsid w:val="00A05A3C"/>
    <w:rsid w:val="00A0667C"/>
    <w:rsid w:val="00A107F7"/>
    <w:rsid w:val="00A12C5E"/>
    <w:rsid w:val="00A12EFE"/>
    <w:rsid w:val="00A13161"/>
    <w:rsid w:val="00A1445B"/>
    <w:rsid w:val="00A154C0"/>
    <w:rsid w:val="00A154DE"/>
    <w:rsid w:val="00A157B0"/>
    <w:rsid w:val="00A15BD2"/>
    <w:rsid w:val="00A15CF1"/>
    <w:rsid w:val="00A15F1F"/>
    <w:rsid w:val="00A15F71"/>
    <w:rsid w:val="00A15FCE"/>
    <w:rsid w:val="00A164B1"/>
    <w:rsid w:val="00A16B1B"/>
    <w:rsid w:val="00A16B35"/>
    <w:rsid w:val="00A16DCD"/>
    <w:rsid w:val="00A173A3"/>
    <w:rsid w:val="00A173A6"/>
    <w:rsid w:val="00A177C4"/>
    <w:rsid w:val="00A20666"/>
    <w:rsid w:val="00A2087A"/>
    <w:rsid w:val="00A213A7"/>
    <w:rsid w:val="00A21987"/>
    <w:rsid w:val="00A21D3D"/>
    <w:rsid w:val="00A22344"/>
    <w:rsid w:val="00A225CB"/>
    <w:rsid w:val="00A225EE"/>
    <w:rsid w:val="00A22FA3"/>
    <w:rsid w:val="00A23CAF"/>
    <w:rsid w:val="00A24055"/>
    <w:rsid w:val="00A2420D"/>
    <w:rsid w:val="00A24BD3"/>
    <w:rsid w:val="00A26682"/>
    <w:rsid w:val="00A2709D"/>
    <w:rsid w:val="00A27403"/>
    <w:rsid w:val="00A2763F"/>
    <w:rsid w:val="00A300D6"/>
    <w:rsid w:val="00A302F7"/>
    <w:rsid w:val="00A30747"/>
    <w:rsid w:val="00A30FF5"/>
    <w:rsid w:val="00A312C3"/>
    <w:rsid w:val="00A31D93"/>
    <w:rsid w:val="00A33789"/>
    <w:rsid w:val="00A3439B"/>
    <w:rsid w:val="00A34485"/>
    <w:rsid w:val="00A352DA"/>
    <w:rsid w:val="00A37CBF"/>
    <w:rsid w:val="00A40231"/>
    <w:rsid w:val="00A4278C"/>
    <w:rsid w:val="00A42852"/>
    <w:rsid w:val="00A43420"/>
    <w:rsid w:val="00A43802"/>
    <w:rsid w:val="00A43A2B"/>
    <w:rsid w:val="00A43A8A"/>
    <w:rsid w:val="00A43B37"/>
    <w:rsid w:val="00A44077"/>
    <w:rsid w:val="00A44323"/>
    <w:rsid w:val="00A44947"/>
    <w:rsid w:val="00A44E20"/>
    <w:rsid w:val="00A45276"/>
    <w:rsid w:val="00A4614D"/>
    <w:rsid w:val="00A46C79"/>
    <w:rsid w:val="00A4723F"/>
    <w:rsid w:val="00A502C9"/>
    <w:rsid w:val="00A5192E"/>
    <w:rsid w:val="00A521FD"/>
    <w:rsid w:val="00A5248C"/>
    <w:rsid w:val="00A52B27"/>
    <w:rsid w:val="00A52CA4"/>
    <w:rsid w:val="00A53124"/>
    <w:rsid w:val="00A5346C"/>
    <w:rsid w:val="00A53847"/>
    <w:rsid w:val="00A53CBA"/>
    <w:rsid w:val="00A546A7"/>
    <w:rsid w:val="00A54F1A"/>
    <w:rsid w:val="00A55527"/>
    <w:rsid w:val="00A55A52"/>
    <w:rsid w:val="00A55BB0"/>
    <w:rsid w:val="00A56CD1"/>
    <w:rsid w:val="00A56EBB"/>
    <w:rsid w:val="00A5746E"/>
    <w:rsid w:val="00A57BDB"/>
    <w:rsid w:val="00A6094B"/>
    <w:rsid w:val="00A60971"/>
    <w:rsid w:val="00A610A7"/>
    <w:rsid w:val="00A61CEC"/>
    <w:rsid w:val="00A62CDD"/>
    <w:rsid w:val="00A62D74"/>
    <w:rsid w:val="00A63C0D"/>
    <w:rsid w:val="00A640E7"/>
    <w:rsid w:val="00A642CE"/>
    <w:rsid w:val="00A6516E"/>
    <w:rsid w:val="00A657DA"/>
    <w:rsid w:val="00A658B7"/>
    <w:rsid w:val="00A65DD1"/>
    <w:rsid w:val="00A66AE6"/>
    <w:rsid w:val="00A66B14"/>
    <w:rsid w:val="00A67847"/>
    <w:rsid w:val="00A67945"/>
    <w:rsid w:val="00A7054C"/>
    <w:rsid w:val="00A71D7C"/>
    <w:rsid w:val="00A71DDD"/>
    <w:rsid w:val="00A728DD"/>
    <w:rsid w:val="00A72B93"/>
    <w:rsid w:val="00A72D89"/>
    <w:rsid w:val="00A732A3"/>
    <w:rsid w:val="00A73E89"/>
    <w:rsid w:val="00A73EB1"/>
    <w:rsid w:val="00A73ED6"/>
    <w:rsid w:val="00A73F62"/>
    <w:rsid w:val="00A744AF"/>
    <w:rsid w:val="00A74DC2"/>
    <w:rsid w:val="00A75824"/>
    <w:rsid w:val="00A75AA8"/>
    <w:rsid w:val="00A75C4B"/>
    <w:rsid w:val="00A76773"/>
    <w:rsid w:val="00A76946"/>
    <w:rsid w:val="00A76ED0"/>
    <w:rsid w:val="00A7747A"/>
    <w:rsid w:val="00A80309"/>
    <w:rsid w:val="00A80415"/>
    <w:rsid w:val="00A80735"/>
    <w:rsid w:val="00A8091E"/>
    <w:rsid w:val="00A80EE5"/>
    <w:rsid w:val="00A81021"/>
    <w:rsid w:val="00A84CD6"/>
    <w:rsid w:val="00A8513F"/>
    <w:rsid w:val="00A85800"/>
    <w:rsid w:val="00A85FB5"/>
    <w:rsid w:val="00A869AB"/>
    <w:rsid w:val="00A86AEC"/>
    <w:rsid w:val="00A87212"/>
    <w:rsid w:val="00A91398"/>
    <w:rsid w:val="00A91D7A"/>
    <w:rsid w:val="00A9315A"/>
    <w:rsid w:val="00A93C4B"/>
    <w:rsid w:val="00A94182"/>
    <w:rsid w:val="00A94A4C"/>
    <w:rsid w:val="00A954FF"/>
    <w:rsid w:val="00A956B7"/>
    <w:rsid w:val="00A95793"/>
    <w:rsid w:val="00A95AA4"/>
    <w:rsid w:val="00A95D17"/>
    <w:rsid w:val="00A962DE"/>
    <w:rsid w:val="00A96959"/>
    <w:rsid w:val="00A97608"/>
    <w:rsid w:val="00AA0537"/>
    <w:rsid w:val="00AA08FC"/>
    <w:rsid w:val="00AA0C58"/>
    <w:rsid w:val="00AA0F86"/>
    <w:rsid w:val="00AA10FB"/>
    <w:rsid w:val="00AA1679"/>
    <w:rsid w:val="00AA2F6A"/>
    <w:rsid w:val="00AA55FF"/>
    <w:rsid w:val="00AA57C7"/>
    <w:rsid w:val="00AA6E28"/>
    <w:rsid w:val="00AA7223"/>
    <w:rsid w:val="00AA724B"/>
    <w:rsid w:val="00AA727F"/>
    <w:rsid w:val="00AA76EB"/>
    <w:rsid w:val="00AA7A9E"/>
    <w:rsid w:val="00AB0279"/>
    <w:rsid w:val="00AB1698"/>
    <w:rsid w:val="00AB1DAF"/>
    <w:rsid w:val="00AB2D40"/>
    <w:rsid w:val="00AB36C4"/>
    <w:rsid w:val="00AB384E"/>
    <w:rsid w:val="00AB51D7"/>
    <w:rsid w:val="00AB5BD5"/>
    <w:rsid w:val="00AB5DB5"/>
    <w:rsid w:val="00AB7B93"/>
    <w:rsid w:val="00AB7D7C"/>
    <w:rsid w:val="00AB7F08"/>
    <w:rsid w:val="00AC0081"/>
    <w:rsid w:val="00AC09B3"/>
    <w:rsid w:val="00AC160C"/>
    <w:rsid w:val="00AC1F30"/>
    <w:rsid w:val="00AC1F97"/>
    <w:rsid w:val="00AC212A"/>
    <w:rsid w:val="00AC415D"/>
    <w:rsid w:val="00AC439A"/>
    <w:rsid w:val="00AC46D1"/>
    <w:rsid w:val="00AC4A5A"/>
    <w:rsid w:val="00AC56B7"/>
    <w:rsid w:val="00AC5AFF"/>
    <w:rsid w:val="00AC5B11"/>
    <w:rsid w:val="00AC5C1F"/>
    <w:rsid w:val="00AC5FB8"/>
    <w:rsid w:val="00AC6902"/>
    <w:rsid w:val="00AC699C"/>
    <w:rsid w:val="00AC6FC4"/>
    <w:rsid w:val="00AC767C"/>
    <w:rsid w:val="00AC792F"/>
    <w:rsid w:val="00AC7C69"/>
    <w:rsid w:val="00AD07A4"/>
    <w:rsid w:val="00AD0C23"/>
    <w:rsid w:val="00AD1B8B"/>
    <w:rsid w:val="00AD2A59"/>
    <w:rsid w:val="00AD33E2"/>
    <w:rsid w:val="00AD4B63"/>
    <w:rsid w:val="00AD4E06"/>
    <w:rsid w:val="00AD5A89"/>
    <w:rsid w:val="00AD5C34"/>
    <w:rsid w:val="00AD5DB3"/>
    <w:rsid w:val="00AD6E1F"/>
    <w:rsid w:val="00AD70F0"/>
    <w:rsid w:val="00AD76BF"/>
    <w:rsid w:val="00AE0F6B"/>
    <w:rsid w:val="00AE1114"/>
    <w:rsid w:val="00AE2222"/>
    <w:rsid w:val="00AE2899"/>
    <w:rsid w:val="00AE5205"/>
    <w:rsid w:val="00AE59FF"/>
    <w:rsid w:val="00AE5B7D"/>
    <w:rsid w:val="00AE5E57"/>
    <w:rsid w:val="00AE5F8F"/>
    <w:rsid w:val="00AE606E"/>
    <w:rsid w:val="00AE6ADC"/>
    <w:rsid w:val="00AE6C1D"/>
    <w:rsid w:val="00AE6DA9"/>
    <w:rsid w:val="00AE7F2C"/>
    <w:rsid w:val="00AF01BF"/>
    <w:rsid w:val="00AF07B3"/>
    <w:rsid w:val="00AF1198"/>
    <w:rsid w:val="00AF174E"/>
    <w:rsid w:val="00AF2152"/>
    <w:rsid w:val="00AF21DE"/>
    <w:rsid w:val="00AF25F0"/>
    <w:rsid w:val="00AF2A43"/>
    <w:rsid w:val="00AF2E0A"/>
    <w:rsid w:val="00AF323C"/>
    <w:rsid w:val="00AF39DF"/>
    <w:rsid w:val="00AF3DFF"/>
    <w:rsid w:val="00AF511A"/>
    <w:rsid w:val="00AF5AFB"/>
    <w:rsid w:val="00AF6017"/>
    <w:rsid w:val="00AF6408"/>
    <w:rsid w:val="00AF6505"/>
    <w:rsid w:val="00AF77B2"/>
    <w:rsid w:val="00B00268"/>
    <w:rsid w:val="00B00BDA"/>
    <w:rsid w:val="00B01106"/>
    <w:rsid w:val="00B01CAF"/>
    <w:rsid w:val="00B02B68"/>
    <w:rsid w:val="00B02D43"/>
    <w:rsid w:val="00B0327D"/>
    <w:rsid w:val="00B03895"/>
    <w:rsid w:val="00B04946"/>
    <w:rsid w:val="00B04C60"/>
    <w:rsid w:val="00B05BE7"/>
    <w:rsid w:val="00B062A3"/>
    <w:rsid w:val="00B1001F"/>
    <w:rsid w:val="00B102FF"/>
    <w:rsid w:val="00B103AA"/>
    <w:rsid w:val="00B10620"/>
    <w:rsid w:val="00B106E3"/>
    <w:rsid w:val="00B1190F"/>
    <w:rsid w:val="00B13823"/>
    <w:rsid w:val="00B139D6"/>
    <w:rsid w:val="00B14024"/>
    <w:rsid w:val="00B143AE"/>
    <w:rsid w:val="00B14986"/>
    <w:rsid w:val="00B14EA5"/>
    <w:rsid w:val="00B157A5"/>
    <w:rsid w:val="00B15EE8"/>
    <w:rsid w:val="00B16591"/>
    <w:rsid w:val="00B1669E"/>
    <w:rsid w:val="00B177E0"/>
    <w:rsid w:val="00B17E69"/>
    <w:rsid w:val="00B2057C"/>
    <w:rsid w:val="00B2136F"/>
    <w:rsid w:val="00B22652"/>
    <w:rsid w:val="00B23503"/>
    <w:rsid w:val="00B23747"/>
    <w:rsid w:val="00B248A4"/>
    <w:rsid w:val="00B25419"/>
    <w:rsid w:val="00B25645"/>
    <w:rsid w:val="00B2686E"/>
    <w:rsid w:val="00B30791"/>
    <w:rsid w:val="00B30C8D"/>
    <w:rsid w:val="00B32228"/>
    <w:rsid w:val="00B32589"/>
    <w:rsid w:val="00B33766"/>
    <w:rsid w:val="00B33983"/>
    <w:rsid w:val="00B3533E"/>
    <w:rsid w:val="00B35C76"/>
    <w:rsid w:val="00B36E68"/>
    <w:rsid w:val="00B37879"/>
    <w:rsid w:val="00B41059"/>
    <w:rsid w:val="00B414C8"/>
    <w:rsid w:val="00B423A9"/>
    <w:rsid w:val="00B43566"/>
    <w:rsid w:val="00B43928"/>
    <w:rsid w:val="00B43DAD"/>
    <w:rsid w:val="00B44079"/>
    <w:rsid w:val="00B450C7"/>
    <w:rsid w:val="00B45D7E"/>
    <w:rsid w:val="00B45FC2"/>
    <w:rsid w:val="00B46535"/>
    <w:rsid w:val="00B46826"/>
    <w:rsid w:val="00B46985"/>
    <w:rsid w:val="00B46E8D"/>
    <w:rsid w:val="00B47194"/>
    <w:rsid w:val="00B4795B"/>
    <w:rsid w:val="00B50026"/>
    <w:rsid w:val="00B5014E"/>
    <w:rsid w:val="00B50DB1"/>
    <w:rsid w:val="00B50F76"/>
    <w:rsid w:val="00B51606"/>
    <w:rsid w:val="00B52741"/>
    <w:rsid w:val="00B563B8"/>
    <w:rsid w:val="00B57C02"/>
    <w:rsid w:val="00B62DBD"/>
    <w:rsid w:val="00B62E9D"/>
    <w:rsid w:val="00B63636"/>
    <w:rsid w:val="00B63771"/>
    <w:rsid w:val="00B643F3"/>
    <w:rsid w:val="00B6494D"/>
    <w:rsid w:val="00B64F83"/>
    <w:rsid w:val="00B65FC5"/>
    <w:rsid w:val="00B665DC"/>
    <w:rsid w:val="00B6674F"/>
    <w:rsid w:val="00B66AEB"/>
    <w:rsid w:val="00B70427"/>
    <w:rsid w:val="00B70443"/>
    <w:rsid w:val="00B71E15"/>
    <w:rsid w:val="00B7212C"/>
    <w:rsid w:val="00B724FC"/>
    <w:rsid w:val="00B73AC5"/>
    <w:rsid w:val="00B747B2"/>
    <w:rsid w:val="00B74AF7"/>
    <w:rsid w:val="00B74C6A"/>
    <w:rsid w:val="00B75624"/>
    <w:rsid w:val="00B76792"/>
    <w:rsid w:val="00B77546"/>
    <w:rsid w:val="00B77F59"/>
    <w:rsid w:val="00B806DD"/>
    <w:rsid w:val="00B814E8"/>
    <w:rsid w:val="00B815B7"/>
    <w:rsid w:val="00B817C1"/>
    <w:rsid w:val="00B828F8"/>
    <w:rsid w:val="00B83086"/>
    <w:rsid w:val="00B83446"/>
    <w:rsid w:val="00B83BA6"/>
    <w:rsid w:val="00B83DF0"/>
    <w:rsid w:val="00B86551"/>
    <w:rsid w:val="00B86D88"/>
    <w:rsid w:val="00B8722B"/>
    <w:rsid w:val="00B90148"/>
    <w:rsid w:val="00B902BF"/>
    <w:rsid w:val="00B91864"/>
    <w:rsid w:val="00B91A75"/>
    <w:rsid w:val="00B91B7A"/>
    <w:rsid w:val="00B938A8"/>
    <w:rsid w:val="00B93BEA"/>
    <w:rsid w:val="00B94661"/>
    <w:rsid w:val="00B9468C"/>
    <w:rsid w:val="00B95716"/>
    <w:rsid w:val="00B958A5"/>
    <w:rsid w:val="00B95AB6"/>
    <w:rsid w:val="00B95C14"/>
    <w:rsid w:val="00B96564"/>
    <w:rsid w:val="00B96A5F"/>
    <w:rsid w:val="00BA01E6"/>
    <w:rsid w:val="00BA0CC3"/>
    <w:rsid w:val="00BA0EE2"/>
    <w:rsid w:val="00BA1485"/>
    <w:rsid w:val="00BA14D0"/>
    <w:rsid w:val="00BA186D"/>
    <w:rsid w:val="00BA2B0C"/>
    <w:rsid w:val="00BA2F75"/>
    <w:rsid w:val="00BA3132"/>
    <w:rsid w:val="00BA35EA"/>
    <w:rsid w:val="00BA3B81"/>
    <w:rsid w:val="00BA411C"/>
    <w:rsid w:val="00BA4CD7"/>
    <w:rsid w:val="00BA4F04"/>
    <w:rsid w:val="00BA50DE"/>
    <w:rsid w:val="00BA5475"/>
    <w:rsid w:val="00BA5DD8"/>
    <w:rsid w:val="00BA6046"/>
    <w:rsid w:val="00BA615D"/>
    <w:rsid w:val="00BA6740"/>
    <w:rsid w:val="00BA6996"/>
    <w:rsid w:val="00BA6F16"/>
    <w:rsid w:val="00BA728F"/>
    <w:rsid w:val="00BA7977"/>
    <w:rsid w:val="00BB0431"/>
    <w:rsid w:val="00BB04DF"/>
    <w:rsid w:val="00BB05C8"/>
    <w:rsid w:val="00BB05E8"/>
    <w:rsid w:val="00BB0AAA"/>
    <w:rsid w:val="00BB1927"/>
    <w:rsid w:val="00BB1A62"/>
    <w:rsid w:val="00BB20AC"/>
    <w:rsid w:val="00BB2793"/>
    <w:rsid w:val="00BB2F41"/>
    <w:rsid w:val="00BB4160"/>
    <w:rsid w:val="00BB4CFF"/>
    <w:rsid w:val="00BB4E6D"/>
    <w:rsid w:val="00BB529C"/>
    <w:rsid w:val="00BB55E6"/>
    <w:rsid w:val="00BB5C18"/>
    <w:rsid w:val="00BB7D67"/>
    <w:rsid w:val="00BC0374"/>
    <w:rsid w:val="00BC063D"/>
    <w:rsid w:val="00BC164B"/>
    <w:rsid w:val="00BC1DF1"/>
    <w:rsid w:val="00BC2D0A"/>
    <w:rsid w:val="00BC2EA9"/>
    <w:rsid w:val="00BC2FDF"/>
    <w:rsid w:val="00BC3F8A"/>
    <w:rsid w:val="00BC4686"/>
    <w:rsid w:val="00BC4BF8"/>
    <w:rsid w:val="00BC4E03"/>
    <w:rsid w:val="00BC4E42"/>
    <w:rsid w:val="00BC61B2"/>
    <w:rsid w:val="00BC62A6"/>
    <w:rsid w:val="00BC6B49"/>
    <w:rsid w:val="00BD0BA9"/>
    <w:rsid w:val="00BD0EEC"/>
    <w:rsid w:val="00BD2EF1"/>
    <w:rsid w:val="00BD3236"/>
    <w:rsid w:val="00BD346B"/>
    <w:rsid w:val="00BD3575"/>
    <w:rsid w:val="00BD489C"/>
    <w:rsid w:val="00BD512D"/>
    <w:rsid w:val="00BD5DCE"/>
    <w:rsid w:val="00BD6080"/>
    <w:rsid w:val="00BD6293"/>
    <w:rsid w:val="00BD69A2"/>
    <w:rsid w:val="00BD7345"/>
    <w:rsid w:val="00BD76EC"/>
    <w:rsid w:val="00BD7A2F"/>
    <w:rsid w:val="00BE0132"/>
    <w:rsid w:val="00BE055F"/>
    <w:rsid w:val="00BE2167"/>
    <w:rsid w:val="00BE3015"/>
    <w:rsid w:val="00BE49B5"/>
    <w:rsid w:val="00BE4E1C"/>
    <w:rsid w:val="00BE514A"/>
    <w:rsid w:val="00BE5353"/>
    <w:rsid w:val="00BE5630"/>
    <w:rsid w:val="00BE62DE"/>
    <w:rsid w:val="00BE63DB"/>
    <w:rsid w:val="00BE6B8F"/>
    <w:rsid w:val="00BE6ED2"/>
    <w:rsid w:val="00BE77CB"/>
    <w:rsid w:val="00BE7F20"/>
    <w:rsid w:val="00BF0854"/>
    <w:rsid w:val="00BF0B80"/>
    <w:rsid w:val="00BF0BB4"/>
    <w:rsid w:val="00BF0E44"/>
    <w:rsid w:val="00BF123C"/>
    <w:rsid w:val="00BF1674"/>
    <w:rsid w:val="00BF18BD"/>
    <w:rsid w:val="00BF1C61"/>
    <w:rsid w:val="00BF2075"/>
    <w:rsid w:val="00BF2BBB"/>
    <w:rsid w:val="00BF35E4"/>
    <w:rsid w:val="00BF36C7"/>
    <w:rsid w:val="00BF3872"/>
    <w:rsid w:val="00BF439E"/>
    <w:rsid w:val="00BF461B"/>
    <w:rsid w:val="00BF521A"/>
    <w:rsid w:val="00BF58F9"/>
    <w:rsid w:val="00BF6332"/>
    <w:rsid w:val="00BF65C9"/>
    <w:rsid w:val="00BF781C"/>
    <w:rsid w:val="00C00314"/>
    <w:rsid w:val="00C00609"/>
    <w:rsid w:val="00C00D0E"/>
    <w:rsid w:val="00C01293"/>
    <w:rsid w:val="00C01CC7"/>
    <w:rsid w:val="00C02BB9"/>
    <w:rsid w:val="00C02BF9"/>
    <w:rsid w:val="00C02ED6"/>
    <w:rsid w:val="00C04B66"/>
    <w:rsid w:val="00C04C28"/>
    <w:rsid w:val="00C04DE8"/>
    <w:rsid w:val="00C04E1A"/>
    <w:rsid w:val="00C05F1D"/>
    <w:rsid w:val="00C05F8B"/>
    <w:rsid w:val="00C061BD"/>
    <w:rsid w:val="00C07044"/>
    <w:rsid w:val="00C0786B"/>
    <w:rsid w:val="00C07AE7"/>
    <w:rsid w:val="00C10ABB"/>
    <w:rsid w:val="00C11190"/>
    <w:rsid w:val="00C12502"/>
    <w:rsid w:val="00C12B9A"/>
    <w:rsid w:val="00C1353C"/>
    <w:rsid w:val="00C141F2"/>
    <w:rsid w:val="00C14D93"/>
    <w:rsid w:val="00C15483"/>
    <w:rsid w:val="00C15B04"/>
    <w:rsid w:val="00C15D5E"/>
    <w:rsid w:val="00C1642C"/>
    <w:rsid w:val="00C20912"/>
    <w:rsid w:val="00C2094F"/>
    <w:rsid w:val="00C20D0F"/>
    <w:rsid w:val="00C21C69"/>
    <w:rsid w:val="00C22211"/>
    <w:rsid w:val="00C22542"/>
    <w:rsid w:val="00C227BE"/>
    <w:rsid w:val="00C22A8A"/>
    <w:rsid w:val="00C23773"/>
    <w:rsid w:val="00C23BEC"/>
    <w:rsid w:val="00C23D4B"/>
    <w:rsid w:val="00C23DF5"/>
    <w:rsid w:val="00C24F5C"/>
    <w:rsid w:val="00C26556"/>
    <w:rsid w:val="00C2719A"/>
    <w:rsid w:val="00C27808"/>
    <w:rsid w:val="00C278A9"/>
    <w:rsid w:val="00C30826"/>
    <w:rsid w:val="00C3120A"/>
    <w:rsid w:val="00C32286"/>
    <w:rsid w:val="00C32AAA"/>
    <w:rsid w:val="00C335AF"/>
    <w:rsid w:val="00C33DDD"/>
    <w:rsid w:val="00C35A32"/>
    <w:rsid w:val="00C3637F"/>
    <w:rsid w:val="00C3641A"/>
    <w:rsid w:val="00C3659C"/>
    <w:rsid w:val="00C3770A"/>
    <w:rsid w:val="00C37BD1"/>
    <w:rsid w:val="00C40E8A"/>
    <w:rsid w:val="00C41054"/>
    <w:rsid w:val="00C41226"/>
    <w:rsid w:val="00C41744"/>
    <w:rsid w:val="00C42341"/>
    <w:rsid w:val="00C430E6"/>
    <w:rsid w:val="00C45466"/>
    <w:rsid w:val="00C45A02"/>
    <w:rsid w:val="00C45A20"/>
    <w:rsid w:val="00C45EE5"/>
    <w:rsid w:val="00C4645D"/>
    <w:rsid w:val="00C47BA7"/>
    <w:rsid w:val="00C47C35"/>
    <w:rsid w:val="00C47CB7"/>
    <w:rsid w:val="00C47D1A"/>
    <w:rsid w:val="00C51AFF"/>
    <w:rsid w:val="00C51E6A"/>
    <w:rsid w:val="00C51E93"/>
    <w:rsid w:val="00C52112"/>
    <w:rsid w:val="00C52318"/>
    <w:rsid w:val="00C52618"/>
    <w:rsid w:val="00C528FB"/>
    <w:rsid w:val="00C546AB"/>
    <w:rsid w:val="00C55512"/>
    <w:rsid w:val="00C563C9"/>
    <w:rsid w:val="00C56A8F"/>
    <w:rsid w:val="00C56B06"/>
    <w:rsid w:val="00C60224"/>
    <w:rsid w:val="00C604E5"/>
    <w:rsid w:val="00C611DF"/>
    <w:rsid w:val="00C61655"/>
    <w:rsid w:val="00C61B5A"/>
    <w:rsid w:val="00C61BA8"/>
    <w:rsid w:val="00C61DD9"/>
    <w:rsid w:val="00C62911"/>
    <w:rsid w:val="00C63A36"/>
    <w:rsid w:val="00C6537A"/>
    <w:rsid w:val="00C65549"/>
    <w:rsid w:val="00C65AAF"/>
    <w:rsid w:val="00C65AEA"/>
    <w:rsid w:val="00C667B0"/>
    <w:rsid w:val="00C67BAA"/>
    <w:rsid w:val="00C7000A"/>
    <w:rsid w:val="00C700D8"/>
    <w:rsid w:val="00C703E8"/>
    <w:rsid w:val="00C70685"/>
    <w:rsid w:val="00C71EA6"/>
    <w:rsid w:val="00C7272C"/>
    <w:rsid w:val="00C72768"/>
    <w:rsid w:val="00C733B6"/>
    <w:rsid w:val="00C73567"/>
    <w:rsid w:val="00C73AEF"/>
    <w:rsid w:val="00C7406C"/>
    <w:rsid w:val="00C7413C"/>
    <w:rsid w:val="00C742B7"/>
    <w:rsid w:val="00C7486F"/>
    <w:rsid w:val="00C74F45"/>
    <w:rsid w:val="00C7503E"/>
    <w:rsid w:val="00C7566F"/>
    <w:rsid w:val="00C75BC7"/>
    <w:rsid w:val="00C75F01"/>
    <w:rsid w:val="00C7659C"/>
    <w:rsid w:val="00C76BC8"/>
    <w:rsid w:val="00C76CCE"/>
    <w:rsid w:val="00C76F34"/>
    <w:rsid w:val="00C77BE6"/>
    <w:rsid w:val="00C80C10"/>
    <w:rsid w:val="00C80CBA"/>
    <w:rsid w:val="00C81CD8"/>
    <w:rsid w:val="00C825B0"/>
    <w:rsid w:val="00C82E4C"/>
    <w:rsid w:val="00C83023"/>
    <w:rsid w:val="00C8314C"/>
    <w:rsid w:val="00C835FB"/>
    <w:rsid w:val="00C83685"/>
    <w:rsid w:val="00C839D0"/>
    <w:rsid w:val="00C843C7"/>
    <w:rsid w:val="00C851C3"/>
    <w:rsid w:val="00C85A45"/>
    <w:rsid w:val="00C85AB7"/>
    <w:rsid w:val="00C85E11"/>
    <w:rsid w:val="00C862FA"/>
    <w:rsid w:val="00C86526"/>
    <w:rsid w:val="00C8743C"/>
    <w:rsid w:val="00C878DF"/>
    <w:rsid w:val="00C90B28"/>
    <w:rsid w:val="00C90BD4"/>
    <w:rsid w:val="00C90E0D"/>
    <w:rsid w:val="00C9125B"/>
    <w:rsid w:val="00C92407"/>
    <w:rsid w:val="00C92B8B"/>
    <w:rsid w:val="00C932D6"/>
    <w:rsid w:val="00C93453"/>
    <w:rsid w:val="00C937CF"/>
    <w:rsid w:val="00C94C18"/>
    <w:rsid w:val="00C94CEF"/>
    <w:rsid w:val="00C94DD3"/>
    <w:rsid w:val="00C9501D"/>
    <w:rsid w:val="00C95E48"/>
    <w:rsid w:val="00C95E73"/>
    <w:rsid w:val="00C97507"/>
    <w:rsid w:val="00C97F62"/>
    <w:rsid w:val="00CA047A"/>
    <w:rsid w:val="00CA0777"/>
    <w:rsid w:val="00CA1134"/>
    <w:rsid w:val="00CA178A"/>
    <w:rsid w:val="00CA24D6"/>
    <w:rsid w:val="00CA2AC9"/>
    <w:rsid w:val="00CA3A94"/>
    <w:rsid w:val="00CA412B"/>
    <w:rsid w:val="00CA5280"/>
    <w:rsid w:val="00CA5298"/>
    <w:rsid w:val="00CA5DB0"/>
    <w:rsid w:val="00CA5EC8"/>
    <w:rsid w:val="00CA63A8"/>
    <w:rsid w:val="00CA6C8B"/>
    <w:rsid w:val="00CA7441"/>
    <w:rsid w:val="00CA7A55"/>
    <w:rsid w:val="00CA7AC5"/>
    <w:rsid w:val="00CA7C3D"/>
    <w:rsid w:val="00CB0F93"/>
    <w:rsid w:val="00CB116A"/>
    <w:rsid w:val="00CB16B8"/>
    <w:rsid w:val="00CB3BC0"/>
    <w:rsid w:val="00CB4D99"/>
    <w:rsid w:val="00CB5541"/>
    <w:rsid w:val="00CB5C17"/>
    <w:rsid w:val="00CB6541"/>
    <w:rsid w:val="00CB6A41"/>
    <w:rsid w:val="00CB7297"/>
    <w:rsid w:val="00CB7B16"/>
    <w:rsid w:val="00CB7D24"/>
    <w:rsid w:val="00CC06B2"/>
    <w:rsid w:val="00CC0C4E"/>
    <w:rsid w:val="00CC12B9"/>
    <w:rsid w:val="00CC15BD"/>
    <w:rsid w:val="00CC2EDC"/>
    <w:rsid w:val="00CC38F7"/>
    <w:rsid w:val="00CC4D6F"/>
    <w:rsid w:val="00CC4D89"/>
    <w:rsid w:val="00CC4F4F"/>
    <w:rsid w:val="00CC5303"/>
    <w:rsid w:val="00CC5937"/>
    <w:rsid w:val="00CC5AB0"/>
    <w:rsid w:val="00CC63A5"/>
    <w:rsid w:val="00CC6521"/>
    <w:rsid w:val="00CC67F8"/>
    <w:rsid w:val="00CC763D"/>
    <w:rsid w:val="00CC7ADE"/>
    <w:rsid w:val="00CC7C9F"/>
    <w:rsid w:val="00CD034A"/>
    <w:rsid w:val="00CD1490"/>
    <w:rsid w:val="00CD161B"/>
    <w:rsid w:val="00CD189B"/>
    <w:rsid w:val="00CD2021"/>
    <w:rsid w:val="00CD27EA"/>
    <w:rsid w:val="00CD27FF"/>
    <w:rsid w:val="00CD2A82"/>
    <w:rsid w:val="00CD39DF"/>
    <w:rsid w:val="00CD3F86"/>
    <w:rsid w:val="00CD44F2"/>
    <w:rsid w:val="00CD46B4"/>
    <w:rsid w:val="00CD4CBD"/>
    <w:rsid w:val="00CD4E7D"/>
    <w:rsid w:val="00CD50DD"/>
    <w:rsid w:val="00CD579B"/>
    <w:rsid w:val="00CD5E13"/>
    <w:rsid w:val="00CD6747"/>
    <w:rsid w:val="00CD7024"/>
    <w:rsid w:val="00CD73E5"/>
    <w:rsid w:val="00CD7439"/>
    <w:rsid w:val="00CD75DA"/>
    <w:rsid w:val="00CD782C"/>
    <w:rsid w:val="00CD7968"/>
    <w:rsid w:val="00CD7F1B"/>
    <w:rsid w:val="00CE10FB"/>
    <w:rsid w:val="00CE135C"/>
    <w:rsid w:val="00CE1369"/>
    <w:rsid w:val="00CE1643"/>
    <w:rsid w:val="00CE1F97"/>
    <w:rsid w:val="00CE2055"/>
    <w:rsid w:val="00CE21A1"/>
    <w:rsid w:val="00CE28C4"/>
    <w:rsid w:val="00CE2E26"/>
    <w:rsid w:val="00CE3370"/>
    <w:rsid w:val="00CE47E9"/>
    <w:rsid w:val="00CE4EC5"/>
    <w:rsid w:val="00CE4F74"/>
    <w:rsid w:val="00CE5997"/>
    <w:rsid w:val="00CE5ADA"/>
    <w:rsid w:val="00CE61A1"/>
    <w:rsid w:val="00CE63BD"/>
    <w:rsid w:val="00CE6907"/>
    <w:rsid w:val="00CE744D"/>
    <w:rsid w:val="00CF0913"/>
    <w:rsid w:val="00CF13DF"/>
    <w:rsid w:val="00CF1CD5"/>
    <w:rsid w:val="00CF22C6"/>
    <w:rsid w:val="00CF29D2"/>
    <w:rsid w:val="00CF2B09"/>
    <w:rsid w:val="00CF3106"/>
    <w:rsid w:val="00CF3A42"/>
    <w:rsid w:val="00CF3AD7"/>
    <w:rsid w:val="00CF4D56"/>
    <w:rsid w:val="00CF4F28"/>
    <w:rsid w:val="00CF6D13"/>
    <w:rsid w:val="00D00BBB"/>
    <w:rsid w:val="00D00C41"/>
    <w:rsid w:val="00D01609"/>
    <w:rsid w:val="00D018C7"/>
    <w:rsid w:val="00D0230A"/>
    <w:rsid w:val="00D036C5"/>
    <w:rsid w:val="00D04800"/>
    <w:rsid w:val="00D04F6E"/>
    <w:rsid w:val="00D05654"/>
    <w:rsid w:val="00D05C34"/>
    <w:rsid w:val="00D05EF1"/>
    <w:rsid w:val="00D05F4A"/>
    <w:rsid w:val="00D060F1"/>
    <w:rsid w:val="00D06C33"/>
    <w:rsid w:val="00D06D88"/>
    <w:rsid w:val="00D078EB"/>
    <w:rsid w:val="00D07BB6"/>
    <w:rsid w:val="00D07E33"/>
    <w:rsid w:val="00D1006B"/>
    <w:rsid w:val="00D10070"/>
    <w:rsid w:val="00D1048F"/>
    <w:rsid w:val="00D10656"/>
    <w:rsid w:val="00D10A01"/>
    <w:rsid w:val="00D1170B"/>
    <w:rsid w:val="00D1207F"/>
    <w:rsid w:val="00D1476C"/>
    <w:rsid w:val="00D1480C"/>
    <w:rsid w:val="00D153FA"/>
    <w:rsid w:val="00D1618F"/>
    <w:rsid w:val="00D171FA"/>
    <w:rsid w:val="00D1728D"/>
    <w:rsid w:val="00D17B3E"/>
    <w:rsid w:val="00D20260"/>
    <w:rsid w:val="00D21005"/>
    <w:rsid w:val="00D21D69"/>
    <w:rsid w:val="00D22852"/>
    <w:rsid w:val="00D23E0B"/>
    <w:rsid w:val="00D26267"/>
    <w:rsid w:val="00D2737A"/>
    <w:rsid w:val="00D274C1"/>
    <w:rsid w:val="00D27637"/>
    <w:rsid w:val="00D27D3A"/>
    <w:rsid w:val="00D31A79"/>
    <w:rsid w:val="00D31D3E"/>
    <w:rsid w:val="00D321E7"/>
    <w:rsid w:val="00D32293"/>
    <w:rsid w:val="00D3265D"/>
    <w:rsid w:val="00D33197"/>
    <w:rsid w:val="00D342DB"/>
    <w:rsid w:val="00D357E2"/>
    <w:rsid w:val="00D35D4A"/>
    <w:rsid w:val="00D36007"/>
    <w:rsid w:val="00D3768C"/>
    <w:rsid w:val="00D3780D"/>
    <w:rsid w:val="00D37B7E"/>
    <w:rsid w:val="00D37EAD"/>
    <w:rsid w:val="00D37FA6"/>
    <w:rsid w:val="00D40196"/>
    <w:rsid w:val="00D40A5B"/>
    <w:rsid w:val="00D41665"/>
    <w:rsid w:val="00D427FA"/>
    <w:rsid w:val="00D42854"/>
    <w:rsid w:val="00D428FE"/>
    <w:rsid w:val="00D43555"/>
    <w:rsid w:val="00D439E5"/>
    <w:rsid w:val="00D43CDE"/>
    <w:rsid w:val="00D43ED0"/>
    <w:rsid w:val="00D44895"/>
    <w:rsid w:val="00D44960"/>
    <w:rsid w:val="00D452AD"/>
    <w:rsid w:val="00D46100"/>
    <w:rsid w:val="00D4617D"/>
    <w:rsid w:val="00D462A1"/>
    <w:rsid w:val="00D467B0"/>
    <w:rsid w:val="00D46F19"/>
    <w:rsid w:val="00D501C0"/>
    <w:rsid w:val="00D5111C"/>
    <w:rsid w:val="00D51308"/>
    <w:rsid w:val="00D51943"/>
    <w:rsid w:val="00D51E57"/>
    <w:rsid w:val="00D52184"/>
    <w:rsid w:val="00D52261"/>
    <w:rsid w:val="00D526F0"/>
    <w:rsid w:val="00D545B4"/>
    <w:rsid w:val="00D553CF"/>
    <w:rsid w:val="00D5583D"/>
    <w:rsid w:val="00D55F66"/>
    <w:rsid w:val="00D5617D"/>
    <w:rsid w:val="00D56232"/>
    <w:rsid w:val="00D5648E"/>
    <w:rsid w:val="00D56515"/>
    <w:rsid w:val="00D565E2"/>
    <w:rsid w:val="00D56600"/>
    <w:rsid w:val="00D56A59"/>
    <w:rsid w:val="00D56BF2"/>
    <w:rsid w:val="00D60FDC"/>
    <w:rsid w:val="00D61BCD"/>
    <w:rsid w:val="00D62048"/>
    <w:rsid w:val="00D62083"/>
    <w:rsid w:val="00D623E1"/>
    <w:rsid w:val="00D62BBE"/>
    <w:rsid w:val="00D63A95"/>
    <w:rsid w:val="00D6414D"/>
    <w:rsid w:val="00D64705"/>
    <w:rsid w:val="00D64925"/>
    <w:rsid w:val="00D653CE"/>
    <w:rsid w:val="00D657CB"/>
    <w:rsid w:val="00D66400"/>
    <w:rsid w:val="00D6718F"/>
    <w:rsid w:val="00D675E2"/>
    <w:rsid w:val="00D700B0"/>
    <w:rsid w:val="00D70222"/>
    <w:rsid w:val="00D7249D"/>
    <w:rsid w:val="00D72715"/>
    <w:rsid w:val="00D7280C"/>
    <w:rsid w:val="00D72C0C"/>
    <w:rsid w:val="00D736D3"/>
    <w:rsid w:val="00D7374D"/>
    <w:rsid w:val="00D73AB1"/>
    <w:rsid w:val="00D74210"/>
    <w:rsid w:val="00D7449D"/>
    <w:rsid w:val="00D7549C"/>
    <w:rsid w:val="00D75526"/>
    <w:rsid w:val="00D75AB6"/>
    <w:rsid w:val="00D75FC8"/>
    <w:rsid w:val="00D76900"/>
    <w:rsid w:val="00D7713B"/>
    <w:rsid w:val="00D7720C"/>
    <w:rsid w:val="00D803CA"/>
    <w:rsid w:val="00D808CC"/>
    <w:rsid w:val="00D814E2"/>
    <w:rsid w:val="00D816E6"/>
    <w:rsid w:val="00D8273F"/>
    <w:rsid w:val="00D83688"/>
    <w:rsid w:val="00D83D22"/>
    <w:rsid w:val="00D84C54"/>
    <w:rsid w:val="00D855D0"/>
    <w:rsid w:val="00D85643"/>
    <w:rsid w:val="00D860DA"/>
    <w:rsid w:val="00D86951"/>
    <w:rsid w:val="00D86F6F"/>
    <w:rsid w:val="00D87A7E"/>
    <w:rsid w:val="00D87BA4"/>
    <w:rsid w:val="00D91D09"/>
    <w:rsid w:val="00D92C9C"/>
    <w:rsid w:val="00D930F2"/>
    <w:rsid w:val="00D94343"/>
    <w:rsid w:val="00D95483"/>
    <w:rsid w:val="00D9608B"/>
    <w:rsid w:val="00D962A2"/>
    <w:rsid w:val="00D96535"/>
    <w:rsid w:val="00D96D26"/>
    <w:rsid w:val="00D97261"/>
    <w:rsid w:val="00DA07DE"/>
    <w:rsid w:val="00DA10F2"/>
    <w:rsid w:val="00DA1E0C"/>
    <w:rsid w:val="00DA2E8C"/>
    <w:rsid w:val="00DA2F2C"/>
    <w:rsid w:val="00DA34E4"/>
    <w:rsid w:val="00DA3C3F"/>
    <w:rsid w:val="00DA47E3"/>
    <w:rsid w:val="00DA500E"/>
    <w:rsid w:val="00DA5841"/>
    <w:rsid w:val="00DA5B21"/>
    <w:rsid w:val="00DA61EE"/>
    <w:rsid w:val="00DA6B7F"/>
    <w:rsid w:val="00DA7B6B"/>
    <w:rsid w:val="00DA7BF3"/>
    <w:rsid w:val="00DA7C56"/>
    <w:rsid w:val="00DB034B"/>
    <w:rsid w:val="00DB12B1"/>
    <w:rsid w:val="00DB1DA6"/>
    <w:rsid w:val="00DB277D"/>
    <w:rsid w:val="00DB30E7"/>
    <w:rsid w:val="00DB5032"/>
    <w:rsid w:val="00DB595C"/>
    <w:rsid w:val="00DB6D9B"/>
    <w:rsid w:val="00DB74A1"/>
    <w:rsid w:val="00DB7AC1"/>
    <w:rsid w:val="00DC0970"/>
    <w:rsid w:val="00DC0D02"/>
    <w:rsid w:val="00DC0D29"/>
    <w:rsid w:val="00DC1B73"/>
    <w:rsid w:val="00DC28B6"/>
    <w:rsid w:val="00DC2FDA"/>
    <w:rsid w:val="00DC3CB5"/>
    <w:rsid w:val="00DC4072"/>
    <w:rsid w:val="00DC61C6"/>
    <w:rsid w:val="00DC6385"/>
    <w:rsid w:val="00DC647E"/>
    <w:rsid w:val="00DC6596"/>
    <w:rsid w:val="00DC7360"/>
    <w:rsid w:val="00DC753C"/>
    <w:rsid w:val="00DC77FA"/>
    <w:rsid w:val="00DC7966"/>
    <w:rsid w:val="00DD0B39"/>
    <w:rsid w:val="00DD144D"/>
    <w:rsid w:val="00DD242C"/>
    <w:rsid w:val="00DD27BD"/>
    <w:rsid w:val="00DD2AB4"/>
    <w:rsid w:val="00DD3DCE"/>
    <w:rsid w:val="00DD41AC"/>
    <w:rsid w:val="00DD444E"/>
    <w:rsid w:val="00DD45F4"/>
    <w:rsid w:val="00DD487E"/>
    <w:rsid w:val="00DD6AD8"/>
    <w:rsid w:val="00DD6C5A"/>
    <w:rsid w:val="00DD6CBC"/>
    <w:rsid w:val="00DD6D36"/>
    <w:rsid w:val="00DD7589"/>
    <w:rsid w:val="00DD7F03"/>
    <w:rsid w:val="00DE067B"/>
    <w:rsid w:val="00DE1693"/>
    <w:rsid w:val="00DE1878"/>
    <w:rsid w:val="00DE24B6"/>
    <w:rsid w:val="00DE2908"/>
    <w:rsid w:val="00DE3357"/>
    <w:rsid w:val="00DE383F"/>
    <w:rsid w:val="00DE3941"/>
    <w:rsid w:val="00DE3CF2"/>
    <w:rsid w:val="00DE3EB5"/>
    <w:rsid w:val="00DE42FC"/>
    <w:rsid w:val="00DE50A8"/>
    <w:rsid w:val="00DE50E5"/>
    <w:rsid w:val="00DE5403"/>
    <w:rsid w:val="00DE5C74"/>
    <w:rsid w:val="00DE5F8D"/>
    <w:rsid w:val="00DE62CC"/>
    <w:rsid w:val="00DE7401"/>
    <w:rsid w:val="00DE7552"/>
    <w:rsid w:val="00DF0431"/>
    <w:rsid w:val="00DF0C44"/>
    <w:rsid w:val="00DF15A3"/>
    <w:rsid w:val="00DF1FFF"/>
    <w:rsid w:val="00DF27BE"/>
    <w:rsid w:val="00DF2D13"/>
    <w:rsid w:val="00DF3228"/>
    <w:rsid w:val="00DF3E6C"/>
    <w:rsid w:val="00DF486B"/>
    <w:rsid w:val="00DF51BE"/>
    <w:rsid w:val="00DF53CD"/>
    <w:rsid w:val="00DF561E"/>
    <w:rsid w:val="00DF5AE6"/>
    <w:rsid w:val="00DF5EDD"/>
    <w:rsid w:val="00DF61E4"/>
    <w:rsid w:val="00DF6638"/>
    <w:rsid w:val="00DF71B4"/>
    <w:rsid w:val="00DF72F6"/>
    <w:rsid w:val="00DF78AC"/>
    <w:rsid w:val="00DF791A"/>
    <w:rsid w:val="00DF7D5A"/>
    <w:rsid w:val="00E00BB5"/>
    <w:rsid w:val="00E0162E"/>
    <w:rsid w:val="00E01DA5"/>
    <w:rsid w:val="00E022C8"/>
    <w:rsid w:val="00E024B7"/>
    <w:rsid w:val="00E025FB"/>
    <w:rsid w:val="00E0332B"/>
    <w:rsid w:val="00E033C7"/>
    <w:rsid w:val="00E0430B"/>
    <w:rsid w:val="00E04C3E"/>
    <w:rsid w:val="00E06580"/>
    <w:rsid w:val="00E074C2"/>
    <w:rsid w:val="00E10038"/>
    <w:rsid w:val="00E102A2"/>
    <w:rsid w:val="00E10EA5"/>
    <w:rsid w:val="00E11918"/>
    <w:rsid w:val="00E1344F"/>
    <w:rsid w:val="00E14179"/>
    <w:rsid w:val="00E143A7"/>
    <w:rsid w:val="00E146BC"/>
    <w:rsid w:val="00E1512E"/>
    <w:rsid w:val="00E15539"/>
    <w:rsid w:val="00E15A36"/>
    <w:rsid w:val="00E15F6F"/>
    <w:rsid w:val="00E17E6A"/>
    <w:rsid w:val="00E2010B"/>
    <w:rsid w:val="00E20209"/>
    <w:rsid w:val="00E205B5"/>
    <w:rsid w:val="00E208C7"/>
    <w:rsid w:val="00E20E48"/>
    <w:rsid w:val="00E21DBA"/>
    <w:rsid w:val="00E2207C"/>
    <w:rsid w:val="00E238EE"/>
    <w:rsid w:val="00E23A14"/>
    <w:rsid w:val="00E23E98"/>
    <w:rsid w:val="00E240A0"/>
    <w:rsid w:val="00E25293"/>
    <w:rsid w:val="00E25D5B"/>
    <w:rsid w:val="00E27455"/>
    <w:rsid w:val="00E2753F"/>
    <w:rsid w:val="00E31240"/>
    <w:rsid w:val="00E3132B"/>
    <w:rsid w:val="00E3272F"/>
    <w:rsid w:val="00E32CAD"/>
    <w:rsid w:val="00E3331A"/>
    <w:rsid w:val="00E33901"/>
    <w:rsid w:val="00E34E45"/>
    <w:rsid w:val="00E3517E"/>
    <w:rsid w:val="00E35A16"/>
    <w:rsid w:val="00E36355"/>
    <w:rsid w:val="00E37224"/>
    <w:rsid w:val="00E377E6"/>
    <w:rsid w:val="00E37A87"/>
    <w:rsid w:val="00E401A4"/>
    <w:rsid w:val="00E417A6"/>
    <w:rsid w:val="00E41860"/>
    <w:rsid w:val="00E41F67"/>
    <w:rsid w:val="00E422C7"/>
    <w:rsid w:val="00E42D94"/>
    <w:rsid w:val="00E43AA0"/>
    <w:rsid w:val="00E46100"/>
    <w:rsid w:val="00E4639F"/>
    <w:rsid w:val="00E46508"/>
    <w:rsid w:val="00E46F9A"/>
    <w:rsid w:val="00E47907"/>
    <w:rsid w:val="00E502D5"/>
    <w:rsid w:val="00E504C6"/>
    <w:rsid w:val="00E50971"/>
    <w:rsid w:val="00E50E06"/>
    <w:rsid w:val="00E51219"/>
    <w:rsid w:val="00E5147F"/>
    <w:rsid w:val="00E51502"/>
    <w:rsid w:val="00E52360"/>
    <w:rsid w:val="00E527BA"/>
    <w:rsid w:val="00E52AA9"/>
    <w:rsid w:val="00E52B3D"/>
    <w:rsid w:val="00E53277"/>
    <w:rsid w:val="00E5351D"/>
    <w:rsid w:val="00E536A1"/>
    <w:rsid w:val="00E53CA2"/>
    <w:rsid w:val="00E53E8D"/>
    <w:rsid w:val="00E542F0"/>
    <w:rsid w:val="00E54B01"/>
    <w:rsid w:val="00E54C67"/>
    <w:rsid w:val="00E55461"/>
    <w:rsid w:val="00E55984"/>
    <w:rsid w:val="00E55BBB"/>
    <w:rsid w:val="00E56E9A"/>
    <w:rsid w:val="00E576F2"/>
    <w:rsid w:val="00E57F36"/>
    <w:rsid w:val="00E60C83"/>
    <w:rsid w:val="00E61EFA"/>
    <w:rsid w:val="00E6672B"/>
    <w:rsid w:val="00E66F5F"/>
    <w:rsid w:val="00E70108"/>
    <w:rsid w:val="00E70155"/>
    <w:rsid w:val="00E70583"/>
    <w:rsid w:val="00E719EE"/>
    <w:rsid w:val="00E71A83"/>
    <w:rsid w:val="00E73BE4"/>
    <w:rsid w:val="00E73E2C"/>
    <w:rsid w:val="00E753B7"/>
    <w:rsid w:val="00E75424"/>
    <w:rsid w:val="00E757A8"/>
    <w:rsid w:val="00E758E8"/>
    <w:rsid w:val="00E76698"/>
    <w:rsid w:val="00E80BF0"/>
    <w:rsid w:val="00E816CE"/>
    <w:rsid w:val="00E81CFE"/>
    <w:rsid w:val="00E82309"/>
    <w:rsid w:val="00E82FBB"/>
    <w:rsid w:val="00E8353B"/>
    <w:rsid w:val="00E83978"/>
    <w:rsid w:val="00E842C9"/>
    <w:rsid w:val="00E84438"/>
    <w:rsid w:val="00E84A35"/>
    <w:rsid w:val="00E84C91"/>
    <w:rsid w:val="00E86082"/>
    <w:rsid w:val="00E861E0"/>
    <w:rsid w:val="00E86668"/>
    <w:rsid w:val="00E87FB6"/>
    <w:rsid w:val="00E87FD0"/>
    <w:rsid w:val="00E90102"/>
    <w:rsid w:val="00E902AB"/>
    <w:rsid w:val="00E91405"/>
    <w:rsid w:val="00E918A2"/>
    <w:rsid w:val="00E91985"/>
    <w:rsid w:val="00E91C5C"/>
    <w:rsid w:val="00E9281E"/>
    <w:rsid w:val="00E92ACE"/>
    <w:rsid w:val="00E92AEB"/>
    <w:rsid w:val="00E93080"/>
    <w:rsid w:val="00E93B35"/>
    <w:rsid w:val="00E9451E"/>
    <w:rsid w:val="00E9454F"/>
    <w:rsid w:val="00E9517E"/>
    <w:rsid w:val="00E956A2"/>
    <w:rsid w:val="00E96035"/>
    <w:rsid w:val="00E96045"/>
    <w:rsid w:val="00E96FDA"/>
    <w:rsid w:val="00E9757E"/>
    <w:rsid w:val="00E979B8"/>
    <w:rsid w:val="00EA105E"/>
    <w:rsid w:val="00EA1AB4"/>
    <w:rsid w:val="00EA2D81"/>
    <w:rsid w:val="00EA310A"/>
    <w:rsid w:val="00EA3F3E"/>
    <w:rsid w:val="00EA43BA"/>
    <w:rsid w:val="00EA4615"/>
    <w:rsid w:val="00EA4814"/>
    <w:rsid w:val="00EA5267"/>
    <w:rsid w:val="00EA6865"/>
    <w:rsid w:val="00EB0696"/>
    <w:rsid w:val="00EB091C"/>
    <w:rsid w:val="00EB0F6A"/>
    <w:rsid w:val="00EB17C0"/>
    <w:rsid w:val="00EB1D4C"/>
    <w:rsid w:val="00EB242D"/>
    <w:rsid w:val="00EB2625"/>
    <w:rsid w:val="00EB293F"/>
    <w:rsid w:val="00EB3108"/>
    <w:rsid w:val="00EB3729"/>
    <w:rsid w:val="00EB376E"/>
    <w:rsid w:val="00EB464E"/>
    <w:rsid w:val="00EB49FB"/>
    <w:rsid w:val="00EB4BEF"/>
    <w:rsid w:val="00EB5120"/>
    <w:rsid w:val="00EB5CC5"/>
    <w:rsid w:val="00EB6082"/>
    <w:rsid w:val="00EB632B"/>
    <w:rsid w:val="00EB717C"/>
    <w:rsid w:val="00EB7702"/>
    <w:rsid w:val="00EB7C9E"/>
    <w:rsid w:val="00EC01EE"/>
    <w:rsid w:val="00EC025D"/>
    <w:rsid w:val="00EC05DC"/>
    <w:rsid w:val="00EC1966"/>
    <w:rsid w:val="00EC3525"/>
    <w:rsid w:val="00EC40B0"/>
    <w:rsid w:val="00EC61E9"/>
    <w:rsid w:val="00EC64B9"/>
    <w:rsid w:val="00EC71B0"/>
    <w:rsid w:val="00EC7410"/>
    <w:rsid w:val="00ED000E"/>
    <w:rsid w:val="00ED09F1"/>
    <w:rsid w:val="00ED1038"/>
    <w:rsid w:val="00ED10D4"/>
    <w:rsid w:val="00ED114B"/>
    <w:rsid w:val="00ED1460"/>
    <w:rsid w:val="00ED1A79"/>
    <w:rsid w:val="00ED20CC"/>
    <w:rsid w:val="00ED2202"/>
    <w:rsid w:val="00ED2334"/>
    <w:rsid w:val="00ED288D"/>
    <w:rsid w:val="00ED30AC"/>
    <w:rsid w:val="00ED32F0"/>
    <w:rsid w:val="00ED39BE"/>
    <w:rsid w:val="00ED3E49"/>
    <w:rsid w:val="00ED410C"/>
    <w:rsid w:val="00ED4914"/>
    <w:rsid w:val="00ED5026"/>
    <w:rsid w:val="00ED61F2"/>
    <w:rsid w:val="00ED6AF0"/>
    <w:rsid w:val="00ED6B21"/>
    <w:rsid w:val="00ED6E67"/>
    <w:rsid w:val="00ED78EC"/>
    <w:rsid w:val="00EE10BC"/>
    <w:rsid w:val="00EE16D7"/>
    <w:rsid w:val="00EE2803"/>
    <w:rsid w:val="00EE3577"/>
    <w:rsid w:val="00EE3880"/>
    <w:rsid w:val="00EE3C58"/>
    <w:rsid w:val="00EE3EE4"/>
    <w:rsid w:val="00EE4073"/>
    <w:rsid w:val="00EE57B6"/>
    <w:rsid w:val="00EE60F1"/>
    <w:rsid w:val="00EE6BD4"/>
    <w:rsid w:val="00EE6DF7"/>
    <w:rsid w:val="00EE7390"/>
    <w:rsid w:val="00EF031A"/>
    <w:rsid w:val="00EF0E05"/>
    <w:rsid w:val="00EF1329"/>
    <w:rsid w:val="00EF13E2"/>
    <w:rsid w:val="00EF14C9"/>
    <w:rsid w:val="00EF1AA4"/>
    <w:rsid w:val="00EF1F0C"/>
    <w:rsid w:val="00EF1FC8"/>
    <w:rsid w:val="00EF392A"/>
    <w:rsid w:val="00EF3B2A"/>
    <w:rsid w:val="00EF4E40"/>
    <w:rsid w:val="00EF61A9"/>
    <w:rsid w:val="00EF65BD"/>
    <w:rsid w:val="00EF76A9"/>
    <w:rsid w:val="00F0037D"/>
    <w:rsid w:val="00F00432"/>
    <w:rsid w:val="00F00C79"/>
    <w:rsid w:val="00F00DD9"/>
    <w:rsid w:val="00F011EA"/>
    <w:rsid w:val="00F0164C"/>
    <w:rsid w:val="00F02667"/>
    <w:rsid w:val="00F027BB"/>
    <w:rsid w:val="00F02FBA"/>
    <w:rsid w:val="00F0344F"/>
    <w:rsid w:val="00F04A05"/>
    <w:rsid w:val="00F04CAF"/>
    <w:rsid w:val="00F050DA"/>
    <w:rsid w:val="00F05ABE"/>
    <w:rsid w:val="00F07A85"/>
    <w:rsid w:val="00F1030B"/>
    <w:rsid w:val="00F10637"/>
    <w:rsid w:val="00F10786"/>
    <w:rsid w:val="00F10DFB"/>
    <w:rsid w:val="00F10EE6"/>
    <w:rsid w:val="00F113B2"/>
    <w:rsid w:val="00F11FC2"/>
    <w:rsid w:val="00F12553"/>
    <w:rsid w:val="00F133A9"/>
    <w:rsid w:val="00F13E70"/>
    <w:rsid w:val="00F13FD5"/>
    <w:rsid w:val="00F14490"/>
    <w:rsid w:val="00F145ED"/>
    <w:rsid w:val="00F15352"/>
    <w:rsid w:val="00F154CB"/>
    <w:rsid w:val="00F16671"/>
    <w:rsid w:val="00F16750"/>
    <w:rsid w:val="00F16B7C"/>
    <w:rsid w:val="00F203CA"/>
    <w:rsid w:val="00F2152D"/>
    <w:rsid w:val="00F21F55"/>
    <w:rsid w:val="00F221B4"/>
    <w:rsid w:val="00F23B0C"/>
    <w:rsid w:val="00F24B69"/>
    <w:rsid w:val="00F24D85"/>
    <w:rsid w:val="00F26074"/>
    <w:rsid w:val="00F26E43"/>
    <w:rsid w:val="00F274F4"/>
    <w:rsid w:val="00F27CE6"/>
    <w:rsid w:val="00F27E2D"/>
    <w:rsid w:val="00F30036"/>
    <w:rsid w:val="00F30624"/>
    <w:rsid w:val="00F30B87"/>
    <w:rsid w:val="00F31643"/>
    <w:rsid w:val="00F31B4B"/>
    <w:rsid w:val="00F325A7"/>
    <w:rsid w:val="00F335F5"/>
    <w:rsid w:val="00F339F9"/>
    <w:rsid w:val="00F34797"/>
    <w:rsid w:val="00F34E4E"/>
    <w:rsid w:val="00F35665"/>
    <w:rsid w:val="00F36523"/>
    <w:rsid w:val="00F3688C"/>
    <w:rsid w:val="00F36938"/>
    <w:rsid w:val="00F401F7"/>
    <w:rsid w:val="00F40940"/>
    <w:rsid w:val="00F41393"/>
    <w:rsid w:val="00F43F1B"/>
    <w:rsid w:val="00F447A8"/>
    <w:rsid w:val="00F44825"/>
    <w:rsid w:val="00F44AC7"/>
    <w:rsid w:val="00F44B92"/>
    <w:rsid w:val="00F44E23"/>
    <w:rsid w:val="00F458C7"/>
    <w:rsid w:val="00F46351"/>
    <w:rsid w:val="00F46418"/>
    <w:rsid w:val="00F46627"/>
    <w:rsid w:val="00F50846"/>
    <w:rsid w:val="00F510EE"/>
    <w:rsid w:val="00F51937"/>
    <w:rsid w:val="00F5224D"/>
    <w:rsid w:val="00F5327F"/>
    <w:rsid w:val="00F53376"/>
    <w:rsid w:val="00F547CB"/>
    <w:rsid w:val="00F553E4"/>
    <w:rsid w:val="00F55904"/>
    <w:rsid w:val="00F55CE3"/>
    <w:rsid w:val="00F55D47"/>
    <w:rsid w:val="00F57A89"/>
    <w:rsid w:val="00F57E51"/>
    <w:rsid w:val="00F60081"/>
    <w:rsid w:val="00F600C8"/>
    <w:rsid w:val="00F60276"/>
    <w:rsid w:val="00F609A0"/>
    <w:rsid w:val="00F61D5B"/>
    <w:rsid w:val="00F62406"/>
    <w:rsid w:val="00F62510"/>
    <w:rsid w:val="00F62DBA"/>
    <w:rsid w:val="00F635FD"/>
    <w:rsid w:val="00F642A4"/>
    <w:rsid w:val="00F643FB"/>
    <w:rsid w:val="00F6553B"/>
    <w:rsid w:val="00F66514"/>
    <w:rsid w:val="00F67370"/>
    <w:rsid w:val="00F6761F"/>
    <w:rsid w:val="00F67BE9"/>
    <w:rsid w:val="00F70803"/>
    <w:rsid w:val="00F70C89"/>
    <w:rsid w:val="00F716BC"/>
    <w:rsid w:val="00F71F3B"/>
    <w:rsid w:val="00F73B29"/>
    <w:rsid w:val="00F74C1A"/>
    <w:rsid w:val="00F74DA1"/>
    <w:rsid w:val="00F75B3E"/>
    <w:rsid w:val="00F75B57"/>
    <w:rsid w:val="00F76838"/>
    <w:rsid w:val="00F769FD"/>
    <w:rsid w:val="00F77110"/>
    <w:rsid w:val="00F77A0B"/>
    <w:rsid w:val="00F823A0"/>
    <w:rsid w:val="00F826E3"/>
    <w:rsid w:val="00F82C18"/>
    <w:rsid w:val="00F83324"/>
    <w:rsid w:val="00F83689"/>
    <w:rsid w:val="00F84D1E"/>
    <w:rsid w:val="00F84D22"/>
    <w:rsid w:val="00F85292"/>
    <w:rsid w:val="00F860EB"/>
    <w:rsid w:val="00F860F6"/>
    <w:rsid w:val="00F86322"/>
    <w:rsid w:val="00F86761"/>
    <w:rsid w:val="00F87151"/>
    <w:rsid w:val="00F8782A"/>
    <w:rsid w:val="00F87D65"/>
    <w:rsid w:val="00F87FA5"/>
    <w:rsid w:val="00F901F7"/>
    <w:rsid w:val="00F903FB"/>
    <w:rsid w:val="00F9051A"/>
    <w:rsid w:val="00F90DFC"/>
    <w:rsid w:val="00F91480"/>
    <w:rsid w:val="00F91FF4"/>
    <w:rsid w:val="00F921E7"/>
    <w:rsid w:val="00F92698"/>
    <w:rsid w:val="00F927F0"/>
    <w:rsid w:val="00F92B41"/>
    <w:rsid w:val="00F92F41"/>
    <w:rsid w:val="00F93041"/>
    <w:rsid w:val="00F93194"/>
    <w:rsid w:val="00F93EAA"/>
    <w:rsid w:val="00F9476F"/>
    <w:rsid w:val="00F95F5D"/>
    <w:rsid w:val="00F966CA"/>
    <w:rsid w:val="00F974E3"/>
    <w:rsid w:val="00F97A1C"/>
    <w:rsid w:val="00FA042B"/>
    <w:rsid w:val="00FA1187"/>
    <w:rsid w:val="00FA11BB"/>
    <w:rsid w:val="00FA1893"/>
    <w:rsid w:val="00FA2715"/>
    <w:rsid w:val="00FA2AE3"/>
    <w:rsid w:val="00FA315B"/>
    <w:rsid w:val="00FA3B15"/>
    <w:rsid w:val="00FA4658"/>
    <w:rsid w:val="00FA5BA1"/>
    <w:rsid w:val="00FA5C21"/>
    <w:rsid w:val="00FA5D9E"/>
    <w:rsid w:val="00FA62BC"/>
    <w:rsid w:val="00FA63D7"/>
    <w:rsid w:val="00FA6BA0"/>
    <w:rsid w:val="00FA7A41"/>
    <w:rsid w:val="00FB0260"/>
    <w:rsid w:val="00FB15ED"/>
    <w:rsid w:val="00FB1E0A"/>
    <w:rsid w:val="00FB291C"/>
    <w:rsid w:val="00FB2DC2"/>
    <w:rsid w:val="00FB2F13"/>
    <w:rsid w:val="00FB3043"/>
    <w:rsid w:val="00FB34C0"/>
    <w:rsid w:val="00FB3DD7"/>
    <w:rsid w:val="00FB3E09"/>
    <w:rsid w:val="00FB41F7"/>
    <w:rsid w:val="00FB42F4"/>
    <w:rsid w:val="00FB53F9"/>
    <w:rsid w:val="00FB57B1"/>
    <w:rsid w:val="00FB7E4A"/>
    <w:rsid w:val="00FB7FF2"/>
    <w:rsid w:val="00FC1385"/>
    <w:rsid w:val="00FC16C0"/>
    <w:rsid w:val="00FC1D15"/>
    <w:rsid w:val="00FC1FD0"/>
    <w:rsid w:val="00FC3D57"/>
    <w:rsid w:val="00FC4592"/>
    <w:rsid w:val="00FC51EA"/>
    <w:rsid w:val="00FC5B12"/>
    <w:rsid w:val="00FC5CA7"/>
    <w:rsid w:val="00FC5EF4"/>
    <w:rsid w:val="00FC5F74"/>
    <w:rsid w:val="00FC617D"/>
    <w:rsid w:val="00FC6380"/>
    <w:rsid w:val="00FC77C1"/>
    <w:rsid w:val="00FC7AD9"/>
    <w:rsid w:val="00FD3B81"/>
    <w:rsid w:val="00FD48B7"/>
    <w:rsid w:val="00FD4ACE"/>
    <w:rsid w:val="00FD5CF2"/>
    <w:rsid w:val="00FD5FFE"/>
    <w:rsid w:val="00FD77AD"/>
    <w:rsid w:val="00FE0C67"/>
    <w:rsid w:val="00FE145B"/>
    <w:rsid w:val="00FE1611"/>
    <w:rsid w:val="00FE182A"/>
    <w:rsid w:val="00FE1969"/>
    <w:rsid w:val="00FE1F8B"/>
    <w:rsid w:val="00FE282B"/>
    <w:rsid w:val="00FE5003"/>
    <w:rsid w:val="00FE54AA"/>
    <w:rsid w:val="00FE5DF4"/>
    <w:rsid w:val="00FE608D"/>
    <w:rsid w:val="00FE6F82"/>
    <w:rsid w:val="00FF0789"/>
    <w:rsid w:val="00FF1F28"/>
    <w:rsid w:val="00FF2725"/>
    <w:rsid w:val="00FF2889"/>
    <w:rsid w:val="00FF29DF"/>
    <w:rsid w:val="00FF2A18"/>
    <w:rsid w:val="00FF33A9"/>
    <w:rsid w:val="00FF53A3"/>
    <w:rsid w:val="00FF65EC"/>
    <w:rsid w:val="021403D4"/>
    <w:rsid w:val="02347F09"/>
    <w:rsid w:val="025034E1"/>
    <w:rsid w:val="02CF260D"/>
    <w:rsid w:val="03BC18F3"/>
    <w:rsid w:val="05102EB0"/>
    <w:rsid w:val="05137101"/>
    <w:rsid w:val="06B16223"/>
    <w:rsid w:val="06E014F4"/>
    <w:rsid w:val="094421E9"/>
    <w:rsid w:val="0B2A2595"/>
    <w:rsid w:val="0B8A0711"/>
    <w:rsid w:val="0C233502"/>
    <w:rsid w:val="0CBD4423"/>
    <w:rsid w:val="0D5A0848"/>
    <w:rsid w:val="0D9A3986"/>
    <w:rsid w:val="10403608"/>
    <w:rsid w:val="11387A2F"/>
    <w:rsid w:val="11532022"/>
    <w:rsid w:val="11674C20"/>
    <w:rsid w:val="12A06CFD"/>
    <w:rsid w:val="135833FA"/>
    <w:rsid w:val="15147BAB"/>
    <w:rsid w:val="15CF3FDF"/>
    <w:rsid w:val="167634FB"/>
    <w:rsid w:val="172002FF"/>
    <w:rsid w:val="18365A46"/>
    <w:rsid w:val="18415487"/>
    <w:rsid w:val="1A8632AF"/>
    <w:rsid w:val="1AF311F5"/>
    <w:rsid w:val="1BE37945"/>
    <w:rsid w:val="1D006871"/>
    <w:rsid w:val="1D383206"/>
    <w:rsid w:val="1EE95D12"/>
    <w:rsid w:val="20832AE0"/>
    <w:rsid w:val="208361EB"/>
    <w:rsid w:val="20B3355D"/>
    <w:rsid w:val="21AF5B91"/>
    <w:rsid w:val="22143D60"/>
    <w:rsid w:val="234E6301"/>
    <w:rsid w:val="23F910F8"/>
    <w:rsid w:val="24312544"/>
    <w:rsid w:val="243246CD"/>
    <w:rsid w:val="25CB1E8B"/>
    <w:rsid w:val="25F71A7A"/>
    <w:rsid w:val="272A498F"/>
    <w:rsid w:val="290225EC"/>
    <w:rsid w:val="29E52DED"/>
    <w:rsid w:val="2D525285"/>
    <w:rsid w:val="2DE150EF"/>
    <w:rsid w:val="2E431B08"/>
    <w:rsid w:val="2E513742"/>
    <w:rsid w:val="2ED718A0"/>
    <w:rsid w:val="2F834C7B"/>
    <w:rsid w:val="2FAD498B"/>
    <w:rsid w:val="308303EB"/>
    <w:rsid w:val="330709B5"/>
    <w:rsid w:val="35A41D68"/>
    <w:rsid w:val="35CB1826"/>
    <w:rsid w:val="383D0FFD"/>
    <w:rsid w:val="38763ED8"/>
    <w:rsid w:val="38B33D20"/>
    <w:rsid w:val="392C6F50"/>
    <w:rsid w:val="39917D9A"/>
    <w:rsid w:val="39E85A61"/>
    <w:rsid w:val="3C9C7A7B"/>
    <w:rsid w:val="3E145155"/>
    <w:rsid w:val="3F976FB5"/>
    <w:rsid w:val="3FE94563"/>
    <w:rsid w:val="401267B9"/>
    <w:rsid w:val="402C40A3"/>
    <w:rsid w:val="404E5487"/>
    <w:rsid w:val="40617678"/>
    <w:rsid w:val="411B561D"/>
    <w:rsid w:val="41577A2F"/>
    <w:rsid w:val="416C16AB"/>
    <w:rsid w:val="417C5190"/>
    <w:rsid w:val="43144A19"/>
    <w:rsid w:val="442F6A3E"/>
    <w:rsid w:val="44613C99"/>
    <w:rsid w:val="450D7C5B"/>
    <w:rsid w:val="45A30E71"/>
    <w:rsid w:val="46BB3379"/>
    <w:rsid w:val="476C0C2C"/>
    <w:rsid w:val="47AF49A8"/>
    <w:rsid w:val="47EB5A07"/>
    <w:rsid w:val="4862221A"/>
    <w:rsid w:val="48933031"/>
    <w:rsid w:val="48BB2EA5"/>
    <w:rsid w:val="492D6BBE"/>
    <w:rsid w:val="49494CF1"/>
    <w:rsid w:val="49C011DA"/>
    <w:rsid w:val="4A1946C3"/>
    <w:rsid w:val="4A2E2C22"/>
    <w:rsid w:val="4A8F06EE"/>
    <w:rsid w:val="4B6E7CD1"/>
    <w:rsid w:val="4C2D4530"/>
    <w:rsid w:val="4C8A785F"/>
    <w:rsid w:val="4E056FFA"/>
    <w:rsid w:val="4EA22E28"/>
    <w:rsid w:val="4ECF622E"/>
    <w:rsid w:val="4F6656D4"/>
    <w:rsid w:val="4FBE244E"/>
    <w:rsid w:val="4FEB0281"/>
    <w:rsid w:val="50151DD1"/>
    <w:rsid w:val="54140A94"/>
    <w:rsid w:val="543512EF"/>
    <w:rsid w:val="54E7483D"/>
    <w:rsid w:val="58781A9C"/>
    <w:rsid w:val="597E0088"/>
    <w:rsid w:val="5A177157"/>
    <w:rsid w:val="5BD50D7C"/>
    <w:rsid w:val="5CA62558"/>
    <w:rsid w:val="5CD050B5"/>
    <w:rsid w:val="5CD72527"/>
    <w:rsid w:val="5DB25971"/>
    <w:rsid w:val="5F4B0533"/>
    <w:rsid w:val="5FC81C7A"/>
    <w:rsid w:val="5FF315A7"/>
    <w:rsid w:val="62972335"/>
    <w:rsid w:val="631A5571"/>
    <w:rsid w:val="64121ABD"/>
    <w:rsid w:val="6690068A"/>
    <w:rsid w:val="68CE0E12"/>
    <w:rsid w:val="68F26AD7"/>
    <w:rsid w:val="68FE4F79"/>
    <w:rsid w:val="693A4B04"/>
    <w:rsid w:val="6AFA77A2"/>
    <w:rsid w:val="6AFF5CAF"/>
    <w:rsid w:val="6C465394"/>
    <w:rsid w:val="6DE50BDD"/>
    <w:rsid w:val="6DF37C67"/>
    <w:rsid w:val="6E5024FA"/>
    <w:rsid w:val="6E805B45"/>
    <w:rsid w:val="6EAE5472"/>
    <w:rsid w:val="6F213B4A"/>
    <w:rsid w:val="6FC00736"/>
    <w:rsid w:val="700147E0"/>
    <w:rsid w:val="706C687C"/>
    <w:rsid w:val="71862CD7"/>
    <w:rsid w:val="71E90B4C"/>
    <w:rsid w:val="73131644"/>
    <w:rsid w:val="73A512CD"/>
    <w:rsid w:val="73CC3339"/>
    <w:rsid w:val="744673C3"/>
    <w:rsid w:val="747B6E04"/>
    <w:rsid w:val="74A04F94"/>
    <w:rsid w:val="75023E22"/>
    <w:rsid w:val="750629B3"/>
    <w:rsid w:val="75555972"/>
    <w:rsid w:val="755C0CF6"/>
    <w:rsid w:val="76026E48"/>
    <w:rsid w:val="76A51B09"/>
    <w:rsid w:val="76AF4C7E"/>
    <w:rsid w:val="77291B3A"/>
    <w:rsid w:val="7A574C10"/>
    <w:rsid w:val="7A7362FE"/>
    <w:rsid w:val="7B024B7C"/>
    <w:rsid w:val="7BE349AD"/>
    <w:rsid w:val="7C313F28"/>
    <w:rsid w:val="7CA51C63"/>
    <w:rsid w:val="7F2A3620"/>
    <w:rsid w:val="7F791E0A"/>
    <w:rsid w:val="7FA45A6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iPriority="99" w:semiHidden="0"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0" w:semiHidden="0" w:name="Body Text First Indent 2"/>
    <w:lsdException w:uiPriority="99" w:name="Note Heading"/>
    <w:lsdException w:qFormat="1" w:unhideWhenUsed="0" w:uiPriority="0" w:semiHidden="0" w:name="Body Text 2"/>
    <w:lsdException w:uiPriority="99" w:name="Body Text 3"/>
    <w:lsdException w:qFormat="1" w:uiPriority="99" w:semiHidden="0"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9">
    <w:name w:val="heading 1"/>
    <w:basedOn w:val="1"/>
    <w:next w:val="1"/>
    <w:link w:val="41"/>
    <w:qFormat/>
    <w:uiPriority w:val="0"/>
    <w:pPr>
      <w:keepNext/>
      <w:keepLines/>
      <w:spacing w:before="340" w:after="330" w:line="578" w:lineRule="auto"/>
      <w:outlineLvl w:val="0"/>
    </w:pPr>
    <w:rPr>
      <w:b/>
      <w:bCs/>
      <w:kern w:val="44"/>
      <w:sz w:val="44"/>
      <w:szCs w:val="44"/>
    </w:rPr>
  </w:style>
  <w:style w:type="paragraph" w:styleId="10">
    <w:name w:val="heading 2"/>
    <w:basedOn w:val="1"/>
    <w:next w:val="1"/>
    <w:link w:val="42"/>
    <w:qFormat/>
    <w:uiPriority w:val="0"/>
    <w:pPr>
      <w:keepNext/>
      <w:keepLines/>
      <w:spacing w:before="260" w:after="260" w:line="416" w:lineRule="auto"/>
      <w:outlineLvl w:val="1"/>
    </w:pPr>
    <w:rPr>
      <w:rFonts w:ascii="Cambria" w:hAnsi="Cambria"/>
      <w:b/>
      <w:bCs/>
      <w:sz w:val="32"/>
      <w:szCs w:val="32"/>
    </w:rPr>
  </w:style>
  <w:style w:type="paragraph" w:styleId="11">
    <w:name w:val="heading 3"/>
    <w:basedOn w:val="1"/>
    <w:next w:val="1"/>
    <w:link w:val="43"/>
    <w:qFormat/>
    <w:uiPriority w:val="9"/>
    <w:pPr>
      <w:keepNext/>
      <w:keepLines/>
      <w:spacing w:before="260" w:after="260"/>
      <w:outlineLvl w:val="2"/>
    </w:pPr>
    <w:rPr>
      <w:b/>
      <w:bCs/>
      <w:sz w:val="32"/>
      <w:szCs w:val="32"/>
    </w:rPr>
  </w:style>
  <w:style w:type="paragraph" w:styleId="12">
    <w:name w:val="heading 4"/>
    <w:basedOn w:val="1"/>
    <w:next w:val="1"/>
    <w:link w:val="44"/>
    <w:qFormat/>
    <w:uiPriority w:val="9"/>
    <w:pPr>
      <w:keepNext/>
      <w:keepLines/>
      <w:spacing w:before="280" w:after="290" w:line="376" w:lineRule="auto"/>
      <w:outlineLvl w:val="3"/>
    </w:pPr>
    <w:rPr>
      <w:rFonts w:ascii="Cambria" w:hAnsi="Cambria"/>
      <w:b/>
      <w:bCs/>
      <w:sz w:val="28"/>
      <w:szCs w:val="28"/>
    </w:rPr>
  </w:style>
  <w:style w:type="character" w:default="1" w:styleId="34">
    <w:name w:val="Default Paragraph Font"/>
    <w:semiHidden/>
    <w:unhideWhenUsed/>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52"/>
    <w:unhideWhenUsed/>
    <w:qFormat/>
    <w:uiPriority w:val="0"/>
    <w:pPr>
      <w:ind w:firstLine="420" w:firstLineChars="200"/>
    </w:pPr>
  </w:style>
  <w:style w:type="paragraph" w:styleId="3">
    <w:name w:val="Body Text Indent"/>
    <w:basedOn w:val="1"/>
    <w:next w:val="4"/>
    <w:link w:val="46"/>
    <w:unhideWhenUsed/>
    <w:qFormat/>
    <w:uiPriority w:val="99"/>
    <w:pPr>
      <w:spacing w:after="120"/>
      <w:ind w:left="420" w:leftChars="200"/>
    </w:pPr>
  </w:style>
  <w:style w:type="paragraph" w:customStyle="1" w:styleId="4">
    <w:name w:val="xl97"/>
    <w:basedOn w:val="1"/>
    <w:next w:val="5"/>
    <w:qFormat/>
    <w:uiPriority w:val="0"/>
    <w:pPr>
      <w:widowControl/>
      <w:pBdr>
        <w:bottom w:val="single" w:color="auto" w:sz="8" w:space="0"/>
        <w:right w:val="single" w:color="auto" w:sz="8" w:space="0"/>
      </w:pBdr>
      <w:spacing w:beforeAutospacing="1" w:afterAutospacing="1" w:line="520" w:lineRule="exact"/>
      <w:ind w:firstLine="200" w:firstLineChars="200"/>
      <w:jc w:val="center"/>
    </w:pPr>
    <w:rPr>
      <w:rFonts w:ascii="??_GB2312" w:hAnsi="宋体" w:eastAsia="Times New Roman" w:cs="宋体"/>
      <w:kern w:val="0"/>
      <w:szCs w:val="21"/>
    </w:rPr>
  </w:style>
  <w:style w:type="paragraph" w:customStyle="1" w:styleId="5">
    <w:name w:val="xl127"/>
    <w:basedOn w:val="6"/>
    <w:next w:val="7"/>
    <w:qFormat/>
    <w:uiPriority w:val="0"/>
    <w:pPr>
      <w:widowControl/>
      <w:pBdr>
        <w:top w:val="single" w:color="auto" w:sz="4" w:space="0"/>
        <w:left w:val="single" w:color="auto" w:sz="4" w:space="0"/>
        <w:bottom w:val="single" w:color="auto" w:sz="4" w:space="0"/>
        <w:right w:val="single" w:color="auto" w:sz="4" w:space="0"/>
      </w:pBdr>
      <w:spacing w:beforeAutospacing="1" w:afterAutospacing="1"/>
      <w:jc w:val="center"/>
      <w:textAlignment w:val="center"/>
    </w:pPr>
    <w:rPr>
      <w:rFonts w:ascii="宋体" w:hAnsi="宋体" w:cs="宋体"/>
      <w:kern w:val="0"/>
      <w:sz w:val="20"/>
      <w:szCs w:val="20"/>
    </w:rPr>
  </w:style>
  <w:style w:type="paragraph" w:styleId="6">
    <w:name w:val="Body Text"/>
    <w:basedOn w:val="1"/>
    <w:next w:val="1"/>
    <w:link w:val="40"/>
    <w:qFormat/>
    <w:uiPriority w:val="0"/>
    <w:pPr>
      <w:spacing w:after="120"/>
    </w:pPr>
    <w:rPr>
      <w:szCs w:val="24"/>
    </w:rPr>
  </w:style>
  <w:style w:type="paragraph" w:customStyle="1" w:styleId="7">
    <w:name w:val="1"/>
    <w:basedOn w:val="8"/>
    <w:next w:val="1"/>
    <w:qFormat/>
    <w:uiPriority w:val="0"/>
    <w:pPr>
      <w:snapToGrid w:val="0"/>
      <w:spacing w:line="480" w:lineRule="auto"/>
      <w:ind w:left="920" w:hanging="360"/>
    </w:pPr>
    <w:rPr>
      <w:rFonts w:ascii="Times New Roman" w:eastAsia="黑体"/>
      <w:bCs/>
      <w:sz w:val="32"/>
    </w:rPr>
  </w:style>
  <w:style w:type="paragraph" w:styleId="8">
    <w:name w:val="Body Text 2"/>
    <w:basedOn w:val="1"/>
    <w:qFormat/>
    <w:uiPriority w:val="0"/>
    <w:pPr>
      <w:widowControl/>
      <w:spacing w:line="480" w:lineRule="exact"/>
      <w:ind w:firstLine="200" w:firstLineChars="200"/>
      <w:jc w:val="center"/>
    </w:pPr>
    <w:rPr>
      <w:rFonts w:ascii="宋体"/>
      <w:kern w:val="0"/>
      <w:szCs w:val="20"/>
    </w:rPr>
  </w:style>
  <w:style w:type="paragraph" w:styleId="13">
    <w:name w:val="toc 7"/>
    <w:basedOn w:val="1"/>
    <w:next w:val="1"/>
    <w:unhideWhenUsed/>
    <w:qFormat/>
    <w:uiPriority w:val="39"/>
    <w:pPr>
      <w:ind w:left="2520" w:leftChars="1200"/>
    </w:pPr>
  </w:style>
  <w:style w:type="paragraph" w:styleId="14">
    <w:name w:val="Normal Indent"/>
    <w:basedOn w:val="1"/>
    <w:qFormat/>
    <w:uiPriority w:val="0"/>
    <w:pPr>
      <w:ind w:firstLine="567"/>
    </w:pPr>
  </w:style>
  <w:style w:type="paragraph" w:styleId="15">
    <w:name w:val="caption"/>
    <w:basedOn w:val="1"/>
    <w:next w:val="1"/>
    <w:qFormat/>
    <w:uiPriority w:val="35"/>
    <w:pPr>
      <w:jc w:val="center"/>
    </w:pPr>
    <w:rPr>
      <w:rFonts w:eastAsia="黑体"/>
      <w:sz w:val="28"/>
      <w:szCs w:val="20"/>
    </w:rPr>
  </w:style>
  <w:style w:type="paragraph" w:styleId="16">
    <w:name w:val="annotation text"/>
    <w:basedOn w:val="1"/>
    <w:link w:val="45"/>
    <w:qFormat/>
    <w:uiPriority w:val="0"/>
    <w:pPr>
      <w:jc w:val="left"/>
    </w:pPr>
    <w:rPr>
      <w:sz w:val="24"/>
      <w:szCs w:val="24"/>
    </w:rPr>
  </w:style>
  <w:style w:type="paragraph" w:styleId="17">
    <w:name w:val="toc 5"/>
    <w:basedOn w:val="1"/>
    <w:next w:val="1"/>
    <w:unhideWhenUsed/>
    <w:qFormat/>
    <w:uiPriority w:val="39"/>
    <w:pPr>
      <w:ind w:left="1680" w:leftChars="800"/>
    </w:pPr>
  </w:style>
  <w:style w:type="paragraph" w:styleId="18">
    <w:name w:val="toc 3"/>
    <w:basedOn w:val="1"/>
    <w:next w:val="1"/>
    <w:unhideWhenUsed/>
    <w:qFormat/>
    <w:uiPriority w:val="39"/>
    <w:pPr>
      <w:ind w:left="840" w:leftChars="400"/>
    </w:pPr>
  </w:style>
  <w:style w:type="paragraph" w:styleId="19">
    <w:name w:val="Plain Text"/>
    <w:basedOn w:val="1"/>
    <w:link w:val="47"/>
    <w:qFormat/>
    <w:uiPriority w:val="99"/>
    <w:rPr>
      <w:rFonts w:ascii="宋体" w:hAnsi="Courier New" w:eastAsia="仿宋_GB2312"/>
      <w:sz w:val="28"/>
      <w:szCs w:val="28"/>
    </w:rPr>
  </w:style>
  <w:style w:type="paragraph" w:styleId="20">
    <w:name w:val="toc 8"/>
    <w:basedOn w:val="1"/>
    <w:next w:val="1"/>
    <w:unhideWhenUsed/>
    <w:qFormat/>
    <w:uiPriority w:val="39"/>
    <w:pPr>
      <w:ind w:left="2940" w:leftChars="1400"/>
    </w:pPr>
  </w:style>
  <w:style w:type="paragraph" w:styleId="21">
    <w:name w:val="Body Text Indent 2"/>
    <w:basedOn w:val="1"/>
    <w:link w:val="48"/>
    <w:unhideWhenUsed/>
    <w:qFormat/>
    <w:uiPriority w:val="99"/>
    <w:pPr>
      <w:spacing w:after="120" w:line="480" w:lineRule="auto"/>
      <w:ind w:left="420" w:leftChars="200"/>
    </w:pPr>
  </w:style>
  <w:style w:type="paragraph" w:styleId="22">
    <w:name w:val="Balloon Text"/>
    <w:basedOn w:val="1"/>
    <w:link w:val="49"/>
    <w:unhideWhenUsed/>
    <w:qFormat/>
    <w:uiPriority w:val="99"/>
    <w:rPr>
      <w:sz w:val="18"/>
      <w:szCs w:val="18"/>
    </w:rPr>
  </w:style>
  <w:style w:type="paragraph" w:styleId="23">
    <w:name w:val="footer"/>
    <w:basedOn w:val="1"/>
    <w:link w:val="50"/>
    <w:unhideWhenUsed/>
    <w:qFormat/>
    <w:uiPriority w:val="99"/>
    <w:pPr>
      <w:tabs>
        <w:tab w:val="center" w:pos="4153"/>
        <w:tab w:val="right" w:pos="8306"/>
      </w:tabs>
      <w:snapToGrid w:val="0"/>
      <w:jc w:val="left"/>
    </w:pPr>
    <w:rPr>
      <w:sz w:val="18"/>
      <w:szCs w:val="18"/>
    </w:rPr>
  </w:style>
  <w:style w:type="paragraph" w:styleId="24">
    <w:name w:val="header"/>
    <w:basedOn w:val="1"/>
    <w:link w:val="51"/>
    <w:unhideWhenUsed/>
    <w:qFormat/>
    <w:uiPriority w:val="99"/>
    <w:pPr>
      <w:pBdr>
        <w:bottom w:val="single" w:color="auto" w:sz="6" w:space="1"/>
      </w:pBdr>
      <w:tabs>
        <w:tab w:val="center" w:pos="4153"/>
        <w:tab w:val="right" w:pos="8306"/>
      </w:tabs>
      <w:snapToGrid w:val="0"/>
      <w:jc w:val="center"/>
    </w:pPr>
    <w:rPr>
      <w:sz w:val="18"/>
      <w:szCs w:val="18"/>
    </w:rPr>
  </w:style>
  <w:style w:type="paragraph" w:styleId="25">
    <w:name w:val="toc 1"/>
    <w:basedOn w:val="1"/>
    <w:next w:val="1"/>
    <w:unhideWhenUsed/>
    <w:qFormat/>
    <w:uiPriority w:val="39"/>
    <w:pPr>
      <w:tabs>
        <w:tab w:val="right" w:leader="dot" w:pos="8296"/>
      </w:tabs>
      <w:ind w:left="616" w:hanging="616" w:hangingChars="220"/>
      <w:jc w:val="center"/>
    </w:pPr>
    <w:rPr>
      <w:rFonts w:ascii="黑体" w:hAnsi="黑体" w:eastAsia="黑体"/>
      <w:sz w:val="32"/>
      <w:szCs w:val="28"/>
      <w:lang w:val="zh-CN"/>
    </w:rPr>
  </w:style>
  <w:style w:type="paragraph" w:styleId="26">
    <w:name w:val="toc 4"/>
    <w:basedOn w:val="1"/>
    <w:next w:val="1"/>
    <w:unhideWhenUsed/>
    <w:qFormat/>
    <w:uiPriority w:val="39"/>
    <w:pPr>
      <w:ind w:left="1260" w:leftChars="600"/>
    </w:pPr>
  </w:style>
  <w:style w:type="paragraph" w:styleId="27">
    <w:name w:val="footnote text"/>
    <w:basedOn w:val="1"/>
    <w:unhideWhenUsed/>
    <w:qFormat/>
    <w:uiPriority w:val="99"/>
    <w:pPr>
      <w:adjustRightInd w:val="0"/>
      <w:snapToGrid w:val="0"/>
      <w:spacing w:line="360" w:lineRule="auto"/>
      <w:ind w:firstLine="480" w:firstLineChars="200"/>
      <w:jc w:val="left"/>
    </w:pPr>
    <w:rPr>
      <w:sz w:val="18"/>
      <w:szCs w:val="18"/>
    </w:rPr>
  </w:style>
  <w:style w:type="paragraph" w:styleId="28">
    <w:name w:val="toc 6"/>
    <w:basedOn w:val="1"/>
    <w:next w:val="1"/>
    <w:unhideWhenUsed/>
    <w:qFormat/>
    <w:uiPriority w:val="39"/>
    <w:pPr>
      <w:ind w:left="2100" w:leftChars="1000"/>
    </w:pPr>
  </w:style>
  <w:style w:type="paragraph" w:styleId="29">
    <w:name w:val="toc 2"/>
    <w:basedOn w:val="1"/>
    <w:next w:val="1"/>
    <w:unhideWhenUsed/>
    <w:qFormat/>
    <w:uiPriority w:val="39"/>
    <w:pPr>
      <w:tabs>
        <w:tab w:val="right" w:leader="dot" w:pos="8296"/>
      </w:tabs>
      <w:ind w:left="420" w:leftChars="200"/>
    </w:pPr>
    <w:rPr>
      <w:rFonts w:eastAsia="黑体"/>
      <w:sz w:val="28"/>
      <w:szCs w:val="28"/>
    </w:rPr>
  </w:style>
  <w:style w:type="paragraph" w:styleId="30">
    <w:name w:val="toc 9"/>
    <w:basedOn w:val="1"/>
    <w:next w:val="1"/>
    <w:unhideWhenUsed/>
    <w:qFormat/>
    <w:uiPriority w:val="39"/>
    <w:pPr>
      <w:ind w:left="3360" w:leftChars="1600"/>
    </w:pPr>
  </w:style>
  <w:style w:type="paragraph" w:styleId="31">
    <w:name w:val="Normal (Web)"/>
    <w:basedOn w:val="1"/>
    <w:next w:val="1"/>
    <w:qFormat/>
    <w:uiPriority w:val="99"/>
    <w:pPr>
      <w:widowControl/>
      <w:spacing w:before="100" w:beforeAutospacing="1" w:after="100" w:afterAutospacing="1"/>
      <w:jc w:val="left"/>
    </w:pPr>
    <w:rPr>
      <w:rFonts w:ascii="宋体" w:hAnsi="宋体" w:cs="宋体"/>
      <w:kern w:val="0"/>
      <w:sz w:val="24"/>
      <w:szCs w:val="24"/>
    </w:rPr>
  </w:style>
  <w:style w:type="table" w:styleId="33">
    <w:name w:val="Table Grid"/>
    <w:basedOn w:val="3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5">
    <w:name w:val="Strong"/>
    <w:qFormat/>
    <w:uiPriority w:val="22"/>
    <w:rPr>
      <w:b/>
      <w:bCs/>
    </w:rPr>
  </w:style>
  <w:style w:type="character" w:styleId="36">
    <w:name w:val="FollowedHyperlink"/>
    <w:unhideWhenUsed/>
    <w:qFormat/>
    <w:uiPriority w:val="99"/>
    <w:rPr>
      <w:color w:val="800080"/>
      <w:u w:val="single"/>
    </w:rPr>
  </w:style>
  <w:style w:type="character" w:styleId="37">
    <w:name w:val="Emphasis"/>
    <w:qFormat/>
    <w:uiPriority w:val="20"/>
    <w:rPr>
      <w:i/>
      <w:iCs/>
    </w:rPr>
  </w:style>
  <w:style w:type="character" w:styleId="38">
    <w:name w:val="Hyperlink"/>
    <w:unhideWhenUsed/>
    <w:qFormat/>
    <w:uiPriority w:val="99"/>
    <w:rPr>
      <w:color w:val="0000FF"/>
      <w:u w:val="single"/>
    </w:rPr>
  </w:style>
  <w:style w:type="paragraph" w:customStyle="1" w:styleId="39">
    <w:name w:val="Normal Indent1"/>
    <w:basedOn w:val="1"/>
    <w:qFormat/>
    <w:uiPriority w:val="99"/>
    <w:pPr>
      <w:ind w:firstLine="420" w:firstLineChars="200"/>
    </w:pPr>
  </w:style>
  <w:style w:type="character" w:customStyle="1" w:styleId="40">
    <w:name w:val="正文文本 Char"/>
    <w:link w:val="6"/>
    <w:qFormat/>
    <w:uiPriority w:val="0"/>
    <w:rPr>
      <w:rFonts w:ascii="Times New Roman" w:hAnsi="Times New Roman" w:eastAsia="宋体" w:cs="Times New Roman"/>
      <w:szCs w:val="24"/>
    </w:rPr>
  </w:style>
  <w:style w:type="character" w:customStyle="1" w:styleId="41">
    <w:name w:val="标题 1 Char"/>
    <w:link w:val="9"/>
    <w:qFormat/>
    <w:uiPriority w:val="9"/>
    <w:rPr>
      <w:b/>
      <w:bCs/>
      <w:kern w:val="44"/>
      <w:sz w:val="44"/>
      <w:szCs w:val="44"/>
    </w:rPr>
  </w:style>
  <w:style w:type="character" w:customStyle="1" w:styleId="42">
    <w:name w:val="标题 2 Char"/>
    <w:link w:val="10"/>
    <w:qFormat/>
    <w:uiPriority w:val="0"/>
    <w:rPr>
      <w:rFonts w:ascii="Cambria" w:hAnsi="Cambria" w:eastAsia="宋体" w:cs="Times New Roman"/>
      <w:b/>
      <w:bCs/>
      <w:sz w:val="32"/>
      <w:szCs w:val="32"/>
    </w:rPr>
  </w:style>
  <w:style w:type="character" w:customStyle="1" w:styleId="43">
    <w:name w:val="标题 3 Char"/>
    <w:link w:val="11"/>
    <w:qFormat/>
    <w:uiPriority w:val="9"/>
    <w:rPr>
      <w:b/>
      <w:bCs/>
      <w:sz w:val="32"/>
      <w:szCs w:val="32"/>
    </w:rPr>
  </w:style>
  <w:style w:type="character" w:customStyle="1" w:styleId="44">
    <w:name w:val="标题 4 Char"/>
    <w:link w:val="12"/>
    <w:qFormat/>
    <w:uiPriority w:val="9"/>
    <w:rPr>
      <w:rFonts w:ascii="Cambria" w:hAnsi="Cambria" w:eastAsia="宋体" w:cs="Times New Roman"/>
      <w:b/>
      <w:bCs/>
      <w:sz w:val="28"/>
      <w:szCs w:val="28"/>
    </w:rPr>
  </w:style>
  <w:style w:type="character" w:customStyle="1" w:styleId="45">
    <w:name w:val="批注文字 Char"/>
    <w:link w:val="16"/>
    <w:qFormat/>
    <w:uiPriority w:val="0"/>
    <w:rPr>
      <w:sz w:val="24"/>
      <w:szCs w:val="24"/>
    </w:rPr>
  </w:style>
  <w:style w:type="character" w:customStyle="1" w:styleId="46">
    <w:name w:val="正文文本缩进 Char"/>
    <w:link w:val="3"/>
    <w:semiHidden/>
    <w:qFormat/>
    <w:uiPriority w:val="99"/>
  </w:style>
  <w:style w:type="character" w:customStyle="1" w:styleId="47">
    <w:name w:val="纯文本 Char"/>
    <w:link w:val="19"/>
    <w:qFormat/>
    <w:uiPriority w:val="99"/>
    <w:rPr>
      <w:rFonts w:ascii="宋体" w:hAnsi="Courier New" w:eastAsia="仿宋_GB2312" w:cs="Times New Roman"/>
      <w:sz w:val="28"/>
      <w:szCs w:val="28"/>
    </w:rPr>
  </w:style>
  <w:style w:type="character" w:customStyle="1" w:styleId="48">
    <w:name w:val="正文文本缩进 2 Char"/>
    <w:link w:val="21"/>
    <w:semiHidden/>
    <w:qFormat/>
    <w:uiPriority w:val="99"/>
  </w:style>
  <w:style w:type="character" w:customStyle="1" w:styleId="49">
    <w:name w:val="批注框文本 Char"/>
    <w:link w:val="22"/>
    <w:semiHidden/>
    <w:qFormat/>
    <w:uiPriority w:val="99"/>
    <w:rPr>
      <w:sz w:val="18"/>
      <w:szCs w:val="18"/>
    </w:rPr>
  </w:style>
  <w:style w:type="character" w:customStyle="1" w:styleId="50">
    <w:name w:val="页脚 Char"/>
    <w:link w:val="23"/>
    <w:qFormat/>
    <w:uiPriority w:val="99"/>
    <w:rPr>
      <w:sz w:val="18"/>
      <w:szCs w:val="18"/>
    </w:rPr>
  </w:style>
  <w:style w:type="character" w:customStyle="1" w:styleId="51">
    <w:name w:val="页眉 Char"/>
    <w:link w:val="24"/>
    <w:qFormat/>
    <w:uiPriority w:val="99"/>
    <w:rPr>
      <w:sz w:val="18"/>
      <w:szCs w:val="18"/>
    </w:rPr>
  </w:style>
  <w:style w:type="character" w:customStyle="1" w:styleId="52">
    <w:name w:val="正文首行缩进 2 Char"/>
    <w:link w:val="2"/>
    <w:qFormat/>
    <w:uiPriority w:val="99"/>
  </w:style>
  <w:style w:type="paragraph" w:customStyle="1" w:styleId="53">
    <w:name w:val="TOC 标题1"/>
    <w:basedOn w:val="9"/>
    <w:next w:val="1"/>
    <w:unhideWhenUsed/>
    <w:qFormat/>
    <w:uiPriority w:val="39"/>
    <w:pPr>
      <w:widowControl/>
      <w:spacing w:before="240" w:after="0" w:line="259" w:lineRule="auto"/>
      <w:jc w:val="left"/>
      <w:outlineLvl w:val="9"/>
    </w:pPr>
    <w:rPr>
      <w:rFonts w:ascii="Cambria" w:hAnsi="Cambria"/>
      <w:b w:val="0"/>
      <w:bCs w:val="0"/>
      <w:color w:val="366091"/>
      <w:kern w:val="0"/>
      <w:sz w:val="32"/>
      <w:szCs w:val="32"/>
    </w:rPr>
  </w:style>
  <w:style w:type="paragraph" w:styleId="54">
    <w:name w:val="List Paragraph"/>
    <w:basedOn w:val="1"/>
    <w:qFormat/>
    <w:uiPriority w:val="34"/>
    <w:pPr>
      <w:ind w:firstLine="420" w:firstLineChars="200"/>
    </w:pPr>
  </w:style>
  <w:style w:type="paragraph" w:customStyle="1" w:styleId="55">
    <w:name w:val="表格"/>
    <w:basedOn w:val="1"/>
    <w:qFormat/>
    <w:uiPriority w:val="0"/>
    <w:pPr>
      <w:spacing w:line="360" w:lineRule="auto"/>
    </w:pPr>
    <w:rPr>
      <w:sz w:val="24"/>
      <w:szCs w:val="24"/>
    </w:rPr>
  </w:style>
  <w:style w:type="character" w:customStyle="1" w:styleId="56">
    <w:name w:val="批注文字 字符1"/>
    <w:semiHidden/>
    <w:qFormat/>
    <w:uiPriority w:val="99"/>
  </w:style>
  <w:style w:type="paragraph" w:customStyle="1" w:styleId="57">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58">
    <w:name w:val="xl65"/>
    <w:basedOn w:val="1"/>
    <w:qFormat/>
    <w:uiPriority w:val="0"/>
    <w:pPr>
      <w:widowControl/>
      <w:spacing w:before="100" w:beforeAutospacing="1" w:after="100" w:afterAutospacing="1"/>
      <w:jc w:val="left"/>
      <w:textAlignment w:val="center"/>
    </w:pPr>
    <w:rPr>
      <w:rFonts w:ascii="宋体" w:hAnsi="宋体" w:cs="宋体"/>
      <w:kern w:val="0"/>
      <w:sz w:val="24"/>
      <w:szCs w:val="24"/>
    </w:rPr>
  </w:style>
  <w:style w:type="paragraph" w:customStyle="1" w:styleId="59">
    <w:name w:val="xl66"/>
    <w:basedOn w:val="1"/>
    <w:qFormat/>
    <w:uiPriority w:val="0"/>
    <w:pPr>
      <w:widowControl/>
      <w:pBdr>
        <w:top w:val="single" w:color="auto" w:sz="4" w:space="0"/>
        <w:left w:val="single" w:color="auto" w:sz="4" w:space="0"/>
        <w:bottom w:val="single" w:color="auto" w:sz="4" w:space="0"/>
        <w:right w:val="single" w:color="auto" w:sz="4" w:space="0"/>
      </w:pBdr>
      <w:shd w:val="clear" w:color="000000" w:fill="00CCFF"/>
      <w:spacing w:before="100" w:beforeAutospacing="1" w:after="100" w:afterAutospacing="1"/>
      <w:jc w:val="center"/>
    </w:pPr>
    <w:rPr>
      <w:rFonts w:ascii="宋体" w:hAnsi="宋体" w:cs="宋体"/>
      <w:b/>
      <w:bCs/>
      <w:color w:val="000000"/>
      <w:kern w:val="0"/>
      <w:sz w:val="24"/>
      <w:szCs w:val="24"/>
    </w:rPr>
  </w:style>
  <w:style w:type="paragraph" w:customStyle="1" w:styleId="60">
    <w:name w:val="xl67"/>
    <w:basedOn w:val="1"/>
    <w:qFormat/>
    <w:uiPriority w:val="0"/>
    <w:pPr>
      <w:widowControl/>
      <w:spacing w:before="100" w:beforeAutospacing="1" w:after="100" w:afterAutospacing="1"/>
      <w:jc w:val="left"/>
      <w:textAlignment w:val="center"/>
    </w:pPr>
    <w:rPr>
      <w:rFonts w:ascii="宋体" w:hAnsi="宋体" w:cs="宋体"/>
      <w:kern w:val="0"/>
      <w:sz w:val="24"/>
      <w:szCs w:val="24"/>
    </w:rPr>
  </w:style>
  <w:style w:type="paragraph" w:customStyle="1" w:styleId="61">
    <w:name w:val="xl68"/>
    <w:basedOn w:val="1"/>
    <w:qFormat/>
    <w:uiPriority w:val="0"/>
    <w:pPr>
      <w:widowControl/>
      <w:spacing w:before="100" w:beforeAutospacing="1" w:after="100" w:afterAutospacing="1"/>
      <w:jc w:val="left"/>
      <w:textAlignment w:val="center"/>
    </w:pPr>
    <w:rPr>
      <w:rFonts w:ascii="宋体" w:hAnsi="宋体" w:cs="宋体"/>
      <w:kern w:val="0"/>
      <w:sz w:val="24"/>
      <w:szCs w:val="24"/>
    </w:rPr>
  </w:style>
  <w:style w:type="paragraph" w:customStyle="1" w:styleId="62">
    <w:name w:val="xl69"/>
    <w:basedOn w:val="1"/>
    <w:qFormat/>
    <w:uiPriority w:val="0"/>
    <w:pPr>
      <w:widowControl/>
      <w:spacing w:before="100" w:beforeAutospacing="1" w:after="100" w:afterAutospacing="1"/>
      <w:jc w:val="left"/>
      <w:textAlignment w:val="center"/>
    </w:pPr>
    <w:rPr>
      <w:rFonts w:ascii="宋体" w:hAnsi="宋体" w:cs="宋体"/>
      <w:kern w:val="0"/>
      <w:sz w:val="24"/>
      <w:szCs w:val="24"/>
    </w:rPr>
  </w:style>
  <w:style w:type="paragraph" w:customStyle="1" w:styleId="63">
    <w:name w:val="表"/>
    <w:basedOn w:val="1"/>
    <w:next w:val="1"/>
    <w:link w:val="64"/>
    <w:qFormat/>
    <w:uiPriority w:val="7"/>
    <w:pPr>
      <w:jc w:val="center"/>
    </w:pPr>
    <w:rPr>
      <w:szCs w:val="21"/>
    </w:rPr>
  </w:style>
  <w:style w:type="character" w:customStyle="1" w:styleId="64">
    <w:name w:val="表 Char"/>
    <w:link w:val="63"/>
    <w:qFormat/>
    <w:uiPriority w:val="7"/>
    <w:rPr>
      <w:rFonts w:ascii="Times New Roman" w:hAnsi="Times New Roman"/>
      <w:szCs w:val="21"/>
    </w:rPr>
  </w:style>
  <w:style w:type="table" w:customStyle="1" w:styleId="65">
    <w:name w:val="Table Normal"/>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paragraph" w:customStyle="1" w:styleId="66">
    <w:name w:val="Table Paragraph"/>
    <w:basedOn w:val="1"/>
    <w:qFormat/>
    <w:uiPriority w:val="1"/>
    <w:pPr>
      <w:autoSpaceDE w:val="0"/>
      <w:autoSpaceDN w:val="0"/>
      <w:spacing w:before="76"/>
      <w:jc w:val="center"/>
    </w:pPr>
    <w:rPr>
      <w:rFonts w:eastAsia="Times New Roman"/>
      <w:kern w:val="0"/>
      <w:sz w:val="22"/>
      <w:lang w:eastAsia="en-US"/>
    </w:rPr>
  </w:style>
  <w:style w:type="character" w:customStyle="1" w:styleId="67">
    <w:name w:val="NormalCharacter"/>
    <w:qFormat/>
    <w:uiPriority w:val="0"/>
    <w:rPr>
      <w:rFonts w:ascii="Calibri" w:hAnsi="Calibri" w:eastAsia="宋体" w:cs="Times New Roman"/>
      <w:kern w:val="2"/>
      <w:sz w:val="21"/>
      <w:szCs w:val="24"/>
      <w:lang w:val="en-US" w:eastAsia="zh-CN" w:bidi="ar-SA"/>
    </w:rPr>
  </w:style>
  <w:style w:type="paragraph" w:customStyle="1" w:styleId="68">
    <w:name w:val="正文2"/>
    <w:basedOn w:val="1"/>
    <w:qFormat/>
    <w:uiPriority w:val="0"/>
    <w:pPr>
      <w:spacing w:line="600" w:lineRule="exact"/>
      <w:ind w:firstLine="200" w:firstLineChars="200"/>
    </w:pPr>
    <w:rPr>
      <w:rFonts w:eastAsia="仿宋_GB2312"/>
      <w:sz w:val="32"/>
      <w:szCs w:val="28"/>
    </w:rPr>
  </w:style>
  <w:style w:type="paragraph" w:customStyle="1" w:styleId="69">
    <w:name w:val="修订1"/>
    <w:semiHidden/>
    <w:qFormat/>
    <w:uiPriority w:val="99"/>
    <w:rPr>
      <w:rFonts w:ascii="Times New Roman" w:hAnsi="Times New Roman" w:eastAsia="宋体" w:cs="Times New Roman"/>
      <w:kern w:val="2"/>
      <w:sz w:val="21"/>
      <w:szCs w:val="22"/>
      <w:lang w:val="en-US" w:eastAsia="zh-CN" w:bidi="ar-SA"/>
    </w:rPr>
  </w:style>
  <w:style w:type="paragraph" w:customStyle="1" w:styleId="70">
    <w:name w:val="正文首行缩进 21"/>
    <w:basedOn w:val="71"/>
    <w:next w:val="31"/>
    <w:qFormat/>
    <w:uiPriority w:val="0"/>
    <w:pPr>
      <w:ind w:firstLine="420" w:firstLineChars="200"/>
    </w:pPr>
  </w:style>
  <w:style w:type="paragraph" w:customStyle="1" w:styleId="71">
    <w:name w:val="正文文本缩进1"/>
    <w:basedOn w:val="1"/>
    <w:qFormat/>
    <w:uiPriority w:val="0"/>
    <w:pPr>
      <w:spacing w:after="120"/>
      <w:ind w:left="420" w:leftChars="200"/>
    </w:pPr>
    <w:rPr>
      <w:rFonts w:eastAsia="仿宋_GB2312"/>
      <w:sz w:val="28"/>
      <w:szCs w:val="28"/>
    </w:rPr>
  </w:style>
  <w:style w:type="character" w:customStyle="1" w:styleId="72">
    <w:name w:val="样式 Times New Roman"/>
    <w:qFormat/>
    <w:uiPriority w:val="0"/>
    <w:rPr>
      <w:rFonts w:ascii="Times New Roman" w:hAnsi="Times New Roman"/>
      <w:sz w:val="32"/>
    </w:rPr>
  </w:style>
  <w:style w:type="paragraph" w:customStyle="1" w:styleId="73">
    <w:name w:val="1.1.1.1(四级)"/>
    <w:qFormat/>
    <w:uiPriority w:val="0"/>
    <w:pPr>
      <w:spacing w:line="360" w:lineRule="auto"/>
      <w:jc w:val="both"/>
      <w:outlineLvl w:val="3"/>
    </w:pPr>
    <w:rPr>
      <w:rFonts w:ascii="Times New Roman" w:hAnsi="Times New Roman" w:eastAsia="宋体" w:cs="Times New Roman"/>
      <w:kern w:val="2"/>
      <w:sz w:val="24"/>
      <w:szCs w:val="24"/>
      <w:lang w:val="en-US" w:eastAsia="zh-CN" w:bidi="ar-SA"/>
    </w:rPr>
  </w:style>
  <w:style w:type="paragraph" w:customStyle="1" w:styleId="74">
    <w:name w:val="正文0"/>
    <w:qFormat/>
    <w:uiPriority w:val="0"/>
    <w:pPr>
      <w:spacing w:line="360" w:lineRule="auto"/>
      <w:ind w:firstLine="200" w:firstLineChars="200"/>
    </w:pPr>
    <w:rPr>
      <w:rFonts w:ascii="Times New Roman" w:hAnsi="Times New Roman" w:eastAsia="宋体" w:cs="Times New Roman"/>
      <w:kern w:val="2"/>
      <w:sz w:val="24"/>
      <w:szCs w:val="24"/>
      <w:lang w:val="en-US" w:eastAsia="zh-CN" w:bidi="ar-SA"/>
    </w:rPr>
  </w:style>
  <w:style w:type="paragraph" w:customStyle="1" w:styleId="75">
    <w:name w:val="表名图名"/>
    <w:qFormat/>
    <w:uiPriority w:val="0"/>
    <w:pPr>
      <w:spacing w:line="360" w:lineRule="auto"/>
      <w:jc w:val="both"/>
    </w:pPr>
    <w:rPr>
      <w:rFonts w:ascii="Times New Roman" w:hAnsi="Times New Roman" w:eastAsia="宋体" w:cs="Times New Roman"/>
      <w:b/>
      <w:kern w:val="2"/>
      <w:sz w:val="24"/>
      <w:szCs w:val="24"/>
      <w:lang w:val="en-US" w:eastAsia="zh-CN" w:bidi="ar-SA"/>
    </w:rPr>
  </w:style>
  <w:style w:type="paragraph" w:customStyle="1" w:styleId="76">
    <w:name w:val="表内文字"/>
    <w:qFormat/>
    <w:uiPriority w:val="0"/>
    <w:pPr>
      <w:jc w:val="both"/>
    </w:pPr>
    <w:rPr>
      <w:rFonts w:ascii="Times New Roman" w:hAnsi="Times New Roman" w:eastAsia="宋体" w:cs="Times New Roman"/>
      <w:kern w:val="2"/>
      <w:sz w:val="21"/>
      <w:szCs w:val="24"/>
      <w:lang w:val="en-US" w:eastAsia="zh-CN" w:bidi="ar-SA"/>
    </w:rPr>
  </w:style>
  <w:style w:type="paragraph" w:customStyle="1" w:styleId="77">
    <w:name w:val="TOC 标题11"/>
    <w:basedOn w:val="9"/>
    <w:next w:val="1"/>
    <w:unhideWhenUsed/>
    <w:qFormat/>
    <w:uiPriority w:val="39"/>
    <w:pPr>
      <w:widowControl/>
      <w:spacing w:before="240" w:after="0" w:line="259" w:lineRule="auto"/>
      <w:jc w:val="left"/>
      <w:outlineLvl w:val="9"/>
    </w:pPr>
    <w:rPr>
      <w:rFonts w:ascii="Cambria" w:hAnsi="Cambria"/>
      <w:b w:val="0"/>
      <w:bCs w:val="0"/>
      <w:color w:val="366091"/>
      <w:kern w:val="0"/>
      <w:sz w:val="32"/>
      <w:szCs w:val="32"/>
    </w:rPr>
  </w:style>
  <w:style w:type="paragraph" w:customStyle="1" w:styleId="78">
    <w:name w:val="列出段落1"/>
    <w:basedOn w:val="1"/>
    <w:qFormat/>
    <w:uiPriority w:val="0"/>
    <w:pPr>
      <w:ind w:firstLine="420" w:firstLineChars="200"/>
    </w:pPr>
    <w:rPr>
      <w:rFonts w:ascii="Calibri" w:hAnsi="Calibri" w:eastAsia="仿宋_GB2312"/>
      <w:sz w:val="28"/>
      <w:szCs w:val="28"/>
    </w:rPr>
  </w:style>
  <w:style w:type="table" w:customStyle="1" w:styleId="79">
    <w:name w:val="网格型1"/>
    <w:basedOn w:val="3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80">
    <w:name w:val="修订2"/>
    <w:semiHidden/>
    <w:qFormat/>
    <w:uiPriority w:val="99"/>
    <w:rPr>
      <w:rFonts w:ascii="Times New Roman" w:hAnsi="Times New Roman" w:eastAsia="宋体" w:cs="Times New Roman"/>
      <w:kern w:val="2"/>
      <w:sz w:val="21"/>
      <w:szCs w:val="22"/>
      <w:lang w:val="en-US" w:eastAsia="zh-CN" w:bidi="ar-SA"/>
    </w:rPr>
  </w:style>
  <w:style w:type="paragraph" w:customStyle="1" w:styleId="81">
    <w:name w:val="_Style 74"/>
    <w:unhideWhenUsed/>
    <w:qFormat/>
    <w:uiPriority w:val="99"/>
    <w:rPr>
      <w:rFonts w:ascii="Times New Roman" w:hAnsi="Times New Roman" w:eastAsia="宋体" w:cs="Times New Roman"/>
      <w:kern w:val="2"/>
      <w:sz w:val="21"/>
      <w:szCs w:val="22"/>
      <w:lang w:val="en-US" w:eastAsia="zh-CN" w:bidi="ar-SA"/>
    </w:rPr>
  </w:style>
  <w:style w:type="paragraph" w:customStyle="1" w:styleId="82">
    <w:name w:val="报告正文"/>
    <w:basedOn w:val="1"/>
    <w:next w:val="1"/>
    <w:qFormat/>
    <w:uiPriority w:val="0"/>
    <w:pPr>
      <w:adjustRightInd w:val="0"/>
      <w:snapToGrid w:val="0"/>
      <w:spacing w:line="360" w:lineRule="auto"/>
      <w:ind w:firstLine="200" w:firstLineChars="200"/>
    </w:pPr>
    <w:rPr>
      <w:sz w:val="28"/>
      <w:szCs w:val="24"/>
    </w:rPr>
  </w:style>
  <w:style w:type="paragraph" w:customStyle="1" w:styleId="83">
    <w:name w:val="环评正文"/>
    <w:basedOn w:val="1"/>
    <w:qFormat/>
    <w:uiPriority w:val="0"/>
    <w:pPr>
      <w:spacing w:line="360" w:lineRule="auto"/>
      <w:ind w:firstLine="480" w:firstLineChars="200"/>
    </w:pPr>
    <w:rPr>
      <w:kern w:val="0"/>
      <w:sz w:val="24"/>
      <w:szCs w:val="20"/>
    </w:rPr>
  </w:style>
  <w:style w:type="paragraph" w:customStyle="1" w:styleId="84">
    <w:name w:val="WPSOffice手动目录 1"/>
    <w:qFormat/>
    <w:uiPriority w:val="0"/>
    <w:rPr>
      <w:rFonts w:ascii="Times New Roman" w:hAnsi="Times New Roman" w:eastAsia="宋体" w:cs="Times New Roman"/>
      <w:lang w:val="en-US" w:eastAsia="zh-CN" w:bidi="ar-SA"/>
    </w:rPr>
  </w:style>
  <w:style w:type="paragraph" w:customStyle="1" w:styleId="85">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86">
    <w:name w:val="WPSOffice手动目录 3"/>
    <w:qFormat/>
    <w:uiPriority w:val="0"/>
    <w:pPr>
      <w:ind w:left="400" w:leftChars="400"/>
    </w:pPr>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2.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2049"/>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154566F-7421-4A3A-985A-231E14003EB7}">
  <ds:schemaRefs/>
</ds:datastoreItem>
</file>

<file path=docProps/app.xml><?xml version="1.0" encoding="utf-8"?>
<Properties xmlns="http://schemas.openxmlformats.org/officeDocument/2006/extended-properties" xmlns:vt="http://schemas.openxmlformats.org/officeDocument/2006/docPropsVTypes">
  <Template>Normal.dotm</Template>
  <Company>daohangxitong.com</Company>
  <Pages>36</Pages>
  <Words>19968</Words>
  <Characters>20586</Characters>
  <Lines>176</Lines>
  <Paragraphs>49</Paragraphs>
  <TotalTime>24</TotalTime>
  <ScaleCrop>false</ScaleCrop>
  <LinksUpToDate>false</LinksUpToDate>
  <CharactersWithSpaces>20700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2023-06-07T02:51:00Z</dcterms:created>
  <dc:creator>ningting</dc:creator>
  <cp:lastModifiedBy>静地乐土</cp:lastModifiedBy>
  <cp:lastPrinted>2023-02-11T14:34:00Z</cp:lastPrinted>
  <dcterms:modified xsi:type="dcterms:W3CDTF">2023-07-25T11:36:30Z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ACA94CC7A9EB4F618895C37AECC4E82C_13</vt:lpwstr>
  </property>
</Properties>
</file>