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11号整改任务销号验收意见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11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忻州市是流域生态修复的重点地区，但是流域境内因采煤沉陷区治理及生态的规划布局不完善，对部分区域内的农村居民实施搬迁或生态移民等工作存在重视不够，力度不大。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制定完善的采煤沉陷区治理及生态建设规划，加快推进采煤沉陷区整村搬迁和生态移民等工作。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（一）制定下发了《静乐县采煤沉陷区综合治理工作方案》（静政发〔2016〕31号），进一步完善《静乐县生态功能区划》和《静乐县生态经济区划》，加快实施生态移民计划。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（二）《</w:t>
      </w:r>
      <w:r>
        <w:rPr>
          <w:rFonts w:hint="eastAsia" w:ascii="仿宋_GB2312" w:hAnsi="仿宋" w:eastAsia="仿宋_GB2312" w:cs="仿宋"/>
          <w:sz w:val="32"/>
          <w:szCs w:val="32"/>
        </w:rPr>
        <w:t>自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2015年</w:t>
      </w:r>
      <w:r>
        <w:rPr>
          <w:rFonts w:hint="eastAsia" w:ascii="仿宋_GB2312" w:hAnsi="仿宋" w:eastAsia="仿宋_GB2312" w:cs="仿宋"/>
          <w:sz w:val="32"/>
          <w:szCs w:val="32"/>
        </w:rPr>
        <w:t>实施采煤沉陷区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综合治理</w:t>
      </w:r>
      <w:r>
        <w:rPr>
          <w:rFonts w:hint="eastAsia" w:ascii="仿宋_GB2312" w:hAnsi="仿宋" w:eastAsia="仿宋_GB2312" w:cs="仿宋"/>
          <w:sz w:val="32"/>
          <w:szCs w:val="32"/>
        </w:rPr>
        <w:t>搬迁安置项目以来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，我县</w:t>
      </w:r>
      <w:r>
        <w:rPr>
          <w:rFonts w:hint="eastAsia" w:ascii="仿宋_GB2312" w:hAnsi="仿宋" w:eastAsia="仿宋_GB2312" w:cs="仿宋"/>
          <w:sz w:val="32"/>
          <w:szCs w:val="32"/>
        </w:rPr>
        <w:t>三年共实施了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个乡镇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个村，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分别是杜家村镇前文明村、任家村、上村；双路乡干连沟村、段家寨乡石门子村、中庄乡红崖上村。</w:t>
      </w:r>
      <w:r>
        <w:rPr>
          <w:rFonts w:hint="eastAsia" w:ascii="仿宋_GB2312" w:hAnsi="仿宋" w:eastAsia="仿宋_GB2312" w:cs="仿宋"/>
          <w:sz w:val="32"/>
          <w:szCs w:val="32"/>
        </w:rPr>
        <w:t>涉及</w:t>
      </w:r>
      <w:r>
        <w:rPr>
          <w:rFonts w:ascii="仿宋_GB2312" w:hAnsi="仿宋" w:eastAsia="仿宋_GB2312" w:cs="仿宋"/>
          <w:sz w:val="32"/>
          <w:szCs w:val="32"/>
        </w:rPr>
        <w:t>1653</w:t>
      </w:r>
      <w:r>
        <w:rPr>
          <w:rFonts w:hint="eastAsia" w:ascii="仿宋_GB2312" w:hAnsi="仿宋" w:eastAsia="仿宋_GB2312" w:cs="仿宋"/>
          <w:sz w:val="32"/>
          <w:szCs w:val="32"/>
        </w:rPr>
        <w:t>户、</w:t>
      </w:r>
      <w:r>
        <w:rPr>
          <w:rFonts w:ascii="仿宋_GB2312" w:hAnsi="仿宋" w:eastAsia="仿宋_GB2312" w:cs="仿宋"/>
          <w:sz w:val="32"/>
          <w:szCs w:val="32"/>
        </w:rPr>
        <w:t>4376</w:t>
      </w:r>
      <w:r>
        <w:rPr>
          <w:rFonts w:hint="eastAsia" w:ascii="仿宋_GB2312" w:hAnsi="仿宋" w:eastAsia="仿宋_GB2312" w:cs="仿宋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其中：集中安置</w:t>
      </w:r>
      <w:r>
        <w:rPr>
          <w:rFonts w:ascii="仿宋_GB2312" w:hAnsi="仿宋" w:eastAsia="仿宋_GB2312" w:cs="仿宋"/>
          <w:sz w:val="32"/>
          <w:szCs w:val="32"/>
        </w:rPr>
        <w:t>1205</w:t>
      </w:r>
      <w:r>
        <w:rPr>
          <w:rFonts w:hint="eastAsia" w:ascii="仿宋_GB2312" w:hAnsi="仿宋" w:eastAsia="仿宋_GB2312" w:cs="仿宋"/>
          <w:sz w:val="32"/>
          <w:szCs w:val="32"/>
        </w:rPr>
        <w:t>户、</w:t>
      </w:r>
      <w:r>
        <w:rPr>
          <w:rFonts w:ascii="仿宋_GB2312" w:hAnsi="仿宋" w:eastAsia="仿宋_GB2312" w:cs="仿宋"/>
          <w:sz w:val="32"/>
          <w:szCs w:val="32"/>
        </w:rPr>
        <w:t>3317</w:t>
      </w:r>
      <w:r>
        <w:rPr>
          <w:rFonts w:hint="eastAsia" w:ascii="仿宋_GB2312" w:hAnsi="仿宋" w:eastAsia="仿宋_GB2312" w:cs="仿宋"/>
          <w:sz w:val="32"/>
          <w:szCs w:val="32"/>
        </w:rPr>
        <w:t>人，货币补偿安置</w:t>
      </w:r>
      <w:r>
        <w:rPr>
          <w:rFonts w:ascii="仿宋_GB2312" w:hAnsi="仿宋" w:eastAsia="仿宋_GB2312" w:cs="仿宋"/>
          <w:sz w:val="32"/>
          <w:szCs w:val="32"/>
        </w:rPr>
        <w:t>448</w:t>
      </w:r>
      <w:r>
        <w:rPr>
          <w:rFonts w:hint="eastAsia" w:ascii="仿宋_GB2312" w:hAnsi="仿宋" w:eastAsia="仿宋_GB2312" w:cs="仿宋"/>
          <w:sz w:val="32"/>
          <w:szCs w:val="32"/>
        </w:rPr>
        <w:t>户、</w:t>
      </w:r>
      <w:r>
        <w:rPr>
          <w:rFonts w:ascii="仿宋_GB2312" w:hAnsi="仿宋" w:eastAsia="仿宋_GB2312" w:cs="仿宋"/>
          <w:sz w:val="32"/>
          <w:szCs w:val="32"/>
        </w:rPr>
        <w:t>1059</w:t>
      </w:r>
      <w:r>
        <w:rPr>
          <w:rFonts w:hint="eastAsia" w:ascii="仿宋_GB2312" w:hAnsi="仿宋" w:eastAsia="仿宋_GB2312" w:cs="仿宋"/>
          <w:sz w:val="32"/>
          <w:szCs w:val="32"/>
        </w:rPr>
        <w:t>人。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0386"/>
    <w:rsid w:val="24BF3CFA"/>
    <w:rsid w:val="26D56998"/>
    <w:rsid w:val="2FD23A7F"/>
    <w:rsid w:val="34B116F3"/>
    <w:rsid w:val="35885C75"/>
    <w:rsid w:val="39D658E6"/>
    <w:rsid w:val="3AEC2F57"/>
    <w:rsid w:val="4FF3391C"/>
    <w:rsid w:val="62E84147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2020-12-04T06:00:00Z</cp:lastPrinted>
  <dcterms:modified xsi:type="dcterms:W3CDTF">2020-12-04T11:48:48Z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