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8"/>
        </w:tabs>
        <w:rPr>
          <w:rFonts w:hint="default" w:ascii="Times New Roman" w:hAnsi="Times New Roman" w:eastAsia="宋体" w:cs="Times New Roman"/>
          <w:color w:val="000000" w:themeColor="text1"/>
          <w:spacing w:val="10"/>
          <w:sz w:val="28"/>
          <w:szCs w:val="20"/>
          <w:lang w:val="en-US" w:eastAsia="zh-CN"/>
          <w14:textFill>
            <w14:solidFill>
              <w14:schemeClr w14:val="tx1"/>
            </w14:solidFill>
          </w14:textFill>
        </w:rPr>
      </w:pPr>
      <w:r>
        <w:rPr>
          <w:rFonts w:hint="default" w:ascii="Times New Roman" w:hAnsi="Times New Roman" w:cs="Times New Roman"/>
          <w:color w:val="000000" w:themeColor="text1"/>
          <w:sz w:val="36"/>
          <w:szCs w:val="36"/>
          <w14:textFill>
            <w14:solidFill>
              <w14:schemeClr w14:val="tx1"/>
            </w14:solidFill>
          </w14:textFill>
        </w:rPr>
        <w:tab/>
      </w:r>
      <w:r>
        <w:rPr>
          <w:rFonts w:hint="default" w:ascii="Times New Roman" w:hAnsi="Times New Roman" w:cs="Times New Roman"/>
          <w:color w:val="000000" w:themeColor="text1"/>
          <w:sz w:val="28"/>
          <w:szCs w:val="28"/>
          <w14:textFill>
            <w14:solidFill>
              <w14:schemeClr w14:val="tx1"/>
            </w14:solidFill>
          </w14:textFill>
        </w:rPr>
        <w:t>国环评证甲字第1305号</w:t>
      </w:r>
      <w:r>
        <w:rPr>
          <w:rFonts w:hint="default" w:ascii="Times New Roman" w:hAnsi="Times New Roman" w:cs="Times New Roman"/>
          <w:color w:val="000000" w:themeColor="text1"/>
          <w:spacing w:val="10"/>
          <w:sz w:val="28"/>
          <w:szCs w:val="20"/>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  SXTEP（20</w:t>
      </w:r>
      <w:r>
        <w:rPr>
          <w:rFonts w:hint="eastAsia" w:cs="Times New Roman"/>
          <w:color w:val="000000" w:themeColor="text1"/>
          <w:sz w:val="28"/>
          <w:szCs w:val="28"/>
          <w:lang w:val="en-US" w:eastAsia="zh-CN"/>
          <w14:textFill>
            <w14:solidFill>
              <w14:schemeClr w14:val="tx1"/>
            </w14:solidFill>
          </w14:textFill>
        </w:rPr>
        <w:t>20</w:t>
      </w:r>
      <w:r>
        <w:rPr>
          <w:rFonts w:hint="default" w:ascii="Times New Roman" w:hAnsi="Times New Roman" w:cs="Times New Roman"/>
          <w:color w:val="000000" w:themeColor="text1"/>
          <w:sz w:val="28"/>
          <w:szCs w:val="28"/>
          <w14:textFill>
            <w14:solidFill>
              <w14:schemeClr w14:val="tx1"/>
            </w14:solidFill>
          </w14:textFill>
        </w:rPr>
        <w:t>）-EIA0</w:t>
      </w:r>
      <w:r>
        <w:rPr>
          <w:rFonts w:hint="eastAsia" w:cs="Times New Roman"/>
          <w:color w:val="000000" w:themeColor="text1"/>
          <w:sz w:val="28"/>
          <w:szCs w:val="28"/>
          <w:lang w:val="en-US" w:eastAsia="zh-CN"/>
          <w14:textFill>
            <w14:solidFill>
              <w14:schemeClr w14:val="tx1"/>
            </w14:solidFill>
          </w14:textFill>
        </w:rPr>
        <w:t>05</w:t>
      </w:r>
    </w:p>
    <w:p>
      <w:pPr>
        <w:rPr>
          <w:rFonts w:hint="default" w:ascii="Times New Roman" w:hAnsi="Times New Roman" w:cs="Times New Roman"/>
          <w:color w:val="000000" w:themeColor="text1"/>
          <w:sz w:val="28"/>
          <w:szCs w:val="28"/>
          <w14:textFill>
            <w14:solidFill>
              <w14:schemeClr w14:val="tx1"/>
            </w14:solidFill>
          </w14:textFill>
        </w:rPr>
      </w:pPr>
    </w:p>
    <w:p>
      <w:pPr>
        <w:rPr>
          <w:rFonts w:hint="default" w:ascii="Times New Roman" w:hAnsi="Times New Roman" w:cs="Times New Roman"/>
          <w:color w:val="000000" w:themeColor="text1"/>
          <w:sz w:val="28"/>
          <w:szCs w:val="28"/>
          <w14:textFill>
            <w14:solidFill>
              <w14:schemeClr w14:val="tx1"/>
            </w14:solidFill>
          </w14:textFill>
        </w:rPr>
      </w:pPr>
    </w:p>
    <w:p>
      <w:pPr>
        <w:jc w:val="center"/>
        <w:rPr>
          <w:rFonts w:hint="default" w:ascii="Times New Roman" w:hAnsi="Times New Roman" w:cs="Times New Roman"/>
          <w:b/>
          <w:color w:val="000000" w:themeColor="text1"/>
          <w:kern w:val="0"/>
          <w:sz w:val="60"/>
          <w:szCs w:val="60"/>
          <w14:textFill>
            <w14:solidFill>
              <w14:schemeClr w14:val="tx1"/>
            </w14:solidFill>
          </w14:textFill>
        </w:rPr>
      </w:pPr>
    </w:p>
    <w:p>
      <w:pPr>
        <w:jc w:val="center"/>
        <w:rPr>
          <w:rFonts w:hint="default" w:ascii="Times New Roman" w:hAnsi="Times New Roman" w:cs="Times New Roman"/>
          <w:b/>
          <w:color w:val="000000" w:themeColor="text1"/>
          <w:sz w:val="60"/>
          <w:szCs w:val="60"/>
          <w14:textFill>
            <w14:solidFill>
              <w14:schemeClr w14:val="tx1"/>
            </w14:solidFill>
          </w14:textFill>
        </w:rPr>
      </w:pPr>
      <w:r>
        <w:rPr>
          <w:rFonts w:hint="default" w:ascii="Times New Roman" w:hAnsi="Times New Roman" w:cs="Times New Roman"/>
          <w:b/>
          <w:color w:val="000000" w:themeColor="text1"/>
          <w:kern w:val="0"/>
          <w:sz w:val="60"/>
          <w:szCs w:val="60"/>
          <w14:textFill>
            <w14:solidFill>
              <w14:schemeClr w14:val="tx1"/>
            </w14:solidFill>
          </w14:textFill>
        </w:rPr>
        <w:t>建设项目环境影响报告表</w:t>
      </w:r>
    </w:p>
    <w:p>
      <w:pPr>
        <w:jc w:val="center"/>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eastAsia" w:cs="Times New Roman"/>
          <w:color w:val="000000" w:themeColor="text1"/>
          <w:sz w:val="28"/>
          <w:szCs w:val="28"/>
          <w:lang w:eastAsia="zh-CN"/>
          <w14:textFill>
            <w14:solidFill>
              <w14:schemeClr w14:val="tx1"/>
            </w14:solidFill>
          </w14:textFill>
        </w:rPr>
        <w:t>（</w:t>
      </w:r>
      <w:r>
        <w:rPr>
          <w:rFonts w:hint="eastAsia" w:cs="Times New Roman"/>
          <w:color w:val="000000" w:themeColor="text1"/>
          <w:sz w:val="28"/>
          <w:szCs w:val="28"/>
          <w:lang w:val="en-US" w:eastAsia="zh-CN"/>
          <w14:textFill>
            <w14:solidFill>
              <w14:schemeClr w14:val="tx1"/>
            </w14:solidFill>
          </w14:textFill>
        </w:rPr>
        <w:t>公示</w:t>
      </w:r>
      <w:r>
        <w:rPr>
          <w:rFonts w:hint="eastAsia" w:cs="Times New Roman"/>
          <w:color w:val="000000" w:themeColor="text1"/>
          <w:sz w:val="28"/>
          <w:szCs w:val="28"/>
          <w:lang w:eastAsia="zh-CN"/>
          <w14:textFill>
            <w14:solidFill>
              <w14:schemeClr w14:val="tx1"/>
            </w14:solidFill>
          </w14:textFill>
        </w:rPr>
        <w:t>本）</w:t>
      </w:r>
    </w:p>
    <w:p>
      <w:pPr>
        <w:rPr>
          <w:rFonts w:hint="default" w:ascii="Times New Roman" w:hAnsi="Times New Roman" w:cs="Times New Roman"/>
          <w:color w:val="000000" w:themeColor="text1"/>
          <w:sz w:val="28"/>
          <w:szCs w:val="28"/>
          <w14:textFill>
            <w14:solidFill>
              <w14:schemeClr w14:val="tx1"/>
            </w14:solidFill>
          </w14:textFill>
        </w:rPr>
      </w:pPr>
    </w:p>
    <w:p>
      <w:pPr>
        <w:rPr>
          <w:rFonts w:hint="default" w:ascii="Times New Roman" w:hAnsi="Times New Roman" w:cs="Times New Roman"/>
          <w:color w:val="000000" w:themeColor="text1"/>
          <w:sz w:val="28"/>
          <w:szCs w:val="28"/>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right="-142" w:rightChars="-68" w:firstLine="1500" w:firstLineChars="500"/>
        <w:jc w:val="left"/>
        <w:rPr>
          <w:rFonts w:hint="default" w:ascii="Times New Roman" w:hAnsi="Times New Roman" w:cs="Times New Roman"/>
          <w:b/>
          <w:color w:val="000000" w:themeColor="text1"/>
          <w:kern w:val="0"/>
          <w:sz w:val="30"/>
          <w:szCs w:val="30"/>
          <w:u w:val="single"/>
          <w:lang w:eastAsia="zh-CN"/>
          <w14:textFill>
            <w14:solidFill>
              <w14:schemeClr w14:val="tx1"/>
            </w14:solidFill>
          </w14:textFill>
        </w:rPr>
      </w:pPr>
      <w:r>
        <w:rPr>
          <w:rFonts w:hint="default" w:ascii="Times New Roman" w:hAnsi="Times New Roman" w:cs="Times New Roman"/>
          <w:b/>
          <w:color w:val="000000" w:themeColor="text1"/>
          <w:kern w:val="0"/>
          <w:sz w:val="30"/>
          <w:szCs w:val="30"/>
          <w14:textFill>
            <w14:solidFill>
              <w14:schemeClr w14:val="tx1"/>
            </w14:solidFill>
          </w14:textFill>
        </w:rPr>
        <w:t>项目名称：</w:t>
      </w:r>
      <w:r>
        <w:rPr>
          <w:rFonts w:hint="default" w:ascii="Times New Roman" w:hAnsi="Times New Roman" w:cs="Times New Roman"/>
          <w:b/>
          <w:color w:val="000000" w:themeColor="text1"/>
          <w:kern w:val="0"/>
          <w:sz w:val="30"/>
          <w:szCs w:val="30"/>
          <w:u w:val="single"/>
          <w:lang w:eastAsia="zh-CN"/>
          <w14:textFill>
            <w14:solidFill>
              <w14:schemeClr w14:val="tx1"/>
            </w14:solidFill>
          </w14:textFill>
        </w:rPr>
        <w:t>山西宁武盆地南部地区煤层气勘查</w:t>
      </w:r>
    </w:p>
    <w:p>
      <w:pPr>
        <w:autoSpaceDE w:val="0"/>
        <w:autoSpaceDN w:val="0"/>
        <w:adjustRightInd w:val="0"/>
        <w:ind w:right="-142" w:rightChars="-68" w:firstLine="3000" w:firstLineChars="1000"/>
        <w:jc w:val="left"/>
        <w:rPr>
          <w:rFonts w:hint="default" w:ascii="Times New Roman" w:hAnsi="Times New Roman" w:eastAsia="宋体" w:cs="Times New Roman"/>
          <w:b/>
          <w:bCs w:val="0"/>
          <w:color w:val="000000" w:themeColor="text1"/>
          <w:kern w:val="0"/>
          <w:sz w:val="30"/>
          <w:szCs w:val="30"/>
          <w:u w:val="single"/>
          <w:lang w:val="en-US" w:eastAsia="zh-CN"/>
          <w14:textFill>
            <w14:solidFill>
              <w14:schemeClr w14:val="tx1"/>
            </w14:solidFill>
          </w14:textFill>
        </w:rPr>
      </w:pPr>
      <w:r>
        <w:rPr>
          <w:rFonts w:hint="default" w:ascii="Times New Roman" w:hAnsi="Times New Roman" w:cs="Times New Roman"/>
          <w:b/>
          <w:bCs w:val="0"/>
          <w:color w:val="000000" w:themeColor="text1"/>
          <w:kern w:val="0"/>
          <w:sz w:val="30"/>
          <w:szCs w:val="30"/>
          <w:u w:val="single"/>
          <w:lang w:val="en-US" w:eastAsia="zh-CN"/>
          <w14:textFill>
            <w14:solidFill>
              <w14:schemeClr w14:val="tx1"/>
            </w14:solidFill>
          </w14:textFill>
        </w:rPr>
        <w:t xml:space="preserve">宁探1井勘探项目                 </w:t>
      </w:r>
    </w:p>
    <w:p>
      <w:pPr>
        <w:autoSpaceDE w:val="0"/>
        <w:autoSpaceDN w:val="0"/>
        <w:adjustRightInd w:val="0"/>
        <w:ind w:right="-142" w:rightChars="-68" w:firstLine="1500" w:firstLineChars="500"/>
        <w:jc w:val="left"/>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pPr>
      <w:r>
        <w:rPr>
          <w:rFonts w:hint="default" w:ascii="Times New Roman" w:hAnsi="Times New Roman" w:cs="Times New Roman"/>
          <w:b/>
          <w:color w:val="000000" w:themeColor="text1"/>
          <w:kern w:val="0"/>
          <w:sz w:val="30"/>
          <w:szCs w:val="30"/>
          <w14:textFill>
            <w14:solidFill>
              <w14:schemeClr w14:val="tx1"/>
            </w14:solidFill>
          </w14:textFill>
        </w:rPr>
        <w:t>建设单位：</w:t>
      </w:r>
      <w:r>
        <w:rPr>
          <w:rFonts w:hint="default" w:ascii="Times New Roman" w:hAnsi="Times New Roman" w:cs="Times New Roman"/>
          <w:b/>
          <w:color w:val="000000" w:themeColor="text1"/>
          <w:kern w:val="0"/>
          <w:sz w:val="30"/>
          <w:szCs w:val="30"/>
          <w:u w:val="single"/>
          <w:lang w:eastAsia="zh-CN"/>
          <w14:textFill>
            <w14:solidFill>
              <w14:schemeClr w14:val="tx1"/>
            </w14:solidFill>
          </w14:textFill>
        </w:rPr>
        <w:t>中国石油天然气股份有限公司</w:t>
      </w:r>
      <w:r>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t xml:space="preserve">      </w:t>
      </w:r>
    </w:p>
    <w:p>
      <w:pPr>
        <w:autoSpaceDE w:val="0"/>
        <w:autoSpaceDN w:val="0"/>
        <w:adjustRightInd w:val="0"/>
        <w:ind w:right="-142" w:rightChars="-68" w:firstLine="3000" w:firstLineChars="1000"/>
        <w:jc w:val="left"/>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pPr>
      <w:r>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t xml:space="preserve">山西煤层气勘探开发有限公司      </w:t>
      </w:r>
    </w:p>
    <w:p>
      <w:pPr>
        <w:snapToGrid w:val="0"/>
        <w:spacing w:line="480" w:lineRule="auto"/>
        <w:ind w:firstLine="423" w:firstLineChars="141"/>
        <w:rPr>
          <w:rFonts w:hint="default" w:ascii="Times New Roman" w:hAnsi="Times New Roman" w:cs="Times New Roman"/>
          <w:b/>
          <w:color w:val="000000" w:themeColor="text1"/>
          <w:kern w:val="0"/>
          <w:sz w:val="30"/>
          <w:szCs w:val="30"/>
          <w:u w:val="single"/>
          <w14:textFill>
            <w14:solidFill>
              <w14:schemeClr w14:val="tx1"/>
            </w14:solidFill>
          </w14:textFill>
        </w:rPr>
      </w:pPr>
    </w:p>
    <w:p>
      <w:pPr>
        <w:autoSpaceDE w:val="0"/>
        <w:autoSpaceDN w:val="0"/>
        <w:adjustRightInd w:val="0"/>
        <w:jc w:val="left"/>
        <w:rPr>
          <w:rFonts w:hint="default" w:ascii="Times New Roman" w:hAnsi="Times New Roman" w:cs="Times New Roman"/>
          <w:color w:val="000000" w:themeColor="text1"/>
          <w:kern w:val="0"/>
          <w:sz w:val="30"/>
          <w:szCs w:val="30"/>
          <w14:textFill>
            <w14:solidFill>
              <w14:schemeClr w14:val="tx1"/>
            </w14:solidFill>
          </w14:textFill>
        </w:rPr>
      </w:pPr>
      <w:r>
        <w:rPr>
          <w:rFonts w:hint="default" w:ascii="Times New Roman" w:hAnsi="Times New Roman" w:cs="Times New Roman"/>
          <w:color w:val="000000" w:themeColor="text1"/>
          <w:kern w:val="0"/>
          <w:sz w:val="30"/>
          <w:szCs w:val="30"/>
          <w14:textFill>
            <w14:solidFill>
              <w14:schemeClr w14:val="tx1"/>
            </w14:solidFill>
          </w14:textFill>
        </w:rPr>
        <w:t xml:space="preserve"> </w:t>
      </w:r>
    </w:p>
    <w:p>
      <w:pPr>
        <w:autoSpaceDE w:val="0"/>
        <w:autoSpaceDN w:val="0"/>
        <w:adjustRightInd w:val="0"/>
        <w:jc w:val="left"/>
        <w:rPr>
          <w:rFonts w:hint="default" w:ascii="Times New Roman" w:hAnsi="Times New Roman" w:cs="Times New Roman"/>
          <w:color w:val="000000" w:themeColor="text1"/>
          <w:kern w:val="0"/>
          <w:sz w:val="30"/>
          <w:szCs w:val="30"/>
          <w14:textFill>
            <w14:solidFill>
              <w14:schemeClr w14:val="tx1"/>
            </w14:solidFill>
          </w14:textFill>
        </w:rPr>
      </w:pPr>
    </w:p>
    <w:p>
      <w:pPr>
        <w:autoSpaceDE w:val="0"/>
        <w:autoSpaceDN w:val="0"/>
        <w:adjustRightInd w:val="0"/>
        <w:spacing w:line="440" w:lineRule="exact"/>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kern w:val="0"/>
          <w:sz w:val="30"/>
          <w:szCs w:val="30"/>
          <w14:textFill>
            <w14:solidFill>
              <w14:schemeClr w14:val="tx1"/>
            </w14:solidFill>
          </w14:textFill>
        </w:rPr>
        <w:t>编制日期：</w:t>
      </w:r>
      <w:r>
        <w:rPr>
          <w:rFonts w:hint="default" w:ascii="Times New Roman" w:hAnsi="Times New Roman" w:cs="Times New Roman"/>
          <w:b/>
          <w:bCs/>
          <w:color w:val="000000" w:themeColor="text1"/>
          <w:kern w:val="0"/>
          <w:sz w:val="30"/>
          <w:szCs w:val="30"/>
          <w14:textFill>
            <w14:solidFill>
              <w14:schemeClr w14:val="tx1"/>
            </w14:solidFill>
          </w14:textFill>
        </w:rPr>
        <w:t>20</w:t>
      </w:r>
      <w:r>
        <w:rPr>
          <w:rFonts w:hint="default" w:ascii="Times New Roman" w:hAnsi="Times New Roman" w:cs="Times New Roman"/>
          <w:b/>
          <w:bCs/>
          <w:color w:val="000000" w:themeColor="text1"/>
          <w:kern w:val="0"/>
          <w:sz w:val="30"/>
          <w:szCs w:val="30"/>
          <w:lang w:val="en-US" w:eastAsia="zh-CN"/>
          <w14:textFill>
            <w14:solidFill>
              <w14:schemeClr w14:val="tx1"/>
            </w14:solidFill>
          </w14:textFill>
        </w:rPr>
        <w:t>20</w:t>
      </w:r>
      <w:r>
        <w:rPr>
          <w:rFonts w:hint="default" w:ascii="Times New Roman" w:hAnsi="Times New Roman" w:cs="Times New Roman"/>
          <w:b/>
          <w:bCs/>
          <w:color w:val="000000" w:themeColor="text1"/>
          <w:kern w:val="0"/>
          <w:sz w:val="30"/>
          <w:szCs w:val="30"/>
          <w14:textFill>
            <w14:solidFill>
              <w14:schemeClr w14:val="tx1"/>
            </w14:solidFill>
          </w14:textFill>
        </w:rPr>
        <w:t xml:space="preserve"> </w:t>
      </w:r>
      <w:r>
        <w:rPr>
          <w:rFonts w:hint="default" w:ascii="Times New Roman" w:hAnsi="Times New Roman" w:cs="Times New Roman"/>
          <w:color w:val="000000" w:themeColor="text1"/>
          <w:kern w:val="0"/>
          <w:sz w:val="30"/>
          <w:szCs w:val="30"/>
          <w14:textFill>
            <w14:solidFill>
              <w14:schemeClr w14:val="tx1"/>
            </w14:solidFill>
          </w14:textFill>
        </w:rPr>
        <w:t>年</w:t>
      </w:r>
      <w:r>
        <w:rPr>
          <w:rFonts w:hint="default" w:ascii="Times New Roman" w:hAnsi="Times New Roman" w:cs="Times New Roman"/>
          <w:color w:val="000000" w:themeColor="text1"/>
          <w:kern w:val="0"/>
          <w:sz w:val="30"/>
          <w:szCs w:val="30"/>
          <w:lang w:val="en-US" w:eastAsia="zh-CN"/>
          <w14:textFill>
            <w14:solidFill>
              <w14:schemeClr w14:val="tx1"/>
            </w14:solidFill>
          </w14:textFill>
        </w:rPr>
        <w:t xml:space="preserve"> </w:t>
      </w:r>
      <w:r>
        <w:rPr>
          <w:rFonts w:hint="eastAsia" w:cs="Times New Roman"/>
          <w:b/>
          <w:color w:val="000000" w:themeColor="text1"/>
          <w:kern w:val="0"/>
          <w:sz w:val="30"/>
          <w:szCs w:val="30"/>
          <w:lang w:val="en-US" w:eastAsia="zh-CN"/>
          <w14:textFill>
            <w14:solidFill>
              <w14:schemeClr w14:val="tx1"/>
            </w14:solidFill>
          </w14:textFill>
        </w:rPr>
        <w:t xml:space="preserve">6 </w:t>
      </w:r>
      <w:r>
        <w:rPr>
          <w:rFonts w:hint="default" w:ascii="Times New Roman" w:hAnsi="Times New Roman" w:cs="Times New Roman"/>
          <w:color w:val="000000" w:themeColor="text1"/>
          <w:kern w:val="0"/>
          <w:sz w:val="30"/>
          <w:szCs w:val="30"/>
          <w14:textFill>
            <w14:solidFill>
              <w14:schemeClr w14:val="tx1"/>
            </w14:solidFill>
          </w14:textFill>
        </w:rPr>
        <w:t>月</w:t>
      </w:r>
    </w:p>
    <w:p>
      <w:pPr>
        <w:spacing w:line="360" w:lineRule="auto"/>
        <w:jc w:val="center"/>
        <w:rPr>
          <w:rFonts w:hint="default" w:ascii="Times New Roman" w:hAnsi="Times New Roman" w:cs="Times New Roman"/>
          <w:b/>
          <w:bCs/>
          <w:color w:val="000000" w:themeColor="text1"/>
          <w:sz w:val="32"/>
          <w:szCs w:val="32"/>
          <w14:textFill>
            <w14:solidFill>
              <w14:schemeClr w14:val="tx1"/>
            </w14:solidFill>
          </w14:textFill>
        </w:rPr>
        <w:sectPr>
          <w:footerReference r:id="rId3"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spacing w:line="360" w:lineRule="auto"/>
        <w:jc w:val="center"/>
        <w:rPr>
          <w:rFonts w:hint="default" w:ascii="Times New Roman" w:hAnsi="Times New Roman" w:cs="Times New Roman"/>
          <w:b/>
          <w:bCs/>
          <w:color w:val="000000" w:themeColor="text1"/>
          <w:sz w:val="32"/>
          <w:szCs w:val="32"/>
          <w14:textFill>
            <w14:solidFill>
              <w14:schemeClr w14:val="tx1"/>
            </w14:solidFill>
          </w14:textFill>
        </w:rPr>
        <w:sectPr>
          <w:footerReference r:id="rId4"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spacing w:line="360" w:lineRule="auto"/>
        <w:jc w:val="center"/>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《建设项目环境影响报告表》编制说明</w:t>
      </w:r>
    </w:p>
    <w:p>
      <w:pPr>
        <w:spacing w:line="360" w:lineRule="auto"/>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 xml:space="preserve"> </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《建设项目环境影响报告表》由具有从事环境影响评价工作资质的单位编制。</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1、项目名称——指项目立项批复时的名称，应不超过30个字(两个英文字段作一个汉字)。</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2、建设地点——指项目所在地详细地址，公路、铁路应填写起止地点。</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3、行业类别——按国标填写。</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4、总投资——指项目投资总额。</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5、主要环境保护目标——指项目区周围一定范围内集中居民住宅、学校、医院、保护文物、风景名胜区、水源地和生态敏感点等，应尽可能给出保护目标、性质、规模和距厂界距离等。</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6、结论与建议——给出本项目清洁生产、达标排放和总量控制的分析结论，给出污染防治措施的有效性，说明本项目对环境造成的影响，给出建设项目环境可行性的明确结论，同时提出减少环境影响的其他建议。</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7、预审意见——有行业主管部门填写答复意见，无主管部门项目，可不填。</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sectPr>
          <w:footerReference r:id="rId5"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r>
        <w:rPr>
          <w:rFonts w:hint="default" w:ascii="Times New Roman" w:hAnsi="Times New Roman" w:cs="Times New Roman"/>
          <w:color w:val="000000" w:themeColor="text1"/>
          <w:sz w:val="24"/>
          <w14:textFill>
            <w14:solidFill>
              <w14:schemeClr w14:val="tx1"/>
            </w14:solidFill>
          </w14:textFill>
        </w:rPr>
        <w:t>8、审批意见——由负责审批该项目的环境保护行政主管部门批复。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sectPr>
          <w:footerReference r:id="rId6"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jc w:val="center"/>
        <w:rPr>
          <w:rFonts w:hint="default" w:ascii="Times New Roman" w:hAnsi="Times New Roman" w:cs="Times New Roman"/>
          <w:b/>
          <w:bCs/>
          <w:color w:val="000000" w:themeColor="text1"/>
          <w:sz w:val="36"/>
          <w:szCs w:val="36"/>
          <w14:textFill>
            <w14:solidFill>
              <w14:schemeClr w14:val="tx1"/>
            </w14:solidFill>
          </w14:textFill>
        </w:rPr>
      </w:pPr>
      <w:r>
        <w:rPr>
          <w:rFonts w:hint="default" w:ascii="Times New Roman" w:hAnsi="Times New Roman" w:cs="Times New Roman"/>
          <w:b/>
          <w:bCs/>
          <w:color w:val="000000" w:themeColor="text1"/>
          <w:sz w:val="36"/>
          <w:szCs w:val="36"/>
          <w14:textFill>
            <w14:solidFill>
              <w14:schemeClr w14:val="tx1"/>
            </w14:solidFill>
          </w14:textFill>
        </w:rPr>
        <w:t>目  录</w:t>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fldChar w:fldCharType="begin"/>
      </w:r>
      <w:r>
        <w:rPr>
          <w:rFonts w:hint="default" w:ascii="Times New Roman" w:hAnsi="Times New Roman" w:cs="Times New Roman"/>
          <w:b w:val="0"/>
          <w:bCs w:val="0"/>
          <w:color w:val="000000" w:themeColor="text1"/>
          <w14:textFill>
            <w14:solidFill>
              <w14:schemeClr w14:val="tx1"/>
            </w14:solidFill>
          </w14:textFill>
        </w:rPr>
        <w:instrText xml:space="preserve"> TOC \o "1-1" \u </w:instrText>
      </w:r>
      <w:r>
        <w:rPr>
          <w:rFonts w:hint="default" w:ascii="Times New Roman" w:hAnsi="Times New Roman" w:cs="Times New Roman"/>
          <w:b w:val="0"/>
          <w:bCs w:val="0"/>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建设项目基本情况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_Toc25352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建设项目所在地自然环境简况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_Toc18185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szCs w:val="32"/>
          <w14:textFill>
            <w14:solidFill>
              <w14:schemeClr w14:val="tx1"/>
            </w14:solidFill>
          </w14:textFill>
        </w:rPr>
        <w:t>环境质量状况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_Toc19673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评价适用标准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_Toc738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建设项目工程分析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_Toc13195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项目主要污染物产生及预计排放情况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_Toc28078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_Toc19871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41</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建设项目拟采取的防治措施及预期治理效果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_Toc27313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69</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结论与建议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_Toc25852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71</w:t>
      </w:r>
      <w:r>
        <w:rPr>
          <w:rFonts w:hint="default" w:ascii="Times New Roman" w:hAnsi="Times New Roman" w:cs="Times New Roman"/>
          <w:color w:val="000000" w:themeColor="text1"/>
          <w14:textFill>
            <w14:solidFill>
              <w14:schemeClr w14:val="tx1"/>
            </w14:solidFill>
          </w14:textFill>
        </w:rPr>
        <w:fldChar w:fldCharType="end"/>
      </w:r>
    </w:p>
    <w:p>
      <w:pPr>
        <w:adjustRightInd w:val="0"/>
        <w:snapToGrid w:val="0"/>
        <w:spacing w:line="30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fldChar w:fldCharType="end"/>
      </w:r>
    </w:p>
    <w:p>
      <w:pPr>
        <w:adjustRightInd w:val="0"/>
        <w:snapToGrid w:val="0"/>
        <w:spacing w:line="300" w:lineRule="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附图：</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附图1  本项目地理位置图</w:t>
      </w:r>
    </w:p>
    <w:p>
      <w:pPr>
        <w:adjustRightInd w:val="0"/>
        <w:snapToGrid w:val="0"/>
        <w:spacing w:line="300" w:lineRule="auto"/>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 xml:space="preserve">附图2  </w:t>
      </w:r>
      <w:r>
        <w:rPr>
          <w:rFonts w:hint="eastAsia" w:ascii="Times New Roman" w:hAnsi="Times New Roman" w:cs="Times New Roman"/>
          <w:color w:val="000000" w:themeColor="text1"/>
          <w:sz w:val="24"/>
          <w:highlight w:val="none"/>
          <w:lang w:val="en-US" w:eastAsia="zh-CN"/>
          <w14:textFill>
            <w14:solidFill>
              <w14:schemeClr w14:val="tx1"/>
            </w14:solidFill>
          </w14:textFill>
        </w:rPr>
        <w:t>宁武盆地南部地区井位部署图</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本项目</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四邻关系图</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本项目钻井期平面布置图</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本项目压裂期平面布置图</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 xml:space="preserve">  本项目排采期平面布置图</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highlight w:val="none"/>
          <w14:textFill>
            <w14:solidFill>
              <w14:schemeClr w14:val="tx1"/>
            </w14:solidFill>
          </w14:textFill>
        </w:rPr>
        <w:t>本项目所在地区域地表水系图</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本项目与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静乐县王村乡乡镇水源地</w:t>
      </w:r>
      <w:r>
        <w:rPr>
          <w:rFonts w:hint="default" w:ascii="Times New Roman" w:hAnsi="Times New Roman" w:cs="Times New Roman" w:eastAsiaTheme="minorEastAsia"/>
          <w:color w:val="000000" w:themeColor="text1"/>
          <w:sz w:val="24"/>
          <w:highlight w:val="none"/>
          <w14:textFill>
            <w14:solidFill>
              <w14:schemeClr w14:val="tx1"/>
            </w14:solidFill>
          </w14:textFill>
        </w:rPr>
        <w:t>位置关系图</w: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本项目与</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汾河水库</w:t>
      </w:r>
      <w:r>
        <w:rPr>
          <w:rFonts w:hint="default" w:ascii="Times New Roman" w:hAnsi="Times New Roman" w:cs="Times New Roman" w:eastAsiaTheme="minorEastAsia"/>
          <w:color w:val="000000" w:themeColor="text1"/>
          <w:sz w:val="24"/>
          <w:highlight w:val="none"/>
          <w14:textFill>
            <w14:solidFill>
              <w14:schemeClr w14:val="tx1"/>
            </w14:solidFill>
          </w14:textFill>
        </w:rPr>
        <w:t>水源地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保护区</w:t>
      </w:r>
      <w:r>
        <w:rPr>
          <w:rFonts w:hint="default" w:ascii="Times New Roman" w:hAnsi="Times New Roman" w:cs="Times New Roman" w:eastAsiaTheme="minorEastAsia"/>
          <w:color w:val="000000" w:themeColor="text1"/>
          <w:sz w:val="24"/>
          <w:highlight w:val="none"/>
          <w14:textFill>
            <w14:solidFill>
              <w14:schemeClr w14:val="tx1"/>
            </w14:solidFill>
          </w14:textFill>
        </w:rPr>
        <w:t>位置关系图</w: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 xml:space="preserve">  本项目与山西汾河上游省级自然保护区位置关系图</w: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 xml:space="preserve"> 本项目与山西省主体功能区划位置关系图</w: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本项目与</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静乐县</w:t>
      </w:r>
      <w:r>
        <w:rPr>
          <w:rFonts w:hint="default" w:ascii="Times New Roman" w:hAnsi="Times New Roman" w:cs="Times New Roman" w:eastAsiaTheme="minorEastAsia"/>
          <w:color w:val="000000" w:themeColor="text1"/>
          <w:sz w:val="24"/>
          <w:highlight w:val="none"/>
          <w14:textFill>
            <w14:solidFill>
              <w14:schemeClr w14:val="tx1"/>
            </w14:solidFill>
          </w14:textFill>
        </w:rPr>
        <w:t>生态功能区划位置关系图</w: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附图</w:t>
      </w:r>
      <w:r>
        <w:rPr>
          <w:rFonts w:hint="eastAsia" w:cs="Times New Roman" w:eastAsiaTheme="minorEastAsia"/>
          <w:color w:val="000000" w:themeColor="text1"/>
          <w:sz w:val="24"/>
          <w:highlight w:val="none"/>
          <w:lang w:val="en-US" w:eastAsia="zh-CN"/>
          <w14:textFill>
            <w14:solidFill>
              <w14:schemeClr w14:val="tx1"/>
            </w14:solidFill>
          </w14:textFill>
        </w:rPr>
        <w:t>13</w:t>
      </w:r>
      <w:r>
        <w:rPr>
          <w:rFonts w:hint="default" w:ascii="Times New Roman" w:hAnsi="Times New Roman" w:cs="Times New Roman" w:eastAsiaTheme="minorEastAsia"/>
          <w:color w:val="000000" w:themeColor="text1"/>
          <w:sz w:val="24"/>
          <w:highlight w:val="none"/>
          <w14:textFill>
            <w14:solidFill>
              <w14:schemeClr w14:val="tx1"/>
            </w14:solidFill>
          </w14:textFill>
        </w:rPr>
        <w:t xml:space="preserve"> 本项目与</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静乐县</w:t>
      </w:r>
      <w:r>
        <w:rPr>
          <w:rFonts w:hint="default" w:ascii="Times New Roman" w:hAnsi="Times New Roman" w:cs="Times New Roman" w:eastAsiaTheme="minorEastAsia"/>
          <w:color w:val="000000" w:themeColor="text1"/>
          <w:sz w:val="24"/>
          <w:highlight w:val="none"/>
          <w14:textFill>
            <w14:solidFill>
              <w14:schemeClr w14:val="tx1"/>
            </w14:solidFill>
          </w14:textFill>
        </w:rPr>
        <w:t>生态经济区划位置关系图</w: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附图1</w:t>
      </w:r>
      <w:r>
        <w:rPr>
          <w:rFonts w:hint="eastAsia" w:cs="Times New Roman" w:eastAsiaTheme="minorEastAsia"/>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 xml:space="preserve"> 项目土地利用现状</w:t>
      </w:r>
      <w:r>
        <w:rPr>
          <w:rFonts w:hint="eastAsia" w:cs="Times New Roman" w:eastAsiaTheme="minorEastAsia"/>
          <w:color w:val="000000" w:themeColor="text1"/>
          <w:sz w:val="24"/>
          <w:highlight w:val="none"/>
          <w:lang w:val="en-US" w:eastAsia="zh-CN"/>
          <w14:textFill>
            <w14:solidFill>
              <w14:schemeClr w14:val="tx1"/>
            </w14:solidFill>
          </w14:textFill>
        </w:rPr>
        <w:t>及典型生态保护措施</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图</w:t>
      </w:r>
    </w:p>
    <w:p>
      <w:pPr>
        <w:adjustRightInd w:val="0"/>
        <w:snapToGrid w:val="0"/>
        <w:spacing w:line="300" w:lineRule="auto"/>
        <w:rPr>
          <w:rFonts w:hint="default" w:ascii="Times New Roman" w:hAnsi="Times New Roman" w:eastAsia="黑体" w:cs="Times New Roman"/>
          <w:color w:val="000000" w:themeColor="text1"/>
          <w:sz w:val="32"/>
          <w:szCs w:val="32"/>
          <w:highlight w:val="none"/>
          <w14:textFill>
            <w14:solidFill>
              <w14:schemeClr w14:val="tx1"/>
            </w14:solidFill>
          </w14:textFill>
        </w:rPr>
      </w:pPr>
    </w:p>
    <w:p>
      <w:pPr>
        <w:adjustRightInd w:val="0"/>
        <w:snapToGrid w:val="0"/>
        <w:spacing w:line="300" w:lineRule="auto"/>
        <w:rPr>
          <w:rFonts w:hint="default" w:ascii="Times New Roman" w:hAnsi="Times New Roman" w:eastAsia="黑体" w:cs="Times New Roman"/>
          <w:color w:val="000000" w:themeColor="text1"/>
          <w:sz w:val="32"/>
          <w:szCs w:val="32"/>
          <w:highlight w:val="none"/>
          <w14:textFill>
            <w14:solidFill>
              <w14:schemeClr w14:val="tx1"/>
            </w14:solidFill>
          </w14:textFill>
        </w:rPr>
      </w:pPr>
    </w:p>
    <w:p>
      <w:pPr>
        <w:adjustRightInd w:val="0"/>
        <w:snapToGrid w:val="0"/>
        <w:spacing w:line="300" w:lineRule="auto"/>
        <w:rPr>
          <w:rFonts w:hint="default" w:ascii="Times New Roman" w:hAnsi="Times New Roman" w:eastAsia="黑体" w:cs="Times New Roman"/>
          <w:color w:val="000000" w:themeColor="text1"/>
          <w:sz w:val="32"/>
          <w:szCs w:val="32"/>
          <w:highlight w:val="none"/>
          <w14:textFill>
            <w14:solidFill>
              <w14:schemeClr w14:val="tx1"/>
            </w14:solidFill>
          </w14:textFill>
        </w:rPr>
        <w:sectPr>
          <w:footerReference r:id="rId7"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adjustRightInd w:val="0"/>
        <w:snapToGrid w:val="0"/>
        <w:spacing w:line="300" w:lineRule="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val="0"/>
        <w:snapToGrid w:val="0"/>
        <w:spacing w:line="300" w:lineRule="auto"/>
        <w:ind w:left="0" w:hanging="960" w:hangingChars="4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附件1  </w:t>
      </w:r>
      <w:r>
        <w:rPr>
          <w:rFonts w:hint="default" w:ascii="Times New Roman" w:hAnsi="Times New Roman" w:cs="Times New Roman"/>
          <w:color w:val="000000" w:themeColor="text1"/>
          <w:sz w:val="24"/>
          <w:lang w:eastAsia="zh-CN"/>
          <w14:textFill>
            <w14:solidFill>
              <w14:schemeClr w14:val="tx1"/>
            </w14:solidFill>
          </w14:textFill>
        </w:rPr>
        <w:t>中国石油天然气股份有限公司山西煤层气勘探开发分公司</w:t>
      </w:r>
      <w:r>
        <w:rPr>
          <w:rFonts w:hint="default" w:ascii="Times New Roman" w:hAnsi="Times New Roman" w:cs="Times New Roman"/>
          <w:color w:val="000000" w:themeColor="text1"/>
          <w:sz w:val="24"/>
          <w14:textFill>
            <w14:solidFill>
              <w14:schemeClr w14:val="tx1"/>
            </w14:solidFill>
          </w14:textFill>
        </w:rPr>
        <w:t>关于委托编制</w:t>
      </w:r>
      <w:r>
        <w:rPr>
          <w:rFonts w:hint="default" w:ascii="Times New Roman" w:hAnsi="Times New Roman" w:cs="Times New Roman"/>
          <w:color w:val="000000" w:themeColor="text1"/>
          <w:sz w:val="24"/>
          <w:lang w:eastAsia="zh-CN"/>
          <w14:textFill>
            <w14:solidFill>
              <w14:schemeClr w14:val="tx1"/>
            </w14:solidFill>
          </w14:textFill>
        </w:rPr>
        <w:t>山西宁武盆地南部地区煤层气勘查宁探1井勘探项目</w:t>
      </w:r>
      <w:r>
        <w:rPr>
          <w:rFonts w:hint="default" w:ascii="Times New Roman" w:hAnsi="Times New Roman" w:cs="Times New Roman"/>
          <w:color w:val="000000" w:themeColor="text1"/>
          <w:sz w:val="24"/>
          <w14:textFill>
            <w14:solidFill>
              <w14:schemeClr w14:val="tx1"/>
            </w14:solidFill>
          </w14:textFill>
        </w:rPr>
        <w:t>环境影响报告的函</w:t>
      </w:r>
    </w:p>
    <w:p>
      <w:pPr>
        <w:adjustRightInd w:val="0"/>
        <w:snapToGrid w:val="0"/>
        <w:spacing w:line="300" w:lineRule="auto"/>
        <w:ind w:left="840" w:hanging="840" w:hangingChars="350"/>
        <w:jc w:val="left"/>
        <w:rPr>
          <w:rFonts w:hint="eastAsia" w:cs="Times New Roman"/>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附件2  </w:t>
      </w:r>
      <w:r>
        <w:rPr>
          <w:rFonts w:hint="default" w:ascii="Times New Roman" w:hAnsi="Times New Roman" w:cs="Times New Roman"/>
          <w:color w:val="000000" w:themeColor="text1"/>
          <w:sz w:val="24"/>
          <w:lang w:val="en-US" w:eastAsia="zh-CN"/>
          <w14:textFill>
            <w14:solidFill>
              <w14:schemeClr w14:val="tx1"/>
            </w14:solidFill>
          </w14:textFill>
        </w:rPr>
        <w:t>矿产资源勘查许可证</w:t>
      </w:r>
      <w:r>
        <w:rPr>
          <w:rFonts w:hint="default" w:ascii="Times New Roman" w:hAnsi="Times New Roman" w:cs="Times New Roman"/>
          <w:color w:val="000000" w:themeColor="text1"/>
          <w:kern w:val="0"/>
          <w:sz w:val="24"/>
          <w:szCs w:val="20"/>
          <w:lang w:val="en-US" w:eastAsia="zh-CN"/>
          <w14:textFill>
            <w14:solidFill>
              <w14:schemeClr w14:val="tx1"/>
            </w14:solidFill>
          </w14:textFill>
        </w:rPr>
        <w:t>(编号</w:t>
      </w:r>
      <w:r>
        <w:rPr>
          <w:rFonts w:hint="default" w:ascii="Times New Roman" w:hAnsi="Times New Roman" w:cs="Times New Roman"/>
          <w:bCs/>
          <w:color w:val="000000" w:themeColor="text1"/>
          <w:sz w:val="24"/>
          <w14:textFill>
            <w14:solidFill>
              <w14:schemeClr w14:val="tx1"/>
            </w14:solidFill>
          </w14:textFill>
        </w:rPr>
        <w:t>020000</w:t>
      </w:r>
      <w:r>
        <w:rPr>
          <w:rFonts w:hint="default" w:ascii="Times New Roman" w:hAnsi="Times New Roman" w:cs="Times New Roman"/>
          <w:bCs/>
          <w:color w:val="000000" w:themeColor="text1"/>
          <w:sz w:val="24"/>
          <w:lang w:val="en-US" w:eastAsia="zh-CN"/>
          <w14:textFill>
            <w14:solidFill>
              <w14:schemeClr w14:val="tx1"/>
            </w14:solidFill>
          </w14:textFill>
        </w:rPr>
        <w:t>1821417</w:t>
      </w:r>
      <w:r>
        <w:rPr>
          <w:rFonts w:hint="eastAsia" w:cs="Times New Roman"/>
          <w:bCs/>
          <w:color w:val="000000" w:themeColor="text1"/>
          <w:sz w:val="24"/>
          <w:lang w:val="en-US" w:eastAsia="zh-CN"/>
          <w14:textFill>
            <w14:solidFill>
              <w14:schemeClr w14:val="tx1"/>
            </w14:solidFill>
          </w14:textFill>
        </w:rPr>
        <w:t>）及延续手续</w:t>
      </w:r>
    </w:p>
    <w:p>
      <w:pPr>
        <w:keepNext w:val="0"/>
        <w:keepLines w:val="0"/>
        <w:pageBreakBefore w:val="0"/>
        <w:widowControl w:val="0"/>
        <w:kinsoku/>
        <w:wordWrap/>
        <w:overflowPunct/>
        <w:topLinePunct w:val="0"/>
        <w:autoSpaceDE/>
        <w:autoSpaceDN/>
        <w:bidi w:val="0"/>
        <w:adjustRightInd w:val="0"/>
        <w:snapToGrid w:val="0"/>
        <w:spacing w:line="300" w:lineRule="auto"/>
        <w:ind w:left="0" w:hanging="840" w:hangingChars="350"/>
        <w:jc w:val="left"/>
        <w:textAlignment w:val="auto"/>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附件2  </w:t>
      </w:r>
      <w:r>
        <w:rPr>
          <w:rFonts w:hint="default" w:ascii="Times New Roman" w:hAnsi="Times New Roman" w:cs="Times New Roman"/>
          <w:color w:val="000000" w:themeColor="text1"/>
          <w:kern w:val="0"/>
          <w:sz w:val="24"/>
          <w:szCs w:val="20"/>
          <w:lang w:val="en-US" w:eastAsia="zh-CN"/>
          <w14:textFill>
            <w14:solidFill>
              <w14:schemeClr w14:val="tx1"/>
            </w14:solidFill>
          </w14:textFill>
        </w:rPr>
        <w:t>探矿证(编号</w:t>
      </w:r>
      <w:r>
        <w:rPr>
          <w:rFonts w:hint="default" w:ascii="Times New Roman" w:hAnsi="Times New Roman" w:cs="Times New Roman"/>
          <w:bCs/>
          <w:color w:val="000000" w:themeColor="text1"/>
          <w:sz w:val="24"/>
          <w14:textFill>
            <w14:solidFill>
              <w14:schemeClr w14:val="tx1"/>
            </w14:solidFill>
          </w14:textFill>
        </w:rPr>
        <w:t>020000</w:t>
      </w:r>
      <w:r>
        <w:rPr>
          <w:rFonts w:hint="default" w:ascii="Times New Roman" w:hAnsi="Times New Roman" w:cs="Times New Roman"/>
          <w:bCs/>
          <w:color w:val="000000" w:themeColor="text1"/>
          <w:sz w:val="24"/>
          <w:lang w:val="en-US" w:eastAsia="zh-CN"/>
          <w14:textFill>
            <w14:solidFill>
              <w14:schemeClr w14:val="tx1"/>
            </w14:solidFill>
          </w14:textFill>
        </w:rPr>
        <w:t>1821417）</w:t>
      </w:r>
    </w:p>
    <w:p>
      <w:pPr>
        <w:keepNext w:val="0"/>
        <w:keepLines w:val="0"/>
        <w:pageBreakBefore w:val="0"/>
        <w:widowControl w:val="0"/>
        <w:kinsoku/>
        <w:wordWrap/>
        <w:overflowPunct/>
        <w:topLinePunct w:val="0"/>
        <w:autoSpaceDE/>
        <w:autoSpaceDN/>
        <w:bidi w:val="0"/>
        <w:adjustRightInd w:val="0"/>
        <w:snapToGrid w:val="0"/>
        <w:spacing w:line="300" w:lineRule="auto"/>
        <w:ind w:left="0" w:hanging="840" w:hangingChars="350"/>
        <w:jc w:val="left"/>
        <w:textAlignment w:val="auto"/>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 xml:space="preserve">附件3 </w:t>
      </w:r>
      <w:r>
        <w:rPr>
          <w:rFonts w:hint="default" w:ascii="Times New Roman" w:hAnsi="Times New Roman" w:cs="Times New Roman"/>
          <w:color w:val="000000" w:themeColor="text1"/>
          <w:kern w:val="0"/>
          <w:sz w:val="24"/>
          <w:szCs w:val="20"/>
          <w:lang w:val="en-US" w:eastAsia="zh-CN"/>
          <w14:textFill>
            <w14:solidFill>
              <w14:schemeClr w14:val="tx1"/>
            </w14:solidFill>
          </w14:textFill>
        </w:rPr>
        <w:t xml:space="preserve"> 关于中国石油天然气股份有限公司山西煤层气勘探开发分公司宁武南区块煤层气宁探1井勘探项目临时性征占用林地的行政许可决定</w:t>
      </w:r>
    </w:p>
    <w:p>
      <w:pPr>
        <w:keepNext w:val="0"/>
        <w:keepLines w:val="0"/>
        <w:pageBreakBefore w:val="0"/>
        <w:widowControl w:val="0"/>
        <w:kinsoku/>
        <w:wordWrap/>
        <w:overflowPunct/>
        <w:topLinePunct w:val="0"/>
        <w:autoSpaceDE/>
        <w:autoSpaceDN/>
        <w:bidi w:val="0"/>
        <w:adjustRightInd w:val="0"/>
        <w:snapToGrid w:val="0"/>
        <w:spacing w:line="300" w:lineRule="auto"/>
        <w:ind w:left="0" w:hanging="840" w:hangingChars="350"/>
        <w:jc w:val="left"/>
        <w:textAlignment w:val="auto"/>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szCs w:val="20"/>
          <w:lang w:val="en-US" w:eastAsia="zh-CN"/>
          <w14:textFill>
            <w14:solidFill>
              <w14:schemeClr w14:val="tx1"/>
            </w14:solidFill>
          </w14:textFill>
        </w:rPr>
        <w:t xml:space="preserve">附件4  </w:t>
      </w:r>
      <w:r>
        <w:rPr>
          <w:rFonts w:hint="default" w:ascii="Times New Roman" w:hAnsi="Times New Roman" w:cs="Times New Roman"/>
          <w:color w:val="000000" w:themeColor="text1"/>
          <w:sz w:val="24"/>
          <w:lang w:eastAsia="zh-CN"/>
          <w14:textFill>
            <w14:solidFill>
              <w14:schemeClr w14:val="tx1"/>
            </w14:solidFill>
          </w14:textFill>
        </w:rPr>
        <w:t>山西宁武盆地南部地区煤层气勘查宁探1井勘探项目</w:t>
      </w:r>
      <w:r>
        <w:rPr>
          <w:rFonts w:hint="eastAsia" w:cs="Times New Roman"/>
          <w:color w:val="000000" w:themeColor="text1"/>
          <w:sz w:val="24"/>
          <w:lang w:val="en-US" w:eastAsia="zh-CN"/>
          <w14:textFill>
            <w14:solidFill>
              <w14:schemeClr w14:val="tx1"/>
            </w14:solidFill>
          </w14:textFill>
        </w:rPr>
        <w:t>环境质量现状</w:t>
      </w:r>
      <w:r>
        <w:rPr>
          <w:rFonts w:hint="default" w:ascii="Times New Roman" w:hAnsi="Times New Roman" w:cs="Times New Roman"/>
          <w:color w:val="000000" w:themeColor="text1"/>
          <w:sz w:val="24"/>
          <w14:textFill>
            <w14:solidFill>
              <w14:schemeClr w14:val="tx1"/>
            </w14:solidFill>
          </w14:textFill>
        </w:rPr>
        <w:t>监测报告（</w:t>
      </w:r>
      <w:r>
        <w:rPr>
          <w:rFonts w:hint="default" w:ascii="Times New Roman" w:hAnsi="Times New Roman" w:cs="Times New Roman"/>
          <w:color w:val="000000" w:themeColor="text1"/>
          <w:sz w:val="24"/>
          <w:lang w:val="en-US" w:eastAsia="zh-CN"/>
          <w14:textFill>
            <w14:solidFill>
              <w14:schemeClr w14:val="tx1"/>
            </w14:solidFill>
          </w14:textFill>
        </w:rPr>
        <w:t>晋交</w:t>
      </w:r>
      <w:r>
        <w:rPr>
          <w:rFonts w:hint="default" w:ascii="Times New Roman" w:hAnsi="Times New Roman" w:cs="Times New Roman"/>
          <w:color w:val="000000" w:themeColor="text1"/>
          <w:sz w:val="24"/>
          <w14:textFill>
            <w14:solidFill>
              <w14:schemeClr w14:val="tx1"/>
            </w14:solidFill>
          </w14:textFill>
        </w:rPr>
        <w:t>环监字</w:t>
      </w:r>
      <w:r>
        <w:rPr>
          <w:rFonts w:hint="default" w:ascii="Times New Roman" w:hAnsi="Times New Roman" w:cs="Times New Roman"/>
          <w:snapToGrid w:val="0"/>
          <w:color w:val="000000" w:themeColor="text1"/>
          <w:sz w:val="24"/>
          <w14:textFill>
            <w14:solidFill>
              <w14:schemeClr w14:val="tx1"/>
            </w14:solidFill>
          </w14:textFill>
        </w:rPr>
        <w:t>﹝201</w:t>
      </w:r>
      <w:r>
        <w:rPr>
          <w:rFonts w:hint="default" w:ascii="Times New Roman" w:hAnsi="Times New Roman" w:cs="Times New Roman"/>
          <w:snapToGrid w:val="0"/>
          <w:color w:val="000000" w:themeColor="text1"/>
          <w:sz w:val="24"/>
          <w:lang w:val="en-US" w:eastAsia="zh-CN"/>
          <w14:textFill>
            <w14:solidFill>
              <w14:schemeClr w14:val="tx1"/>
            </w14:solidFill>
          </w14:textFill>
        </w:rPr>
        <w:t>9</w:t>
      </w:r>
      <w:r>
        <w:rPr>
          <w:rFonts w:hint="default" w:ascii="Times New Roman" w:hAnsi="Times New Roman" w:cs="Times New Roman"/>
          <w:snapToGrid w:val="0"/>
          <w:color w:val="000000" w:themeColor="text1"/>
          <w:sz w:val="24"/>
          <w14:textFill>
            <w14:solidFill>
              <w14:schemeClr w14:val="tx1"/>
            </w14:solidFill>
          </w14:textFill>
        </w:rPr>
        <w:t>﹞第</w:t>
      </w:r>
      <w:r>
        <w:rPr>
          <w:rFonts w:hint="default" w:ascii="Times New Roman" w:hAnsi="Times New Roman" w:cs="Times New Roman"/>
          <w:snapToGrid w:val="0"/>
          <w:color w:val="000000" w:themeColor="text1"/>
          <w:sz w:val="24"/>
          <w:lang w:val="en-US" w:eastAsia="zh-CN"/>
          <w14:textFill>
            <w14:solidFill>
              <w14:schemeClr w14:val="tx1"/>
            </w14:solidFill>
          </w14:textFill>
        </w:rPr>
        <w:t>059</w:t>
      </w:r>
      <w:r>
        <w:rPr>
          <w:rFonts w:hint="default" w:ascii="Times New Roman" w:hAnsi="Times New Roman" w:cs="Times New Roman"/>
          <w:snapToGrid w:val="0"/>
          <w:color w:val="000000" w:themeColor="text1"/>
          <w:sz w:val="24"/>
          <w14:textFill>
            <w14:solidFill>
              <w14:schemeClr w14:val="tx1"/>
            </w14:solidFill>
          </w14:textFill>
        </w:rPr>
        <w:t>号）</w:t>
      </w:r>
    </w:p>
    <w:p>
      <w:pPr>
        <w:adjustRightInd w:val="0"/>
        <w:snapToGrid w:val="0"/>
        <w:spacing w:line="300" w:lineRule="auto"/>
        <w:ind w:left="840" w:hanging="840" w:hangingChars="350"/>
        <w:jc w:val="left"/>
        <w:rPr>
          <w:rFonts w:hint="default"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0"/>
          <w:lang w:val="en-US" w:eastAsia="zh-CN"/>
          <w14:textFill>
            <w14:solidFill>
              <w14:schemeClr w14:val="tx1"/>
            </w14:solidFill>
          </w14:textFill>
        </w:rPr>
        <w:t xml:space="preserve">附件5 </w:t>
      </w:r>
      <w:r>
        <w:rPr>
          <w:rFonts w:hint="eastAsia" w:ascii="Times New Roman" w:hAnsi="Times New Roman" w:cs="Times New Roman"/>
          <w:color w:val="000000" w:themeColor="text1"/>
          <w:kern w:val="0"/>
          <w:sz w:val="24"/>
          <w:szCs w:val="20"/>
          <w:lang w:val="en-US" w:eastAsia="zh-CN"/>
          <w14:textFill>
            <w14:solidFill>
              <w14:schemeClr w14:val="tx1"/>
            </w14:solidFill>
          </w14:textFill>
        </w:rPr>
        <w:t xml:space="preserve"> </w:t>
      </w:r>
      <w:r>
        <w:rPr>
          <w:rFonts w:hint="eastAsia" w:cs="Times New Roman"/>
          <w:color w:val="000000" w:themeColor="text1"/>
          <w:kern w:val="0"/>
          <w:sz w:val="24"/>
          <w:szCs w:val="20"/>
          <w:lang w:val="en-US" w:eastAsia="zh-CN"/>
          <w14:textFill>
            <w14:solidFill>
              <w14:schemeClr w14:val="tx1"/>
            </w14:solidFill>
          </w14:textFill>
        </w:rPr>
        <w:t>山西煤层气勘探开发分公司宁武南区块宁2-1X水质检测来样检测报告</w:t>
      </w:r>
      <w:r>
        <w:rPr>
          <w:rFonts w:hint="eastAsia" w:cs="Times New Roman"/>
          <w:color w:val="000000" w:themeColor="text1"/>
          <w:sz w:val="24"/>
          <w:lang w:val="en-US" w:eastAsia="zh-CN"/>
          <w14:textFill>
            <w14:solidFill>
              <w14:schemeClr w14:val="tx1"/>
            </w14:solidFill>
          </w14:textFill>
        </w:rPr>
        <w:t>（科信鸿瑞环监检字2020 第0007 号）</w:t>
      </w:r>
    </w:p>
    <w:p>
      <w:pPr>
        <w:keepNext w:val="0"/>
        <w:keepLines w:val="0"/>
        <w:pageBreakBefore w:val="0"/>
        <w:widowControl w:val="0"/>
        <w:kinsoku/>
        <w:wordWrap/>
        <w:overflowPunct/>
        <w:topLinePunct w:val="0"/>
        <w:autoSpaceDE/>
        <w:autoSpaceDN/>
        <w:bidi w:val="0"/>
        <w:adjustRightInd w:val="0"/>
        <w:snapToGrid w:val="0"/>
        <w:spacing w:line="300" w:lineRule="auto"/>
        <w:ind w:left="0" w:hanging="840" w:hangingChars="350"/>
        <w:jc w:val="left"/>
        <w:textAlignment w:val="auto"/>
        <w:rPr>
          <w:rFonts w:hint="default" w:ascii="Times New Roman" w:hAnsi="Times New Roman" w:cs="Times New Roman"/>
          <w:color w:val="000000" w:themeColor="text1"/>
          <w:kern w:val="0"/>
          <w:sz w:val="24"/>
          <w:szCs w:val="20"/>
          <w:lang w:val="en-US" w:eastAsia="zh-CN"/>
          <w14:textFill>
            <w14:solidFill>
              <w14:schemeClr w14:val="tx1"/>
            </w14:solidFill>
          </w14:textFill>
        </w:rPr>
      </w:pPr>
      <w:r>
        <w:rPr>
          <w:rFonts w:hint="eastAsia" w:cs="Times New Roman"/>
          <w:color w:val="000000" w:themeColor="text1"/>
          <w:kern w:val="0"/>
          <w:sz w:val="24"/>
          <w:szCs w:val="20"/>
          <w:lang w:val="en-US" w:eastAsia="zh-CN"/>
          <w14:textFill>
            <w14:solidFill>
              <w14:schemeClr w14:val="tx1"/>
            </w14:solidFill>
          </w14:textFill>
        </w:rPr>
        <w:t>附件6  评审意见</w:t>
      </w:r>
    </w:p>
    <w:p>
      <w:pPr>
        <w:rPr>
          <w:rFonts w:hint="default" w:ascii="Times New Roman" w:hAnsi="Times New Roman" w:cs="Times New Roman"/>
          <w:color w:val="000000" w:themeColor="text1"/>
          <w:lang w:val="en-US" w:eastAsia="zh-CN"/>
          <w14:textFill>
            <w14:solidFill>
              <w14:schemeClr w14:val="tx1"/>
            </w14:solidFill>
          </w14:textFill>
        </w:rPr>
      </w:pPr>
    </w:p>
    <w:p>
      <w:pPr>
        <w:adjustRightInd w:val="0"/>
        <w:snapToGrid w:val="0"/>
        <w:spacing w:line="300" w:lineRule="auto"/>
        <w:jc w:val="left"/>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附表：</w:t>
      </w:r>
    </w:p>
    <w:p>
      <w:pPr>
        <w:adjustRightInd w:val="0"/>
        <w:snapToGrid w:val="0"/>
        <w:spacing w:line="300" w:lineRule="auto"/>
        <w:jc w:val="left"/>
        <w:rPr>
          <w:rFonts w:hint="default" w:ascii="Times New Roman" w:hAnsi="Times New Roman" w:cs="Times New Roman"/>
          <w:color w:val="000000" w:themeColor="text1"/>
          <w:sz w:val="28"/>
          <w:szCs w:val="28"/>
          <w14:textFill>
            <w14:solidFill>
              <w14:schemeClr w14:val="tx1"/>
            </w14:solidFill>
          </w14:textFill>
        </w:rPr>
        <w:sectPr>
          <w:footerReference r:id="rId8"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r>
        <w:rPr>
          <w:rFonts w:hint="default" w:ascii="Times New Roman" w:hAnsi="Times New Roman" w:cs="Times New Roman"/>
          <w:color w:val="000000" w:themeColor="text1"/>
          <w:sz w:val="24"/>
          <w:lang w:val="en-US" w:eastAsia="zh-CN"/>
          <w14:textFill>
            <w14:solidFill>
              <w14:schemeClr w14:val="tx1"/>
            </w14:solidFill>
          </w14:textFill>
        </w:rPr>
        <w:t>建</w:t>
      </w:r>
      <w:r>
        <w:rPr>
          <w:rFonts w:hint="default" w:ascii="Times New Roman" w:hAnsi="Times New Roman" w:cs="Times New Roman"/>
          <w:color w:val="000000" w:themeColor="text1"/>
          <w:sz w:val="24"/>
          <w14:textFill>
            <w14:solidFill>
              <w14:schemeClr w14:val="tx1"/>
            </w14:solidFill>
          </w14:textFill>
        </w:rPr>
        <w:t>设项目环评审批基础信息</w:t>
      </w:r>
      <w:r>
        <w:rPr>
          <w:rFonts w:hint="default" w:ascii="Times New Roman" w:hAnsi="Times New Roman" w:cs="Times New Roman"/>
          <w:color w:val="000000" w:themeColor="text1"/>
          <w:sz w:val="24"/>
          <w:lang w:val="en-US" w:eastAsia="zh-CN"/>
          <w14:textFill>
            <w14:solidFill>
              <w14:schemeClr w14:val="tx1"/>
            </w14:solidFill>
          </w14:textFill>
        </w:rPr>
        <w:t>表</w:t>
      </w:r>
      <w:r>
        <w:rPr>
          <w:rFonts w:hint="default" w:ascii="Times New Roman" w:hAnsi="Times New Roman" w:cs="Times New Roman"/>
          <w:color w:val="000000" w:themeColor="text1"/>
          <w:sz w:val="28"/>
          <w:szCs w:val="28"/>
          <w14:textFill>
            <w14:solidFill>
              <w14:schemeClr w14:val="tx1"/>
            </w14:solidFill>
          </w14:textFill>
        </w:rPr>
        <w:tab/>
      </w:r>
    </w:p>
    <w:p>
      <w:pPr>
        <w:rPr>
          <w:rFonts w:hint="default"/>
          <w:color w:val="000000" w:themeColor="text1"/>
          <w14:textFill>
            <w14:solidFill>
              <w14:schemeClr w14:val="tx1"/>
            </w14:solidFill>
          </w14:textFill>
        </w:rPr>
        <w:sectPr>
          <w:footerReference r:id="rId9"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0" w:name="_Toc25352"/>
      <w:r>
        <w:rPr>
          <w:rFonts w:hint="default" w:ascii="Times New Roman" w:hAnsi="Times New Roman" w:cs="Times New Roman"/>
          <w:color w:val="000000" w:themeColor="text1"/>
          <w14:textFill>
            <w14:solidFill>
              <w14:schemeClr w14:val="tx1"/>
            </w14:solidFill>
          </w14:textFill>
        </w:rPr>
        <w:t>建设项目基本情况</w:t>
      </w:r>
      <w:bookmarkEnd w:id="0"/>
    </w:p>
    <w:tbl>
      <w:tblPr>
        <w:tblStyle w:val="44"/>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07"/>
        <w:gridCol w:w="879"/>
        <w:gridCol w:w="914"/>
        <w:gridCol w:w="918"/>
        <w:gridCol w:w="105"/>
        <w:gridCol w:w="1243"/>
        <w:gridCol w:w="120"/>
        <w:gridCol w:w="1322"/>
        <w:gridCol w:w="229"/>
        <w:gridCol w:w="13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项目名称</w:t>
            </w:r>
          </w:p>
        </w:tc>
        <w:tc>
          <w:tcPr>
            <w:tcW w:w="7053" w:type="dxa"/>
            <w:gridSpan w:val="9"/>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山西宁武盆地南部地区煤层气勘查宁探1井勘探项目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建设单位</w:t>
            </w:r>
          </w:p>
        </w:tc>
        <w:tc>
          <w:tcPr>
            <w:tcW w:w="7053" w:type="dxa"/>
            <w:gridSpan w:val="9"/>
            <w:vAlign w:val="center"/>
          </w:tcPr>
          <w:p>
            <w:pPr>
              <w:pStyle w:val="180"/>
              <w:ind w:firstLine="48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kern w:val="2"/>
                <w:szCs w:val="24"/>
                <w:lang w:eastAsia="zh-CN"/>
                <w14:textFill>
                  <w14:solidFill>
                    <w14:schemeClr w14:val="tx1"/>
                  </w14:solidFill>
                </w14:textFill>
              </w:rPr>
              <w:t>中国石油天然气股份有限公司山西煤层气勘探开发分公司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法人代表</w:t>
            </w:r>
          </w:p>
        </w:tc>
        <w:tc>
          <w:tcPr>
            <w:tcW w:w="2816" w:type="dxa"/>
            <w:gridSpan w:val="4"/>
            <w:vAlign w:val="center"/>
          </w:tcPr>
          <w:p>
            <w:pPr>
              <w:jc w:val="center"/>
              <w:rPr>
                <w:rFonts w:hint="default" w:ascii="Times New Roman" w:hAnsi="Times New Roman" w:cs="Times New Roman" w:eastAsiaTheme="minorEastAsia"/>
                <w:color w:val="000000" w:themeColor="text1"/>
                <w:sz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李梦溪</w:t>
            </w:r>
          </w:p>
        </w:tc>
        <w:tc>
          <w:tcPr>
            <w:tcW w:w="124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highlight w:val="yellow"/>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联系人</w:t>
            </w:r>
          </w:p>
        </w:tc>
        <w:tc>
          <w:tcPr>
            <w:tcW w:w="2994"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潘柱章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通讯地址</w:t>
            </w:r>
          </w:p>
        </w:tc>
        <w:tc>
          <w:tcPr>
            <w:tcW w:w="7053" w:type="dxa"/>
            <w:gridSpan w:val="9"/>
            <w:vAlign w:val="center"/>
          </w:tcPr>
          <w:p>
            <w:pPr>
              <w:jc w:val="center"/>
              <w:rPr>
                <w:rFonts w:hint="default" w:ascii="Times New Roman" w:hAnsi="Times New Roman" w:cs="Times New Roman" w:eastAsiaTheme="minorEastAsia"/>
                <w:color w:val="000000" w:themeColor="text1"/>
                <w:sz w:val="24"/>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山西省</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沁水县龙港镇新城社区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联系电话</w:t>
            </w:r>
          </w:p>
        </w:tc>
        <w:tc>
          <w:tcPr>
            <w:tcW w:w="1793" w:type="dxa"/>
            <w:gridSpan w:val="2"/>
            <w:vAlign w:val="center"/>
          </w:tcPr>
          <w:p>
            <w:pPr>
              <w:rPr>
                <w:rFonts w:hint="default" w:ascii="Times New Roman" w:hAnsi="Times New Roman" w:cs="Times New Roman" w:eastAsiaTheme="minorEastAsia"/>
                <w:color w:val="000000" w:themeColor="text1"/>
                <w:sz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16630766369</w:t>
            </w:r>
          </w:p>
        </w:tc>
        <w:tc>
          <w:tcPr>
            <w:tcW w:w="918"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传真</w:t>
            </w:r>
          </w:p>
        </w:tc>
        <w:tc>
          <w:tcPr>
            <w:tcW w:w="1468" w:type="dxa"/>
            <w:gridSpan w:val="3"/>
            <w:vAlign w:val="center"/>
          </w:tcPr>
          <w:p>
            <w:pPr>
              <w:adjustRightInd w:val="0"/>
              <w:snapToGrid w:val="0"/>
              <w:spacing w:line="300" w:lineRule="auto"/>
              <w:ind w:firstLine="480" w:firstLineChars="200"/>
              <w:jc w:val="both"/>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c>
          <w:tcPr>
            <w:tcW w:w="1322"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邮编</w:t>
            </w:r>
          </w:p>
        </w:tc>
        <w:tc>
          <w:tcPr>
            <w:tcW w:w="1552" w:type="dxa"/>
            <w:gridSpan w:val="2"/>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035100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建设地点</w:t>
            </w:r>
          </w:p>
        </w:tc>
        <w:tc>
          <w:tcPr>
            <w:tcW w:w="7053" w:type="dxa"/>
            <w:gridSpan w:val="9"/>
            <w:vAlign w:val="center"/>
          </w:tcPr>
          <w:p>
            <w:pPr>
              <w:adjustRightInd w:val="0"/>
              <w:snapToGrid w:val="0"/>
              <w:spacing w:line="300" w:lineRule="auto"/>
              <w:ind w:firstLine="480" w:firstLineChars="200"/>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山西省静乐县王村乡境内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立项审批部门</w:t>
            </w:r>
          </w:p>
        </w:tc>
        <w:tc>
          <w:tcPr>
            <w:tcW w:w="2816"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c>
          <w:tcPr>
            <w:tcW w:w="1243" w:type="dxa"/>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批准文号</w:t>
            </w:r>
          </w:p>
        </w:tc>
        <w:tc>
          <w:tcPr>
            <w:tcW w:w="2994"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建设性质</w:t>
            </w:r>
          </w:p>
        </w:tc>
        <w:tc>
          <w:tcPr>
            <w:tcW w:w="2816"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新建</w:t>
            </w:r>
            <w:r>
              <w:rPr>
                <w:rFonts w:hint="default" w:ascii="Times New Roman" w:hAnsi="Times New Roman" w:cs="Times New Roman"/>
                <w:color w:val="000000" w:themeColor="text1"/>
                <w:sz w:val="24"/>
                <w14:textFill>
                  <w14:solidFill>
                    <w14:schemeClr w14:val="tx1"/>
                  </w14:solidFill>
                </w14:textFill>
              </w:rPr>
              <w:sym w:font="Wingdings 2" w:char="F052"/>
            </w:r>
            <w:r>
              <w:rPr>
                <w:rFonts w:hint="default" w:ascii="Times New Roman" w:hAnsi="Times New Roman" w:cs="Times New Roman"/>
                <w:color w:val="000000" w:themeColor="text1"/>
                <w:sz w:val="24"/>
                <w14:textFill>
                  <w14:solidFill>
                    <w14:schemeClr w14:val="tx1"/>
                  </w14:solidFill>
                </w14:textFill>
              </w:rPr>
              <w:t>改扩建</w:t>
            </w:r>
            <w:r>
              <w:rPr>
                <w:rFonts w:hint="default" w:ascii="Times New Roman" w:hAnsi="Times New Roman" w:cs="Times New Roman"/>
                <w:color w:val="000000" w:themeColor="text1"/>
                <w:sz w:val="24"/>
                <w14:textFill>
                  <w14:solidFill>
                    <w14:schemeClr w14:val="tx1"/>
                  </w14:solidFill>
                </w14:textFill>
              </w:rPr>
              <w:sym w:font="Wingdings 2" w:char="F0A3"/>
            </w:r>
            <w:r>
              <w:rPr>
                <w:rFonts w:hint="default" w:ascii="Times New Roman" w:hAnsi="Times New Roman" w:cs="Times New Roman"/>
                <w:color w:val="000000" w:themeColor="text1"/>
                <w:sz w:val="24"/>
                <w14:textFill>
                  <w14:solidFill>
                    <w14:schemeClr w14:val="tx1"/>
                  </w14:solidFill>
                </w14:textFill>
              </w:rPr>
              <w:t>技改</w:t>
            </w:r>
            <w:r>
              <w:rPr>
                <w:rFonts w:hint="default" w:ascii="Times New Roman" w:hAnsi="Times New Roman" w:cs="Times New Roman"/>
                <w:color w:val="000000" w:themeColor="text1"/>
                <w:sz w:val="24"/>
                <w14:textFill>
                  <w14:solidFill>
                    <w14:schemeClr w14:val="tx1"/>
                  </w14:solidFill>
                </w14:textFill>
              </w:rPr>
              <w:sym w:font="Wingdings 2" w:char="F0A3"/>
            </w:r>
          </w:p>
        </w:tc>
        <w:tc>
          <w:tcPr>
            <w:tcW w:w="124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行业类型</w:t>
            </w:r>
          </w:p>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及代码</w:t>
            </w:r>
          </w:p>
        </w:tc>
        <w:tc>
          <w:tcPr>
            <w:tcW w:w="2994"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747  地质勘查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占地面积（m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p>
        </w:tc>
        <w:tc>
          <w:tcPr>
            <w:tcW w:w="879" w:type="dxa"/>
            <w:vAlign w:val="center"/>
          </w:tcPr>
          <w:p>
            <w:pPr>
              <w:widowControl/>
              <w:jc w:val="center"/>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8000</w:t>
            </w:r>
          </w:p>
        </w:tc>
        <w:tc>
          <w:tcPr>
            <w:tcW w:w="1937" w:type="dxa"/>
            <w:gridSpan w:val="3"/>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建筑面积（m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p>
        </w:tc>
        <w:tc>
          <w:tcPr>
            <w:tcW w:w="124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60</w:t>
            </w:r>
          </w:p>
        </w:tc>
        <w:tc>
          <w:tcPr>
            <w:tcW w:w="1671" w:type="dxa"/>
            <w:gridSpan w:val="3"/>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绿化面积（m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p>
        </w:tc>
        <w:tc>
          <w:tcPr>
            <w:tcW w:w="132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总投资(万元)</w:t>
            </w:r>
          </w:p>
        </w:tc>
        <w:tc>
          <w:tcPr>
            <w:tcW w:w="879"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00</w:t>
            </w:r>
          </w:p>
        </w:tc>
        <w:tc>
          <w:tcPr>
            <w:tcW w:w="1937" w:type="dxa"/>
            <w:gridSpan w:val="3"/>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其中：环保投资（万元）</w:t>
            </w:r>
          </w:p>
        </w:tc>
        <w:tc>
          <w:tcPr>
            <w:tcW w:w="124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48</w:t>
            </w:r>
          </w:p>
        </w:tc>
        <w:tc>
          <w:tcPr>
            <w:tcW w:w="1671" w:type="dxa"/>
            <w:gridSpan w:val="3"/>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环保投资占</w:t>
            </w:r>
          </w:p>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总投资比例</w:t>
            </w:r>
          </w:p>
        </w:tc>
        <w:tc>
          <w:tcPr>
            <w:tcW w:w="132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2</w:t>
            </w:r>
            <w:r>
              <w:rPr>
                <w:rFonts w:hint="eastAsia" w:cs="Times New Roman" w:eastAsiaTheme="minorEastAsia"/>
                <w:color w:val="000000" w:themeColor="text1"/>
                <w:sz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07" w:type="dxa"/>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评价经费(万元)</w:t>
            </w:r>
          </w:p>
        </w:tc>
        <w:tc>
          <w:tcPr>
            <w:tcW w:w="879"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p>
        </w:tc>
        <w:tc>
          <w:tcPr>
            <w:tcW w:w="1937" w:type="dxa"/>
            <w:gridSpan w:val="3"/>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预期投产日期</w:t>
            </w:r>
          </w:p>
        </w:tc>
        <w:tc>
          <w:tcPr>
            <w:tcW w:w="4237" w:type="dxa"/>
            <w:gridSpan w:val="5"/>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20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14:textFill>
                  <w14:solidFill>
                    <w14:schemeClr w14:val="tx1"/>
                  </w14:solidFill>
                </w14:textFill>
              </w:rPr>
              <w:t>年</w:t>
            </w:r>
            <w:r>
              <w:rPr>
                <w:rFonts w:hint="eastAsia" w:cs="Times New Roman" w:eastAsiaTheme="minorEastAsia"/>
                <w:color w:val="000000" w:themeColor="text1"/>
                <w:sz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14:textFill>
                  <w14:solidFill>
                    <w14:schemeClr w14:val="tx1"/>
                  </w14:solidFill>
                </w14:textFill>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5" w:hRule="atLeast"/>
          <w:jc w:val="center"/>
        </w:trPr>
        <w:tc>
          <w:tcPr>
            <w:tcW w:w="9060" w:type="dxa"/>
            <w:gridSpan w:val="10"/>
          </w:tcPr>
          <w:p>
            <w:pPr>
              <w:adjustRightInd w:val="0"/>
              <w:snapToGrid w:val="0"/>
              <w:spacing w:line="300" w:lineRule="auto"/>
              <w:outlineLvl w:val="2"/>
              <w:rPr>
                <w:rFonts w:hint="default" w:ascii="Times New Roman" w:hAnsi="Times New Roman" w:cs="Times New Roman" w:eastAsiaTheme="minorEastAsia"/>
                <w:b/>
                <w:bCs/>
                <w:color w:val="000000" w:themeColor="text1"/>
                <w:sz w:val="30"/>
                <w:szCs w:val="30"/>
                <w14:textFill>
                  <w14:solidFill>
                    <w14:schemeClr w14:val="tx1"/>
                  </w14:solidFill>
                </w14:textFill>
              </w:rPr>
            </w:pPr>
            <w:r>
              <w:rPr>
                <w:rFonts w:hint="default" w:ascii="Times New Roman" w:hAnsi="Times New Roman" w:cs="Times New Roman" w:eastAsiaTheme="minorEastAsia"/>
                <w:b/>
                <w:bCs/>
                <w:color w:val="000000" w:themeColor="text1"/>
                <w:sz w:val="30"/>
                <w:szCs w:val="30"/>
                <w14:textFill>
                  <w14:solidFill>
                    <w14:schemeClr w14:val="tx1"/>
                  </w14:solidFill>
                </w14:textFill>
              </w:rPr>
              <w:t>工程内容及规模：</w:t>
            </w:r>
          </w:p>
          <w:p>
            <w:pPr>
              <w:pStyle w:val="25"/>
              <w:keepNext w:val="0"/>
              <w:keepLines w:val="0"/>
              <w:pageBreakBefore w:val="0"/>
              <w:widowControl w:val="0"/>
              <w:kinsoku/>
              <w:wordWrap/>
              <w:overflowPunct/>
              <w:topLinePunct w:val="0"/>
              <w:autoSpaceDE/>
              <w:autoSpaceDN/>
              <w:bidi w:val="0"/>
              <w:adjustRightInd w:val="0"/>
              <w:snapToGrid w:val="0"/>
              <w:spacing w:after="0" w:line="300" w:lineRule="auto"/>
              <w:ind w:left="0" w:leftChars="0" w:firstLine="560" w:firstLineChars="200"/>
              <w:textAlignment w:val="auto"/>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pPr>
            <w:r>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t>一、 项目背景</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煤层气俗称“</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"http://baike.baidu.com/view/1162.htm"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瓦斯</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”，其主要成分是CH</w:t>
            </w:r>
            <w:r>
              <w:rPr>
                <w:rFonts w:hint="default" w:ascii="Times New Roman" w:hAnsi="Times New Roman" w:cs="Times New Roman"/>
                <w:bCs/>
                <w:color w:val="000000" w:themeColor="text1"/>
                <w:sz w:val="24"/>
                <w:vertAlign w:val="subscript"/>
                <w14:textFill>
                  <w14:solidFill>
                    <w14:schemeClr w14:val="tx1"/>
                  </w14:solidFill>
                </w14:textFill>
              </w:rPr>
              <w:t>4</w:t>
            </w:r>
            <w:r>
              <w:rPr>
                <w:rFonts w:hint="default" w:ascii="Times New Roman" w:hAnsi="Times New Roman" w:cs="Times New Roman"/>
                <w:bCs/>
                <w:color w:val="000000" w:themeColor="text1"/>
                <w:sz w:val="24"/>
                <w14:textFill>
                  <w14:solidFill>
                    <w14:schemeClr w14:val="tx1"/>
                  </w14:solidFill>
                </w14:textFill>
              </w:rPr>
              <w:t>（甲烷)，与</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"http://baike.baidu.com/view/11183.htm"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煤炭</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伴生、以吸附状态储存于煤层内的非常规</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"http://baike.baidu.com/view/1093.htm"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天然气</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，其热值与天然气相当，可以与天然气混输混用，而且燃烧后很洁净，几乎不产生任何</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"http://baike.baidu.com/view/688021.htm"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废气</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，是上好的工业、化工、发电和居民生活</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"http://baike.baidu.com/view/810216.htm"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燃料</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。在采煤之前如果先开采煤层气，煤矿瓦斯爆炸率将降低70%到85%。煤层气的开发利用具有一举多得的功效：提高瓦斯事故防范水平，具有安全效应；有效减排温室气体，产生良好的环保效应；作为一种高效、</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"http://baike.baidu.com/view/1333995.htm"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洁净能源</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，商业化能产生巨大的经济效益。</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钻</w:t>
            </w:r>
            <w:r>
              <w:rPr>
                <w:rFonts w:hint="default" w:ascii="Times New Roman" w:hAnsi="Times New Roman" w:cs="Times New Roman"/>
                <w:bCs/>
                <w:color w:val="000000" w:themeColor="text1"/>
                <w:sz w:val="24"/>
                <w:lang w:val="zh-TW" w:eastAsia="zh-TW"/>
                <w14:textFill>
                  <w14:solidFill>
                    <w14:schemeClr w14:val="tx1"/>
                  </w14:solidFill>
                </w14:textFill>
              </w:rPr>
              <w:t>井是</w:t>
            </w:r>
            <w:r>
              <w:rPr>
                <w:rFonts w:hint="default" w:ascii="Times New Roman" w:hAnsi="Times New Roman" w:cs="Times New Roman"/>
                <w:bCs/>
                <w:color w:val="000000" w:themeColor="text1"/>
                <w:sz w:val="24"/>
                <w:lang w:val="zh-TW" w:eastAsia="zh-CN"/>
                <w14:textFill>
                  <w14:solidFill>
                    <w14:schemeClr w14:val="tx1"/>
                  </w14:solidFill>
                </w14:textFill>
              </w:rPr>
              <w:t>煤层气</w:t>
            </w:r>
            <w:r>
              <w:rPr>
                <w:rFonts w:hint="default" w:ascii="Times New Roman" w:hAnsi="Times New Roman" w:cs="Times New Roman"/>
                <w:bCs/>
                <w:color w:val="000000" w:themeColor="text1"/>
                <w:sz w:val="24"/>
                <w:lang w:val="zh-TW" w:eastAsia="zh-TW"/>
                <w14:textFill>
                  <w14:solidFill>
                    <w14:schemeClr w14:val="tx1"/>
                  </w14:solidFill>
                </w14:textFill>
              </w:rPr>
              <w:t>开发的主要工艺过程之一，是确认地下含气构造，进行开釆</w:t>
            </w:r>
            <w:r>
              <w:rPr>
                <w:rFonts w:hint="default" w:ascii="Times New Roman" w:hAnsi="Times New Roman" w:cs="Times New Roman"/>
                <w:bCs/>
                <w:color w:val="000000" w:themeColor="text1"/>
                <w:sz w:val="24"/>
                <w:lang w:val="zh-TW" w:eastAsia="zh-CN"/>
                <w14:textFill>
                  <w14:solidFill>
                    <w14:schemeClr w14:val="tx1"/>
                  </w14:solidFill>
                </w14:textFill>
              </w:rPr>
              <w:t>煤层气</w:t>
            </w:r>
            <w:r>
              <w:rPr>
                <w:rFonts w:hint="default" w:ascii="Times New Roman" w:hAnsi="Times New Roman" w:cs="Times New Roman"/>
                <w:bCs/>
                <w:color w:val="000000" w:themeColor="text1"/>
                <w:sz w:val="24"/>
                <w:lang w:val="zh-TW" w:eastAsia="zh-TW"/>
                <w14:textFill>
                  <w14:solidFill>
                    <w14:schemeClr w14:val="tx1"/>
                  </w14:solidFill>
                </w14:textFill>
              </w:rPr>
              <w:t>的手段。钻井一般分为探井和生产井，探井是为了进一步了解地下构造，并不断取岩心进行分析，以确认是否找到储气层，含煤层气面积大小，储量多少，有无开釆价值等，对于有开釆价值的含气构造，就需要钻生产井进行开釆生产</w:t>
            </w:r>
            <w:r>
              <w:rPr>
                <w:rFonts w:hint="default" w:ascii="Times New Roman" w:hAnsi="Times New Roman" w:cs="Times New Roman"/>
                <w:bCs/>
                <w:color w:val="000000" w:themeColor="text1"/>
                <w:sz w:val="24"/>
                <w:lang w:val="zh-TW"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华北地区石炭-二叠系及寒武-奥陶系地层属于区域性古生界油气勘探层系，在冀中坳陷和鄂尔多斯盆地已经形成规模储量。宁武盆地古生界地层属于华北古地台沉积的一部分，其成藏条件具有相似性，并且该盆地中部沉积较厚的三叠系地层，无冀中坳陷后期的多次改造，保存条件较好。</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2018年12月26日，</w:t>
            </w:r>
            <w:r>
              <w:rPr>
                <w:rFonts w:hint="default" w:ascii="Times New Roman" w:hAnsi="Times New Roman" w:cs="Times New Roman"/>
                <w:bCs/>
                <w:color w:val="000000" w:themeColor="text1"/>
                <w:sz w:val="24"/>
                <w:lang w:eastAsia="zh-CN"/>
                <w14:textFill>
                  <w14:solidFill>
                    <w14:schemeClr w14:val="tx1"/>
                  </w14:solidFill>
                </w14:textFill>
              </w:rPr>
              <w:t>中国石油天然气股份有限公司</w:t>
            </w:r>
            <w:r>
              <w:rPr>
                <w:rFonts w:hint="default" w:ascii="Times New Roman" w:hAnsi="Times New Roman" w:cs="Times New Roman"/>
                <w:bCs/>
                <w:color w:val="000000" w:themeColor="text1"/>
                <w:sz w:val="24"/>
                <w14:textFill>
                  <w14:solidFill>
                    <w14:schemeClr w14:val="tx1"/>
                  </w14:solidFill>
                </w14:textFill>
              </w:rPr>
              <w:t>取得了</w:t>
            </w:r>
            <w:r>
              <w:rPr>
                <w:rFonts w:hint="default" w:ascii="Times New Roman" w:hAnsi="Times New Roman" w:cs="Times New Roman"/>
                <w:bCs/>
                <w:color w:val="000000" w:themeColor="text1"/>
                <w:sz w:val="24"/>
                <w:lang w:eastAsia="zh-CN"/>
                <w14:textFill>
                  <w14:solidFill>
                    <w14:schemeClr w14:val="tx1"/>
                  </w14:solidFill>
                </w14:textFill>
              </w:rPr>
              <w:t>山西宁武盆地南部地区</w:t>
            </w:r>
            <w:r>
              <w:rPr>
                <w:rFonts w:hint="default" w:ascii="Times New Roman" w:hAnsi="Times New Roman" w:cs="Times New Roman"/>
                <w:bCs/>
                <w:color w:val="000000" w:themeColor="text1"/>
                <w:sz w:val="24"/>
                <w14:textFill>
                  <w14:solidFill>
                    <w14:schemeClr w14:val="tx1"/>
                  </w14:solidFill>
                </w14:textFill>
              </w:rPr>
              <w:t>煤层气探矿权，证号为020000</w:t>
            </w:r>
            <w:r>
              <w:rPr>
                <w:rFonts w:hint="default" w:ascii="Times New Roman" w:hAnsi="Times New Roman" w:cs="Times New Roman"/>
                <w:bCs/>
                <w:color w:val="000000" w:themeColor="text1"/>
                <w:sz w:val="24"/>
                <w:lang w:val="en-US" w:eastAsia="zh-CN"/>
                <w14:textFill>
                  <w14:solidFill>
                    <w14:schemeClr w14:val="tx1"/>
                  </w14:solidFill>
                </w14:textFill>
              </w:rPr>
              <w:t>1821417</w:t>
            </w:r>
            <w:r>
              <w:rPr>
                <w:rFonts w:hint="default" w:ascii="Times New Roman" w:hAnsi="Times New Roman" w:cs="Times New Roman"/>
                <w:bCs/>
                <w:color w:val="000000" w:themeColor="text1"/>
                <w:sz w:val="24"/>
                <w14:textFill>
                  <w14:solidFill>
                    <w14:schemeClr w14:val="tx1"/>
                  </w14:solidFill>
                </w14:textFill>
              </w:rPr>
              <w:t>号，勘查面积为</w:t>
            </w:r>
            <w:r>
              <w:rPr>
                <w:rFonts w:hint="default" w:ascii="Times New Roman" w:hAnsi="Times New Roman" w:cs="Times New Roman"/>
                <w:bCs/>
                <w:color w:val="000000" w:themeColor="text1"/>
                <w:sz w:val="24"/>
                <w:lang w:val="en-US" w:eastAsia="zh-CN"/>
                <w14:textFill>
                  <w14:solidFill>
                    <w14:schemeClr w14:val="tx1"/>
                  </w14:solidFill>
                </w14:textFill>
              </w:rPr>
              <w:t>676.507</w:t>
            </w:r>
            <w:r>
              <w:rPr>
                <w:rFonts w:hint="default" w:ascii="Times New Roman" w:hAnsi="Times New Roman" w:cs="Times New Roman"/>
                <w:bCs/>
                <w:color w:val="000000" w:themeColor="text1"/>
                <w:sz w:val="24"/>
                <w14:textFill>
                  <w14:solidFill>
                    <w14:schemeClr w14:val="tx1"/>
                  </w14:solidFill>
                </w14:textFill>
              </w:rPr>
              <w:t>km</w:t>
            </w:r>
            <w:r>
              <w:rPr>
                <w:rFonts w:hint="default" w:ascii="Times New Roman" w:hAnsi="Times New Roman" w:cs="Times New Roman"/>
                <w:bCs/>
                <w:color w:val="000000" w:themeColor="text1"/>
                <w:sz w:val="24"/>
                <w:vertAlign w:val="superscript"/>
                <w14:textFill>
                  <w14:solidFill>
                    <w14:schemeClr w14:val="tx1"/>
                  </w14:solidFill>
                </w14:textFill>
              </w:rPr>
              <w:t>2</w:t>
            </w:r>
            <w:r>
              <w:rPr>
                <w:rFonts w:hint="default" w:ascii="Times New Roman" w:hAnsi="Times New Roman" w:cs="Times New Roman"/>
                <w:bCs/>
                <w:color w:val="000000" w:themeColor="text1"/>
                <w:sz w:val="24"/>
                <w:vertAlign w:val="baseline"/>
                <w:lang w:eastAsia="zh-CN"/>
                <w14:textFill>
                  <w14:solidFill>
                    <w14:schemeClr w14:val="tx1"/>
                  </w14:solidFill>
                </w14:textFill>
              </w:rPr>
              <w:t>，</w:t>
            </w:r>
            <w:r>
              <w:rPr>
                <w:rFonts w:hint="default" w:ascii="Times New Roman" w:hAnsi="Times New Roman" w:cs="Times New Roman"/>
                <w:bCs/>
                <w:color w:val="000000" w:themeColor="text1"/>
                <w:sz w:val="24"/>
                <w:vertAlign w:val="baseline"/>
                <w:lang w:val="en-US" w:eastAsia="zh-CN"/>
                <w14:textFill>
                  <w14:solidFill>
                    <w14:schemeClr w14:val="tx1"/>
                  </w14:solidFill>
                </w14:textFill>
              </w:rPr>
              <w:t>有效期为2018年5月8日至2020年5月7日，地理位置包括山西省静乐县、岚县、娄烦县、宁武县</w:t>
            </w:r>
            <w:r>
              <w:rPr>
                <w:rFonts w:hint="default" w:ascii="Times New Roman" w:hAnsi="Times New Roman"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建设单位目前正在办理该探矿证的延续手续，已</w:t>
            </w:r>
            <w:r>
              <w:rPr>
                <w:rFonts w:hint="eastAsia" w:ascii="Times New Roman" w:hAnsi="Times New Roman" w:cs="Times New Roman"/>
                <w:bCs/>
                <w:color w:val="000000" w:themeColor="text1"/>
                <w:sz w:val="24"/>
                <w:lang w:val="en-US" w:eastAsia="zh-CN"/>
                <w14:textFill>
                  <w14:solidFill>
                    <w14:schemeClr w14:val="tx1"/>
                  </w14:solidFill>
                </w14:textFill>
              </w:rPr>
              <w:t>将</w:t>
            </w:r>
            <w:r>
              <w:rPr>
                <w:rFonts w:hint="eastAsia" w:cs="Times New Roman"/>
                <w:bCs/>
                <w:color w:val="000000" w:themeColor="text1"/>
                <w:sz w:val="24"/>
                <w:lang w:val="en-US" w:eastAsia="zh-CN"/>
                <w14:textFill>
                  <w14:solidFill>
                    <w14:schemeClr w14:val="tx1"/>
                  </w14:solidFill>
                </w14:textFill>
              </w:rPr>
              <w:t>该探矿征</w:t>
            </w:r>
            <w:r>
              <w:rPr>
                <w:rFonts w:hint="eastAsia" w:ascii="Times New Roman" w:hAnsi="Times New Roman" w:cs="Times New Roman"/>
                <w:bCs/>
                <w:color w:val="000000" w:themeColor="text1"/>
                <w:sz w:val="24"/>
                <w:lang w:val="en-US" w:eastAsia="zh-CN"/>
                <w14:textFill>
                  <w14:solidFill>
                    <w14:schemeClr w14:val="tx1"/>
                  </w14:solidFill>
                </w14:textFill>
              </w:rPr>
              <w:t>延续资料上报至</w:t>
            </w:r>
            <w:r>
              <w:rPr>
                <w:rFonts w:hint="eastAsia" w:cs="Times New Roman"/>
                <w:bCs/>
                <w:color w:val="000000" w:themeColor="text1"/>
                <w:sz w:val="24"/>
                <w:lang w:val="en-US" w:eastAsia="zh-CN"/>
                <w14:textFill>
                  <w14:solidFill>
                    <w14:schemeClr w14:val="tx1"/>
                  </w14:solidFill>
                </w14:textFill>
              </w:rPr>
              <w:t>山西省自然资源</w:t>
            </w:r>
            <w:r>
              <w:rPr>
                <w:rFonts w:hint="eastAsia" w:ascii="Times New Roman" w:hAnsi="Times New Roman" w:cs="Times New Roman"/>
                <w:bCs/>
                <w:color w:val="000000" w:themeColor="text1"/>
                <w:sz w:val="24"/>
                <w:lang w:val="en-US" w:eastAsia="zh-CN"/>
                <w14:textFill>
                  <w14:solidFill>
                    <w14:schemeClr w14:val="tx1"/>
                  </w14:solidFill>
                </w14:textFill>
              </w:rPr>
              <w:t>厅，已受理</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cs="Times New Roman"/>
                <w:bCs/>
                <w:color w:val="000000" w:themeColor="text1"/>
                <w:sz w:val="24"/>
                <w:lang w:val="en-US" w:eastAsia="zh-CN"/>
                <w14:textFill>
                  <w14:solidFill>
                    <w14:schemeClr w14:val="tx1"/>
                  </w14:solidFill>
                </w14:textFill>
              </w:rPr>
              <w:t>预计</w:t>
            </w:r>
            <w:r>
              <w:rPr>
                <w:rFonts w:hint="default" w:ascii="Times New Roman" w:hAnsi="Times New Roman" w:cs="Times New Roman"/>
                <w:bCs/>
                <w:color w:val="000000" w:themeColor="text1"/>
                <w:sz w:val="24"/>
                <w:lang w:val="en-US" w:eastAsia="zh-CN"/>
                <w14:textFill>
                  <w14:solidFill>
                    <w14:schemeClr w14:val="tx1"/>
                  </w14:solidFill>
                </w14:textFill>
              </w:rPr>
              <w:t>2021</w:t>
            </w:r>
            <w:r>
              <w:rPr>
                <w:rFonts w:hint="eastAsia" w:ascii="Times New Roman" w:hAnsi="Times New Roman" w:cs="Times New Roman"/>
                <w:bCs/>
                <w:color w:val="000000" w:themeColor="text1"/>
                <w:sz w:val="24"/>
                <w:lang w:val="en-US" w:eastAsia="zh-CN"/>
                <w14:textFill>
                  <w14:solidFill>
                    <w14:schemeClr w14:val="tx1"/>
                  </w14:solidFill>
                </w14:textFill>
              </w:rPr>
              <w:t>年</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月份领取新的探矿证。</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目前，</w:t>
            </w:r>
            <w:r>
              <w:rPr>
                <w:rFonts w:hint="default" w:ascii="Times New Roman" w:hAnsi="Times New Roman" w:cs="Times New Roman"/>
                <w:color w:val="000000" w:themeColor="text1"/>
                <w:kern w:val="2"/>
                <w:sz w:val="24"/>
                <w:szCs w:val="24"/>
                <w:lang w:eastAsia="zh-CN"/>
                <w14:textFill>
                  <w14:solidFill>
                    <w14:schemeClr w14:val="tx1"/>
                  </w14:solidFill>
                </w14:textFill>
              </w:rPr>
              <w:t>中国石油天然气股份有限公司山西煤层气勘探开发分公司拟在该探矿权</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勘查范围之内宁武盆地西南斜坡带</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静乐县王村乡境内</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建设1个勘查井（宁探1井）</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获取主要目的层奥陶系灰岩、煤层（4#煤层、9#煤层）及砂岩储层（下石盒子组、山西组）的相关参数，并进行评价试采，为下一步精细评价游离气和煤系</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煤层气</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成藏条件提供参考依据。</w:t>
            </w:r>
          </w:p>
          <w:p>
            <w:pPr>
              <w:pStyle w:val="25"/>
              <w:keepNext w:val="0"/>
              <w:keepLines w:val="0"/>
              <w:pageBreakBefore w:val="0"/>
              <w:widowControl w:val="0"/>
              <w:kinsoku/>
              <w:wordWrap/>
              <w:overflowPunct/>
              <w:topLinePunct w:val="0"/>
              <w:autoSpaceDE/>
              <w:autoSpaceDN/>
              <w:bidi w:val="0"/>
              <w:adjustRightInd w:val="0"/>
              <w:snapToGrid w:val="0"/>
              <w:spacing w:after="0" w:line="300" w:lineRule="auto"/>
              <w:ind w:left="0" w:leftChars="0" w:firstLine="560" w:firstLineChars="200"/>
              <w:textAlignment w:val="auto"/>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pPr>
            <w:r>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t>二、项目前期进展情况</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1、</w:t>
            </w:r>
            <w:r>
              <w:rPr>
                <w:b/>
                <w:bCs w:val="0"/>
                <w:color w:val="000000" w:themeColor="text1"/>
                <w:sz w:val="24"/>
                <w14:textFill>
                  <w14:solidFill>
                    <w14:schemeClr w14:val="tx1"/>
                  </w14:solidFill>
                </w14:textFill>
              </w:rPr>
              <w:t>山西宁武盆地南部地区煤层气探矿</w:t>
            </w:r>
            <w:r>
              <w:rPr>
                <w:rFonts w:hint="eastAsia"/>
                <w:b/>
                <w:bCs w:val="0"/>
                <w:color w:val="000000" w:themeColor="text1"/>
                <w:sz w:val="24"/>
                <w14:textFill>
                  <w14:solidFill>
                    <w14:schemeClr w14:val="tx1"/>
                  </w14:solidFill>
                </w14:textFill>
              </w:rPr>
              <w:t>项目整体情况及分区（步）实施情</w:t>
            </w:r>
            <w:r>
              <w:rPr>
                <w:rFonts w:hint="eastAsia" w:ascii="Times New Roman" w:hAnsi="Times New Roman"/>
                <w:b/>
                <w:bCs w:val="0"/>
                <w:color w:val="000000" w:themeColor="text1"/>
                <w:sz w:val="24"/>
                <w:szCs w:val="22"/>
                <w14:textFill>
                  <w14:solidFill>
                    <w14:schemeClr w14:val="tx1"/>
                  </w14:solidFill>
                </w14:textFill>
              </w:rPr>
              <w:t>况</w:t>
            </w:r>
            <w:r>
              <w:rPr>
                <w:rFonts w:hint="eastAsia"/>
                <w:b/>
                <w:bCs w:val="0"/>
                <w:color w:val="000000" w:themeColor="text1"/>
                <w:sz w:val="24"/>
                <w:szCs w:val="22"/>
                <w:lang w:eastAsia="zh-CN"/>
                <w14:textFill>
                  <w14:solidFill>
                    <w14:schemeClr w14:val="tx1"/>
                  </w14:solidFill>
                </w14:textFill>
              </w:rPr>
              <w:t>（</w:t>
            </w:r>
            <w:r>
              <w:rPr>
                <w:rFonts w:hint="eastAsia"/>
                <w:b/>
                <w:bCs w:val="0"/>
                <w:color w:val="000000" w:themeColor="text1"/>
                <w:sz w:val="24"/>
                <w:szCs w:val="22"/>
                <w:lang w:val="en-US" w:eastAsia="zh-CN"/>
                <w14:textFill>
                  <w14:solidFill>
                    <w14:schemeClr w14:val="tx1"/>
                  </w14:solidFill>
                </w14:textFill>
              </w:rPr>
              <w:t>略</w:t>
            </w:r>
            <w:r>
              <w:rPr>
                <w:rFonts w:hint="eastAsia"/>
                <w:b/>
                <w:bCs w:val="0"/>
                <w:color w:val="000000" w:themeColor="text1"/>
                <w:sz w:val="24"/>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cs="Times New Roman"/>
                <w:b/>
                <w:bCs w:val="0"/>
                <w:color w:val="000000" w:themeColor="text1"/>
                <w:sz w:val="24"/>
                <w:lang w:val="en-US" w:eastAsia="zh-CN"/>
                <w14:textFill>
                  <w14:solidFill>
                    <w14:schemeClr w14:val="tx1"/>
                  </w14:solidFill>
                </w14:textFill>
              </w:rPr>
            </w:pPr>
            <w:r>
              <w:rPr>
                <w:rFonts w:hint="eastAsia" w:ascii="Times New Roman" w:hAnsi="Times New Roman" w:cs="Times New Roman"/>
                <w:b/>
                <w:bCs w:val="0"/>
                <w:color w:val="000000" w:themeColor="text1"/>
                <w:sz w:val="24"/>
                <w:lang w:val="en-US" w:eastAsia="zh-CN"/>
                <w14:textFill>
                  <w14:solidFill>
                    <w14:schemeClr w14:val="tx1"/>
                  </w14:solidFill>
                </w14:textFill>
              </w:rPr>
              <w:t>（2）本项目与其他部分勘探井的衔接情况</w:t>
            </w:r>
            <w:r>
              <w:rPr>
                <w:rFonts w:hint="eastAsia"/>
                <w:b/>
                <w:bCs w:val="0"/>
                <w:color w:val="000000" w:themeColor="text1"/>
                <w:sz w:val="24"/>
                <w:szCs w:val="22"/>
                <w:lang w:eastAsia="zh-CN"/>
                <w14:textFill>
                  <w14:solidFill>
                    <w14:schemeClr w14:val="tx1"/>
                  </w14:solidFill>
                </w14:textFill>
              </w:rPr>
              <w:t>（</w:t>
            </w:r>
            <w:r>
              <w:rPr>
                <w:rFonts w:hint="eastAsia"/>
                <w:b/>
                <w:bCs w:val="0"/>
                <w:color w:val="000000" w:themeColor="text1"/>
                <w:sz w:val="24"/>
                <w:szCs w:val="22"/>
                <w:lang w:val="en-US" w:eastAsia="zh-CN"/>
                <w14:textFill>
                  <w14:solidFill>
                    <w14:schemeClr w14:val="tx1"/>
                  </w14:solidFill>
                </w14:textFill>
              </w:rPr>
              <w:t>略</w:t>
            </w:r>
            <w:r>
              <w:rPr>
                <w:rFonts w:hint="eastAsia"/>
                <w:b/>
                <w:bCs w:val="0"/>
                <w:color w:val="000000" w:themeColor="text1"/>
                <w:sz w:val="24"/>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cs="Times New Roman"/>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eastAsia" w:ascii="Times New Roman" w:hAnsi="Times New Roman" w:cs="Times New Roman"/>
                <w:b/>
                <w:bCs w:val="0"/>
                <w:color w:val="000000" w:themeColor="text1"/>
                <w:sz w:val="24"/>
                <w:lang w:val="en-US" w:eastAsia="zh-CN"/>
                <w14:textFill>
                  <w14:solidFill>
                    <w14:schemeClr w14:val="tx1"/>
                  </w14:solidFill>
                </w14:textFill>
              </w:rPr>
              <w:t>（3）</w:t>
            </w:r>
            <w:r>
              <w:rPr>
                <w:rFonts w:hint="default" w:ascii="Times New Roman" w:hAnsi="Times New Roman" w:cs="Times New Roman"/>
                <w:b/>
                <w:bCs w:val="0"/>
                <w:color w:val="000000" w:themeColor="text1"/>
                <w:sz w:val="24"/>
                <w:lang w:val="en-US" w:eastAsia="zh-CN"/>
                <w14:textFill>
                  <w14:solidFill>
                    <w14:schemeClr w14:val="tx1"/>
                  </w14:solidFill>
                </w14:textFill>
              </w:rPr>
              <w:t>本项目与探矿权证批复内容的相符性</w:t>
            </w:r>
            <w:r>
              <w:rPr>
                <w:rFonts w:hint="eastAsia"/>
                <w:b/>
                <w:bCs w:val="0"/>
                <w:color w:val="000000" w:themeColor="text1"/>
                <w:sz w:val="24"/>
                <w:szCs w:val="22"/>
                <w:lang w:eastAsia="zh-CN"/>
                <w14:textFill>
                  <w14:solidFill>
                    <w14:schemeClr w14:val="tx1"/>
                  </w14:solidFill>
                </w14:textFill>
              </w:rPr>
              <w:t>（</w:t>
            </w:r>
            <w:r>
              <w:rPr>
                <w:rFonts w:hint="eastAsia"/>
                <w:b/>
                <w:bCs w:val="0"/>
                <w:color w:val="000000" w:themeColor="text1"/>
                <w:sz w:val="24"/>
                <w:szCs w:val="22"/>
                <w:lang w:val="en-US" w:eastAsia="zh-CN"/>
                <w14:textFill>
                  <w14:solidFill>
                    <w14:schemeClr w14:val="tx1"/>
                  </w14:solidFill>
                </w14:textFill>
              </w:rPr>
              <w:t>略</w:t>
            </w:r>
            <w:r>
              <w:rPr>
                <w:rFonts w:hint="eastAsia"/>
                <w:b/>
                <w:bCs w:val="0"/>
                <w:color w:val="000000" w:themeColor="text1"/>
                <w:sz w:val="24"/>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lang w:val="en-US" w:eastAsia="zh-CN"/>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2、静乐煤层气项目进展</w:t>
            </w:r>
            <w:r>
              <w:rPr>
                <w:rFonts w:hint="eastAsia" w:cs="Times New Roman"/>
                <w:bCs/>
                <w:color w:val="000000" w:themeColor="text1"/>
                <w:sz w:val="24"/>
                <w:lang w:val="en-US" w:eastAsia="zh-CN"/>
                <w14:textFill>
                  <w14:solidFill>
                    <w14:schemeClr w14:val="tx1"/>
                  </w14:solidFill>
                </w14:textFill>
              </w:rPr>
              <w:t>（略）</w:t>
            </w:r>
          </w:p>
          <w:p>
            <w:pPr>
              <w:pStyle w:val="25"/>
              <w:keepNext w:val="0"/>
              <w:keepLines w:val="0"/>
              <w:pageBreakBefore w:val="0"/>
              <w:widowControl w:val="0"/>
              <w:kinsoku/>
              <w:wordWrap/>
              <w:overflowPunct/>
              <w:topLinePunct w:val="0"/>
              <w:autoSpaceDE/>
              <w:autoSpaceDN/>
              <w:bidi w:val="0"/>
              <w:adjustRightInd w:val="0"/>
              <w:snapToGrid w:val="0"/>
              <w:spacing w:after="0" w:line="300" w:lineRule="auto"/>
              <w:ind w:left="0" w:leftChars="0" w:firstLine="560" w:firstLineChars="200"/>
              <w:textAlignment w:val="auto"/>
              <w:rPr>
                <w:rFonts w:hint="default" w:ascii="Times New Roman" w:hAnsi="Times New Roman" w:cs="Times New Roman" w:eastAsiaTheme="minorEastAsia"/>
                <w:b/>
                <w:bCs/>
                <w:color w:val="000000" w:themeColor="text1"/>
                <w:sz w:val="28"/>
                <w:szCs w:val="28"/>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8"/>
                <w:szCs w:val="28"/>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28"/>
                <w:szCs w:val="28"/>
                <w:lang w:val="en-US" w:eastAsia="zh-CN"/>
                <w14:textFill>
                  <w14:solidFill>
                    <w14:schemeClr w14:val="tx1"/>
                  </w14:solidFill>
                </w14:textFill>
              </w:rPr>
              <w:t>、“三线一单”和相关政策符合性分析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环保部颁布的《关于以改善环境质量为核心加强环境影响评价管理的通知》要求，全面加强环境影响评价管理，落实“生态保护红线、环境质量底线、资源利用上线和环境准入负面清单”约束。本项目与“三线一单”的符合性如下：</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生态保护红线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生态保护红线包括具有重要水源涵养、生物多样性维护、水土保持、防风固沙、海岸生态稳定等功能的生态功能重要区域，以及水土流失、土地沙化、石漠化、盐渍化等生态环境敏感脆弱区域。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山西省暂未划定生态保护红线，根据《静乐县生态功能区划》，本项目宁探1井场位于“</w:t>
            </w:r>
            <w:r>
              <w:rPr>
                <w:rFonts w:hint="default" w:ascii="Times New Roman" w:hAnsi="Times New Roman" w:cs="Times New Roman"/>
                <w:color w:val="000000" w:themeColor="text1"/>
                <w:sz w:val="24"/>
                <w:lang w:val="zh-CN" w:eastAsia="zh-CN"/>
                <w14:textFill>
                  <w14:solidFill>
                    <w14:schemeClr w14:val="tx1"/>
                  </w14:solidFill>
                </w14:textFill>
              </w:rPr>
              <w:fldChar w:fldCharType="begin"/>
            </w:r>
            <w:r>
              <w:rPr>
                <w:rFonts w:hint="default" w:ascii="Times New Roman" w:hAnsi="Times New Roman" w:cs="Times New Roman"/>
                <w:color w:val="000000" w:themeColor="text1"/>
                <w:sz w:val="24"/>
                <w:lang w:val="zh-CN" w:eastAsia="zh-CN"/>
                <w14:textFill>
                  <w14:solidFill>
                    <w14:schemeClr w14:val="tx1"/>
                  </w14:solidFill>
                </w14:textFill>
              </w:rPr>
              <w:instrText xml:space="preserve">= 2 \* ROMAN</w:instrText>
            </w:r>
            <w:r>
              <w:rPr>
                <w:rFonts w:hint="default" w:ascii="Times New Roman" w:hAnsi="Times New Roman" w:cs="Times New Roman"/>
                <w:color w:val="000000" w:themeColor="text1"/>
                <w:sz w:val="24"/>
                <w:lang w:val="zh-CN" w:eastAsia="zh-CN"/>
                <w14:textFill>
                  <w14:solidFill>
                    <w14:schemeClr w14:val="tx1"/>
                  </w14:solidFill>
                </w14:textFill>
              </w:rPr>
              <w:fldChar w:fldCharType="separate"/>
            </w:r>
            <w:r>
              <w:rPr>
                <w:rFonts w:hint="default" w:ascii="Times New Roman" w:hAnsi="Times New Roman" w:cs="Times New Roman"/>
                <w:color w:val="000000" w:themeColor="text1"/>
                <w:sz w:val="24"/>
                <w:lang w:val="zh-CN" w:eastAsia="zh-CN"/>
                <w14:textFill>
                  <w14:solidFill>
                    <w14:schemeClr w14:val="tx1"/>
                  </w14:solidFill>
                </w14:textFill>
              </w:rPr>
              <w:t>II</w:t>
            </w:r>
            <w:r>
              <w:rPr>
                <w:rFonts w:hint="default" w:ascii="Times New Roman" w:hAnsi="Times New Roman" w:cs="Times New Roman"/>
                <w:color w:val="000000" w:themeColor="text1"/>
                <w:sz w:val="24"/>
                <w:lang w:val="zh-CN" w:eastAsia="zh-CN"/>
                <w14:textFill>
                  <w14:solidFill>
                    <w14:schemeClr w14:val="tx1"/>
                  </w14:solidFill>
                </w14:textFill>
              </w:rPr>
              <w:fldChar w:fldCharType="end"/>
            </w:r>
            <w:r>
              <w:rPr>
                <w:rFonts w:hint="default" w:ascii="Times New Roman" w:hAnsi="Times New Roman" w:cs="Times New Roman"/>
                <w:color w:val="000000" w:themeColor="text1"/>
                <w:sz w:val="24"/>
                <w:lang w:val="zh-CN" w:eastAsia="zh-CN"/>
                <w14:textFill>
                  <w14:solidFill>
                    <w14:schemeClr w14:val="tx1"/>
                  </w14:solidFill>
                </w14:textFill>
              </w:rPr>
              <w:t>B汾河河谷盐渍化防御生态功能小区</w:t>
            </w:r>
            <w:r>
              <w:rPr>
                <w:rFonts w:hint="default" w:ascii="Times New Roman" w:hAnsi="Times New Roman" w:cs="Times New Roman"/>
                <w:color w:val="000000" w:themeColor="text1"/>
                <w:sz w:val="24"/>
                <w:lang w:val="en-US" w:eastAsia="zh-CN"/>
                <w14:textFill>
                  <w14:solidFill>
                    <w14:schemeClr w14:val="tx1"/>
                  </w14:solidFill>
                </w14:textFill>
              </w:rPr>
              <w:t>”。本项目井场建设过程中合理布局尽量减少占地，并严格限制在占地范围外的一切活动，可以最大限度的减轻对生态的破坏，项目对涉及的生态功能区的生态保护与发展方向的影响不明显。根据《静乐县生态经济区划》本项目宁探1井场位于“IVA-1西北部林业矿业发展生态经济区”，属于重点开发区。本项目为煤层气勘探项目，项目污染物排放量少，不属于禁止进入的污染企业，项目建设占用王村乡王村集体林地（一般灌木林地)，属于临时占地，项目施工结束后通过生态恢复即可恢复土地原有植被覆盖率；项目建设会临时破坏区域植被，引发一定程度的水土流失，但项目建设不会造成区域植被景观的消失，而且施工结束后会尽快恢复植被，加大勘探区内水土流失防治力度，所以项目建设对区域改善区内植被条件，优化生态环境，加强保水保土能力影响不大，项目建成后可带动区域的经济，改善居民的生产生活条件。因此，项目建设对涉及的生态经济区划的生态服务功能影响不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本项目井场占地范围及周边无风景名胜区、自然资源、历史遗迹和国家及省级自然保护区和文物古迹等环境敏感因素，符合生态保护红线管控要求。</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环境质量底线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为煤层气勘探项目，项目勘探过程钻井废水全部循环利用，不外排；排采水部分用于蒸发和洒水外，其余全部由罐车运至静乐县污水净化中心处理，不外排；钻井过程废气污染主要为柴油机产生的燃油废气污染，通过燃用低硫柴油后，污染物可以得到有效控制；钻井泥浆和岩屑可以全部在井场泥浆池中就地固化，不外排；废润滑油全部交由有资质的单位统一处理；项目泥浆池采用粘土+双层土工膜防渗(塑料材质)基础，可以避免对地下水造成污染；项目不会增加区内的污染负荷，不影响周围环境质量，符合环境质量底线的原则。</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资源利用上线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本项目井场占地面积较小，钻井过程采用先进的小孔径钻井工艺，在做好固井工作后，可避免对水资源的浪费；本项目符合资源利用上线原则。</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环境准入负面清单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根据中华人民共和国国家发展和改革委员会2019年第29号令《产业结构调整指导目录(2019年本)》，本项目属于目录中鼓励类“三、煤炭５.煤层气勘探、开发、利用和煤矿瓦斯抽采、利用”，可见本项目</w:t>
            </w:r>
            <w:r>
              <w:rPr>
                <w:rFonts w:hint="eastAsia" w:cs="Times New Roman"/>
                <w:color w:val="000000" w:themeColor="text1"/>
                <w:sz w:val="24"/>
                <w:lang w:val="en-US" w:eastAsia="zh-CN"/>
                <w14:textFill>
                  <w14:solidFill>
                    <w14:schemeClr w14:val="tx1"/>
                  </w14:solidFill>
                </w14:textFill>
              </w:rPr>
              <w:t>属于鼓励类项目，</w:t>
            </w:r>
            <w:r>
              <w:rPr>
                <w:rFonts w:hint="default" w:ascii="Times New Roman" w:hAnsi="Times New Roman" w:cs="Times New Roman"/>
                <w:color w:val="000000" w:themeColor="text1"/>
                <w:sz w:val="24"/>
                <w:lang w:val="en-US" w:eastAsia="zh-CN"/>
                <w14:textFill>
                  <w14:solidFill>
                    <w14:schemeClr w14:val="tx1"/>
                  </w14:solidFill>
                </w14:textFill>
              </w:rPr>
              <w:t>符合国家产业政策要求。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项目运营过程，针对各污染源采取相应的治理措施后，最大限度减少了污染物的排放量，并得到合理处置，不违背环境准入负面清单。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综上所述，本项目建设符合“三线一单”的管控要求，项目建设可行。</w:t>
            </w:r>
          </w:p>
          <w:p>
            <w:pPr>
              <w:pStyle w:val="43"/>
              <w:keepNext w:val="0"/>
              <w:keepLines w:val="0"/>
              <w:pageBreakBefore w:val="0"/>
              <w:kinsoku/>
              <w:wordWrap/>
              <w:overflowPunct/>
              <w:topLinePunct w:val="0"/>
              <w:autoSpaceDE/>
              <w:autoSpaceDN/>
              <w:bidi w:val="0"/>
              <w:spacing w:after="0" w:line="300" w:lineRule="auto"/>
              <w:ind w:left="0" w:leftChars="0" w:firstLine="0" w:firstLineChars="0"/>
              <w:textAlignment w:val="auto"/>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 xml:space="preserve"> </w:t>
            </w:r>
            <w:r>
              <w:rPr>
                <w:rFonts w:hint="eastAsia" w:ascii="Times New Roman" w:cs="Times New Roman" w:eastAsiaTheme="minorEastAsia"/>
                <w:b/>
                <w:bCs/>
                <w:color w:val="000000" w:themeColor="text1"/>
                <w:spacing w:val="0"/>
                <w:kern w:val="2"/>
                <w:sz w:val="28"/>
                <w:szCs w:val="28"/>
                <w:lang w:val="en-US" w:eastAsia="zh-CN" w:bidi="ar-SA"/>
                <w14:textFill>
                  <w14:solidFill>
                    <w14:schemeClr w14:val="tx1"/>
                  </w14:solidFill>
                </w14:textFill>
              </w:rPr>
              <w:t>四</w:t>
            </w: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、项目评价由来</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根据《中华人民共和国环境保护法》、《中华人民共和国环境影响评价法》、《建设项目环境保护管理条例》等相关法律、法规的规定，本项目需执行环境影响评价制度</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根据《建设项目环境影响评价分类管理名录》（2017年9月1日起施行）及《关于修改&lt;建设项目环境影响评价分类管理名录&gt;部分内容的决定》修正）</w:t>
            </w:r>
            <w:r>
              <w:rPr>
                <w:rFonts w:hint="default" w:ascii="Times New Roman" w:hAnsi="Times New Roman" w:cs="Times New Roman"/>
                <w:bCs/>
                <w:color w:val="000000" w:themeColor="text1"/>
                <w:sz w:val="24"/>
                <w:lang w:eastAsia="zh-CN"/>
                <w14:textFill>
                  <w14:solidFill>
                    <w14:schemeClr w14:val="tx1"/>
                  </w14:solidFill>
                </w14:textFill>
              </w:rPr>
              <w:t>（2018年4月28日）的规定</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本项目属于</w:t>
            </w:r>
            <w:r>
              <w:rPr>
                <w:rFonts w:hint="default" w:ascii="Times New Roman" w:hAnsi="Times New Roman" w:cs="Times New Roman"/>
                <w:bCs/>
                <w:color w:val="000000" w:themeColor="text1"/>
                <w:sz w:val="24"/>
                <w14:textFill>
                  <w14:solidFill>
                    <w14:schemeClr w14:val="tx1"/>
                  </w14:solidFill>
                </w14:textFill>
              </w:rPr>
              <w:t>“三十八、专业技术服务业109、矿产资源地质勘查（含勘探活动和油气资源勘探）”中的“除海洋油气勘探工程外的”，环评文件类型为环境影响报告表。</w:t>
            </w:r>
          </w:p>
          <w:p>
            <w:pPr>
              <w:pStyle w:val="2"/>
              <w:pageBreakBefore w:val="0"/>
              <w:kinsoku/>
              <w:wordWrap/>
              <w:overflowPunct/>
              <w:topLinePunct w:val="0"/>
              <w:autoSpaceDE/>
              <w:autoSpaceDN/>
              <w:bidi w:val="0"/>
              <w:adjustRightInd/>
              <w:snapToGrid/>
              <w:spacing w:beforeLines="0" w:line="300" w:lineRule="auto"/>
              <w:ind w:firstLine="480" w:firstLineChars="200"/>
              <w:textAlignment w:val="auto"/>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根据《关于进一步加强石油天然气行业环境影响评价管理的通知》环办环评函〔2019〕910号文第五条要求：未确定产能建设规模的陆地油气开采新区块，建设勘探井应当依法编制环境影响报告表。确定产能建设规模后，原则上不得以勘探名义继续开展单井环评。本项目开采区块未确定产能建设规模，需以单井形式开展环评。</w:t>
            </w:r>
          </w:p>
          <w:p>
            <w:pPr>
              <w:pStyle w:val="233"/>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t>201</w:t>
            </w:r>
            <w:r>
              <w:rPr>
                <w:rFonts w:hint="default" w:ascii="Times New Roman" w:hAnsi="Times New Roman" w:cs="Times New Roman"/>
                <w:snapToGrid w:val="0"/>
                <w:color w:val="000000" w:themeColor="text1"/>
                <w:lang w:val="en-US" w:eastAsia="zh-CN"/>
                <w14:textFill>
                  <w14:solidFill>
                    <w14:schemeClr w14:val="tx1"/>
                  </w14:solidFill>
                </w14:textFill>
              </w:rPr>
              <w:t>9</w:t>
            </w:r>
            <w:r>
              <w:rPr>
                <w:rFonts w:hint="default" w:ascii="Times New Roman" w:hAnsi="Times New Roman" w:cs="Times New Roman"/>
                <w:snapToGrid w:val="0"/>
                <w:color w:val="000000" w:themeColor="text1"/>
                <w14:textFill>
                  <w14:solidFill>
                    <w14:schemeClr w14:val="tx1"/>
                  </w14:solidFill>
                </w14:textFill>
              </w:rPr>
              <w:t>年</w:t>
            </w:r>
            <w:r>
              <w:rPr>
                <w:rFonts w:hint="default" w:ascii="Times New Roman" w:hAnsi="Times New Roman" w:cs="Times New Roman"/>
                <w:snapToGrid w:val="0"/>
                <w:color w:val="000000" w:themeColor="text1"/>
                <w:lang w:val="en-US" w:eastAsia="zh-CN"/>
                <w14:textFill>
                  <w14:solidFill>
                    <w14:schemeClr w14:val="tx1"/>
                  </w14:solidFill>
                </w14:textFill>
              </w:rPr>
              <w:t>8</w:t>
            </w:r>
            <w:r>
              <w:rPr>
                <w:rFonts w:hint="default" w:ascii="Times New Roman" w:hAnsi="Times New Roman" w:cs="Times New Roman"/>
                <w:snapToGrid w:val="0"/>
                <w:color w:val="000000" w:themeColor="text1"/>
                <w14:textFill>
                  <w14:solidFill>
                    <w14:schemeClr w14:val="tx1"/>
                  </w14:solidFill>
                </w14:textFill>
              </w:rPr>
              <w:t>月</w:t>
            </w:r>
            <w:r>
              <w:rPr>
                <w:rFonts w:hint="default" w:ascii="Times New Roman" w:hAnsi="Times New Roman" w:cs="Times New Roman"/>
                <w:snapToGrid w:val="0"/>
                <w:color w:val="000000" w:themeColor="text1"/>
                <w:lang w:val="en-US" w:eastAsia="zh-CN"/>
                <w14:textFill>
                  <w14:solidFill>
                    <w14:schemeClr w14:val="tx1"/>
                  </w14:solidFill>
                </w14:textFill>
              </w:rPr>
              <w:t>7日</w:t>
            </w:r>
            <w:r>
              <w:rPr>
                <w:rFonts w:hint="default" w:ascii="Times New Roman" w:hAnsi="Times New Roman" w:cs="Times New Roman"/>
                <w:snapToGrid w:val="0"/>
                <w:color w:val="000000" w:themeColor="text1"/>
                <w14:textFill>
                  <w14:solidFill>
                    <w14:schemeClr w14:val="tx1"/>
                  </w14:solidFill>
                </w14:textFill>
              </w:rPr>
              <w:t>，</w:t>
            </w:r>
            <w:r>
              <w:rPr>
                <w:rFonts w:hint="default" w:ascii="Times New Roman" w:hAnsi="Times New Roman" w:cs="Times New Roman"/>
                <w:color w:val="000000" w:themeColor="text1"/>
                <w:kern w:val="2"/>
                <w:szCs w:val="24"/>
                <w:lang w:eastAsia="zh-CN"/>
                <w14:textFill>
                  <w14:solidFill>
                    <w14:schemeClr w14:val="tx1"/>
                  </w14:solidFill>
                </w14:textFill>
              </w:rPr>
              <w:t>中国石油天然气股份有限公司山西煤层气勘探开发分公司</w:t>
            </w:r>
            <w:r>
              <w:rPr>
                <w:rFonts w:hint="default" w:ascii="Times New Roman" w:hAnsi="Times New Roman" w:cs="Times New Roman"/>
                <w:snapToGrid w:val="0"/>
                <w:color w:val="000000" w:themeColor="text1"/>
                <w14:textFill>
                  <w14:solidFill>
                    <w14:schemeClr w14:val="tx1"/>
                  </w14:solidFill>
                </w14:textFill>
              </w:rPr>
              <w:t>委托山西省交通环境保护中心站（有限公司）承担</w:t>
            </w:r>
            <w:r>
              <w:rPr>
                <w:rFonts w:hint="default" w:ascii="Times New Roman" w:hAnsi="Times New Roman" w:cs="Times New Roman"/>
                <w:color w:val="000000" w:themeColor="text1"/>
                <w:lang w:eastAsia="zh-CN"/>
                <w14:textFill>
                  <w14:solidFill>
                    <w14:schemeClr w14:val="tx1"/>
                  </w14:solidFill>
                </w14:textFill>
              </w:rPr>
              <w:t>山西宁武盆地南部地区煤层气勘查宁探1井勘探项目</w:t>
            </w:r>
            <w:r>
              <w:rPr>
                <w:rFonts w:hint="default" w:ascii="Times New Roman" w:hAnsi="Times New Roman" w:cs="Times New Roman"/>
                <w:snapToGrid w:val="0"/>
                <w:color w:val="000000" w:themeColor="text1"/>
                <w14:textFill>
                  <w14:solidFill>
                    <w14:schemeClr w14:val="tx1"/>
                  </w14:solidFill>
                </w14:textFill>
              </w:rPr>
              <w:t>的环境影响评价工作，接受委托后，评价单位立即组织技术人员成立了项目组，并进行了现场踏勘和资料收集，在此基础上进行了详细的工程分析，按照国家有关标准、技术规范的要求，编制完成了《</w:t>
            </w:r>
            <w:r>
              <w:rPr>
                <w:rFonts w:hint="default" w:ascii="Times New Roman" w:hAnsi="Times New Roman" w:cs="Times New Roman"/>
                <w:color w:val="000000" w:themeColor="text1"/>
                <w:lang w:eastAsia="zh-CN"/>
                <w14:textFill>
                  <w14:solidFill>
                    <w14:schemeClr w14:val="tx1"/>
                  </w14:solidFill>
                </w14:textFill>
              </w:rPr>
              <w:t>山西宁武盆地南部地区煤层气勘查宁探1井勘探项目</w:t>
            </w:r>
            <w:r>
              <w:rPr>
                <w:rFonts w:hint="default" w:ascii="Times New Roman" w:hAnsi="Times New Roman" w:cs="Times New Roman"/>
                <w:color w:val="000000" w:themeColor="text1"/>
                <w14:textFill>
                  <w14:solidFill>
                    <w14:schemeClr w14:val="tx1"/>
                  </w14:solidFill>
                </w14:textFill>
              </w:rPr>
              <w:t>环境影响报告表》（送审稿）</w:t>
            </w:r>
            <w:r>
              <w:rPr>
                <w:rFonts w:hint="default" w:ascii="Times New Roman" w:hAnsi="Times New Roman" w:cs="Times New Roman"/>
                <w:color w:val="000000" w:themeColor="text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ascii="Times New Roman" w:hAnsi="宋体"/>
                <w:bCs/>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2020年5月30日，</w:t>
            </w:r>
            <w:r>
              <w:rPr>
                <w:rFonts w:hint="eastAsia" w:ascii="宋体" w:hAnsi="宋体" w:eastAsia="宋体" w:cs="宋体"/>
                <w:b w:val="0"/>
                <w:bCs/>
                <w:color w:val="000000" w:themeColor="text1"/>
                <w:sz w:val="24"/>
                <w:szCs w:val="24"/>
                <w14:textFill>
                  <w14:solidFill>
                    <w14:schemeClr w14:val="tx1"/>
                  </w14:solidFill>
                </w14:textFill>
              </w:rPr>
              <w:t>专家对</w:t>
            </w:r>
            <w:r>
              <w:rPr>
                <w:rFonts w:hint="eastAsia" w:ascii="宋体" w:hAnsi="宋体" w:eastAsia="宋体" w:cs="宋体"/>
                <w:b w:val="0"/>
                <w:bCs/>
                <w:color w:val="000000" w:themeColor="text1"/>
                <w:sz w:val="24"/>
                <w:szCs w:val="24"/>
                <w:lang w:eastAsia="zh-CN"/>
                <w14:textFill>
                  <w14:solidFill>
                    <w14:schemeClr w14:val="tx1"/>
                  </w14:solidFill>
                </w14:textFill>
              </w:rPr>
              <w:t>本项目</w:t>
            </w:r>
            <w:r>
              <w:rPr>
                <w:rFonts w:hint="eastAsia" w:ascii="宋体" w:hAnsi="宋体" w:eastAsia="宋体" w:cs="宋体"/>
                <w:b w:val="0"/>
                <w:bCs/>
                <w:color w:val="000000" w:themeColor="text1"/>
                <w:sz w:val="24"/>
                <w:szCs w:val="24"/>
                <w14:textFill>
                  <w14:solidFill>
                    <w14:schemeClr w14:val="tx1"/>
                  </w14:solidFill>
                </w14:textFill>
              </w:rPr>
              <w:t>进行了技术</w:t>
            </w:r>
            <w:r>
              <w:rPr>
                <w:rFonts w:hint="eastAsia" w:ascii="宋体" w:hAnsi="宋体" w:eastAsia="宋体" w:cs="宋体"/>
                <w:b w:val="0"/>
                <w:bCs/>
                <w:color w:val="000000" w:themeColor="text1"/>
                <w:sz w:val="24"/>
                <w:szCs w:val="24"/>
                <w:lang w:val="en-US" w:eastAsia="zh-CN"/>
                <w14:textFill>
                  <w14:solidFill>
                    <w14:schemeClr w14:val="tx1"/>
                  </w14:solidFill>
                </w14:textFill>
              </w:rPr>
              <w:t>审查</w:t>
            </w:r>
            <w:r>
              <w:rPr>
                <w:rFonts w:hint="eastAsia" w:ascii="宋体" w:hAnsi="宋体" w:eastAsia="宋体" w:cs="宋体"/>
                <w:b w:val="0"/>
                <w:bCs/>
                <w:color w:val="000000" w:themeColor="text1"/>
                <w:sz w:val="24"/>
                <w:szCs w:val="24"/>
                <w:lang w:eastAsia="zh-CN"/>
                <w14:textFill>
                  <w14:solidFill>
                    <w14:schemeClr w14:val="tx1"/>
                  </w14:solidFill>
                </w14:textFill>
              </w:rPr>
              <w:t>，根据专家意见对报告进行了认真修改，</w:t>
            </w:r>
            <w:r>
              <w:rPr>
                <w:rFonts w:hint="eastAsia" w:ascii="宋体" w:hAnsi="宋体" w:eastAsia="宋体" w:cs="宋体"/>
                <w:b w:val="0"/>
                <w:bCs/>
                <w:color w:val="000000" w:themeColor="text1"/>
                <w:sz w:val="24"/>
                <w:szCs w:val="24"/>
                <w14:textFill>
                  <w14:solidFill>
                    <w14:schemeClr w14:val="tx1"/>
                  </w14:solidFill>
                </w14:textFill>
              </w:rPr>
              <w:t>编制了《</w:t>
            </w:r>
            <w:r>
              <w:rPr>
                <w:rFonts w:hint="default" w:ascii="宋体" w:hAnsi="宋体" w:eastAsia="宋体" w:cs="宋体"/>
                <w:b w:val="0"/>
                <w:bCs/>
                <w:color w:val="000000" w:themeColor="text1"/>
                <w:sz w:val="24"/>
                <w:szCs w:val="24"/>
                <w:lang w:eastAsia="zh-CN"/>
                <w14:textFill>
                  <w14:solidFill>
                    <w14:schemeClr w14:val="tx1"/>
                  </w14:solidFill>
                </w14:textFill>
              </w:rPr>
              <w:t>山西宁武盆地南部地区煤层气勘查</w:t>
            </w:r>
            <w:r>
              <w:rPr>
                <w:rFonts w:hint="eastAsia" w:ascii="宋体" w:hAnsi="宋体" w:cs="宋体"/>
                <w:b w:val="0"/>
                <w:bCs/>
                <w:color w:val="000000" w:themeColor="text1"/>
                <w:sz w:val="24"/>
                <w:szCs w:val="24"/>
                <w:lang w:eastAsia="zh-CN"/>
                <w14:textFill>
                  <w14:solidFill>
                    <w14:schemeClr w14:val="tx1"/>
                  </w14:solidFill>
                </w14:textFill>
              </w:rPr>
              <w:t>宁探</w:t>
            </w:r>
            <w:r>
              <w:rPr>
                <w:rFonts w:hint="eastAsia" w:ascii="宋体" w:hAnsi="宋体" w:cs="宋体"/>
                <w:b w:val="0"/>
                <w:bCs/>
                <w:color w:val="000000" w:themeColor="text1"/>
                <w:sz w:val="24"/>
                <w:szCs w:val="24"/>
                <w:lang w:val="en-US" w:eastAsia="zh-CN"/>
                <w14:textFill>
                  <w14:solidFill>
                    <w14:schemeClr w14:val="tx1"/>
                  </w14:solidFill>
                </w14:textFill>
              </w:rPr>
              <w:t>1井</w:t>
            </w:r>
            <w:r>
              <w:rPr>
                <w:rFonts w:hint="default" w:ascii="宋体" w:hAnsi="宋体" w:eastAsia="宋体" w:cs="宋体"/>
                <w:b w:val="0"/>
                <w:bCs/>
                <w:color w:val="000000" w:themeColor="text1"/>
                <w:sz w:val="24"/>
                <w:szCs w:val="24"/>
                <w:lang w:eastAsia="zh-CN"/>
                <w14:textFill>
                  <w14:solidFill>
                    <w14:schemeClr w14:val="tx1"/>
                  </w14:solidFill>
                </w14:textFill>
              </w:rPr>
              <w:t>勘探项目</w:t>
            </w:r>
            <w:r>
              <w:rPr>
                <w:rFonts w:hint="default" w:ascii="宋体" w:hAnsi="宋体" w:eastAsia="宋体" w:cs="宋体"/>
                <w:b w:val="0"/>
                <w:bCs/>
                <w:color w:val="000000" w:themeColor="text1"/>
                <w:sz w:val="24"/>
                <w:szCs w:val="24"/>
                <w14:textFill>
                  <w14:solidFill>
                    <w14:schemeClr w14:val="tx1"/>
                  </w14:solidFill>
                </w14:textFill>
              </w:rPr>
              <w:t>环境影响报告表</w:t>
            </w:r>
            <w:r>
              <w:rPr>
                <w:rFonts w:hint="eastAsia" w:ascii="宋体" w:hAnsi="宋体" w:eastAsia="宋体" w:cs="宋体"/>
                <w:b w:val="0"/>
                <w:bCs/>
                <w:color w:val="000000" w:themeColor="text1"/>
                <w:sz w:val="24"/>
                <w:szCs w:val="24"/>
                <w14:textFill>
                  <w14:solidFill>
                    <w14:schemeClr w14:val="tx1"/>
                  </w14:solidFill>
                </w14:textFill>
              </w:rPr>
              <w:t>》（报批本），现提交建设单位，由建设单位呈报</w:t>
            </w:r>
            <w:r>
              <w:rPr>
                <w:rFonts w:hint="eastAsia" w:ascii="宋体" w:hAnsi="宋体" w:eastAsia="宋体" w:cs="宋体"/>
                <w:b w:val="0"/>
                <w:bCs/>
                <w:color w:val="000000" w:themeColor="text1"/>
                <w:sz w:val="24"/>
                <w:szCs w:val="24"/>
                <w:lang w:val="en-US" w:eastAsia="zh-CN"/>
                <w14:textFill>
                  <w14:solidFill>
                    <w14:schemeClr w14:val="tx1"/>
                  </w14:solidFill>
                </w14:textFill>
              </w:rPr>
              <w:t>静乐县行政审批</w:t>
            </w:r>
            <w:r>
              <w:rPr>
                <w:rFonts w:hint="eastAsia" w:ascii="宋体" w:hAnsi="宋体" w:cs="宋体"/>
                <w:b w:val="0"/>
                <w:bCs/>
                <w:color w:val="000000" w:themeColor="text1"/>
                <w:sz w:val="24"/>
                <w:szCs w:val="24"/>
                <w:lang w:val="en-US" w:eastAsia="zh-CN"/>
                <w14:textFill>
                  <w14:solidFill>
                    <w14:schemeClr w14:val="tx1"/>
                  </w14:solidFill>
                </w14:textFill>
              </w:rPr>
              <w:t>服务</w:t>
            </w:r>
            <w:r>
              <w:rPr>
                <w:rFonts w:hint="eastAsia" w:ascii="宋体" w:hAnsi="宋体" w:eastAsia="宋体" w:cs="宋体"/>
                <w:b w:val="0"/>
                <w:bCs/>
                <w:color w:val="000000" w:themeColor="text1"/>
                <w:sz w:val="24"/>
                <w:szCs w:val="24"/>
                <w:lang w:val="en-US" w:eastAsia="zh-CN"/>
                <w14:textFill>
                  <w14:solidFill>
                    <w14:schemeClr w14:val="tx1"/>
                  </w14:solidFill>
                </w14:textFill>
              </w:rPr>
              <w:t>管理局</w:t>
            </w:r>
            <w:r>
              <w:rPr>
                <w:rFonts w:hint="eastAsia" w:ascii="宋体" w:hAnsi="宋体" w:eastAsia="宋体" w:cs="宋体"/>
                <w:b w:val="0"/>
                <w:bCs/>
                <w:color w:val="000000" w:themeColor="text1"/>
                <w:sz w:val="24"/>
                <w:szCs w:val="24"/>
                <w14:textFill>
                  <w14:solidFill>
                    <w14:schemeClr w14:val="tx1"/>
                  </w14:solidFill>
                </w14:textFill>
              </w:rPr>
              <w:t>审批。</w:t>
            </w:r>
          </w:p>
          <w:p>
            <w:pPr>
              <w:pStyle w:val="25"/>
              <w:adjustRightInd w:val="0"/>
              <w:snapToGrid w:val="0"/>
              <w:spacing w:after="0" w:line="440" w:lineRule="exact"/>
              <w:ind w:left="0" w:leftChars="0" w:firstLine="560" w:firstLineChars="200"/>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四、建设项目概况</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t>1</w:t>
            </w:r>
            <w:r>
              <w:rPr>
                <w:rFonts w:hint="default" w:ascii="Times New Roman" w:hAnsi="Times New Roman" w:cs="Times New Roman"/>
                <w:b/>
                <w:bCs/>
                <w:snapToGrid w:val="0"/>
                <w:color w:val="000000" w:themeColor="text1"/>
                <w:kern w:val="0"/>
                <w:sz w:val="24"/>
                <w:szCs w:val="20"/>
                <w:lang w:val="en-US" w:eastAsia="zh-CN" w:bidi="ar-SA"/>
                <w14:textFill>
                  <w14:solidFill>
                    <w14:schemeClr w14:val="tx1"/>
                  </w14:solidFill>
                </w14:textFill>
              </w:rPr>
              <w:t xml:space="preserve">. </w:t>
            </w:r>
            <w:r>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t>基本情况</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eastAsia" w:cs="Times New Roman"/>
                <w:snapToGrid w:val="0"/>
                <w:color w:val="000000" w:themeColor="text1"/>
                <w:kern w:val="0"/>
                <w:sz w:val="24"/>
                <w:szCs w:val="20"/>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基本情况详见插表</w:t>
            </w:r>
            <w:r>
              <w:rPr>
                <w:rFonts w:hint="eastAsia" w:cs="Times New Roman"/>
                <w:snapToGrid w:val="0"/>
                <w:color w:val="000000" w:themeColor="text1"/>
                <w:kern w:val="0"/>
                <w:sz w:val="24"/>
                <w:szCs w:val="20"/>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项目基本情况表</w:t>
            </w:r>
          </w:p>
          <w:tbl>
            <w:tblPr>
              <w:tblStyle w:val="44"/>
              <w:tblW w:w="881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05"/>
              <w:gridCol w:w="1060"/>
              <w:gridCol w:w="694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序号</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项  目</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基本情况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项目名称</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山西宁武盆地南部地区煤层气勘查宁探1井勘探项目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建设单位</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中国石油天然气股份有限公司山西煤层气勘探开发分公司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项目性质</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建设地点</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宁探</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1井位于静乐县王村乡王村东北521m处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钻井个数</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1口（直井）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勘查范围</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勘查范围为</w:t>
                  </w:r>
                  <w:r>
                    <w:rPr>
                      <w:rFonts w:hint="eastAsia" w:cs="Times New Roman"/>
                      <w:color w:val="000000" w:themeColor="text1"/>
                      <w:szCs w:val="21"/>
                      <w:lang w:val="en-US" w:eastAsia="zh-CN"/>
                      <w14:textFill>
                        <w14:solidFill>
                          <w14:schemeClr w14:val="tx1"/>
                        </w14:solidFill>
                      </w14:textFill>
                    </w:rPr>
                    <w:t>2-3km</w:t>
                  </w:r>
                  <w:r>
                    <w:rPr>
                      <w:rFonts w:hint="eastAsia" w:cs="Times New Roman"/>
                      <w:color w:val="000000" w:themeColor="text1"/>
                      <w:szCs w:val="21"/>
                      <w:vertAlign w:val="superscript"/>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7</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投资总额</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w:t>
                  </w:r>
                  <w:r>
                    <w:rPr>
                      <w:rFonts w:hint="default" w:ascii="Times New Roman" w:hAnsi="Times New Roman" w:cs="Times New Roman" w:eastAsiaTheme="minorEastAsia"/>
                      <w:color w:val="000000" w:themeColor="text1"/>
                      <w:sz w:val="21"/>
                      <w:szCs w:val="2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8</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工作制度</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钻井：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36</w:t>
                  </w:r>
                  <w:r>
                    <w:rPr>
                      <w:rFonts w:hint="default" w:ascii="Times New Roman" w:hAnsi="Times New Roman" w:cs="Times New Roman" w:eastAsiaTheme="minorEastAsia"/>
                      <w:color w:val="000000" w:themeColor="text1"/>
                      <w:sz w:val="21"/>
                      <w:szCs w:val="21"/>
                      <w14:textFill>
                        <w14:solidFill>
                          <w14:schemeClr w14:val="tx1"/>
                        </w14:solidFill>
                      </w14:textFill>
                    </w:rPr>
                    <w:t>天；</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压裂2天，</w:t>
                  </w:r>
                  <w:r>
                    <w:rPr>
                      <w:rFonts w:hint="default" w:ascii="Times New Roman" w:hAnsi="Times New Roman" w:cs="Times New Roman" w:eastAsiaTheme="minorEastAsia"/>
                      <w:color w:val="000000" w:themeColor="text1"/>
                      <w:sz w:val="21"/>
                      <w:szCs w:val="21"/>
                      <w14:textFill>
                        <w14:solidFill>
                          <w14:schemeClr w14:val="tx1"/>
                        </w14:solidFill>
                      </w14:textFill>
                    </w:rPr>
                    <w:t>每天3班作业，每班8小时</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，排采期</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约90天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9</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职工人数</w:t>
                  </w:r>
                </w:p>
              </w:tc>
              <w:tc>
                <w:tcPr>
                  <w:tcW w:w="6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钻井20人</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试采</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人</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t>勘查区范围</w:t>
            </w:r>
          </w:p>
          <w:p>
            <w:pPr>
              <w:pStyle w:val="233"/>
              <w:tabs>
                <w:tab w:val="left" w:pos="7500"/>
              </w:tabs>
              <w:adjustRightInd w:val="0"/>
              <w:snapToGrid w:val="0"/>
              <w:rPr>
                <w:rFonts w:hint="default" w:ascii="Times New Roman" w:hAnsi="Times New Roman" w:cs="Times New Roman"/>
                <w:snapToGrid w:val="0"/>
                <w:color w:val="000000" w:themeColor="text1"/>
                <w:lang w:val="en-US" w:eastAsia="zh-CN"/>
                <w14:textFill>
                  <w14:solidFill>
                    <w14:schemeClr w14:val="tx1"/>
                  </w14:solidFill>
                </w14:textFill>
              </w:rPr>
            </w:pPr>
            <w:r>
              <w:rPr>
                <w:rFonts w:hint="default" w:ascii="Times New Roman" w:hAnsi="Times New Roman" w:cs="Times New Roman"/>
                <w:snapToGrid w:val="0"/>
                <w:color w:val="000000" w:themeColor="text1"/>
                <w:lang w:val="en-US" w:eastAsia="zh-CN"/>
                <w14:textFill>
                  <w14:solidFill>
                    <w14:schemeClr w14:val="tx1"/>
                  </w14:solidFill>
                </w14:textFill>
              </w:rPr>
              <w:t>2018年12月26日，中华人民共和国自然资源部对中国石油天然气股份有限公司山西宁武盆地南部地区煤层气勘查项目颁发了探矿证，勘查面积676.507km</w:t>
            </w:r>
            <w:r>
              <w:rPr>
                <w:rFonts w:hint="default" w:ascii="Times New Roman" w:hAnsi="Times New Roman" w:cs="Times New Roman"/>
                <w:snapToGrid w:val="0"/>
                <w:color w:val="000000" w:themeColor="text1"/>
                <w:vertAlign w:val="superscript"/>
                <w:lang w:val="en-US" w:eastAsia="zh-CN"/>
                <w14:textFill>
                  <w14:solidFill>
                    <w14:schemeClr w14:val="tx1"/>
                  </w14:solidFill>
                </w14:textFill>
              </w:rPr>
              <w:t>2</w:t>
            </w:r>
            <w:r>
              <w:rPr>
                <w:rFonts w:hint="default" w:ascii="Times New Roman" w:hAnsi="Times New Roman" w:cs="Times New Roman"/>
                <w:snapToGrid w:val="0"/>
                <w:color w:val="000000" w:themeColor="text1"/>
                <w:lang w:val="en-US" w:eastAsia="zh-CN"/>
                <w14:textFill>
                  <w14:solidFill>
                    <w14:schemeClr w14:val="tx1"/>
                  </w14:solidFill>
                </w14:textFill>
              </w:rPr>
              <w:t>，有效期为2018年5月8日至2020年5月7日</w:t>
            </w:r>
            <w:r>
              <w:rPr>
                <w:rFonts w:hint="eastAsia" w:cs="Times New Roman"/>
                <w:snapToGrid w:val="0"/>
                <w:color w:val="000000" w:themeColor="text1"/>
                <w:lang w:val="en-US" w:eastAsia="zh-CN"/>
                <w14:textFill>
                  <w14:solidFill>
                    <w14:schemeClr w14:val="tx1"/>
                  </w14:solidFill>
                </w14:textFill>
              </w:rPr>
              <w:t>，</w:t>
            </w:r>
            <w:r>
              <w:rPr>
                <w:rFonts w:hint="eastAsia" w:ascii="Times New Roman" w:hAnsi="Times New Roman" w:cs="Times New Roman"/>
                <w:snapToGrid w:val="0"/>
                <w:color w:val="000000" w:themeColor="text1"/>
                <w:lang w:val="en-US" w:eastAsia="zh-CN"/>
                <w14:textFill>
                  <w14:solidFill>
                    <w14:schemeClr w14:val="tx1"/>
                  </w14:solidFill>
                </w14:textFill>
              </w:rPr>
              <w:t>该探矿证延续手续乐县、岚县、娄烦县勘查范围保持不变。</w:t>
            </w:r>
          </w:p>
          <w:p>
            <w:pPr>
              <w:pStyle w:val="233"/>
              <w:keepNext w:val="0"/>
              <w:keepLines w:val="0"/>
              <w:pageBreakBefore w:val="0"/>
              <w:widowControl w:val="0"/>
              <w:tabs>
                <w:tab w:val="left" w:pos="7500"/>
              </w:tabs>
              <w:kinsoku/>
              <w:wordWrap/>
              <w:overflowPunct/>
              <w:topLinePunct w:val="0"/>
              <w:autoSpaceDE/>
              <w:autoSpaceDN/>
              <w:bidi w:val="0"/>
              <w:adjustRightInd w:val="0"/>
              <w:snapToGrid w:val="0"/>
              <w:textAlignment w:val="auto"/>
              <w:rPr>
                <w:rFonts w:hint="default" w:ascii="Times New Roman" w:hAnsi="Times New Roman" w:cs="Times New Roman"/>
                <w:snapToGrid w:val="0"/>
                <w:color w:val="000000" w:themeColor="text1"/>
                <w:lang w:val="en-US" w:eastAsia="zh-CN"/>
                <w14:textFill>
                  <w14:solidFill>
                    <w14:schemeClr w14:val="tx1"/>
                  </w14:solidFill>
                </w14:textFill>
              </w:rPr>
            </w:pPr>
            <w:r>
              <w:rPr>
                <w:rFonts w:hint="default" w:ascii="Times New Roman" w:hAnsi="Times New Roman" w:cs="Times New Roman"/>
                <w:snapToGrid w:val="0"/>
                <w:color w:val="000000" w:themeColor="text1"/>
                <w:lang w:val="en-US" w:eastAsia="zh-CN"/>
                <w14:textFill>
                  <w14:solidFill>
                    <w14:schemeClr w14:val="tx1"/>
                  </w14:solidFill>
                </w14:textFill>
              </w:rPr>
              <w:t>本次评价</w:t>
            </w:r>
            <w:r>
              <w:rPr>
                <w:rFonts w:hint="eastAsia" w:cs="Times New Roman"/>
                <w:snapToGrid w:val="0"/>
                <w:color w:val="000000" w:themeColor="text1"/>
                <w:lang w:val="en-US" w:eastAsia="zh-CN"/>
                <w14:textFill>
                  <w14:solidFill>
                    <w14:schemeClr w14:val="tx1"/>
                  </w14:solidFill>
                </w14:textFill>
              </w:rPr>
              <w:t>包含的勘探作业</w:t>
            </w:r>
            <w:r>
              <w:rPr>
                <w:rFonts w:hint="default" w:ascii="Times New Roman" w:hAnsi="Times New Roman" w:cs="Times New Roman"/>
                <w:snapToGrid w:val="0"/>
                <w:color w:val="000000" w:themeColor="text1"/>
                <w:lang w:val="en-US" w:eastAsia="zh-CN"/>
                <w14:textFill>
                  <w14:solidFill>
                    <w14:schemeClr w14:val="tx1"/>
                  </w14:solidFill>
                </w14:textFill>
              </w:rPr>
              <w:t>宁探1井</w:t>
            </w:r>
            <w:r>
              <w:rPr>
                <w:rFonts w:hint="eastAsia" w:cs="Times New Roman"/>
                <w:snapToGrid w:val="0"/>
                <w:color w:val="000000" w:themeColor="text1"/>
                <w:lang w:val="en-US" w:eastAsia="zh-CN"/>
                <w14:textFill>
                  <w14:solidFill>
                    <w14:schemeClr w14:val="tx1"/>
                  </w14:solidFill>
                </w14:textFill>
              </w:rPr>
              <w:t>拟在</w:t>
            </w:r>
            <w:r>
              <w:rPr>
                <w:rFonts w:hint="default" w:ascii="Times New Roman" w:hAnsi="Times New Roman" w:cs="Times New Roman"/>
                <w:snapToGrid w:val="0"/>
                <w:color w:val="000000" w:themeColor="text1"/>
                <w:lang w:val="en-US" w:eastAsia="zh-CN"/>
                <w14:textFill>
                  <w14:solidFill>
                    <w14:schemeClr w14:val="tx1"/>
                  </w14:solidFill>
                </w14:textFill>
              </w:rPr>
              <w:t>忻州静乐县王村乡境内进行</w:t>
            </w:r>
            <w:r>
              <w:rPr>
                <w:rFonts w:hint="eastAsia" w:cs="Times New Roman"/>
                <w:snapToGrid w:val="0"/>
                <w:color w:val="000000" w:themeColor="text1"/>
                <w:lang w:val="en-US" w:eastAsia="zh-CN"/>
                <w14:textFill>
                  <w14:solidFill>
                    <w14:schemeClr w14:val="tx1"/>
                  </w14:solidFill>
                </w14:textFill>
              </w:rPr>
              <w:t>，勘查范围为2~3km</w:t>
            </w:r>
            <w:r>
              <w:rPr>
                <w:rFonts w:hint="eastAsia" w:cs="Times New Roman"/>
                <w:snapToGrid w:val="0"/>
                <w:color w:val="000000" w:themeColor="text1"/>
                <w:vertAlign w:val="superscript"/>
                <w:lang w:val="en-US" w:eastAsia="zh-CN"/>
                <w14:textFill>
                  <w14:solidFill>
                    <w14:schemeClr w14:val="tx1"/>
                  </w14:solidFill>
                </w14:textFill>
              </w:rPr>
              <w:t>2</w:t>
            </w:r>
            <w:r>
              <w:rPr>
                <w:rFonts w:hint="default" w:ascii="Times New Roman" w:hAnsi="Times New Roman" w:cs="Times New Roman"/>
                <w:snapToGrid w:val="0"/>
                <w:color w:val="000000" w:themeColor="text1"/>
                <w:lang w:val="en-US"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left="0" w:leftChars="0" w:firstLine="480" w:firstLineChars="200"/>
              <w:textAlignment w:val="auto"/>
              <w:outlineLvl w:val="9"/>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t>工程建设规模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本项目位于宁武盆地西南斜坡带，计划建设1个勘查井（宁探1井），位于勘查范围之内，井型为直井。探井位置、坐标及占地性质见插表</w:t>
            </w:r>
            <w:r>
              <w:rPr>
                <w:rFonts w:hint="eastAsia" w:cs="Times New Roman"/>
                <w:snapToGrid w:val="0"/>
                <w:color w:val="000000" w:themeColor="text1"/>
                <w:kern w:val="0"/>
                <w:sz w:val="24"/>
                <w:szCs w:val="20"/>
                <w:lang w:val="en-US" w:eastAsia="zh-CN" w:bidi="ar-SA"/>
                <w14:textFill>
                  <w14:solidFill>
                    <w14:schemeClr w14:val="tx1"/>
                  </w14:solidFill>
                </w14:textFill>
              </w:rPr>
              <w:t>3</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本项目</w:t>
            </w:r>
            <w:r>
              <w:rPr>
                <w:rFonts w:hint="eastAsia" w:cs="Times New Roman"/>
                <w:snapToGrid w:val="0"/>
                <w:color w:val="000000" w:themeColor="text1"/>
                <w:kern w:val="0"/>
                <w:sz w:val="24"/>
                <w:szCs w:val="20"/>
                <w:lang w:val="en-US" w:eastAsia="zh-CN" w:bidi="ar-SA"/>
                <w14:textFill>
                  <w14:solidFill>
                    <w14:schemeClr w14:val="tx1"/>
                  </w14:solidFill>
                </w14:textFill>
              </w:rPr>
              <w:t>进</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场道路</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主要利用乡村道路，无改建</w:t>
            </w:r>
            <w:r>
              <w:rPr>
                <w:rFonts w:hint="eastAsia"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新修道路</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勘查井基本情况表</w:t>
            </w:r>
          </w:p>
          <w:tbl>
            <w:tblPr>
              <w:tblStyle w:val="44"/>
              <w:tblW w:w="8814"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5" w:type="dxa"/>
                <w:bottom w:w="0" w:type="dxa"/>
                <w:right w:w="15" w:type="dxa"/>
              </w:tblCellMar>
            </w:tblPr>
            <w:tblGrid>
              <w:gridCol w:w="365"/>
              <w:gridCol w:w="615"/>
              <w:gridCol w:w="807"/>
              <w:gridCol w:w="1040"/>
              <w:gridCol w:w="1745"/>
              <w:gridCol w:w="1631"/>
              <w:gridCol w:w="1349"/>
              <w:gridCol w:w="126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5" w:type="dxa"/>
                  <w:bottom w:w="0" w:type="dxa"/>
                  <w:right w:w="15" w:type="dxa"/>
                </w:tblCellMar>
              </w:tblPrEx>
              <w:trPr>
                <w:trHeight w:val="340" w:hRule="atLeast"/>
              </w:trPr>
              <w:tc>
                <w:tcPr>
                  <w:tcW w:w="365" w:type="dxa"/>
                  <w:vMerge w:val="restart"/>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14:textFill>
                        <w14:solidFill>
                          <w14:schemeClr w14:val="tx1"/>
                        </w14:solidFill>
                      </w14:textFill>
                    </w:rPr>
                    <w:t>序号</w:t>
                  </w:r>
                </w:p>
              </w:tc>
              <w:tc>
                <w:tcPr>
                  <w:tcW w:w="1422" w:type="dxa"/>
                  <w:gridSpan w:val="2"/>
                  <w:vMerge w:val="restart"/>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14:textFill>
                        <w14:solidFill>
                          <w14:schemeClr w14:val="tx1"/>
                        </w14:solidFill>
                      </w14:textFill>
                    </w:rPr>
                    <w:t>设计钻孔</w:t>
                  </w:r>
                </w:p>
              </w:tc>
              <w:tc>
                <w:tcPr>
                  <w:tcW w:w="1040" w:type="dxa"/>
                  <w:vMerge w:val="restart"/>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14:textFill>
                        <w14:solidFill>
                          <w14:schemeClr w14:val="tx1"/>
                        </w14:solidFill>
                      </w14:textFill>
                    </w:rPr>
                    <w:t>位置</w:t>
                  </w:r>
                </w:p>
              </w:tc>
              <w:tc>
                <w:tcPr>
                  <w:tcW w:w="3376" w:type="dxa"/>
                  <w:gridSpan w:val="2"/>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14:textFill>
                        <w14:solidFill>
                          <w14:schemeClr w14:val="tx1"/>
                        </w14:solidFill>
                      </w14:textFill>
                    </w:rPr>
                    <w:t>井口</w:t>
                  </w:r>
                  <w:r>
                    <w:rPr>
                      <w:rFonts w:hint="default" w:ascii="Times New Roman" w:hAnsi="Times New Roman" w:cs="Times New Roman"/>
                      <w:b/>
                      <w:bCs/>
                      <w:color w:val="000000" w:themeColor="text1"/>
                      <w:sz w:val="21"/>
                      <w:szCs w:val="21"/>
                      <w:shd w:val="clear" w:color="auto" w:fill="FFFFFF"/>
                      <w:lang w:eastAsia="zh-CN"/>
                      <w14:textFill>
                        <w14:solidFill>
                          <w14:schemeClr w14:val="tx1"/>
                        </w14:solidFill>
                      </w14:textFill>
                    </w:rPr>
                    <w:t>经纬度</w:t>
                  </w:r>
                  <w:r>
                    <w:rPr>
                      <w:rFonts w:hint="default" w:ascii="Times New Roman" w:hAnsi="Times New Roman" w:cs="Times New Roman"/>
                      <w:b/>
                      <w:bCs/>
                      <w:color w:val="000000" w:themeColor="text1"/>
                      <w:sz w:val="21"/>
                      <w:szCs w:val="21"/>
                      <w:shd w:val="clear" w:color="auto" w:fill="FFFFFF"/>
                      <w14:textFill>
                        <w14:solidFill>
                          <w14:schemeClr w14:val="tx1"/>
                        </w14:solidFill>
                      </w14:textFill>
                    </w:rPr>
                    <w:t>坐标</w:t>
                  </w:r>
                </w:p>
              </w:tc>
              <w:tc>
                <w:tcPr>
                  <w:tcW w:w="1349" w:type="dxa"/>
                  <w:vMerge w:val="restart"/>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14:textFill>
                        <w14:solidFill>
                          <w14:schemeClr w14:val="tx1"/>
                        </w14:solidFill>
                      </w14:textFill>
                    </w:rPr>
                    <w:t>井深</w:t>
                  </w:r>
                </w:p>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14:textFill>
                        <w14:solidFill>
                          <w14:schemeClr w14:val="tx1"/>
                        </w14:solidFill>
                      </w14:textFill>
                    </w:rPr>
                    <w:t>m</w:t>
                  </w:r>
                </w:p>
              </w:tc>
              <w:tc>
                <w:tcPr>
                  <w:tcW w:w="1262" w:type="dxa"/>
                  <w:vMerge w:val="restart"/>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占地性质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5" w:type="dxa"/>
                  <w:bottom w:w="0" w:type="dxa"/>
                  <w:right w:w="15" w:type="dxa"/>
                </w:tblCellMar>
              </w:tblPrEx>
              <w:trPr>
                <w:trHeight w:val="340" w:hRule="atLeast"/>
              </w:trPr>
              <w:tc>
                <w:tcPr>
                  <w:tcW w:w="365" w:type="dxa"/>
                  <w:vMerge w:val="continue"/>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outlineLvl w:val="9"/>
                    <w:rPr>
                      <w:rFonts w:hint="default" w:ascii="Times New Roman" w:hAnsi="Times New Roman" w:cs="Times New Roman"/>
                      <w:color w:val="000000" w:themeColor="text1"/>
                      <w:sz w:val="21"/>
                      <w:szCs w:val="21"/>
                      <w14:textFill>
                        <w14:solidFill>
                          <w14:schemeClr w14:val="tx1"/>
                        </w14:solidFill>
                      </w14:textFill>
                    </w:rPr>
                  </w:pPr>
                </w:p>
              </w:tc>
              <w:tc>
                <w:tcPr>
                  <w:tcW w:w="1422" w:type="dxa"/>
                  <w:gridSpan w:val="2"/>
                  <w:vMerge w:val="continue"/>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val="0"/>
                    <w:bidi w:val="0"/>
                    <w:adjustRightInd/>
                    <w:snapToGrid/>
                    <w:spacing w:line="240" w:lineRule="auto"/>
                    <w:outlineLvl w:val="9"/>
                    <w:rPr>
                      <w:rFonts w:hint="default" w:ascii="Times New Roman" w:hAnsi="Times New Roman" w:cs="Times New Roman"/>
                      <w:color w:val="000000" w:themeColor="text1"/>
                      <w:sz w:val="21"/>
                      <w:szCs w:val="21"/>
                      <w14:textFill>
                        <w14:solidFill>
                          <w14:schemeClr w14:val="tx1"/>
                        </w14:solidFill>
                      </w14:textFill>
                    </w:rPr>
                  </w:pPr>
                </w:p>
              </w:tc>
              <w:tc>
                <w:tcPr>
                  <w:tcW w:w="1040" w:type="dxa"/>
                  <w:vMerge w:val="continue"/>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outlineLvl w:val="9"/>
                    <w:rPr>
                      <w:rFonts w:hint="default" w:ascii="Times New Roman" w:hAnsi="Times New Roman" w:cs="Times New Roman"/>
                      <w:color w:val="000000" w:themeColor="text1"/>
                      <w:sz w:val="21"/>
                      <w:szCs w:val="21"/>
                      <w14:textFill>
                        <w14:solidFill>
                          <w14:schemeClr w14:val="tx1"/>
                        </w14:solidFill>
                      </w14:textFill>
                    </w:rPr>
                  </w:pPr>
                </w:p>
              </w:tc>
              <w:tc>
                <w:tcPr>
                  <w:tcW w:w="1745" w:type="dxa"/>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eastAsiaTheme="minorEastAsia"/>
                      <w:b/>
                      <w:bCs/>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lang w:eastAsia="zh-CN"/>
                      <w14:textFill>
                        <w14:solidFill>
                          <w14:schemeClr w14:val="tx1"/>
                        </w14:solidFill>
                      </w14:textFill>
                    </w:rPr>
                    <w:t>东经</w:t>
                  </w:r>
                </w:p>
              </w:tc>
              <w:tc>
                <w:tcPr>
                  <w:tcW w:w="1631" w:type="dxa"/>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eastAsiaTheme="minorEastAsia"/>
                      <w:b/>
                      <w:bCs/>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FFFFFF"/>
                      <w:lang w:eastAsia="zh-CN"/>
                      <w14:textFill>
                        <w14:solidFill>
                          <w14:schemeClr w14:val="tx1"/>
                        </w14:solidFill>
                      </w14:textFill>
                    </w:rPr>
                    <w:t>北纬</w:t>
                  </w:r>
                </w:p>
              </w:tc>
              <w:tc>
                <w:tcPr>
                  <w:tcW w:w="1349" w:type="dxa"/>
                  <w:vMerge w:val="continue"/>
                  <w:tcBorders>
                    <w:tl2br w:val="nil"/>
                    <w:tr2bl w:val="nil"/>
                  </w:tcBorders>
                  <w:shd w:val="solid" w:color="FFFFFF" w:fill="auto"/>
                  <w:vAlign w:val="top"/>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color w:val="000000" w:themeColor="text1"/>
                      <w:sz w:val="21"/>
                      <w:szCs w:val="21"/>
                      <w:shd w:val="clear" w:color="auto" w:fill="FFFFFF"/>
                      <w14:textFill>
                        <w14:solidFill>
                          <w14:schemeClr w14:val="tx1"/>
                        </w14:solidFill>
                      </w14:textFill>
                    </w:rPr>
                  </w:pPr>
                </w:p>
              </w:tc>
              <w:tc>
                <w:tcPr>
                  <w:tcW w:w="1262" w:type="dxa"/>
                  <w:vMerge w:val="continue"/>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color w:val="000000" w:themeColor="text1"/>
                      <w:sz w:val="21"/>
                      <w:szCs w:val="21"/>
                      <w:shd w:val="clear" w:color="auto" w:fill="FFFFFF"/>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5" w:type="dxa"/>
                  <w:bottom w:w="0" w:type="dxa"/>
                  <w:right w:w="15" w:type="dxa"/>
                </w:tblCellMar>
              </w:tblPrEx>
              <w:trPr>
                <w:trHeight w:val="340" w:hRule="atLeast"/>
              </w:trPr>
              <w:tc>
                <w:tcPr>
                  <w:tcW w:w="365" w:type="dxa"/>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t>1</w:t>
                  </w:r>
                </w:p>
              </w:tc>
              <w:tc>
                <w:tcPr>
                  <w:tcW w:w="615" w:type="dxa"/>
                  <w:tcBorders>
                    <w:tl2br w:val="nil"/>
                    <w:tr2bl w:val="nil"/>
                  </w:tcBorders>
                  <w:shd w:val="solid" w:color="FFFFFF" w:fill="auto"/>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outlineLvl w:val="9"/>
                    <w:rPr>
                      <w:rFonts w:hint="default" w:ascii="Times New Roman" w:hAnsi="Times New Roman" w:cs="Times New Roman" w:eastAsiaTheme="minorEastAsia"/>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新建</w:t>
                  </w:r>
                </w:p>
              </w:tc>
              <w:tc>
                <w:tcPr>
                  <w:tcW w:w="807" w:type="dxa"/>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jc w:val="center"/>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宁探</w:t>
                  </w:r>
                  <w:r>
                    <w:rPr>
                      <w:rFonts w:hint="default" w:ascii="Times New Roman" w:hAnsi="Times New Roman" w:cs="Times New Roman"/>
                      <w:color w:val="000000" w:themeColor="text1"/>
                      <w:sz w:val="21"/>
                      <w:szCs w:val="21"/>
                      <w:lang w:val="en-US" w:eastAsia="zh-CN"/>
                      <w14:textFill>
                        <w14:solidFill>
                          <w14:schemeClr w14:val="tx1"/>
                        </w14:solidFill>
                      </w14:textFill>
                    </w:rPr>
                    <w:t>1井</w:t>
                  </w:r>
                </w:p>
              </w:tc>
              <w:tc>
                <w:tcPr>
                  <w:tcW w:w="1040" w:type="dxa"/>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静乐县王村乡</w:t>
                  </w:r>
                  <w:r>
                    <w:rPr>
                      <w:rFonts w:hint="default" w:ascii="Times New Roman" w:hAnsi="Times New Roman" w:cs="Times New Roman"/>
                      <w:color w:val="000000" w:themeColor="text1"/>
                      <w:sz w:val="21"/>
                      <w:szCs w:val="21"/>
                      <w:lang w:val="en-US" w:eastAsia="zh-CN"/>
                      <w14:textFill>
                        <w14:solidFill>
                          <w14:schemeClr w14:val="tx1"/>
                        </w14:solidFill>
                      </w14:textFill>
                    </w:rPr>
                    <w:t>境内</w:t>
                  </w:r>
                </w:p>
              </w:tc>
              <w:tc>
                <w:tcPr>
                  <w:tcW w:w="1745" w:type="dxa"/>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jc w:val="center"/>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111°</w:t>
                  </w:r>
                  <w:r>
                    <w:rPr>
                      <w:rFonts w:hint="default" w:ascii="Times New Roman" w:hAnsi="Times New Roman" w:cs="Times New Roman"/>
                      <w:color w:val="000000" w:themeColor="text1"/>
                      <w:sz w:val="21"/>
                      <w:szCs w:val="21"/>
                      <w:lang w:val="en-US" w:eastAsia="zh-CN"/>
                      <w14:textFill>
                        <w14:solidFill>
                          <w14:schemeClr w14:val="tx1"/>
                        </w14:solidFill>
                      </w14:textFill>
                    </w:rPr>
                    <w:t>52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11.31</w:t>
                  </w:r>
                  <w:r>
                    <w:rPr>
                      <w:rFonts w:hint="default" w:ascii="Times New Roman" w:hAnsi="Times New Roman" w:cs="Times New Roman"/>
                      <w:color w:val="000000" w:themeColor="text1"/>
                      <w:sz w:val="21"/>
                      <w:szCs w:val="21"/>
                      <w14:textFill>
                        <w14:solidFill>
                          <w14:schemeClr w14:val="tx1"/>
                        </w14:solidFill>
                      </w14:textFill>
                    </w:rPr>
                    <w:t>"</w:t>
                  </w:r>
                </w:p>
              </w:tc>
              <w:tc>
                <w:tcPr>
                  <w:tcW w:w="1631" w:type="dxa"/>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jc w:val="both"/>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w:t>
                  </w:r>
                  <w:r>
                    <w:rPr>
                      <w:rFonts w:hint="default" w:ascii="Times New Roman" w:hAnsi="Times New Roman" w:cs="Times New Roman"/>
                      <w:color w:val="000000" w:themeColor="text1"/>
                      <w:sz w:val="21"/>
                      <w:szCs w:val="21"/>
                      <w:lang w:val="en-US" w:eastAsia="zh-CN"/>
                      <w14:textFill>
                        <w14:solidFill>
                          <w14:schemeClr w14:val="tx1"/>
                        </w14:solidFill>
                      </w14:textFill>
                    </w:rPr>
                    <w:t>23</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41.43</w:t>
                  </w:r>
                  <w:r>
                    <w:rPr>
                      <w:rFonts w:hint="default" w:ascii="Times New Roman" w:hAnsi="Times New Roman" w:cs="Times New Roman"/>
                      <w:color w:val="000000" w:themeColor="text1"/>
                      <w:sz w:val="21"/>
                      <w:szCs w:val="21"/>
                      <w14:textFill>
                        <w14:solidFill>
                          <w14:schemeClr w14:val="tx1"/>
                        </w14:solidFill>
                      </w14:textFill>
                    </w:rPr>
                    <w:t>"</w:t>
                  </w:r>
                </w:p>
              </w:tc>
              <w:tc>
                <w:tcPr>
                  <w:tcW w:w="1349" w:type="dxa"/>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jc w:val="center"/>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2095m</w:t>
                  </w:r>
                  <w:r>
                    <w:rPr>
                      <w:rFonts w:hint="default" w:ascii="Times New Roman" w:hAnsi="Times New Roman" w:eastAsia="宋体" w:cs="Times New Roman"/>
                      <w:bCs/>
                      <w:color w:val="000000" w:themeColor="text1"/>
                      <w:sz w:val="21"/>
                      <w:szCs w:val="21"/>
                      <w:u w:val="none"/>
                      <w14:textFill>
                        <w14:solidFill>
                          <w14:schemeClr w14:val="tx1"/>
                        </w14:solidFill>
                      </w14:textFill>
                    </w:rPr>
                    <w:t>（垂深）</w:t>
                  </w:r>
                </w:p>
              </w:tc>
              <w:tc>
                <w:tcPr>
                  <w:tcW w:w="1262" w:type="dxa"/>
                  <w:tcBorders>
                    <w:tl2br w:val="nil"/>
                    <w:tr2bl w:val="nil"/>
                  </w:tcBorders>
                  <w:shd w:val="solid" w:color="FFFFFF" w:fill="auto"/>
                  <w:vAlign w:val="center"/>
                </w:tcPr>
                <w:p>
                  <w:pPr>
                    <w:keepNext w:val="0"/>
                    <w:keepLines w:val="0"/>
                    <w:pageBreakBefore w:val="0"/>
                    <w:widowControl w:val="0"/>
                    <w:kinsoku/>
                    <w:wordWrap/>
                    <w:overflowPunct/>
                    <w:topLinePunct w:val="0"/>
                    <w:autoSpaceDE/>
                    <w:bidi w:val="0"/>
                    <w:adjustRightInd/>
                    <w:snapToGrid/>
                    <w:spacing w:line="240" w:lineRule="auto"/>
                    <w:jc w:val="center"/>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灌木林地</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ind w:left="0" w:leftChars="0" w:firstLine="480" w:firstLineChars="200"/>
              <w:textAlignment w:val="auto"/>
              <w:outlineLvl w:val="9"/>
              <w:rPr>
                <w:rFonts w:hint="default" w:ascii="Times New Roman" w:hAnsi="Times New Roman" w:cs="Times New Roman"/>
                <w:b/>
                <w:bCs/>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0"/>
                <w:lang w:val="en-US" w:eastAsia="zh-CN" w:bidi="ar-SA"/>
                <w14:textFill>
                  <w14:solidFill>
                    <w14:schemeClr w14:val="tx1"/>
                  </w14:solidFill>
                </w14:textFill>
              </w:rPr>
              <w:t>勘探井位</w:t>
            </w:r>
            <w:r>
              <w:rPr>
                <w:rFonts w:hint="default" w:ascii="Times New Roman" w:hAnsi="Times New Roman" w:cs="Times New Roman"/>
                <w:b/>
                <w:bCs/>
                <w:snapToGrid w:val="0"/>
                <w:color w:val="000000" w:themeColor="text1"/>
                <w:kern w:val="0"/>
                <w:sz w:val="24"/>
                <w:szCs w:val="20"/>
                <w:lang w:val="en-US" w:eastAsia="zh-CN" w:bidi="ar-SA"/>
                <w14:textFill>
                  <w14:solidFill>
                    <w14:schemeClr w14:val="tx1"/>
                  </w14:solidFill>
                </w14:textFill>
              </w:rPr>
              <w:t>类别及工作内容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勘探井位</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类别及工作内容</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见插表</w:t>
            </w:r>
            <w:r>
              <w:rPr>
                <w:rFonts w:hint="eastAsia" w:cs="Times New Roman"/>
                <w:snapToGrid w:val="0"/>
                <w:color w:val="000000" w:themeColor="text1"/>
                <w:kern w:val="0"/>
                <w:sz w:val="24"/>
                <w:szCs w:val="20"/>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宁探1井类别及工作内容</w:t>
            </w:r>
          </w:p>
          <w:tbl>
            <w:tblPr>
              <w:tblStyle w:val="44"/>
              <w:tblW w:w="881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88"/>
              <w:gridCol w:w="1009"/>
              <w:gridCol w:w="1121"/>
              <w:gridCol w:w="4007"/>
              <w:gridCol w:w="461"/>
              <w:gridCol w:w="460"/>
              <w:gridCol w:w="86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88"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井位名称</w:t>
                  </w:r>
                </w:p>
              </w:tc>
              <w:tc>
                <w:tcPr>
                  <w:tcW w:w="1009"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井深（m）</w:t>
                  </w:r>
                </w:p>
              </w:tc>
              <w:tc>
                <w:tcPr>
                  <w:tcW w:w="1121"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完钻层位</w:t>
                  </w:r>
                </w:p>
              </w:tc>
              <w:tc>
                <w:tcPr>
                  <w:tcW w:w="400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钻井目的</w:t>
                  </w:r>
                </w:p>
              </w:tc>
              <w:tc>
                <w:tcPr>
                  <w:tcW w:w="461"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探井</w:t>
                  </w:r>
                </w:p>
              </w:tc>
              <w:tc>
                <w:tcPr>
                  <w:tcW w:w="46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井别</w:t>
                  </w:r>
                </w:p>
              </w:tc>
              <w:tc>
                <w:tcPr>
                  <w:tcW w:w="86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工作内容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宁探</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1井</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cs="Times New Roman" w:eastAsiaTheme="minorEastAsia"/>
                      <w:color w:val="000000" w:themeColor="text1"/>
                      <w:sz w:val="21"/>
                      <w:szCs w:val="21"/>
                      <w:u w:val="none"/>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2095m</w:t>
                  </w:r>
                  <w:r>
                    <w:rPr>
                      <w:rFonts w:hint="default" w:ascii="Times New Roman" w:hAnsi="Times New Roman" w:cs="Times New Roman" w:eastAsiaTheme="minorEastAsia"/>
                      <w:bCs/>
                      <w:color w:val="000000" w:themeColor="text1"/>
                      <w:sz w:val="21"/>
                      <w:szCs w:val="21"/>
                      <w:u w:val="none"/>
                      <w14:textFill>
                        <w14:solidFill>
                          <w14:schemeClr w14:val="tx1"/>
                        </w14:solidFill>
                      </w14:textFill>
                    </w:rPr>
                    <w:t>（垂深）</w:t>
                  </w:r>
                </w:p>
              </w:tc>
              <w:tc>
                <w:tcPr>
                  <w:tcW w:w="1121" w:type="dxa"/>
                  <w:tcBorders>
                    <w:tl2br w:val="nil"/>
                    <w:tr2bl w:val="nil"/>
                  </w:tcBorders>
                  <w:vAlign w:val="center"/>
                </w:tcPr>
                <w:p>
                  <w:pPr>
                    <w:pStyle w:val="69"/>
                    <w:keepNext w:val="0"/>
                    <w:keepLines w:val="0"/>
                    <w:pageBreakBefore w:val="0"/>
                    <w:widowControl w:val="0"/>
                    <w:kinsoku/>
                    <w:wordWrap/>
                    <w:overflowPunct/>
                    <w:topLinePunct w:val="0"/>
                    <w:autoSpaceDE/>
                    <w:autoSpaceDN/>
                    <w:bidi w:val="0"/>
                    <w:spacing w:before="0" w:line="240" w:lineRule="auto"/>
                    <w:jc w:val="center"/>
                    <w:textAlignment w:val="auto"/>
                    <w:outlineLvl w:val="9"/>
                    <w:rPr>
                      <w:rFonts w:hint="default" w:ascii="Times New Roman" w:hAnsi="Times New Roman" w:cs="Times New Roman" w:eastAsiaTheme="minorEastAsia"/>
                      <w:color w:val="000000" w:themeColor="text1"/>
                      <w:sz w:val="21"/>
                      <w:szCs w:val="21"/>
                      <w:u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奥陶系峰峰组（O</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f）</w:t>
                  </w:r>
                </w:p>
              </w:tc>
              <w:tc>
                <w:tcPr>
                  <w:tcW w:w="4007"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u w:val="none"/>
                      <w14:textFill>
                        <w14:solidFill>
                          <w14:schemeClr w14:val="tx1"/>
                        </w14:solidFill>
                      </w14:textFill>
                    </w:rPr>
                    <w:t>获取主要目的层奥陶系灰岩、煤层（4</w:t>
                  </w:r>
                  <w:r>
                    <w:rPr>
                      <w:rFonts w:hint="default" w:ascii="Times New Roman" w:hAnsi="Times New Roman" w:cs="Times New Roman" w:eastAsiaTheme="minorEastAsia"/>
                      <w:color w:val="000000" w:themeColor="text1"/>
                      <w:sz w:val="21"/>
                      <w:szCs w:val="21"/>
                      <w:u w:val="none"/>
                      <w:vertAlign w:val="superscript"/>
                      <w14:textFill>
                        <w14:solidFill>
                          <w14:schemeClr w14:val="tx1"/>
                        </w14:solidFill>
                      </w14:textFill>
                    </w:rPr>
                    <w:t>#</w:t>
                  </w:r>
                  <w:r>
                    <w:rPr>
                      <w:rFonts w:hint="default" w:ascii="Times New Roman" w:hAnsi="Times New Roman" w:cs="Times New Roman" w:eastAsiaTheme="minorEastAsia"/>
                      <w:color w:val="000000" w:themeColor="text1"/>
                      <w:sz w:val="21"/>
                      <w:szCs w:val="21"/>
                      <w:u w:val="none"/>
                      <w14:textFill>
                        <w14:solidFill>
                          <w14:schemeClr w14:val="tx1"/>
                        </w14:solidFill>
                      </w14:textFill>
                    </w:rPr>
                    <w:t>煤层、9</w:t>
                  </w:r>
                  <w:r>
                    <w:rPr>
                      <w:rFonts w:hint="default" w:ascii="Times New Roman" w:hAnsi="Times New Roman" w:cs="Times New Roman" w:eastAsiaTheme="minorEastAsia"/>
                      <w:color w:val="000000" w:themeColor="text1"/>
                      <w:sz w:val="21"/>
                      <w:szCs w:val="21"/>
                      <w:u w:val="none"/>
                      <w:vertAlign w:val="superscript"/>
                      <w14:textFill>
                        <w14:solidFill>
                          <w14:schemeClr w14:val="tx1"/>
                        </w14:solidFill>
                      </w14:textFill>
                    </w:rPr>
                    <w:t>#</w:t>
                  </w:r>
                  <w:r>
                    <w:rPr>
                      <w:rFonts w:hint="default" w:ascii="Times New Roman" w:hAnsi="Times New Roman" w:cs="Times New Roman" w:eastAsiaTheme="minorEastAsia"/>
                      <w:color w:val="000000" w:themeColor="text1"/>
                      <w:sz w:val="21"/>
                      <w:szCs w:val="21"/>
                      <w:u w:val="none"/>
                      <w14:textFill>
                        <w14:solidFill>
                          <w14:schemeClr w14:val="tx1"/>
                        </w14:solidFill>
                      </w14:textFill>
                    </w:rPr>
                    <w:t>煤层）及砂岩储层（下石盒子组、山西组）的相关参数，并进行评价试采</w:t>
                  </w:r>
                </w:p>
              </w:tc>
              <w:tc>
                <w:tcPr>
                  <w:tcW w:w="461"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直井</w:t>
                  </w:r>
                </w:p>
              </w:tc>
              <w:tc>
                <w:tcPr>
                  <w:tcW w:w="460"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探井</w:t>
                  </w:r>
                </w:p>
              </w:tc>
              <w:tc>
                <w:tcPr>
                  <w:tcW w:w="863" w:type="dxa"/>
                  <w:tcBorders>
                    <w:tl2br w:val="nil"/>
                    <w:tr2bl w:val="nil"/>
                  </w:tcBorders>
                  <w:vAlign w:val="center"/>
                </w:tcPr>
                <w:p>
                  <w:pPr>
                    <w:pStyle w:val="4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钻井、压裂、试采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备注</w:t>
                  </w:r>
                </w:p>
              </w:tc>
              <w:tc>
                <w:tcPr>
                  <w:tcW w:w="7922"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直井是指</w:t>
                  </w:r>
                  <w:r>
                    <w:rPr>
                      <w:rFonts w:hint="default" w:ascii="Times New Roman" w:hAnsi="Times New Roman" w:cs="Times New Roman" w:eastAsiaTheme="minorEastAsia"/>
                      <w:bCs/>
                      <w:color w:val="000000" w:themeColor="text1"/>
                      <w:sz w:val="21"/>
                      <w:szCs w:val="21"/>
                      <w14:textFill>
                        <w14:solidFill>
                          <w14:schemeClr w14:val="tx1"/>
                        </w14:solidFill>
                      </w14:textFill>
                    </w:rPr>
                    <w:t>设计轨道是</w:t>
                  </w:r>
                  <w:r>
                    <w:rPr>
                      <w:rFonts w:hint="default" w:ascii="Times New Roman" w:hAnsi="Times New Roman" w:cs="Times New Roman" w:eastAsiaTheme="minorEastAsia"/>
                      <w:color w:val="000000" w:themeColor="text1"/>
                      <w:sz w:val="21"/>
                      <w:szCs w:val="21"/>
                      <w14:textFill>
                        <w14:solidFill>
                          <w14:schemeClr w14:val="tx1"/>
                        </w14:solidFill>
                      </w14:textFill>
                    </w:rPr>
                    <w:t>一条铅垂线的井，地面井口位置与钻达目的层的井底位置的地理坐标一致，并且井眼从井口开始始终保持垂直向下钻进至设计深度。</w:t>
                  </w:r>
                </w:p>
              </w:tc>
            </w:tr>
          </w:tbl>
          <w:p>
            <w:pPr>
              <w:pStyle w:val="180"/>
              <w:numPr>
                <w:ilvl w:val="0"/>
                <w:numId w:val="0"/>
              </w:numPr>
              <w:tabs>
                <w:tab w:val="left" w:pos="7500"/>
              </w:tabs>
              <w:ind w:leftChars="200"/>
              <w:rPr>
                <w:rFonts w:hint="eastAsia" w:cs="Times New Roman"/>
                <w:b/>
                <w:bCs w:val="0"/>
                <w:color w:val="000000" w:themeColor="text1"/>
                <w:kern w:val="2"/>
                <w:szCs w:val="24"/>
                <w:lang w:val="en-US" w:eastAsia="zh-CN"/>
                <w14:textFill>
                  <w14:solidFill>
                    <w14:schemeClr w14:val="tx1"/>
                  </w14:solidFill>
                </w14:textFill>
              </w:rPr>
            </w:pPr>
          </w:p>
          <w:p>
            <w:pPr>
              <w:pStyle w:val="180"/>
              <w:numPr>
                <w:ilvl w:val="0"/>
                <w:numId w:val="0"/>
              </w:numPr>
              <w:tabs>
                <w:tab w:val="left" w:pos="7500"/>
              </w:tabs>
              <w:ind w:leftChars="200"/>
              <w:rPr>
                <w:rFonts w:hint="default" w:ascii="Times New Roman" w:hAnsi="Times New Roman" w:cs="Times New Roman"/>
                <w:b/>
                <w:bCs w:val="0"/>
                <w:color w:val="000000" w:themeColor="text1"/>
                <w:kern w:val="2"/>
                <w:szCs w:val="24"/>
                <w14:textFill>
                  <w14:solidFill>
                    <w14:schemeClr w14:val="tx1"/>
                  </w14:solidFill>
                </w14:textFill>
              </w:rPr>
            </w:pPr>
            <w:r>
              <w:rPr>
                <w:rFonts w:hint="eastAsia" w:cs="Times New Roman"/>
                <w:b/>
                <w:bCs w:val="0"/>
                <w:color w:val="000000" w:themeColor="text1"/>
                <w:kern w:val="2"/>
                <w:szCs w:val="24"/>
                <w:lang w:val="en-US" w:eastAsia="zh-CN"/>
                <w14:textFill>
                  <w14:solidFill>
                    <w14:schemeClr w14:val="tx1"/>
                  </w14:solidFill>
                </w14:textFill>
              </w:rPr>
              <w:t xml:space="preserve">5. </w:t>
            </w:r>
            <w:r>
              <w:rPr>
                <w:rFonts w:hint="default" w:ascii="Times New Roman" w:hAnsi="Times New Roman" w:cs="Times New Roman"/>
                <w:b/>
                <w:bCs w:val="0"/>
                <w:color w:val="000000" w:themeColor="text1"/>
                <w:kern w:val="2"/>
                <w:szCs w:val="24"/>
                <w14:textFill>
                  <w14:solidFill>
                    <w14:schemeClr w14:val="tx1"/>
                  </w14:solidFill>
                </w14:textFill>
              </w:rPr>
              <w:t>主要建设内容</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本项目建设1个</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勘</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探井</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宁探1井</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占地</w:t>
            </w:r>
            <w:r>
              <w:rPr>
                <w:rFonts w:hint="default" w:ascii="Times New Roman" w:hAnsi="Times New Roman" w:cs="Times New Roman"/>
                <w:snapToGrid w:val="0"/>
                <w:color w:val="000000" w:themeColor="text1"/>
                <w:kern w:val="0"/>
                <w:sz w:val="24"/>
                <w:szCs w:val="20"/>
                <w:highlight w:val="none"/>
                <w:lang w:val="en-US" w:eastAsia="zh-CN" w:bidi="ar-SA"/>
                <w14:textFill>
                  <w14:solidFill>
                    <w14:schemeClr w14:val="tx1"/>
                  </w14:solidFill>
                </w14:textFill>
              </w:rPr>
              <w:t>面积8000</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建设内容包括施工钻</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井</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前井场施工(井场平整等)、井场区建造、营房区建造、钻井、固井、压裂、测试等。</w:t>
            </w:r>
          </w:p>
          <w:p>
            <w:pPr>
              <w:pStyle w:val="2"/>
              <w:pageBreakBefore w:val="0"/>
              <w:kinsoku/>
              <w:wordWrap/>
              <w:overflowPunct/>
              <w:topLinePunct w:val="0"/>
              <w:autoSpaceDE/>
              <w:autoSpaceDN/>
              <w:bidi w:val="0"/>
              <w:adjustRightInd/>
              <w:snapToGrid/>
              <w:spacing w:beforeLines="0" w:line="300" w:lineRule="auto"/>
              <w:textAlignment w:val="auto"/>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eastAsia" w:eastAsia="宋体" w:cs="Times New Roman"/>
                <w:snapToGrid w:val="0"/>
                <w:color w:val="000000" w:themeColor="text1"/>
                <w:kern w:val="0"/>
                <w:sz w:val="24"/>
                <w:szCs w:val="20"/>
                <w:lang w:val="en-US" w:eastAsia="zh-CN" w:bidi="ar-SA"/>
                <w14:textFill>
                  <w14:solidFill>
                    <w14:schemeClr w14:val="tx1"/>
                  </w14:solidFill>
                </w14:textFill>
              </w:rPr>
              <w:t xml:space="preserve">    本次评价不包括集气站及输气管线内容，项目</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主要建设内容见插表</w:t>
            </w:r>
            <w:r>
              <w:rPr>
                <w:rFonts w:hint="eastAsia" w:cs="Times New Roman"/>
                <w:snapToGrid w:val="0"/>
                <w:color w:val="000000" w:themeColor="text1"/>
                <w:kern w:val="0"/>
                <w:sz w:val="24"/>
                <w:szCs w:val="20"/>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主要建设内容一览表</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88"/>
              <w:gridCol w:w="2178"/>
              <w:gridCol w:w="5296"/>
              <w:gridCol w:w="6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工程类别</w:t>
                  </w:r>
                </w:p>
              </w:tc>
              <w:tc>
                <w:tcPr>
                  <w:tcW w:w="2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项目名称</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工程内容</w:t>
                  </w:r>
                </w:p>
              </w:tc>
              <w:tc>
                <w:tcPr>
                  <w:tcW w:w="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主体工程</w:t>
                  </w:r>
                </w:p>
              </w:tc>
              <w:tc>
                <w:tcPr>
                  <w:tcW w:w="217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井场</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宁探</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1井，1</w:t>
                  </w:r>
                  <w:r>
                    <w:rPr>
                      <w:rFonts w:hint="default" w:ascii="Times New Roman" w:hAnsi="Times New Roman" w:cs="Times New Roman" w:eastAsiaTheme="minorEastAsia"/>
                      <w:color w:val="000000" w:themeColor="text1"/>
                      <w:sz w:val="21"/>
                      <w:szCs w:val="21"/>
                      <w14:textFill>
                        <w14:solidFill>
                          <w14:schemeClr w14:val="tx1"/>
                        </w14:solidFill>
                      </w14:textFill>
                    </w:rPr>
                    <w:t>口钻井（成井类型为</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三</w:t>
                  </w:r>
                  <w:r>
                    <w:rPr>
                      <w:rFonts w:hint="default" w:ascii="Times New Roman" w:hAnsi="Times New Roman" w:cs="Times New Roman" w:eastAsiaTheme="minorEastAsia"/>
                      <w:color w:val="000000" w:themeColor="text1"/>
                      <w:sz w:val="21"/>
                      <w:szCs w:val="21"/>
                      <w14:textFill>
                        <w14:solidFill>
                          <w14:schemeClr w14:val="tx1"/>
                        </w14:solidFill>
                      </w14:textFill>
                    </w:rPr>
                    <w:t>开</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直井</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6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钻井</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系统</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包括井场、钻台、钻具区、柴油罐（</w:t>
                  </w:r>
                  <w:r>
                    <w:rPr>
                      <w:rFonts w:hint="eastAsia" w:cs="Times New Roman" w:eastAsiaTheme="minorEastAsia"/>
                      <w:color w:val="000000" w:themeColor="text1"/>
                      <w:sz w:val="21"/>
                      <w:szCs w:val="21"/>
                      <w:lang w:eastAsia="zh-CN"/>
                      <w14:textFill>
                        <w14:solidFill>
                          <w14:schemeClr w14:val="tx1"/>
                        </w14:solidFill>
                      </w14:textFill>
                    </w:rPr>
                    <w:t>4t</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材料</w:t>
                  </w:r>
                  <w:r>
                    <w:rPr>
                      <w:rFonts w:hint="default" w:ascii="Times New Roman" w:hAnsi="Times New Roman" w:cs="Times New Roman" w:eastAsiaTheme="minorEastAsia"/>
                      <w:color w:val="000000" w:themeColor="text1"/>
                      <w:sz w:val="21"/>
                      <w:szCs w:val="21"/>
                      <w14:textFill>
                        <w14:solidFill>
                          <w14:schemeClr w14:val="tx1"/>
                        </w14:solidFill>
                      </w14:textFill>
                    </w:rPr>
                    <w:t>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录井房</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岩屑</w:t>
                  </w:r>
                  <w:r>
                    <w:rPr>
                      <w:rFonts w:hint="default" w:ascii="Times New Roman" w:hAnsi="Times New Roman" w:cs="Times New Roman" w:eastAsiaTheme="minorEastAsia"/>
                      <w:color w:val="000000" w:themeColor="text1"/>
                      <w:sz w:val="21"/>
                      <w:szCs w:val="21"/>
                      <w14:textFill>
                        <w14:solidFill>
                          <w14:schemeClr w14:val="tx1"/>
                        </w14:solidFill>
                      </w14:textFill>
                    </w:rPr>
                    <w:t>泥浆池</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500m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、材料区</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钻台、机房</w:t>
                  </w:r>
                  <w:r>
                    <w:rPr>
                      <w:rFonts w:hint="default" w:ascii="Times New Roman" w:hAnsi="Times New Roman" w:cs="Times New Roman" w:eastAsiaTheme="minorEastAsia"/>
                      <w:color w:val="000000" w:themeColor="text1"/>
                      <w:sz w:val="21"/>
                      <w:szCs w:val="21"/>
                      <w14:textFill>
                        <w14:solidFill>
                          <w14:schemeClr w14:val="tx1"/>
                        </w14:solidFill>
                      </w14:textFill>
                    </w:rPr>
                    <w:t>等</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14:textFill>
                        <w14:solidFill>
                          <w14:schemeClr w14:val="tx1"/>
                        </w14:solidFill>
                      </w14:textFill>
                    </w:rPr>
                    <w:t>压裂系统</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压裂系统分别</w:t>
                  </w:r>
                  <w:r>
                    <w:rPr>
                      <w:rFonts w:hint="default" w:ascii="Times New Roman" w:hAnsi="Times New Roman" w:cs="Times New Roman"/>
                      <w:color w:val="000000" w:themeColor="text1"/>
                      <w14:textFill>
                        <w14:solidFill>
                          <w14:schemeClr w14:val="tx1"/>
                        </w14:solidFill>
                      </w14:textFill>
                    </w:rPr>
                    <w:t>包括压裂</w:t>
                  </w:r>
                  <w:r>
                    <w:rPr>
                      <w:rFonts w:hint="default" w:ascii="Times New Roman" w:hAnsi="Times New Roman" w:cs="Times New Roman"/>
                      <w:color w:val="000000" w:themeColor="text1"/>
                      <w:lang w:val="en-US" w:eastAsia="zh-CN"/>
                      <w14:textFill>
                        <w14:solidFill>
                          <w14:schemeClr w14:val="tx1"/>
                        </w14:solidFill>
                      </w14:textFill>
                    </w:rPr>
                    <w:t>车组</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压裂液</w:t>
                  </w:r>
                  <w:r>
                    <w:rPr>
                      <w:rFonts w:hint="default" w:ascii="Times New Roman" w:hAnsi="Times New Roman" w:cs="Times New Roman"/>
                      <w:color w:val="000000" w:themeColor="text1"/>
                      <w14:textFill>
                        <w14:solidFill>
                          <w14:schemeClr w14:val="tx1"/>
                        </w14:solidFill>
                      </w14:textFill>
                    </w:rPr>
                    <w:t>罐（</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个</w:t>
                  </w:r>
                  <w:r>
                    <w:rPr>
                      <w:rFonts w:hint="default" w:ascii="Times New Roman" w:hAnsi="Times New Roman" w:cs="Times New Roman"/>
                      <w:color w:val="000000" w:themeColor="text1"/>
                      <w14:textFill>
                        <w14:solidFill>
                          <w14:schemeClr w14:val="tx1"/>
                        </w14:solidFill>
                      </w14:textFill>
                    </w:rPr>
                    <w:t>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压裂返排液罐</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个</w:t>
                  </w:r>
                  <w:r>
                    <w:rPr>
                      <w:rFonts w:hint="default" w:ascii="Times New Roman" w:hAnsi="Times New Roman" w:cs="Times New Roman"/>
                      <w:color w:val="000000" w:themeColor="text1"/>
                      <w14:textFill>
                        <w14:solidFill>
                          <w14:schemeClr w14:val="tx1"/>
                        </w14:solidFill>
                      </w14:textFill>
                    </w:rPr>
                    <w:t>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、砂罐车、混砂车等</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14:textFill>
                        <w14:solidFill>
                          <w14:schemeClr w14:val="tx1"/>
                        </w14:solidFill>
                      </w14:textFill>
                    </w:rPr>
                    <w:t>试采系统</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排采设备、抽油机、动力系统、</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排采水池、放空火炬等</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eastAsia"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主要建设内容一览表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88"/>
              <w:gridCol w:w="426"/>
              <w:gridCol w:w="448"/>
              <w:gridCol w:w="1304"/>
              <w:gridCol w:w="5296"/>
              <w:gridCol w:w="6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工程类别</w:t>
                  </w: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项目名称</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工程内容</w:t>
                  </w:r>
                </w:p>
              </w:tc>
              <w:tc>
                <w:tcPr>
                  <w:tcW w:w="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公用</w:t>
                  </w:r>
                </w:p>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工程</w:t>
                  </w: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给水</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井场用水取自附近村庄水井，由罐车拉入</w:t>
                  </w:r>
                </w:p>
              </w:tc>
              <w:tc>
                <w:tcPr>
                  <w:tcW w:w="6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供电</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井场钻井期钻机及各类泵类等用电采用自备柴油机发电</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供暖</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办公生活区采暖为电暖、空调</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辅助工程</w:t>
                  </w: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录井房</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设1座，建筑面积为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，采用集装箱式房</w:t>
                  </w:r>
                </w:p>
              </w:tc>
              <w:tc>
                <w:tcPr>
                  <w:tcW w:w="6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厨房</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设1座，建筑面积为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，采用集装箱式房</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值班室</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设1座，建筑面积为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，采用集装箱式房</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宿舍</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座，建筑面积为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，采用集装箱式房</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进场道路</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进场道路</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主要</w:t>
                  </w:r>
                  <w:r>
                    <w:rPr>
                      <w:rFonts w:hint="default" w:ascii="Times New Roman" w:hAnsi="Times New Roman" w:cs="Times New Roman" w:eastAsiaTheme="minorEastAsia"/>
                      <w:bCs/>
                      <w:color w:val="000000" w:themeColor="text1"/>
                      <w:sz w:val="21"/>
                      <w:szCs w:val="21"/>
                      <w14:textFill>
                        <w14:solidFill>
                          <w14:schemeClr w14:val="tx1"/>
                        </w14:solidFill>
                      </w14:textFill>
                    </w:rPr>
                    <w:t>利用原有乡村道路，</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无新建</w:t>
                  </w:r>
                  <w:r>
                    <w:rPr>
                      <w:rFonts w:hint="default" w:ascii="Times New Roman" w:hAnsi="Times New Roman" w:cs="Times New Roman" w:eastAsiaTheme="minorEastAsia"/>
                      <w:bCs/>
                      <w:color w:val="000000" w:themeColor="text1"/>
                      <w:sz w:val="21"/>
                      <w:szCs w:val="21"/>
                      <w14:textFill>
                        <w14:solidFill>
                          <w14:schemeClr w14:val="tx1"/>
                        </w14:solidFill>
                      </w14:textFill>
                    </w:rPr>
                    <w:t>进场道路</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7" w:hRule="atLeast"/>
                <w:jc w:val="center"/>
              </w:trPr>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依托工程</w:t>
                  </w: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污水处理厂</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依托</w:t>
                  </w:r>
                  <w:r>
                    <w:rPr>
                      <w:rFonts w:hint="default" w:ascii="Times New Roman" w:hAnsi="Times New Roman" w:cs="Times New Roman" w:eastAsiaTheme="minorEastAsia"/>
                      <w:bCs/>
                      <w:color w:val="000000" w:themeColor="text1"/>
                      <w:sz w:val="21"/>
                      <w:szCs w:val="21"/>
                      <w14:textFill>
                        <w14:solidFill>
                          <w14:schemeClr w14:val="tx1"/>
                        </w14:solidFill>
                      </w14:textFill>
                    </w:rPr>
                    <w:t>静乐县污水净化中心</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处理项目排采水</w:t>
                  </w:r>
                </w:p>
              </w:tc>
              <w:tc>
                <w:tcPr>
                  <w:tcW w:w="652"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已建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88"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4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both"/>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洒水抑尘、以隔尘布完全覆盖、边界围挡</w:t>
                  </w:r>
                </w:p>
              </w:tc>
              <w:tc>
                <w:tcPr>
                  <w:tcW w:w="65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8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p>
              </w:tc>
              <w:tc>
                <w:tcPr>
                  <w:tcW w:w="5296" w:type="dxa"/>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65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发电机组</w:t>
                  </w:r>
                </w:p>
              </w:tc>
              <w:tc>
                <w:tcPr>
                  <w:tcW w:w="5296" w:type="dxa"/>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65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0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煤层气</w:t>
                  </w:r>
                  <w:r>
                    <w:rPr>
                      <w:rFonts w:hint="default" w:ascii="Times New Roman" w:hAnsi="Times New Roman" w:cs="Times New Roman"/>
                      <w:color w:val="000000" w:themeColor="text1"/>
                      <w:sz w:val="21"/>
                      <w:szCs w:val="21"/>
                      <w14:textFill>
                        <w14:solidFill>
                          <w14:schemeClr w14:val="tx1"/>
                        </w14:solidFill>
                      </w14:textFill>
                    </w:rPr>
                    <w:t>点燃</w:t>
                  </w:r>
                </w:p>
              </w:tc>
              <w:tc>
                <w:tcPr>
                  <w:tcW w:w="529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点火完全燃烧后排放</w:t>
                  </w:r>
                </w:p>
              </w:tc>
              <w:tc>
                <w:tcPr>
                  <w:tcW w:w="65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04"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5296"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652" w:type="dxa"/>
                  <w:vMerge w:val="restart"/>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88"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426"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448"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1304"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洗井水、</w:t>
                  </w:r>
                  <w:r>
                    <w:rPr>
                      <w:rFonts w:hint="default" w:ascii="Times New Roman" w:hAnsi="Times New Roman" w:cs="Times New Roman"/>
                      <w:color w:val="000000" w:themeColor="text1"/>
                      <w:sz w:val="21"/>
                      <w:szCs w:val="21"/>
                      <w14:textFill>
                        <w14:solidFill>
                          <w14:schemeClr w14:val="tx1"/>
                        </w14:solidFill>
                      </w14:textFill>
                    </w:rPr>
                    <w:t>泥浆水</w:t>
                  </w:r>
                </w:p>
              </w:tc>
              <w:tc>
                <w:tcPr>
                  <w:tcW w:w="5296"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井场建设1座500m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的泥浆池；泥浆池地面采用粘土+双层土工膜防渗基础，四周设高度为20㎝的围堰</w:t>
                  </w:r>
                </w:p>
              </w:tc>
              <w:tc>
                <w:tcPr>
                  <w:tcW w:w="652"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52" w:hRule="atLeast"/>
                <w:jc w:val="center"/>
              </w:trPr>
              <w:tc>
                <w:tcPr>
                  <w:tcW w:w="688"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0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压裂废水</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highlight w:val="none"/>
                      <w:shd w:val="clear" w:color="auto" w:fill="auto"/>
                      <w:lang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可循环利用于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本井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后期钻井压裂，不外排</w:t>
                  </w:r>
                </w:p>
              </w:tc>
              <w:tc>
                <w:tcPr>
                  <w:tcW w:w="652" w:type="dxa"/>
                  <w:vMerge w:val="restart"/>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04"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spacing w:line="240" w:lineRule="auto"/>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296"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65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8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304"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5296"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建设1座</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定期由罐车运至静乐县污水净化中心进行处理</w:t>
                  </w:r>
                </w:p>
              </w:tc>
              <w:tc>
                <w:tcPr>
                  <w:tcW w:w="65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8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04"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65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环保工程</w:t>
                  </w:r>
                </w:p>
              </w:tc>
              <w:tc>
                <w:tcPr>
                  <w:tcW w:w="4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4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04"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5296"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6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三相分离器、燃油发电机运行噪声</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连接采用柔性连接</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场地平整土石方</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6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本项目在井场内设有1个泥浆池，容积约</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5</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00m³，泥浆池釆取</w:t>
                  </w:r>
                  <w:r>
                    <w:rPr>
                      <w:rFonts w:hint="default" w:ascii="Times New Roman" w:hAnsi="Times New Roman" w:cs="Times New Roman"/>
                      <w:color w:val="000000" w:themeColor="text1"/>
                      <w:sz w:val="24"/>
                      <w14:textFill>
                        <w14:solidFill>
                          <w14:schemeClr w14:val="tx1"/>
                        </w14:solidFill>
                      </w14:textFill>
                    </w:rPr>
                    <w:t>粘土+双层土工膜防渗</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埋处理</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bl>
          <w:p>
            <w:pPr>
              <w:pStyle w:val="180"/>
              <w:tabs>
                <w:tab w:val="left" w:pos="7500"/>
              </w:tabs>
              <w:ind w:firstLine="2310" w:firstLineChars="1100"/>
              <w:rPr>
                <w:rFonts w:hint="eastAsia"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主要建设内容一览表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88"/>
              <w:gridCol w:w="426"/>
              <w:gridCol w:w="448"/>
              <w:gridCol w:w="1304"/>
              <w:gridCol w:w="5296"/>
              <w:gridCol w:w="6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工程类别</w:t>
                  </w:r>
                </w:p>
              </w:tc>
              <w:tc>
                <w:tcPr>
                  <w:tcW w:w="217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项目名称</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工程内容</w:t>
                  </w:r>
                </w:p>
              </w:tc>
              <w:tc>
                <w:tcPr>
                  <w:tcW w:w="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环保工程</w:t>
                  </w:r>
                </w:p>
              </w:tc>
              <w:tc>
                <w:tcPr>
                  <w:tcW w:w="4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固废</w:t>
                  </w: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钻井期、排采期</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将废矿物油单独收集到一容器中，</w:t>
                  </w:r>
                  <w:r>
                    <w:rPr>
                      <w:rFonts w:hint="eastAsia"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暂存于项目新建的</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危废暂存间暂存</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定期由有资质单位收集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c>
                <w:tcPr>
                  <w:tcW w:w="6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04"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5296"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14:textFill>
                        <w14:solidFill>
                          <w14:schemeClr w14:val="tx1"/>
                        </w14:solidFill>
                      </w14:textFill>
                    </w:rPr>
                    <w:t>生态恢复措施</w:t>
                  </w:r>
                </w:p>
              </w:tc>
              <w:tc>
                <w:tcPr>
                  <w:tcW w:w="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eastAsia="宋体" w:cs="Times New Roman"/>
                      <w:color w:val="000000" w:themeColor="text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封井期</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临时封井</w:t>
                  </w:r>
                  <w:r>
                    <w:rPr>
                      <w:rFonts w:hint="default" w:ascii="Times New Roman" w:hAnsi="Times New Roman" w:cs="Times New Roman"/>
                      <w:color w:val="000000" w:themeColor="text1"/>
                      <w:szCs w:val="21"/>
                      <w:highlight w:val="none"/>
                      <w:shd w:val="clear" w:color="auto" w:fill="auto"/>
                      <w14:textFill>
                        <w14:solidFill>
                          <w14:schemeClr w14:val="tx1"/>
                        </w14:solidFill>
                      </w14:textFill>
                    </w:rPr>
                    <w:t>井场</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临时关井井场生态恢复采用自然恢复、撒播草籽、种植植被等的方式，植被优先选用本土植物物种</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4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永久关井井场</w:t>
                  </w:r>
                </w:p>
              </w:tc>
              <w:tc>
                <w:tcPr>
                  <w:tcW w:w="5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采用在井筒注入水泥关井，拆除井场内的所有设施，井场外要求按照原有土地使用功能进行生态恢复，植物物种优先选用本土植物物种</w:t>
                  </w:r>
                </w:p>
              </w:tc>
              <w:tc>
                <w:tcPr>
                  <w:tcW w:w="6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bl>
          <w:p>
            <w:pPr>
              <w:pStyle w:val="180"/>
              <w:tabs>
                <w:tab w:val="left" w:pos="7500"/>
              </w:tabs>
              <w:ind w:firstLine="2310" w:firstLineChars="1100"/>
              <w:rPr>
                <w:rFonts w:hint="default" w:cs="Times New Roman" w:eastAsiaTheme="minorEastAsia"/>
                <w:b/>
                <w:bCs w:val="0"/>
                <w:color w:val="000000" w:themeColor="text1"/>
                <w:sz w:val="21"/>
                <w:szCs w:val="21"/>
                <w:lang w:val="en-US" w:eastAsia="zh-CN"/>
                <w14:textFill>
                  <w14:solidFill>
                    <w14:schemeClr w14:val="tx1"/>
                  </w14:solidFill>
                </w14:textFill>
              </w:rPr>
            </w:pPr>
          </w:p>
          <w:p>
            <w:pPr>
              <w:pStyle w:val="180"/>
              <w:numPr>
                <w:ilvl w:val="0"/>
                <w:numId w:val="2"/>
              </w:numPr>
              <w:tabs>
                <w:tab w:val="left" w:pos="7500"/>
              </w:tabs>
              <w:ind w:left="0" w:leftChars="0" w:firstLine="480" w:firstLineChars="200"/>
              <w:rPr>
                <w:rFonts w:hint="default" w:ascii="Times New Roman" w:hAnsi="Times New Roman" w:cs="Times New Roman"/>
                <w:b/>
                <w:bCs w:val="0"/>
                <w:color w:val="000000" w:themeColor="text1"/>
                <w:kern w:val="2"/>
                <w:szCs w:val="24"/>
                <w:lang w:val="en-US" w:eastAsia="zh-CN"/>
                <w14:textFill>
                  <w14:solidFill>
                    <w14:schemeClr w14:val="tx1"/>
                  </w14:solidFill>
                </w14:textFill>
              </w:rPr>
            </w:pPr>
            <w:r>
              <w:rPr>
                <w:rFonts w:hint="default" w:ascii="Times New Roman" w:hAnsi="Times New Roman" w:cs="Times New Roman"/>
                <w:b/>
                <w:bCs w:val="0"/>
                <w:color w:val="000000" w:themeColor="text1"/>
                <w:kern w:val="2"/>
                <w:szCs w:val="24"/>
                <w:lang w:val="en-US" w:eastAsia="zh-CN"/>
                <w14:textFill>
                  <w14:solidFill>
                    <w14:schemeClr w14:val="tx1"/>
                  </w14:solidFill>
                </w14:textFill>
              </w:rPr>
              <w:t>场区占地及平面布置</w:t>
            </w:r>
          </w:p>
          <w:p>
            <w:pPr>
              <w:pStyle w:val="17"/>
              <w:keepNext w:val="0"/>
              <w:keepLines w:val="0"/>
              <w:pageBreakBefore w:val="0"/>
              <w:widowControl w:val="0"/>
              <w:kinsoku/>
              <w:wordWrap/>
              <w:overflowPunct/>
              <w:topLinePunct w:val="0"/>
              <w:autoSpaceDE/>
              <w:autoSpaceDN/>
              <w:bidi w:val="0"/>
              <w:adjustRightInd/>
              <w:snapToGrid/>
              <w:spacing w:after="0" w:line="300" w:lineRule="auto"/>
              <w:ind w:left="0" w:right="0" w:firstLine="476"/>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勘探井场布置1口勘探井，勘探井占地均为临时占地，根据国家及地方有关规定对当地进行土地临时征用和补偿；钻井结束后对钻井进行封闭，对场地进行生态恢复。</w:t>
            </w:r>
          </w:p>
          <w:p>
            <w:pPr>
              <w:pStyle w:val="17"/>
              <w:keepNext w:val="0"/>
              <w:keepLines w:val="0"/>
              <w:pageBreakBefore w:val="0"/>
              <w:widowControl w:val="0"/>
              <w:kinsoku/>
              <w:wordWrap/>
              <w:overflowPunct/>
              <w:topLinePunct w:val="0"/>
              <w:autoSpaceDE/>
              <w:autoSpaceDN/>
              <w:bidi w:val="0"/>
              <w:adjustRightInd/>
              <w:snapToGrid/>
              <w:spacing w:after="0" w:line="300" w:lineRule="auto"/>
              <w:ind w:left="0" w:right="0" w:firstLine="476"/>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井场布置钻井系统、泥浆系统</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生产辅助系统</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、压裂系统、排采系统等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。钻井系统包括钻机、钻台等；泥浆系统包括配料罐、泥浆罐、泥浆池等；</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压裂系统包括压裂罐、压裂返排液罐等设备；排采系统包括排采水池、放空火炬等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7"/>
              <w:keepNext w:val="0"/>
              <w:keepLines w:val="0"/>
              <w:pageBreakBefore w:val="0"/>
              <w:widowControl w:val="0"/>
              <w:kinsoku/>
              <w:wordWrap/>
              <w:overflowPunct/>
              <w:topLinePunct w:val="0"/>
              <w:autoSpaceDE/>
              <w:autoSpaceDN/>
              <w:bidi w:val="0"/>
              <w:adjustRightInd/>
              <w:snapToGrid/>
              <w:spacing w:after="0" w:line="300" w:lineRule="auto"/>
              <w:ind w:left="0" w:right="0" w:firstLine="476"/>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项目勘查井场钻井、压裂、排采</w:t>
            </w:r>
            <w:r>
              <w:rPr>
                <w:rFonts w:hint="eastAsia" w:cs="Times New Roman"/>
                <w:color w:val="000000" w:themeColor="text1"/>
                <w:kern w:val="2"/>
                <w:sz w:val="24"/>
                <w:szCs w:val="24"/>
                <w:lang w:val="en-US" w:eastAsia="zh-CN" w:bidi="ar-SA"/>
                <w14:textFill>
                  <w14:solidFill>
                    <w14:schemeClr w14:val="tx1"/>
                  </w14:solidFill>
                </w14:textFill>
              </w:rPr>
              <w:t>各工序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平面布置见附图 </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、附图</w:t>
            </w:r>
            <w:r>
              <w:rPr>
                <w:rFonts w:hint="eastAsia"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、附图</w:t>
            </w:r>
            <w:r>
              <w:rPr>
                <w:rFonts w:hint="eastAsia" w:cs="Times New Roman"/>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numPr>
                <w:ilvl w:val="0"/>
                <w:numId w:val="2"/>
              </w:numPr>
              <w:tabs>
                <w:tab w:val="left" w:pos="7500"/>
              </w:tabs>
              <w:ind w:left="0" w:leftChars="0" w:firstLine="480" w:firstLineChars="200"/>
              <w:rPr>
                <w:rFonts w:hint="default" w:ascii="Times New Roman" w:hAnsi="Times New Roman" w:cs="Times New Roman"/>
                <w:b/>
                <w:color w:val="000000" w:themeColor="text1"/>
                <w:kern w:val="2"/>
                <w:szCs w:val="24"/>
                <w:lang w:val="en-US" w:eastAsia="zh-CN"/>
                <w14:textFill>
                  <w14:solidFill>
                    <w14:schemeClr w14:val="tx1"/>
                  </w14:solidFill>
                </w14:textFill>
              </w:rPr>
            </w:pPr>
            <w:r>
              <w:rPr>
                <w:rFonts w:hint="default" w:ascii="Times New Roman" w:hAnsi="Times New Roman" w:cs="Times New Roman"/>
                <w:b/>
                <w:color w:val="000000" w:themeColor="text1"/>
                <w:kern w:val="2"/>
                <w:szCs w:val="24"/>
                <w:lang w:val="en-US" w:eastAsia="zh-CN"/>
                <w14:textFill>
                  <w14:solidFill>
                    <w14:schemeClr w14:val="tx1"/>
                  </w14:solidFill>
                </w14:textFill>
              </w:rPr>
              <w:t>主要生产设备</w:t>
            </w:r>
          </w:p>
          <w:p>
            <w:pPr>
              <w:adjustRightInd w:val="0"/>
              <w:snapToGrid w:val="0"/>
              <w:spacing w:line="30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bCs/>
                <w:color w:val="000000" w:themeColor="text1"/>
                <w:spacing w:val="6"/>
                <w:kern w:val="0"/>
                <w:sz w:val="24"/>
                <w14:textFill>
                  <w14:solidFill>
                    <w14:schemeClr w14:val="tx1"/>
                  </w14:solidFill>
                </w14:textFill>
              </w:rPr>
              <w:t>钻井、压裂、试气等各工段主要设备</w:t>
            </w:r>
            <w:r>
              <w:rPr>
                <w:rFonts w:hint="default" w:ascii="Times New Roman" w:hAnsi="Times New Roman" w:cs="Times New Roman"/>
                <w:color w:val="000000" w:themeColor="text1"/>
                <w:sz w:val="24"/>
                <w14:textFill>
                  <w14:solidFill>
                    <w14:schemeClr w14:val="tx1"/>
                  </w14:solidFill>
                </w14:textFill>
              </w:rPr>
              <w:t>见插表</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val="en-US" w:eastAsia="zh-CN"/>
                <w14:textFill>
                  <w14:solidFill>
                    <w14:schemeClr w14:val="tx1"/>
                  </w14:solidFill>
                </w14:textFill>
              </w:rPr>
              <w:t>、插表</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、插表</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本项目钻井主要生产设备一览表</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1" w:type="dxa"/>
                <w:bottom w:w="0" w:type="dxa"/>
                <w:right w:w="11" w:type="dxa"/>
              </w:tblCellMar>
            </w:tblPr>
            <w:tblGrid>
              <w:gridCol w:w="692"/>
              <w:gridCol w:w="565"/>
              <w:gridCol w:w="1583"/>
              <w:gridCol w:w="1737"/>
              <w:gridCol w:w="1325"/>
              <w:gridCol w:w="975"/>
              <w:gridCol w:w="857"/>
              <w:gridCol w:w="108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tblHeader/>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 号</w:t>
                  </w:r>
                </w:p>
              </w:tc>
              <w:tc>
                <w:tcPr>
                  <w:tcW w:w="2148" w:type="dxa"/>
                  <w:gridSpan w:val="2"/>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    称</w:t>
                  </w:r>
                </w:p>
              </w:tc>
              <w:tc>
                <w:tcPr>
                  <w:tcW w:w="1737"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    号</w:t>
                  </w:r>
                </w:p>
              </w:tc>
              <w:tc>
                <w:tcPr>
                  <w:tcW w:w="2300"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    格</w:t>
                  </w: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  量</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tblHeader/>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2148" w:type="dxa"/>
                  <w:gridSpan w:val="2"/>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73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载荷kN</w:t>
                  </w: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功率kW</w:t>
                  </w: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14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    机</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ZJ30K型</w:t>
                  </w: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214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井    架</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JJ17033A</w:t>
                  </w: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1700</w:t>
                  </w: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56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提升</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w:t>
                  </w: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绞车</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JC32A</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735</w:t>
                  </w: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天车</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TC170B</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1700</w:t>
                  </w: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游车大钩</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YG225</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2250</w:t>
                  </w: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水龙头</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SL225-3</w:t>
                  </w: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2250</w:t>
                  </w: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214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转    盘</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ZP205</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2050</w:t>
                  </w: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56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循环</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配置</w:t>
                  </w: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泥浆泵</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SL3NB-1000c</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769</w:t>
                  </w: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泥浆泵</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SL3NB-1000c</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769</w:t>
                  </w: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钻井液罐</w:t>
                  </w:r>
                </w:p>
              </w:tc>
              <w:tc>
                <w:tcPr>
                  <w:tcW w:w="1737" w:type="dxa"/>
                  <w:tcBorders>
                    <w:tl2br w:val="nil"/>
                    <w:tr2bl w:val="nil"/>
                  </w:tcBorders>
                  <w:vAlign w:val="center"/>
                </w:tcPr>
                <w:p>
                  <w:pPr>
                    <w:pStyle w:val="39"/>
                    <w:keepNext w:val="0"/>
                    <w:keepLines w:val="0"/>
                    <w:pageBreakBefore w:val="0"/>
                    <w:kinsoku/>
                    <w:wordWrap/>
                    <w:overflowPunct/>
                    <w:topLinePunct w:val="0"/>
                    <w:autoSpaceDE/>
                    <w:autoSpaceDN/>
                    <w:bidi w:val="0"/>
                    <w:spacing w:line="240" w:lineRule="auto"/>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搅拌器</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56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动力</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w:t>
                  </w: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柴油机1#</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G12V190BZL-3</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882</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柴油机2#</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G12V190BZL-3</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882</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柴油机</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CAT3408C</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395</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2"/>
              <w:keepNext/>
              <w:keepLines/>
              <w:pageBreakBefore w:val="0"/>
              <w:widowControl/>
              <w:kinsoku/>
              <w:wordWrap/>
              <w:overflowPunct/>
              <w:topLinePunct w:val="0"/>
              <w:autoSpaceDE/>
              <w:autoSpaceDN/>
              <w:bidi w:val="0"/>
              <w:adjustRightInd/>
              <w:snapToGrid/>
              <w:spacing w:beforeLines="0" w:line="240" w:lineRule="auto"/>
              <w:jc w:val="center"/>
              <w:textAlignment w:val="auto"/>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 xml:space="preserve">6 </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本项目钻井主要生产设备一览表（续）</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1" w:type="dxa"/>
                <w:bottom w:w="0" w:type="dxa"/>
                <w:right w:w="11" w:type="dxa"/>
              </w:tblCellMar>
            </w:tblPr>
            <w:tblGrid>
              <w:gridCol w:w="692"/>
              <w:gridCol w:w="565"/>
              <w:gridCol w:w="1583"/>
              <w:gridCol w:w="1737"/>
              <w:gridCol w:w="1325"/>
              <w:gridCol w:w="975"/>
              <w:gridCol w:w="857"/>
              <w:gridCol w:w="108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tblHeader/>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 号</w:t>
                  </w:r>
                </w:p>
              </w:tc>
              <w:tc>
                <w:tcPr>
                  <w:tcW w:w="2148" w:type="dxa"/>
                  <w:gridSpan w:val="2"/>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    称</w:t>
                  </w:r>
                </w:p>
              </w:tc>
              <w:tc>
                <w:tcPr>
                  <w:tcW w:w="1737"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    号</w:t>
                  </w:r>
                </w:p>
              </w:tc>
              <w:tc>
                <w:tcPr>
                  <w:tcW w:w="2300"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    格</w:t>
                  </w: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  量</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tblHeader/>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2148" w:type="dxa"/>
                  <w:gridSpan w:val="2"/>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73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载荷kN</w:t>
                  </w: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功率kW</w:t>
                  </w: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56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发电</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机组</w:t>
                  </w: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发电机1#</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TAD1631GE</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发电机2#</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TAD1232GE</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MCC房</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56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钻机</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w:t>
                  </w: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自动压风机</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SA-37AⅡ</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电动压风机</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SA-220AⅡ</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气源净化装置</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刹车系统</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辅助刹车</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56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固控</w:t>
                  </w:r>
                </w:p>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w:t>
                  </w: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震动筛1#</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ZS-PT3</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震动筛2#</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ZS-PT3</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除砂器</w:t>
                  </w:r>
                </w:p>
              </w:tc>
              <w:tc>
                <w:tcPr>
                  <w:tcW w:w="1737"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XQJS-300X2-WG</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080"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离心机</w:t>
                  </w:r>
                </w:p>
              </w:tc>
              <w:tc>
                <w:tcPr>
                  <w:tcW w:w="173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LW600-945NA</w:t>
                  </w:r>
                </w:p>
              </w:tc>
              <w:tc>
                <w:tcPr>
                  <w:tcW w:w="132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22+5.5</w:t>
                  </w:r>
                </w:p>
              </w:tc>
              <w:tc>
                <w:tcPr>
                  <w:tcW w:w="857" w:type="dxa"/>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主机22kW</w:t>
                  </w:r>
                </w:p>
                <w:p>
                  <w:pPr>
                    <w:keepNext w:val="0"/>
                    <w:keepLines w:val="0"/>
                    <w:pageBreakBefore w:val="0"/>
                    <w:kinsoku/>
                    <w:wordWrap/>
                    <w:overflowPunct/>
                    <w:topLinePunct w:val="0"/>
                    <w:autoSpaceDE/>
                    <w:autoSpaceDN/>
                    <w:bidi w:val="0"/>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辅机5.5kW</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除气器</w:t>
                  </w:r>
                </w:p>
              </w:tc>
              <w:tc>
                <w:tcPr>
                  <w:tcW w:w="173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tblHeader/>
                <w:jc w:val="center"/>
              </w:trPr>
              <w:tc>
                <w:tcPr>
                  <w:tcW w:w="6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56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加重</w:t>
                  </w:r>
                </w:p>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装置</w:t>
                  </w: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加重漏斗</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电动加重泵</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56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井控装置</w:t>
                  </w: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单闸板防喷器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FZ28-21</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半封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司控台</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SQ116</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控制装置</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FKQ3402</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节流管汇</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JG-21</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压井管汇</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YG-21</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液位报警仪</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专用灌浆装置</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56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仪</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仪</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w:t>
                  </w: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钻井参数仪表</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型号不做要求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含死绳固定器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测斜仪</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型号不作要求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测斜绞车</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型号不作要求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1" w:type="dxa"/>
                  <w:bottom w:w="0" w:type="dxa"/>
                  <w:right w:w="11" w:type="dxa"/>
                </w:tblCellMar>
              </w:tblPrEx>
              <w:trPr>
                <w:trHeight w:val="340" w:hRule="atLeast"/>
                <w:jc w:val="center"/>
              </w:trPr>
              <w:tc>
                <w:tcPr>
                  <w:tcW w:w="6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2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液压大钳</w:t>
                  </w:r>
                </w:p>
              </w:tc>
              <w:tc>
                <w:tcPr>
                  <w:tcW w:w="17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型号不作要求</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bl>
          <w:p>
            <w:pPr>
              <w:rPr>
                <w:rFonts w:hint="default" w:ascii="Times New Roman" w:hAnsi="Times New Roman" w:cs="Times New Roman"/>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压裂主要设备表</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72"/>
              <w:gridCol w:w="1989"/>
              <w:gridCol w:w="1296"/>
              <w:gridCol w:w="996"/>
              <w:gridCol w:w="900"/>
              <w:gridCol w:w="296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设备名称</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规格型号</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单位 </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数量 </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主压车</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套</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满足施工最大排量、压力要求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混砂车</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与主压车配套，保证连续加砂，配齐比例泵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仪表车</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台 </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现场必须能打印出施工曲线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压裂管汇</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与主压车配套 </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压裂主要设备表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72"/>
              <w:gridCol w:w="1989"/>
              <w:gridCol w:w="1296"/>
              <w:gridCol w:w="996"/>
              <w:gridCol w:w="900"/>
              <w:gridCol w:w="296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设备名称</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规格型号</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单位 </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数量 </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水泥车</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700型 </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砂罐车</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台 </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满足施工需要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配液设备</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压裂液罐</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50m</w:t>
                  </w:r>
                  <w:r>
                    <w:rPr>
                      <w:rFonts w:hint="eastAsia" w:cs="Times New Roman"/>
                      <w:color w:val="000000" w:themeColor="text1"/>
                      <w:sz w:val="21"/>
                      <w:szCs w:val="21"/>
                      <w:vertAlign w:val="superscript"/>
                      <w:lang w:val="en-US" w:eastAsia="zh-CN"/>
                      <w14:textFill>
                        <w14:solidFill>
                          <w14:schemeClr w14:val="tx1"/>
                        </w14:solidFill>
                      </w14:textFill>
                    </w:rPr>
                    <w:t>3</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可移动式压裂返排液处理设备</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压裂液回收罐</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50m</w:t>
                  </w:r>
                  <w:r>
                    <w:rPr>
                      <w:rFonts w:hint="eastAsia" w:cs="Times New Roman"/>
                      <w:color w:val="000000" w:themeColor="text1"/>
                      <w:sz w:val="21"/>
                      <w:szCs w:val="21"/>
                      <w:vertAlign w:val="superscript"/>
                      <w:lang w:val="en-US" w:eastAsia="zh-CN"/>
                      <w14:textFill>
                        <w14:solidFill>
                          <w14:schemeClr w14:val="tx1"/>
                        </w14:solidFill>
                      </w14:textFill>
                    </w:rPr>
                    <w:t>3</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w:t>
                  </w:r>
                </w:p>
              </w:tc>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柴油罐</w:t>
                  </w:r>
                </w:p>
              </w:tc>
              <w:tc>
                <w:tcPr>
                  <w:tcW w:w="12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4t</w:t>
                  </w:r>
                </w:p>
              </w:tc>
              <w:tc>
                <w:tcPr>
                  <w:tcW w:w="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29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eastAsia="黑体" w:cs="Times New Roman"/>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试气设备主要设备表</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93"/>
              <w:gridCol w:w="1156"/>
              <w:gridCol w:w="1426"/>
              <w:gridCol w:w="1453"/>
              <w:gridCol w:w="719"/>
              <w:gridCol w:w="880"/>
              <w:gridCol w:w="248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656"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 目</w:t>
                  </w: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 称</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型号及规格</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数量</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656"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井架及底座</w:t>
                  </w: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井架及底座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BJ-29/80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应有安全接线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65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提升系统</w:t>
                  </w: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游动滑车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大于800KN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天车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大于800KN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6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吊环</w:t>
                  </w:r>
                </w:p>
              </w:tc>
              <w:tc>
                <w:tcPr>
                  <w:tcW w:w="8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大于800KN</w:t>
                  </w:r>
                </w:p>
              </w:tc>
              <w:tc>
                <w:tcPr>
                  <w:tcW w:w="4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付</w:t>
                  </w:r>
                </w:p>
              </w:tc>
              <w:tc>
                <w:tcPr>
                  <w:tcW w:w="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4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吊卡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大于800KN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付</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配齐常用油管吊卡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w:t>
                  </w:r>
                </w:p>
              </w:tc>
              <w:tc>
                <w:tcPr>
                  <w:tcW w:w="65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井口工具及计量器具</w:t>
                  </w: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井口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KQ6570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三相分离器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流量计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试井车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台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作业能力3800m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电子压力计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35MPa，150℃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1</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液压油管钳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配齐常用油管钳牙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2</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计量罐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+2m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具</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w:t>
                  </w:r>
                </w:p>
              </w:tc>
              <w:tc>
                <w:tcPr>
                  <w:tcW w:w="656"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井控设备及设施 </w:t>
                  </w: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手动双闸板防喷器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2FZ18-35</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配备射孔电缆和油管芯子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4</w:t>
                  </w:r>
                </w:p>
              </w:tc>
              <w:tc>
                <w:tcPr>
                  <w:tcW w:w="656"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防喷井口 </w:t>
                  </w:r>
                </w:p>
              </w:tc>
              <w:tc>
                <w:tcPr>
                  <w:tcW w:w="824"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35MPa</w:t>
                  </w:r>
                </w:p>
              </w:tc>
              <w:tc>
                <w:tcPr>
                  <w:tcW w:w="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499"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08"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与作业井口匹配 </w:t>
                  </w:r>
                </w:p>
              </w:tc>
            </w:tr>
          </w:tbl>
          <w:p>
            <w:pPr>
              <w:numPr>
                <w:ilvl w:val="0"/>
                <w:numId w:val="2"/>
              </w:numPr>
              <w:adjustRightInd w:val="0"/>
              <w:snapToGrid w:val="0"/>
              <w:spacing w:line="300" w:lineRule="auto"/>
              <w:ind w:left="0" w:leftChars="0" w:firstLine="480" w:firstLineChars="200"/>
              <w:rPr>
                <w:rFonts w:hint="default" w:ascii="Times New Roman" w:hAnsi="Times New Roman" w:cs="Times New Roman"/>
                <w:b/>
                <w:color w:val="000000" w:themeColor="text1"/>
                <w:sz w:val="24"/>
                <w14:textFill>
                  <w14:solidFill>
                    <w14:schemeClr w14:val="tx1"/>
                  </w14:solidFill>
                </w14:textFill>
              </w:rPr>
            </w:pPr>
          </w:p>
          <w:p>
            <w:pPr>
              <w:numPr>
                <w:ilvl w:val="0"/>
                <w:numId w:val="0"/>
              </w:numPr>
              <w:adjustRightInd w:val="0"/>
              <w:snapToGrid w:val="0"/>
              <w:spacing w:line="300" w:lineRule="auto"/>
              <w:ind w:leftChars="200"/>
              <w:rPr>
                <w:rFonts w:hint="default" w:ascii="Times New Roman" w:hAnsi="Times New Roman"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 xml:space="preserve">7. </w:t>
            </w:r>
            <w:r>
              <w:rPr>
                <w:rFonts w:hint="default" w:ascii="Times New Roman" w:hAnsi="Times New Roman" w:cs="Times New Roman"/>
                <w:b/>
                <w:color w:val="000000" w:themeColor="text1"/>
                <w:sz w:val="24"/>
                <w14:textFill>
                  <w14:solidFill>
                    <w14:schemeClr w14:val="tx1"/>
                  </w14:solidFill>
                </w14:textFill>
              </w:rPr>
              <w:t>原辅材料供应</w:t>
            </w:r>
          </w:p>
          <w:p>
            <w:pPr>
              <w:pStyle w:val="180"/>
              <w:keepNext w:val="0"/>
              <w:keepLines w:val="0"/>
              <w:pageBreakBefore w:val="0"/>
              <w:tabs>
                <w:tab w:val="left" w:pos="7500"/>
              </w:tabs>
              <w:kinsoku/>
              <w:wordWrap/>
              <w:overflowPunct/>
              <w:topLinePunct w:val="0"/>
              <w:autoSpaceDE/>
              <w:autoSpaceDN/>
              <w:bidi w:val="0"/>
              <w:adjustRightInd/>
              <w:snapToGrid/>
              <w:ind w:firstLine="48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主要原辅材料用量见</w:t>
            </w:r>
            <w:r>
              <w:rPr>
                <w:rFonts w:hint="default" w:ascii="Times New Roman" w:hAnsi="Times New Roman" w:eastAsia="宋体" w:cs="Times New Roman"/>
                <w:color w:val="000000" w:themeColor="text1"/>
                <w:sz w:val="24"/>
                <w:szCs w:val="24"/>
                <w:lang w:eastAsia="zh-CN"/>
                <w14:textFill>
                  <w14:solidFill>
                    <w14:schemeClr w14:val="tx1"/>
                  </w14:solidFill>
                </w14:textFill>
              </w:rPr>
              <w:t>插表</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9</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项目原辅材料情况表</w:t>
            </w:r>
            <w:r>
              <w:rPr>
                <w:rFonts w:hint="eastAsia" w:cs="Times New Roman" w:eastAsiaTheme="minorEastAsia"/>
                <w:b/>
                <w:bCs w:val="0"/>
                <w:color w:val="000000" w:themeColor="text1"/>
                <w:sz w:val="21"/>
                <w:szCs w:val="21"/>
                <w:lang w:val="en-US" w:eastAsia="zh-CN"/>
                <w14:textFill>
                  <w14:solidFill>
                    <w14:schemeClr w14:val="tx1"/>
                  </w14:solidFill>
                </w14:textFill>
              </w:rPr>
              <w:t>（略）</w:t>
            </w:r>
          </w:p>
          <w:p>
            <w:pPr>
              <w:pStyle w:val="25"/>
              <w:keepNext w:val="0"/>
              <w:keepLines w:val="0"/>
              <w:pageBreakBefore w:val="0"/>
              <w:widowControl w:val="0"/>
              <w:kinsoku/>
              <w:wordWrap/>
              <w:overflowPunct/>
              <w:topLinePunct w:val="0"/>
              <w:autoSpaceDE/>
              <w:autoSpaceDN/>
              <w:bidi w:val="0"/>
              <w:adjustRightInd w:val="0"/>
              <w:snapToGrid w:val="0"/>
              <w:spacing w:after="0" w:line="300" w:lineRule="auto"/>
              <w:ind w:left="0" w:leftChars="0" w:firstLine="560" w:firstLineChars="200"/>
              <w:textAlignment w:val="auto"/>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p>
          <w:p>
            <w:pPr>
              <w:pStyle w:val="25"/>
              <w:adjustRightInd w:val="0"/>
              <w:snapToGrid w:val="0"/>
              <w:spacing w:after="0" w:line="440" w:lineRule="exact"/>
              <w:ind w:left="0" w:leftChars="0" w:firstLine="560" w:firstLineChars="200"/>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五、公用工程</w:t>
            </w:r>
          </w:p>
          <w:p>
            <w:pPr>
              <w:pStyle w:val="180"/>
              <w:ind w:firstLine="506"/>
              <w:rPr>
                <w:rFonts w:hint="default" w:ascii="Times New Roman" w:hAnsi="Times New Roman" w:cs="Times New Roman"/>
                <w:b/>
                <w:color w:val="000000" w:themeColor="text1"/>
                <w:spacing w:val="6"/>
                <w14:textFill>
                  <w14:solidFill>
                    <w14:schemeClr w14:val="tx1"/>
                  </w14:solidFill>
                </w14:textFill>
              </w:rPr>
            </w:pPr>
            <w:r>
              <w:rPr>
                <w:rFonts w:hint="default" w:ascii="Times New Roman" w:hAnsi="Times New Roman" w:cs="Times New Roman"/>
                <w:b/>
                <w:color w:val="000000" w:themeColor="text1"/>
                <w:spacing w:val="6"/>
                <w14:textFill>
                  <w14:solidFill>
                    <w14:schemeClr w14:val="tx1"/>
                  </w14:solidFill>
                </w14:textFill>
              </w:rPr>
              <w:t>1</w:t>
            </w:r>
            <w:r>
              <w:rPr>
                <w:rFonts w:hint="default" w:ascii="Times New Roman" w:hAnsi="Times New Roman" w:cs="Times New Roman"/>
                <w:b/>
                <w:color w:val="000000" w:themeColor="text1"/>
                <w:spacing w:val="6"/>
                <w:lang w:val="en-US" w:eastAsia="zh-CN"/>
                <w14:textFill>
                  <w14:solidFill>
                    <w14:schemeClr w14:val="tx1"/>
                  </w14:solidFill>
                </w14:textFill>
              </w:rPr>
              <w:t xml:space="preserve">. </w:t>
            </w:r>
            <w:r>
              <w:rPr>
                <w:rFonts w:hint="default" w:ascii="Times New Roman" w:hAnsi="Times New Roman" w:cs="Times New Roman"/>
                <w:b/>
                <w:color w:val="000000" w:themeColor="text1"/>
                <w:spacing w:val="6"/>
                <w14:textFill>
                  <w14:solidFill>
                    <w14:schemeClr w14:val="tx1"/>
                  </w14:solidFill>
                </w14:textFill>
              </w:rPr>
              <w:t>给排水</w:t>
            </w:r>
          </w:p>
          <w:p>
            <w:pPr>
              <w:pStyle w:val="180"/>
              <w:keepNext w:val="0"/>
              <w:keepLines w:val="0"/>
              <w:pageBreakBefore w:val="0"/>
              <w:widowControl w:val="0"/>
              <w:kinsoku/>
              <w:wordWrap/>
              <w:overflowPunct/>
              <w:topLinePunct w:val="0"/>
              <w:autoSpaceDE/>
              <w:autoSpaceDN/>
              <w:bidi w:val="0"/>
              <w:ind w:left="0" w:firstLine="506"/>
              <w:textAlignment w:val="auto"/>
              <w:outlineLvl w:val="9"/>
              <w:rPr>
                <w:rFonts w:hint="default" w:ascii="Times New Roman" w:hAnsi="Times New Roman" w:cs="Times New Roman"/>
                <w:b/>
                <w:color w:val="000000" w:themeColor="text1"/>
                <w:spacing w:val="6"/>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本项目分为钻井期和排采期两个阶段。</w:t>
            </w:r>
          </w:p>
          <w:p>
            <w:pPr>
              <w:pStyle w:val="180"/>
              <w:keepNext w:val="0"/>
              <w:keepLines w:val="0"/>
              <w:pageBreakBefore w:val="0"/>
              <w:widowControl w:val="0"/>
              <w:kinsoku/>
              <w:wordWrap/>
              <w:overflowPunct/>
              <w:topLinePunct w:val="0"/>
              <w:autoSpaceDE/>
              <w:autoSpaceDN/>
              <w:bidi w:val="0"/>
              <w:adjustRightInd w:val="0"/>
              <w:snapToGrid w:val="0"/>
              <w:ind w:left="0" w:firstLine="480"/>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 给水</w:t>
            </w:r>
          </w:p>
          <w:p>
            <w:pPr>
              <w:pStyle w:val="180"/>
              <w:keepNext w:val="0"/>
              <w:keepLines w:val="0"/>
              <w:pageBreakBefore w:val="0"/>
              <w:widowControl w:val="0"/>
              <w:kinsoku/>
              <w:wordWrap/>
              <w:overflowPunct/>
              <w:topLinePunct w:val="0"/>
              <w:autoSpaceDE/>
              <w:autoSpaceDN/>
              <w:bidi w:val="0"/>
              <w:adjustRightInd w:val="0"/>
              <w:snapToGrid w:val="0"/>
              <w:ind w:left="0" w:firstLine="480"/>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1）给水水源</w:t>
            </w:r>
          </w:p>
          <w:p>
            <w:pPr>
              <w:keepNext w:val="0"/>
              <w:keepLines w:val="0"/>
              <w:pageBreakBefore w:val="0"/>
              <w:widowControl w:val="0"/>
              <w:kinsoku/>
              <w:wordWrap/>
              <w:overflowPunct/>
              <w:topLinePunct w:val="0"/>
              <w:autoSpaceDE/>
              <w:autoSpaceDN/>
              <w:bidi w:val="0"/>
              <w:adjustRightInd w:val="0"/>
              <w:snapToGrid w:val="0"/>
              <w:spacing w:line="300" w:lineRule="auto"/>
              <w:ind w:left="0" w:firstLine="480" w:firstLineChars="200"/>
              <w:textAlignment w:val="auto"/>
              <w:outlineLvl w:val="9"/>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本项目以</w:t>
            </w:r>
            <w:r>
              <w:rPr>
                <w:rFonts w:hint="default" w:ascii="Times New Roman" w:hAnsi="Times New Roman" w:cs="Times New Roman"/>
                <w:color w:val="000000" w:themeColor="text1"/>
                <w:kern w:val="0"/>
                <w:sz w:val="24"/>
                <w:szCs w:val="20"/>
                <w:lang w:eastAsia="zh-CN"/>
                <w14:textFill>
                  <w14:solidFill>
                    <w14:schemeClr w14:val="tx1"/>
                  </w14:solidFill>
                </w14:textFill>
              </w:rPr>
              <w:t>王村</w:t>
            </w:r>
            <w:r>
              <w:rPr>
                <w:rFonts w:hint="default" w:ascii="Times New Roman" w:hAnsi="Times New Roman" w:cs="Times New Roman"/>
                <w:color w:val="000000" w:themeColor="text1"/>
                <w:kern w:val="0"/>
                <w:sz w:val="24"/>
                <w:szCs w:val="20"/>
                <w14:textFill>
                  <w14:solidFill>
                    <w14:schemeClr w14:val="tx1"/>
                  </w14:solidFill>
                </w14:textFill>
              </w:rPr>
              <w:t>水井为水源，采用水车拉运方式送至本项目</w:t>
            </w:r>
            <w:r>
              <w:rPr>
                <w:rFonts w:hint="eastAsia" w:cs="Times New Roman"/>
                <w:color w:val="000000" w:themeColor="text1"/>
                <w:kern w:val="0"/>
                <w:sz w:val="24"/>
                <w:szCs w:val="20"/>
                <w:lang w:eastAsia="zh-CN"/>
                <w14:textFill>
                  <w14:solidFill>
                    <w14:schemeClr w14:val="tx1"/>
                  </w14:solidFill>
                </w14:textFill>
              </w:rPr>
              <w:t>蓄水池</w:t>
            </w:r>
            <w:r>
              <w:rPr>
                <w:rFonts w:hint="default" w:ascii="Times New Roman" w:hAnsi="Times New Roman" w:cs="Times New Roman"/>
                <w:color w:val="000000" w:themeColor="text1"/>
                <w:kern w:val="0"/>
                <w:sz w:val="24"/>
                <w:szCs w:val="20"/>
                <w14:textFill>
                  <w14:solidFill>
                    <w14:schemeClr w14:val="tx1"/>
                  </w14:solidFill>
                </w14:textFill>
              </w:rPr>
              <w:t>，能够满足项目的用水需求。</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用水情况</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 钻井期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钻井期用水</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包</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括生产</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水和生活用</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两部分</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生产</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水主要</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于钻井液配</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置</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泥浆的配置</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及</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设备、</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钻</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台冲洗</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、压裂用水、洗井用水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等</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。生活用水为职工日常生活用水。</w:t>
            </w:r>
          </w:p>
          <w:p>
            <w:pPr>
              <w:pStyle w:val="180"/>
              <w:keepNext w:val="0"/>
              <w:keepLines w:val="0"/>
              <w:pageBreakBefore w:val="0"/>
              <w:widowControl w:val="0"/>
              <w:numPr>
                <w:ilvl w:val="0"/>
                <w:numId w:val="3"/>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钻井液配置用水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钻井过程中钻井液配置每日需补充清水量为</w:t>
            </w:r>
            <w:r>
              <w:rPr>
                <w:rFonts w:hint="default" w:ascii="Times New Roman" w:hAnsi="Times New Roman" w:eastAsia="宋体" w:cs="Times New Roman"/>
                <w:b w:val="0"/>
                <w:bCs w:val="0"/>
                <w:color w:val="000000" w:themeColor="text1"/>
                <w:spacing w:val="-34"/>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·口，评价取</w:t>
            </w:r>
            <w:r>
              <w:rPr>
                <w:rFonts w:hint="default" w:ascii="Times New Roman" w:hAnsi="Times New Roman" w:eastAsia="宋体" w:cs="Times New Roman"/>
                <w:b w:val="0"/>
                <w:bCs w:val="0"/>
                <w:color w:val="000000" w:themeColor="text1"/>
                <w:spacing w:val="-34"/>
                <w:w w:val="100"/>
                <w:position w:val="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1.5m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，则本项目钻井液配置用水量为</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1.5m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w:t>
            </w:r>
          </w:p>
          <w:p>
            <w:pPr>
              <w:pStyle w:val="180"/>
              <w:keepNext w:val="0"/>
              <w:keepLines w:val="0"/>
              <w:pageBreakBefore w:val="0"/>
              <w:widowControl w:val="0"/>
              <w:numPr>
                <w:ilvl w:val="0"/>
                <w:numId w:val="3"/>
              </w:numPr>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水泥浆配料用水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eastAsia="宋体"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水泥浆配料用水约为</w:t>
            </w:r>
            <w:r>
              <w:rPr>
                <w:rFonts w:hint="default" w:ascii="Times New Roman" w:hAnsi="Times New Roman" w:eastAsia="宋体" w:cs="Times New Roman"/>
                <w:b w:val="0"/>
                <w:bCs w:val="0"/>
                <w:color w:val="000000" w:themeColor="text1"/>
                <w:spacing w:val="-53"/>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，则本项目</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水泥浆配料用水</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量为</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w:t>
            </w:r>
          </w:p>
          <w:p>
            <w:pPr>
              <w:pStyle w:val="180"/>
              <w:keepNext w:val="0"/>
              <w:keepLines w:val="0"/>
              <w:pageBreakBefore w:val="0"/>
              <w:widowControl w:val="0"/>
              <w:numPr>
                <w:ilvl w:val="0"/>
                <w:numId w:val="3"/>
              </w:numPr>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设备</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和钻</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冲洗用水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设备和钻</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冲洗用水量约为</w:t>
            </w:r>
            <w:r>
              <w:rPr>
                <w:rFonts w:hint="default" w:ascii="Times New Roman" w:hAnsi="Times New Roman" w:eastAsia="宋体" w:cs="Times New Roman"/>
                <w:b w:val="0"/>
                <w:bCs w:val="0"/>
                <w:color w:val="000000" w:themeColor="text1"/>
                <w:spacing w:val="-53"/>
                <w:w w:val="100"/>
                <w:position w:val="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0.6m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，则本项目设备和</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钻</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冲洗用水量为</w:t>
            </w:r>
            <w:r>
              <w:rPr>
                <w:rFonts w:hint="default" w:ascii="Times New Roman" w:hAnsi="Times New Roman" w:eastAsia="宋体" w:cs="Times New Roman"/>
                <w:b w:val="0"/>
                <w:bCs w:val="0"/>
                <w:color w:val="000000" w:themeColor="text1"/>
                <w:spacing w:val="-53"/>
                <w:w w:val="100"/>
                <w:position w:val="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0.6m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w:t>
            </w:r>
          </w:p>
          <w:p>
            <w:pPr>
              <w:pStyle w:val="180"/>
              <w:keepNext w:val="0"/>
              <w:keepLines w:val="0"/>
              <w:pageBreakBefore w:val="0"/>
              <w:widowControl w:val="0"/>
              <w:numPr>
                <w:ilvl w:val="0"/>
                <w:numId w:val="3"/>
              </w:numPr>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压裂用水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钻井结束</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前的压裂过程</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还</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会使用少量的水，单</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压裂用水量</w:t>
            </w:r>
            <w:r>
              <w:rPr>
                <w:rFonts w:hint="default" w:ascii="Times New Roman" w:hAnsi="Times New Roman" w:eastAsia="宋体" w:cs="Times New Roman"/>
                <w:b w:val="0"/>
                <w:bCs w:val="0"/>
                <w:color w:val="000000" w:themeColor="text1"/>
                <w:spacing w:val="1"/>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500m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1"/>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800m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本次评价取</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600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则本项目压裂用水量为</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600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3"/>
              </w:numPr>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洗井用水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钻井结束</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前的</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洗井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过程</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还</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会使用少量的水，</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单井洗井用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水量</w:t>
            </w:r>
            <w:r>
              <w:rPr>
                <w:rFonts w:hint="default" w:ascii="Times New Roman" w:hAnsi="Times New Roman" w:eastAsia="宋体" w:cs="Times New Roman"/>
                <w:b w:val="0"/>
                <w:bCs w:val="0"/>
                <w:color w:val="000000" w:themeColor="text1"/>
                <w:spacing w:val="-61"/>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1"/>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30m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t>，本次评价</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取</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20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则本项目洗井用水量为</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20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3"/>
              </w:numPr>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生活用水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生活用水为职工日常生活用水</w:t>
            </w:r>
            <w:r>
              <w:rPr>
                <w:rFonts w:hint="default" w:ascii="Times New Roman" w:hAnsi="Times New Roman" w:eastAsia="宋体" w:cs="Times New Roman"/>
                <w:b w:val="0"/>
                <w:bCs w:val="0"/>
                <w:color w:val="000000" w:themeColor="text1"/>
                <w:spacing w:val="-3"/>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取自附近村庄</w:t>
            </w:r>
            <w:r>
              <w:rPr>
                <w:rFonts w:hint="default" w:ascii="Times New Roman" w:hAnsi="Times New Roman" w:eastAsia="宋体" w:cs="Times New Roman"/>
                <w:b w:val="0"/>
                <w:bCs w:val="0"/>
                <w:color w:val="000000" w:themeColor="text1"/>
                <w:spacing w:val="-3"/>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按</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w:t>
            </w:r>
            <w:r>
              <w:rPr>
                <w:rFonts w:hint="default" w:ascii="Times New Roman" w:hAnsi="Times New Roman" w:eastAsia="Times New Roman" w:cs="Times New Roman"/>
                <w:b w:val="0"/>
                <w:bCs w:val="0"/>
                <w:color w:val="000000" w:themeColor="text1"/>
                <w:spacing w:val="2"/>
                <w:w w:val="100"/>
                <w:sz w:val="24"/>
                <w:szCs w:val="24"/>
                <w14:textFill>
                  <w14:solidFill>
                    <w14:schemeClr w14:val="tx1"/>
                  </w14:solidFill>
                </w14:textFill>
              </w:rPr>
              <w:t>0</w:t>
            </w:r>
            <w:r>
              <w:rPr>
                <w:rFonts w:hint="default" w:ascii="Times New Roman" w:hAnsi="Times New Roman" w:eastAsia="Times New Roman" w:cs="Times New Roman"/>
                <w:b w:val="0"/>
                <w:bCs w:val="0"/>
                <w:color w:val="000000" w:themeColor="text1"/>
                <w:spacing w:val="-6"/>
                <w:w w:val="100"/>
                <w:sz w:val="24"/>
                <w:szCs w:val="24"/>
                <w14:textFill>
                  <w14:solidFill>
                    <w14:schemeClr w14:val="tx1"/>
                  </w14:solidFill>
                </w14:textFill>
              </w:rPr>
              <w:t>L</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人</w:t>
            </w:r>
            <w:r>
              <w:rPr>
                <w:rFonts w:hint="default" w:ascii="Times New Roman" w:hAnsi="Times New Roman" w:eastAsia="宋体" w:cs="Times New Roman"/>
                <w:b w:val="0"/>
                <w:bCs w:val="0"/>
                <w:color w:val="000000" w:themeColor="text1"/>
                <w:spacing w:val="-3"/>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天计算</w:t>
            </w:r>
            <w:r>
              <w:rPr>
                <w:rFonts w:hint="default" w:ascii="Times New Roman" w:hAnsi="Times New Roman" w:eastAsia="宋体" w:cs="Times New Roman"/>
                <w:b w:val="0"/>
                <w:bCs w:val="0"/>
                <w:color w:val="000000" w:themeColor="text1"/>
                <w:spacing w:val="-5"/>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钻井期工作人员为</w:t>
            </w:r>
            <w:r>
              <w:rPr>
                <w:rFonts w:hint="default" w:ascii="Times New Roman" w:hAnsi="Times New Roman" w:eastAsia="宋体" w:cs="Times New Roman"/>
                <w:b w:val="0"/>
                <w:bCs w:val="0"/>
                <w:color w:val="000000" w:themeColor="text1"/>
                <w:spacing w:val="-61"/>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20</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人，则</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本项目</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生活用水量为</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d。</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 xml:space="preserve">② </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排采期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排采期用水主要为生活用水。生活用水取自附近村庄水井。按</w:t>
            </w:r>
            <w:r>
              <w:rPr>
                <w:rFonts w:hint="default" w:ascii="Times New Roman" w:hAnsi="Times New Roman" w:eastAsia="宋体" w:cs="Times New Roman"/>
                <w:b w:val="0"/>
                <w:bCs w:val="0"/>
                <w:color w:val="000000" w:themeColor="text1"/>
                <w:spacing w:val="-59"/>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w:t>
            </w:r>
            <w:r>
              <w:rPr>
                <w:rFonts w:hint="default" w:ascii="Times New Roman" w:hAnsi="Times New Roman" w:eastAsia="Times New Roman" w:cs="Times New Roman"/>
                <w:b w:val="0"/>
                <w:bCs w:val="0"/>
                <w:color w:val="000000" w:themeColor="text1"/>
                <w:spacing w:val="2"/>
                <w:w w:val="100"/>
                <w:sz w:val="24"/>
                <w:szCs w:val="24"/>
                <w14:textFill>
                  <w14:solidFill>
                    <w14:schemeClr w14:val="tx1"/>
                  </w14:solidFill>
                </w14:textFill>
              </w:rPr>
              <w:t>0</w:t>
            </w:r>
            <w:r>
              <w:rPr>
                <w:rFonts w:hint="default" w:ascii="Times New Roman" w:hAnsi="Times New Roman" w:eastAsia="Times New Roman" w:cs="Times New Roman"/>
                <w:b w:val="0"/>
                <w:bCs w:val="0"/>
                <w:color w:val="000000" w:themeColor="text1"/>
                <w:spacing w:val="-6"/>
                <w:w w:val="100"/>
                <w:sz w:val="24"/>
                <w:szCs w:val="24"/>
                <w14:textFill>
                  <w14:solidFill>
                    <w14:schemeClr w14:val="tx1"/>
                  </w14:solidFill>
                </w14:textFill>
              </w:rPr>
              <w:t>L</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人</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·天计算，排采期井场工作人员为</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人，则生活用水量为</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0.16m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1.2 排水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（1）钻井期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① 钻井废水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钻井废水</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主</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要为钻</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井</w:t>
            </w:r>
            <w:r>
              <w:rPr>
                <w:rFonts w:hint="default" w:ascii="Times New Roman" w:hAnsi="Times New Roman" w:cs="Times New Roman"/>
                <w:b w:val="0"/>
                <w:bCs w:val="0"/>
                <w:color w:val="000000" w:themeColor="text1"/>
                <w:spacing w:val="2"/>
                <w:w w:val="100"/>
                <w:sz w:val="24"/>
                <w:szCs w:val="24"/>
                <w:lang w:eastAsia="zh-CN"/>
                <w14:textFill>
                  <w14:solidFill>
                    <w14:schemeClr w14:val="tx1"/>
                  </w14:solidFill>
                </w14:textFill>
              </w:rPr>
              <w:t>液</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、设备</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和</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钻台清</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洗</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废水，废水</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部进入</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泥</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浆池经沉淀后循环使用，不外排。</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 xml:space="preserve">②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压裂废水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压裂</w:t>
            </w:r>
            <w:r>
              <w:rPr>
                <w:rFonts w:hint="eastAsia" w:cs="Times New Roman"/>
                <w:b w:val="0"/>
                <w:bCs w:val="0"/>
                <w:color w:val="000000" w:themeColor="text1"/>
                <w:spacing w:val="0"/>
                <w:w w:val="100"/>
                <w:sz w:val="24"/>
                <w:szCs w:val="24"/>
                <w:lang w:val="en-US" w:eastAsia="zh-CN"/>
                <w14:textFill>
                  <w14:solidFill>
                    <w14:schemeClr w14:val="tx1"/>
                  </w14:solidFill>
                </w14:textFill>
              </w:rPr>
              <w:t>时建设单位根据地质情况，可能会完全采用清水压裂，内置少量的支撑剂石英砂，也可能会清水压裂中加入少量的KCL，压裂</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返排</w:t>
            </w:r>
            <w:r>
              <w:rPr>
                <w:rFonts w:hint="eastAsia" w:cs="Times New Roman"/>
                <w:b w:val="0"/>
                <w:bCs w:val="0"/>
                <w:color w:val="000000" w:themeColor="text1"/>
                <w:spacing w:val="0"/>
                <w:w w:val="100"/>
                <w:sz w:val="24"/>
                <w:szCs w:val="24"/>
                <w:lang w:val="en-US" w:eastAsia="zh-CN"/>
                <w14:textFill>
                  <w14:solidFill>
                    <w14:schemeClr w14:val="tx1"/>
                  </w14:solidFill>
                </w14:textFill>
              </w:rPr>
              <w:t>液</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约为用水量的</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50</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，则单</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井</w:t>
            </w:r>
            <w:r>
              <w:rPr>
                <w:rFonts w:hint="eastAsia" w:cs="Times New Roman"/>
                <w:b w:val="0"/>
                <w:bCs w:val="0"/>
                <w:color w:val="000000" w:themeColor="text1"/>
                <w:spacing w:val="0"/>
                <w:w w:val="100"/>
                <w:sz w:val="24"/>
                <w:szCs w:val="24"/>
                <w:lang w:eastAsia="zh-CN"/>
                <w14:textFill>
                  <w14:solidFill>
                    <w14:schemeClr w14:val="tx1"/>
                  </w14:solidFill>
                </w14:textFill>
              </w:rPr>
              <w:t>压裂返排液</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返</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量</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为</w:t>
            </w:r>
            <w:r>
              <w:rPr>
                <w:rFonts w:hint="eastAsia" w:cs="Times New Roman"/>
                <w:b w:val="0"/>
                <w:bCs w:val="0"/>
                <w:color w:val="000000" w:themeColor="text1"/>
                <w:spacing w:val="1"/>
                <w:w w:val="100"/>
                <w:sz w:val="24"/>
                <w:szCs w:val="24"/>
                <w:lang w:val="en-US" w:eastAsia="zh-CN"/>
                <w14:textFill>
                  <w14:solidFill>
                    <w14:schemeClr w14:val="tx1"/>
                  </w14:solidFill>
                </w14:textFill>
              </w:rPr>
              <w:t>300</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r>
              <w:rPr>
                <w:rFonts w:hint="eastAsia" w:cs="Times New Roman"/>
                <w:b w:val="0"/>
                <w:bCs w:val="0"/>
                <w:color w:val="000000" w:themeColor="text1"/>
                <w:spacing w:val="2"/>
                <w:w w:val="100"/>
                <w:position w:val="0"/>
                <w:sz w:val="24"/>
                <w:szCs w:val="24"/>
                <w:lang w:eastAsia="zh-CN"/>
                <w14:textFill>
                  <w14:solidFill>
                    <w14:schemeClr w14:val="tx1"/>
                  </w14:solidFill>
                </w14:textFill>
              </w:rPr>
              <w:t>压裂返排液</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全</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部</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返</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排</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至压</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裂</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液</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回</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收罐</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w:t>
            </w:r>
            <w:r>
              <w:rPr>
                <w:rFonts w:hint="eastAsia" w:cs="Times New Roman"/>
                <w:b w:val="0"/>
                <w:bCs w:val="0"/>
                <w:color w:val="000000" w:themeColor="text1"/>
                <w:spacing w:val="2"/>
                <w:w w:val="100"/>
                <w:position w:val="0"/>
                <w:sz w:val="24"/>
                <w:szCs w:val="24"/>
                <w:lang w:val="en-US" w:eastAsia="zh-CN"/>
                <w14:textFill>
                  <w14:solidFill>
                    <w14:schemeClr w14:val="tx1"/>
                  </w14:solidFill>
                </w14:textFill>
              </w:rPr>
              <w:t>经移动式压裂液处理装置处理后90%的压裂返排液</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复</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于</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本井场</w:t>
            </w: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后期压裂，剩余的10%进入泥浆池</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，不外排。</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 xml:space="preserve">③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洗井废水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洗井废水返排水约为用水量的</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50</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，则单井洗井废水返排量为</w:t>
            </w:r>
            <w:r>
              <w:rPr>
                <w:rFonts w:hint="default" w:ascii="Times New Roman" w:hAnsi="Times New Roman" w:eastAsia="宋体" w:cs="Times New Roman"/>
                <w:b w:val="0"/>
                <w:bCs w:val="0"/>
                <w:color w:val="000000" w:themeColor="text1"/>
                <w:spacing w:val="-61"/>
                <w:w w:val="100"/>
                <w:sz w:val="24"/>
                <w:szCs w:val="24"/>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48"/>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0</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，洗井废</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全部进入</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泥浆池</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 xml:space="preserve">④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生活污水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生活污水按用水量的</w:t>
            </w:r>
            <w:r>
              <w:rPr>
                <w:rFonts w:hint="default" w:ascii="Times New Roman" w:hAnsi="Times New Roman" w:eastAsia="宋体" w:cs="Times New Roman"/>
                <w:b w:val="0"/>
                <w:bCs w:val="0"/>
                <w:color w:val="000000" w:themeColor="text1"/>
                <w:spacing w:val="-48"/>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80</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计算，污水量为</w:t>
            </w:r>
            <w:r>
              <w:rPr>
                <w:rFonts w:hint="default" w:ascii="Times New Roman" w:hAnsi="Times New Roman" w:eastAsia="宋体" w:cs="Times New Roman"/>
                <w:b w:val="0"/>
                <w:bCs w:val="0"/>
                <w:color w:val="000000" w:themeColor="text1"/>
                <w:spacing w:val="-48"/>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w:t>
            </w:r>
            <w:r>
              <w:rPr>
                <w:rFonts w:hint="default" w:ascii="Times New Roman" w:hAnsi="Times New Roman" w:eastAsia="Times New Roman" w:cs="Times New Roman"/>
                <w:b w:val="0"/>
                <w:bCs w:val="0"/>
                <w:color w:val="000000" w:themeColor="text1"/>
                <w:spacing w:val="2"/>
                <w:w w:val="100"/>
                <w:sz w:val="24"/>
                <w:szCs w:val="24"/>
                <w14:textFill>
                  <w14:solidFill>
                    <w14:schemeClr w14:val="tx1"/>
                  </w14:solidFill>
                </w14:textFill>
              </w:rPr>
              <w:t>2</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，生活</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污水主要为职工洗漱</w:t>
            </w:r>
            <w:r>
              <w:rPr>
                <w:rFonts w:hint="default" w:ascii="Times New Roman" w:hAnsi="Times New Roman" w:eastAsia="宋体" w:cs="Times New Roman"/>
                <w:b w:val="0"/>
                <w:bCs w:val="0"/>
                <w:color w:val="000000" w:themeColor="text1"/>
                <w:spacing w:val="-34"/>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餐饮废水等</w:t>
            </w:r>
            <w:r>
              <w:rPr>
                <w:rFonts w:hint="default" w:ascii="Times New Roman" w:hAnsi="Times New Roman" w:eastAsia="宋体" w:cs="Times New Roman"/>
                <w:b w:val="0"/>
                <w:bCs w:val="0"/>
                <w:color w:val="000000" w:themeColor="text1"/>
                <w:spacing w:val="-34"/>
                <w:w w:val="10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进入环保旱厕，定期由附近居民清掏</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（2）排采期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排采期产生</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废</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水主要</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为</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采出水和职</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工</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生活废</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 xml:space="preserve">①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采出水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采出水根</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据</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类比</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本区域</w:t>
            </w:r>
            <w:r>
              <w:rPr>
                <w:rFonts w:hint="default" w:ascii="Times New Roman" w:hAnsi="Times New Roman" w:cs="Times New Roman"/>
                <w:b w:val="0"/>
                <w:bCs w:val="0"/>
                <w:color w:val="000000" w:themeColor="text1"/>
                <w:spacing w:val="0"/>
                <w:w w:val="100"/>
                <w14:textFill>
                  <w14:solidFill>
                    <w14:schemeClr w14:val="tx1"/>
                  </w14:solidFill>
                </w14:textFill>
              </w:rPr>
              <w:t>勘探井</w:t>
            </w:r>
            <w:r>
              <w:rPr>
                <w:rFonts w:hint="default" w:ascii="Times New Roman" w:hAnsi="Times New Roman" w:cs="Times New Roman"/>
                <w:b w:val="0"/>
                <w:bCs w:val="0"/>
                <w:color w:val="000000" w:themeColor="text1"/>
                <w:spacing w:val="2"/>
                <w:w w:val="100"/>
                <w14:textFill>
                  <w14:solidFill>
                    <w14:schemeClr w14:val="tx1"/>
                  </w14:solidFill>
                </w14:textFill>
              </w:rPr>
              <w:t>实</w:t>
            </w:r>
            <w:r>
              <w:rPr>
                <w:rFonts w:hint="default" w:ascii="Times New Roman" w:hAnsi="Times New Roman" w:cs="Times New Roman"/>
                <w:b w:val="0"/>
                <w:bCs w:val="0"/>
                <w:color w:val="000000" w:themeColor="text1"/>
                <w:spacing w:val="0"/>
                <w:w w:val="100"/>
                <w14:textFill>
                  <w14:solidFill>
                    <w14:schemeClr w14:val="tx1"/>
                  </w14:solidFill>
                </w14:textFill>
              </w:rPr>
              <w:t>际排采水情况</w:t>
            </w:r>
            <w:r>
              <w:rPr>
                <w:rFonts w:hint="default" w:ascii="Times New Roman" w:hAnsi="Times New Roman" w:cs="Times New Roman"/>
                <w:b w:val="0"/>
                <w:bCs w:val="0"/>
                <w:color w:val="000000" w:themeColor="text1"/>
                <w:spacing w:val="0"/>
                <w:w w:val="100"/>
                <w:lang w:eastAsia="zh-CN"/>
                <w14:textFill>
                  <w14:solidFill>
                    <w14:schemeClr w14:val="tx1"/>
                  </w14:solidFill>
                </w14:textFill>
              </w:rPr>
              <w:t>，</w:t>
            </w:r>
            <w:r>
              <w:rPr>
                <w:rFonts w:hint="default" w:ascii="Times New Roman" w:hAnsi="Times New Roman" w:cs="Times New Roman"/>
                <w:b w:val="0"/>
                <w:bCs w:val="0"/>
                <w:color w:val="000000" w:themeColor="text1"/>
                <w:spacing w:val="0"/>
                <w:w w:val="100"/>
                <w14:textFill>
                  <w14:solidFill>
                    <w14:schemeClr w14:val="tx1"/>
                  </w14:solidFill>
                </w14:textFill>
              </w:rPr>
              <w:t>本项目单口勘探井排水量最大不超过</w:t>
            </w:r>
            <w:r>
              <w:rPr>
                <w:rFonts w:hint="default" w:ascii="Times New Roman" w:hAnsi="Times New Roman" w:cs="Times New Roman"/>
                <w:b w:val="0"/>
                <w:bCs w:val="0"/>
                <w:color w:val="000000" w:themeColor="text1"/>
                <w:spacing w:val="-60"/>
                <w:w w:val="100"/>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w w:val="100"/>
                <w:lang w:val="en-US" w:eastAsia="zh-CN"/>
                <w14:textFill>
                  <w14:solidFill>
                    <w14:schemeClr w14:val="tx1"/>
                  </w14:solidFill>
                </w14:textFill>
              </w:rPr>
              <w:t>20</w:t>
            </w:r>
            <w:r>
              <w:rPr>
                <w:rFonts w:hint="default" w:ascii="Times New Roman" w:hAnsi="Times New Roman" w:eastAsia="Times New Roman" w:cs="Times New Roman"/>
                <w:b w:val="0"/>
                <w:bCs w:val="0"/>
                <w:color w:val="000000" w:themeColor="text1"/>
                <w:spacing w:val="0"/>
                <w:w w:val="100"/>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14:textFill>
                  <w14:solidFill>
                    <w14:schemeClr w14:val="tx1"/>
                  </w14:solidFill>
                </w14:textFill>
              </w:rPr>
              <w:t>/d</w:t>
            </w:r>
            <w:r>
              <w:rPr>
                <w:rFonts w:hint="default" w:ascii="Times New Roman" w:hAnsi="Times New Roman" w:eastAsia="Times New Roman" w:cs="Times New Roman"/>
                <w:b w:val="0"/>
                <w:bCs w:val="0"/>
                <w:color w:val="000000" w:themeColor="text1"/>
                <w:spacing w:val="-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排采初期排水量大些，后期</w:t>
            </w:r>
            <w:r>
              <w:rPr>
                <w:rFonts w:hint="default" w:ascii="Times New Roman" w:hAnsi="Times New Roman" w:cs="Times New Roman"/>
                <w:b w:val="0"/>
                <w:bCs w:val="0"/>
                <w:color w:val="000000" w:themeColor="text1"/>
                <w:spacing w:val="1"/>
                <w:w w:val="100"/>
                <w:position w:val="0"/>
                <w14:textFill>
                  <w14:solidFill>
                    <w14:schemeClr w14:val="tx1"/>
                  </w14:solidFill>
                </w14:textFill>
              </w:rPr>
              <w:t>水</w:t>
            </w:r>
            <w:r>
              <w:rPr>
                <w:rFonts w:hint="default" w:ascii="Times New Roman" w:hAnsi="Times New Roman" w:cs="Times New Roman"/>
                <w:b w:val="0"/>
                <w:bCs w:val="0"/>
                <w:color w:val="000000" w:themeColor="text1"/>
                <w:spacing w:val="0"/>
                <w:w w:val="100"/>
                <w:position w:val="0"/>
                <w14:textFill>
                  <w14:solidFill>
                    <w14:schemeClr w14:val="tx1"/>
                  </w14:solidFill>
                </w14:textFill>
              </w:rPr>
              <w:t>量较小</w:t>
            </w:r>
            <w:r>
              <w:rPr>
                <w:rFonts w:hint="default" w:ascii="Times New Roman" w:hAnsi="Times New Roman" w:eastAsia="Times New Roman" w:cs="Times New Roman"/>
                <w:b w:val="0"/>
                <w:bCs w:val="0"/>
                <w:color w:val="000000" w:themeColor="text1"/>
                <w:spacing w:val="-1"/>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，配建一座</w:t>
            </w:r>
            <w:r>
              <w:rPr>
                <w:rFonts w:hint="default" w:ascii="Times New Roman" w:hAnsi="Times New Roman" w:cs="Times New Roman"/>
                <w:b w:val="0"/>
                <w:bCs w:val="0"/>
                <w:color w:val="000000" w:themeColor="text1"/>
                <w:spacing w:val="-61"/>
                <w:w w:val="100"/>
                <w:position w:val="0"/>
                <w14:textFill>
                  <w14:solidFill>
                    <w14:schemeClr w14:val="tx1"/>
                  </w14:solidFill>
                </w14:textFill>
              </w:rPr>
              <w:t xml:space="preserve"> </w:t>
            </w: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100</w:t>
            </w:r>
            <w:r>
              <w:rPr>
                <w:rFonts w:hint="default" w:ascii="Times New Roman" w:hAnsi="Times New Roman" w:eastAsia="Times New Roman" w:cs="Times New Roman"/>
                <w:b w:val="0"/>
                <w:bCs w:val="0"/>
                <w:color w:val="000000" w:themeColor="text1"/>
                <w:spacing w:val="1"/>
                <w:w w:val="100"/>
                <w:position w:val="0"/>
                <w14:textFill>
                  <w14:solidFill>
                    <w14:schemeClr w14:val="tx1"/>
                  </w14:solidFill>
                </w14:textFill>
              </w:rPr>
              <w:t>m</w:t>
            </w:r>
            <w:r>
              <w:rPr>
                <w:rFonts w:hint="default" w:ascii="Times New Roman" w:hAnsi="Times New Roman" w:eastAsia="Times New Roman" w:cs="Times New Roman"/>
                <w:b w:val="0"/>
                <w:bCs w:val="0"/>
                <w:color w:val="000000" w:themeColor="text1"/>
                <w:spacing w:val="0"/>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11"/>
                <w:sz w:val="16"/>
                <w:szCs w:val="16"/>
                <w14:textFill>
                  <w14:solidFill>
                    <w14:schemeClr w14:val="tx1"/>
                  </w14:solidFill>
                </w14:textFill>
              </w:rPr>
              <w:t xml:space="preserve"> </w:t>
            </w:r>
            <w:r>
              <w:rPr>
                <w:rFonts w:hint="default" w:ascii="Times New Roman" w:hAnsi="Times New Roman" w:cs="Times New Roman"/>
                <w:b w:val="0"/>
                <w:bCs w:val="0"/>
                <w:color w:val="000000" w:themeColor="text1"/>
                <w:spacing w:val="0"/>
                <w:w w:val="100"/>
                <w:position w:val="0"/>
                <w14:textFill>
                  <w14:solidFill>
                    <w14:schemeClr w14:val="tx1"/>
                  </w14:solidFill>
                </w14:textFill>
              </w:rPr>
              <w:t>的排采水池</w:t>
            </w:r>
            <w:r>
              <w:rPr>
                <w:rFonts w:hint="default" w:ascii="Times New Roman" w:hAnsi="Times New Roman" w:cs="Times New Roman"/>
                <w:b w:val="0"/>
                <w:bCs w:val="0"/>
                <w:color w:val="000000" w:themeColor="text1"/>
                <w:spacing w:val="-5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w:t>
            </w:r>
            <w:r>
              <w:rPr>
                <w:rFonts w:hint="default" w:ascii="Times New Roman" w:hAnsi="Times New Roman" w:cs="Times New Roman"/>
                <w:b w:val="0"/>
                <w:bCs w:val="0"/>
                <w:color w:val="000000" w:themeColor="text1"/>
                <w:spacing w:val="-3"/>
                <w:w w:val="100"/>
                <w:position w:val="0"/>
                <w14:textFill>
                  <w14:solidFill>
                    <w14:schemeClr w14:val="tx1"/>
                  </w14:solidFill>
                </w14:textFill>
              </w:rPr>
              <w:t>水</w:t>
            </w:r>
            <w:r>
              <w:rPr>
                <w:rFonts w:hint="default" w:ascii="Times New Roman" w:hAnsi="Times New Roman" w:cs="Times New Roman"/>
                <w:b w:val="0"/>
                <w:bCs w:val="0"/>
                <w:color w:val="000000" w:themeColor="text1"/>
                <w:spacing w:val="0"/>
                <w:w w:val="100"/>
                <w:position w:val="0"/>
                <w14:textFill>
                  <w14:solidFill>
                    <w14:schemeClr w14:val="tx1"/>
                  </w14:solidFill>
                </w14:textFill>
              </w:rPr>
              <w:t>经收集进入排采水池</w:t>
            </w:r>
            <w:r>
              <w:rPr>
                <w:rFonts w:hint="default" w:ascii="Times New Roman" w:hAnsi="Times New Roman" w:cs="Times New Roman"/>
                <w:b w:val="0"/>
                <w:bCs w:val="0"/>
                <w:color w:val="000000" w:themeColor="text1"/>
                <w:spacing w:val="-5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排采期废水除少量自然蒸发外，其余全部由罐车拉走运往</w:t>
            </w: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静乐县污水净化中心</w:t>
            </w:r>
            <w:r>
              <w:rPr>
                <w:rFonts w:hint="default" w:ascii="Times New Roman" w:hAnsi="Times New Roman" w:cs="Times New Roman"/>
                <w:b w:val="0"/>
                <w:bCs w:val="0"/>
                <w:color w:val="000000" w:themeColor="text1"/>
                <w:spacing w:val="0"/>
                <w:w w:val="100"/>
                <w:position w:val="0"/>
                <w14:textFill>
                  <w14:solidFill>
                    <w14:schemeClr w14:val="tx1"/>
                  </w14:solidFill>
                </w14:textFill>
              </w:rPr>
              <w:t>，不外排。</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 xml:space="preserve">② </w:t>
            </w: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生活污水</w:t>
            </w:r>
          </w:p>
          <w:p>
            <w:pPr>
              <w:pStyle w:val="180"/>
              <w:widowControl w:val="0"/>
              <w:numPr>
                <w:ilvl w:val="0"/>
                <w:numId w:val="0"/>
              </w:numPr>
              <w:adjustRightInd w:val="0"/>
              <w:snapToGrid w:val="0"/>
              <w:spacing w:line="300" w:lineRule="auto"/>
              <w:ind w:firstLine="480"/>
              <w:jc w:val="both"/>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本项目生活污水主要为施工人员生活污水，按生活用水的80%计算，最大排放量为0.48m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/d，经沉淀后用于道路洒水抑尘。</w:t>
            </w:r>
          </w:p>
          <w:p>
            <w:pPr>
              <w:pStyle w:val="180"/>
              <w:numPr>
                <w:ilvl w:val="0"/>
                <w:numId w:val="0"/>
              </w:numPr>
              <w:adjustRightInd w:val="0"/>
              <w:snapToGrid w:val="0"/>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本项目无废水外排。</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snapToGrid w:val="0"/>
                <w:color w:val="000000" w:themeColor="text1"/>
                <w:sz w:val="24"/>
                <w14:textFill>
                  <w14:solidFill>
                    <w14:schemeClr w14:val="tx1"/>
                  </w14:solidFill>
                </w14:textFill>
              </w:rPr>
              <w:t>用排水情况见插表</w:t>
            </w:r>
            <w:r>
              <w:rPr>
                <w:rFonts w:hint="eastAsia" w:cs="Times New Roman"/>
                <w:snapToGrid w:val="0"/>
                <w:color w:val="000000" w:themeColor="text1"/>
                <w:sz w:val="24"/>
                <w:lang w:val="en-US" w:eastAsia="zh-CN"/>
                <w14:textFill>
                  <w14:solidFill>
                    <w14:schemeClr w14:val="tx1"/>
                  </w14:solidFill>
                </w14:textFill>
              </w:rPr>
              <w:t>10</w:t>
            </w:r>
            <w:r>
              <w:rPr>
                <w:rFonts w:hint="default" w:ascii="Times New Roman" w:hAnsi="Times New Roman" w:cs="Times New Roman"/>
                <w:snapToGrid w:val="0"/>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水平衡图见插图1</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插图2</w:t>
            </w:r>
            <w:r>
              <w:rPr>
                <w:rFonts w:hint="eastAsia" w:cs="Times New Roman"/>
                <w:color w:val="000000" w:themeColor="text1"/>
                <w:sz w:val="24"/>
                <w:lang w:eastAsia="zh-CN"/>
                <w14:textFill>
                  <w14:solidFill>
                    <w14:schemeClr w14:val="tx1"/>
                  </w14:solidFill>
                </w14:textFill>
              </w:rPr>
              <w:t>、插图</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本项目用排水量平衡表</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28" w:type="dxa"/>
                <w:bottom w:w="0" w:type="dxa"/>
                <w:right w:w="28" w:type="dxa"/>
              </w:tblCellMar>
            </w:tblPr>
            <w:tblGrid>
              <w:gridCol w:w="508"/>
              <w:gridCol w:w="1685"/>
              <w:gridCol w:w="1034"/>
              <w:gridCol w:w="1067"/>
              <w:gridCol w:w="943"/>
              <w:gridCol w:w="997"/>
              <w:gridCol w:w="857"/>
              <w:gridCol w:w="1721"/>
              <w:gridCol w:w="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序号</w:t>
                  </w:r>
                </w:p>
              </w:tc>
              <w:tc>
                <w:tcPr>
                  <w:tcW w:w="1685"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用水单元</w:t>
                  </w:r>
                </w:p>
              </w:tc>
              <w:tc>
                <w:tcPr>
                  <w:tcW w:w="1034"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用水定额</w:t>
                  </w:r>
                </w:p>
              </w:tc>
              <w:tc>
                <w:tcPr>
                  <w:tcW w:w="2009" w:type="dxa"/>
                  <w:gridSpan w:val="2"/>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用水量（m</w:t>
                  </w:r>
                  <w:r>
                    <w:rPr>
                      <w:rFonts w:hint="default" w:ascii="Times New Roman" w:hAnsi="Times New Roman" w:cs="Times New Roman" w:eastAsiaTheme="minorEastAsia"/>
                      <w:b/>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color w:val="000000" w:themeColor="text1"/>
                      <w:sz w:val="21"/>
                      <w:szCs w:val="21"/>
                      <w14:textFill>
                        <w14:solidFill>
                          <w14:schemeClr w14:val="tx1"/>
                        </w14:solidFill>
                      </w14:textFill>
                    </w:rPr>
                    <w:t>/d）</w:t>
                  </w:r>
                </w:p>
              </w:tc>
              <w:tc>
                <w:tcPr>
                  <w:tcW w:w="1854" w:type="dxa"/>
                  <w:gridSpan w:val="2"/>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排水量（m</w:t>
                  </w:r>
                  <w:r>
                    <w:rPr>
                      <w:rFonts w:hint="default" w:ascii="Times New Roman" w:hAnsi="Times New Roman" w:cs="Times New Roman" w:eastAsiaTheme="minorEastAsia"/>
                      <w:b/>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color w:val="000000" w:themeColor="text1"/>
                      <w:sz w:val="21"/>
                      <w:szCs w:val="21"/>
                      <w14:textFill>
                        <w14:solidFill>
                          <w14:schemeClr w14:val="tx1"/>
                        </w14:solidFill>
                      </w14:textFill>
                    </w:rPr>
                    <w:t>/d）</w:t>
                  </w:r>
                </w:p>
              </w:tc>
              <w:tc>
                <w:tcPr>
                  <w:tcW w:w="1723" w:type="dxa"/>
                  <w:gridSpan w:val="2"/>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lang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vMerge w:val="continue"/>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85"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034"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6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钻井期</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排采期</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钻井期</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排采期</w:t>
                  </w:r>
                </w:p>
              </w:tc>
              <w:tc>
                <w:tcPr>
                  <w:tcW w:w="172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1685"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eastAsia="zh-CN"/>
                      <w14:textFill>
                        <w14:solidFill>
                          <w14:schemeClr w14:val="tx1"/>
                        </w14:solidFill>
                      </w14:textFill>
                    </w:rPr>
                    <w:t>钻井液配置用水</w:t>
                  </w:r>
                </w:p>
              </w:tc>
              <w:tc>
                <w:tcPr>
                  <w:tcW w:w="1034" w:type="dxa"/>
                  <w:tcBorders>
                    <w:tl2br w:val="nil"/>
                    <w:tr2bl w:val="nil"/>
                  </w:tcBorders>
                  <w:tcMar>
                    <w:left w:w="28" w:type="dxa"/>
                    <w:right w:w="28" w:type="dxa"/>
                  </w:tcMar>
                  <w:vAlign w:val="center"/>
                </w:tcPr>
                <w:p>
                  <w:pPr>
                    <w:keepNext w:val="0"/>
                    <w:keepLines w:val="0"/>
                    <w:pageBreakBefore w:val="0"/>
                    <w:tabs>
                      <w:tab w:val="left" w:pos="284"/>
                    </w:tabs>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1.5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1.5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0</w:t>
                  </w:r>
                </w:p>
              </w:tc>
              <w:tc>
                <w:tcPr>
                  <w:tcW w:w="172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进入</w:t>
                  </w:r>
                  <w:r>
                    <w:rPr>
                      <w:rFonts w:hint="default" w:ascii="Times New Roman" w:hAnsi="Times New Roman" w:eastAsia="宋体" w:cs="Times New Roman"/>
                      <w:b w:val="0"/>
                      <w:bCs w:val="0"/>
                      <w:color w:val="000000" w:themeColor="text1"/>
                      <w:spacing w:val="2"/>
                      <w:w w:val="100"/>
                      <w:sz w:val="21"/>
                      <w:szCs w:val="21"/>
                      <w14:textFill>
                        <w14:solidFill>
                          <w14:schemeClr w14:val="tx1"/>
                        </w14:solidFill>
                      </w14:textFill>
                    </w:rPr>
                    <w:t>泥</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浆池沉淀后循环使用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1685" w:type="dxa"/>
                  <w:tcBorders>
                    <w:tl2br w:val="nil"/>
                    <w:tr2bl w:val="nil"/>
                  </w:tcBorders>
                  <w:tcMar>
                    <w:left w:w="28" w:type="dxa"/>
                    <w:right w:w="28" w:type="dxa"/>
                  </w:tcMar>
                  <w:vAlign w:val="center"/>
                </w:tcPr>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水泥浆配料用水</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bCs/>
                      <w:snapToGrid w:val="0"/>
                      <w:color w:val="000000" w:themeColor="text1"/>
                      <w:kern w:val="0"/>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snapToGrid w:val="0"/>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72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进入产品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w:t>
                  </w:r>
                </w:p>
              </w:tc>
              <w:tc>
                <w:tcPr>
                  <w:tcW w:w="1685" w:type="dxa"/>
                  <w:tcBorders>
                    <w:tl2br w:val="nil"/>
                    <w:tr2bl w:val="nil"/>
                  </w:tcBorders>
                  <w:tcMar>
                    <w:left w:w="28" w:type="dxa"/>
                    <w:right w:w="28" w:type="dxa"/>
                  </w:tcMar>
                  <w:vAlign w:val="center"/>
                </w:tcPr>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eastAsia="zh-CN"/>
                      <w14:textFill>
                        <w14:solidFill>
                          <w14:schemeClr w14:val="tx1"/>
                        </w14:solidFill>
                      </w14:textFill>
                    </w:rPr>
                    <w:t>设备</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和钻</w:t>
                  </w:r>
                  <w:r>
                    <w:rPr>
                      <w:rFonts w:hint="default" w:ascii="Times New Roman" w:hAnsi="Times New Roman" w:eastAsia="宋体" w:cs="Times New Roman"/>
                      <w:b w:val="0"/>
                      <w:bCs w:val="0"/>
                      <w:color w:val="000000" w:themeColor="text1"/>
                      <w:spacing w:val="-3"/>
                      <w:w w:val="100"/>
                      <w:position w:val="0"/>
                      <w:sz w:val="21"/>
                      <w:szCs w:val="21"/>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冲洗用水</w:t>
                  </w:r>
                </w:p>
              </w:tc>
              <w:tc>
                <w:tcPr>
                  <w:tcW w:w="1034"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0.6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1"/>
                      <w:szCs w:val="21"/>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1066"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0.6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1"/>
                      <w:szCs w:val="21"/>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0.54</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0</w:t>
                  </w:r>
                </w:p>
              </w:tc>
              <w:tc>
                <w:tcPr>
                  <w:tcW w:w="172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进入</w:t>
                  </w:r>
                  <w:r>
                    <w:rPr>
                      <w:rFonts w:hint="default" w:ascii="Times New Roman" w:hAnsi="Times New Roman" w:eastAsia="宋体" w:cs="Times New Roman"/>
                      <w:b w:val="0"/>
                      <w:bCs w:val="0"/>
                      <w:color w:val="000000" w:themeColor="text1"/>
                      <w:spacing w:val="2"/>
                      <w:w w:val="100"/>
                      <w:sz w:val="21"/>
                      <w:szCs w:val="21"/>
                      <w14:textFill>
                        <w14:solidFill>
                          <w14:schemeClr w14:val="tx1"/>
                        </w14:solidFill>
                      </w14:textFill>
                    </w:rPr>
                    <w:t>泥</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浆池沉淀后循环使用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1685"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eastAsia="zh-CN"/>
                      <w14:textFill>
                        <w14:solidFill>
                          <w14:schemeClr w14:val="tx1"/>
                        </w14:solidFill>
                      </w14:textFill>
                    </w:rPr>
                    <w:t>压裂用水</w:t>
                  </w:r>
                </w:p>
              </w:tc>
              <w:tc>
                <w:tcPr>
                  <w:tcW w:w="1034"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600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600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0</w:t>
                  </w:r>
                </w:p>
              </w:tc>
              <w:tc>
                <w:tcPr>
                  <w:tcW w:w="172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lang w:val="en-US" w:eastAsia="zh-CN"/>
                      <w14:textFill>
                        <w14:solidFill>
                          <w14:schemeClr w14:val="tx1"/>
                        </w14:solidFill>
                      </w14:textFill>
                    </w:rPr>
                    <w:t>前期压裂液</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返</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排</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至压</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裂</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液</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回</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收罐</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w:t>
                  </w:r>
                  <w:r>
                    <w:rPr>
                      <w:rFonts w:hint="eastAsia" w:cs="Times New Roman"/>
                      <w:b w:val="0"/>
                      <w:bCs w:val="0"/>
                      <w:color w:val="000000" w:themeColor="text1"/>
                      <w:spacing w:val="0"/>
                      <w:w w:val="100"/>
                      <w:position w:val="0"/>
                      <w:sz w:val="21"/>
                      <w:szCs w:val="21"/>
                      <w:lang w:val="en-US" w:eastAsia="zh-CN"/>
                      <w14:textFill>
                        <w14:solidFill>
                          <w14:schemeClr w14:val="tx1"/>
                        </w14:solidFill>
                      </w14:textFill>
                    </w:rPr>
                    <w:t>处理后回用于本井后期压裂使用，剩余排入泥浆池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w:t>
                  </w:r>
                </w:p>
              </w:tc>
              <w:tc>
                <w:tcPr>
                  <w:tcW w:w="1685"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eastAsia="zh-CN"/>
                      <w14:textFill>
                        <w14:solidFill>
                          <w14:schemeClr w14:val="tx1"/>
                        </w14:solidFill>
                      </w14:textFill>
                    </w:rPr>
                    <w:t>洗井废水</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6"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0</w:t>
                  </w:r>
                </w:p>
              </w:tc>
              <w:tc>
                <w:tcPr>
                  <w:tcW w:w="172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进入</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泥浆池处理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9"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1685" w:type="dxa"/>
                  <w:tcBorders>
                    <w:tl2br w:val="nil"/>
                    <w:tr2bl w:val="nil"/>
                  </w:tcBorders>
                  <w:tcMar>
                    <w:left w:w="28" w:type="dxa"/>
                    <w:right w:w="28" w:type="dxa"/>
                  </w:tcMar>
                  <w:vAlign w:val="center"/>
                </w:tcPr>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cs="Times New Roman"/>
                      <w:b w:val="0"/>
                      <w:bCs w:val="0"/>
                      <w:color w:val="000000" w:themeColor="text1"/>
                      <w:spacing w:val="0"/>
                      <w:w w:val="100"/>
                      <w:sz w:val="21"/>
                      <w:szCs w:val="21"/>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eastAsia="zh-CN"/>
                      <w14:textFill>
                        <w14:solidFill>
                          <w14:schemeClr w14:val="tx1"/>
                        </w14:solidFill>
                      </w14:textFill>
                    </w:rPr>
                    <w:t>生活用水</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8</w:t>
                  </w:r>
                  <w:r>
                    <w:rPr>
                      <w:rFonts w:hint="default" w:ascii="Times New Roman" w:hAnsi="Times New Roman" w:eastAsia="Times New Roman" w:cs="Times New Roman"/>
                      <w:b w:val="0"/>
                      <w:bCs w:val="0"/>
                      <w:color w:val="000000" w:themeColor="text1"/>
                      <w:spacing w:val="2"/>
                      <w:w w:val="100"/>
                      <w:sz w:val="21"/>
                      <w:szCs w:val="21"/>
                      <w14:textFill>
                        <w14:solidFill>
                          <w14:schemeClr w14:val="tx1"/>
                        </w14:solidFill>
                      </w14:textFill>
                    </w:rPr>
                    <w:t>0</w:t>
                  </w:r>
                  <w:r>
                    <w:rPr>
                      <w:rFonts w:hint="default" w:ascii="Times New Roman" w:hAnsi="Times New Roman" w:eastAsia="Times New Roman" w:cs="Times New Roman"/>
                      <w:b w:val="0"/>
                      <w:bCs w:val="0"/>
                      <w:color w:val="000000" w:themeColor="text1"/>
                      <w:spacing w:val="-6"/>
                      <w:w w:val="100"/>
                      <w:sz w:val="21"/>
                      <w:szCs w:val="21"/>
                      <w14:textFill>
                        <w14:solidFill>
                          <w14:schemeClr w14:val="tx1"/>
                        </w14:solidFill>
                      </w14:textFill>
                    </w:rPr>
                    <w:t>L</w:t>
                  </w: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人</w:t>
                  </w:r>
                  <w:r>
                    <w:rPr>
                      <w:rFonts w:hint="default" w:ascii="Times New Roman" w:hAnsi="Times New Roman" w:eastAsia="宋体" w:cs="Times New Roman"/>
                      <w:b w:val="0"/>
                      <w:bCs w:val="0"/>
                      <w:color w:val="000000" w:themeColor="text1"/>
                      <w:spacing w:val="-3"/>
                      <w:w w:val="100"/>
                      <w:sz w:val="21"/>
                      <w:szCs w:val="21"/>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天</w:t>
                  </w:r>
                </w:p>
              </w:tc>
              <w:tc>
                <w:tcPr>
                  <w:tcW w:w="1066"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1.6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997"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1.28</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0.13</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172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洒水抑尘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gridAfter w:val="1"/>
                <w:wAfter w:w="2" w:type="dxa"/>
                <w:trHeight w:val="340" w:hRule="atLeast"/>
                <w:tblHeader/>
                <w:jc w:val="center"/>
              </w:trPr>
              <w:tc>
                <w:tcPr>
                  <w:tcW w:w="2193"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合计</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p>
              </w:tc>
              <w:tc>
                <w:tcPr>
                  <w:tcW w:w="1067"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625.7m</w:t>
                  </w:r>
                  <w:r>
                    <w:rPr>
                      <w:rFonts w:hint="default" w:ascii="Times New Roman" w:hAnsi="Times New Roman"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lang w:val="en-US" w:eastAsia="zh-CN"/>
                      <w14:textFill>
                        <w14:solidFill>
                          <w14:schemeClr w14:val="tx1"/>
                        </w14:solidFill>
                      </w14:textFill>
                    </w:rPr>
                    <w:t>/d</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997"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311.82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0.13</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172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bl>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bCs/>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4"/>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bCs/>
                <w:color w:val="000000" w:themeColor="text1"/>
                <w:spacing w:val="0"/>
                <w:w w:val="100"/>
                <w:position w:val="0"/>
                <w:lang w:eastAsia="zh-CN"/>
                <w14:textFill>
                  <w14:solidFill>
                    <w14:schemeClr w14:val="tx1"/>
                  </w14:solidFill>
                </w14:textFill>
              </w:rPr>
            </w:pPr>
            <w:r>
              <w:rPr>
                <w:rFonts w:hint="default" w:ascii="Times New Roman" w:hAnsi="Times New Roman" w:cs="Times New Roman"/>
                <w:b/>
                <w:bCs/>
                <w:color w:val="000000" w:themeColor="text1"/>
                <w:spacing w:val="0"/>
                <w:w w:val="100"/>
                <w:position w:val="0"/>
                <w:lang w:eastAsia="zh-CN"/>
                <w14:textFill>
                  <w14:solidFill>
                    <w14:schemeClr w14:val="tx1"/>
                  </w14:solidFill>
                </w14:textFill>
              </w:rPr>
              <w:t>供电</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本项目井场钻井期钻机及各类泵类等用电采用自备柴油机发电，</w:t>
            </w:r>
            <w:r>
              <w:rPr>
                <w:rFonts w:hint="eastAsia" w:cs="Times New Roman"/>
                <w:b w:val="0"/>
                <w:bCs w:val="0"/>
                <w:color w:val="000000" w:themeColor="text1"/>
                <w:spacing w:val="0"/>
                <w:w w:val="100"/>
                <w:position w:val="0"/>
                <w:lang w:val="en-US" w:eastAsia="zh-CN"/>
                <w14:textFill>
                  <w14:solidFill>
                    <w14:schemeClr w14:val="tx1"/>
                  </w14:solidFill>
                </w14:textFill>
              </w:rPr>
              <w:t>排采期</w:t>
            </w: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生产不</w:t>
            </w:r>
            <w:r>
              <w:rPr>
                <w:rFonts w:hint="default" w:ascii="Times New Roman" w:hAnsi="Times New Roman" w:cs="Times New Roman"/>
                <w:b w:val="0"/>
                <w:bCs w:val="0"/>
                <w:color w:val="000000" w:themeColor="text1"/>
                <w:spacing w:val="0"/>
                <w:w w:val="100"/>
                <w:position w:val="0"/>
                <w:lang w:val="zh-TW" w:eastAsia="zh-TW"/>
                <w14:textFill>
                  <w14:solidFill>
                    <w14:schemeClr w14:val="tx1"/>
                  </w14:solidFill>
                </w14:textFill>
              </w:rPr>
              <w:t>用电</w:t>
            </w:r>
            <w:r>
              <w:rPr>
                <w:rFonts w:hint="default" w:ascii="Times New Roman" w:hAnsi="Times New Roman" w:cs="Times New Roman"/>
                <w:b w:val="0"/>
                <w:bCs w:val="0"/>
                <w:color w:val="000000" w:themeColor="text1"/>
                <w:spacing w:val="0"/>
                <w:w w:val="100"/>
                <w:position w:val="0"/>
                <w:lang w:val="zh-TW" w:eastAsia="zh-CN"/>
                <w14:textFill>
                  <w14:solidFill>
                    <w14:schemeClr w14:val="tx1"/>
                  </w14:solidFill>
                </w14:textFill>
              </w:rPr>
              <w:t>，</w:t>
            </w: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生活用电由井场发电机供给</w:t>
            </w:r>
            <w:r>
              <w:rPr>
                <w:rFonts w:hint="default" w:ascii="Times New Roman" w:hAnsi="Times New Roman" w:cs="Times New Roman"/>
                <w:b w:val="0"/>
                <w:bCs w:val="0"/>
                <w:color w:val="000000" w:themeColor="text1"/>
                <w:spacing w:val="0"/>
                <w:w w:val="100"/>
                <w:position w:val="0"/>
                <w:lang w:val="zh-TW" w:eastAsia="zh-TW"/>
                <w14:textFill>
                  <w14:solidFill>
                    <w14:schemeClr w14:val="tx1"/>
                  </w14:solidFill>
                </w14:textFill>
              </w:rPr>
              <w:t>。</w:t>
            </w:r>
          </w:p>
          <w:p>
            <w:pPr>
              <w:pStyle w:val="180"/>
              <w:keepNext w:val="0"/>
              <w:keepLines w:val="0"/>
              <w:pageBreakBefore w:val="0"/>
              <w:widowControl w:val="0"/>
              <w:numPr>
                <w:ilvl w:val="0"/>
                <w:numId w:val="4"/>
              </w:numPr>
              <w:tabs>
                <w:tab w:val="left" w:pos="7500"/>
              </w:tabs>
              <w:kinsoku/>
              <w:wordWrap/>
              <w:overflowPunct/>
              <w:topLinePunct w:val="0"/>
              <w:autoSpaceDE/>
              <w:autoSpaceDN/>
              <w:bidi w:val="0"/>
              <w:adjustRightInd w:val="0"/>
              <w:snapToGrid w:val="0"/>
              <w:spacing w:line="300" w:lineRule="auto"/>
              <w:ind w:left="0" w:leftChars="0" w:firstLine="480" w:firstLineChars="200"/>
              <w:jc w:val="both"/>
              <w:textAlignment w:val="auto"/>
              <w:outlineLvl w:val="9"/>
              <w:rPr>
                <w:rFonts w:hint="default" w:ascii="Times New Roman" w:hAnsi="Times New Roman" w:cs="Times New Roman"/>
                <w:b/>
                <w:bCs/>
                <w:color w:val="000000" w:themeColor="text1"/>
                <w:spacing w:val="0"/>
                <w:w w:val="100"/>
                <w:position w:val="0"/>
                <w:lang w:eastAsia="zh-CN"/>
                <w14:textFill>
                  <w14:solidFill>
                    <w14:schemeClr w14:val="tx1"/>
                  </w14:solidFill>
                </w14:textFill>
              </w:rPr>
            </w:pPr>
            <w:r>
              <w:rPr>
                <w:rFonts w:hint="default" w:ascii="Times New Roman" w:hAnsi="Times New Roman" w:cs="Times New Roman"/>
                <w:b/>
                <w:bCs/>
                <w:color w:val="000000" w:themeColor="text1"/>
                <w:spacing w:val="0"/>
                <w:w w:val="100"/>
                <w:position w:val="0"/>
                <w:lang w:eastAsia="zh-CN"/>
                <w14:textFill>
                  <w14:solidFill>
                    <w14:schemeClr w14:val="tx1"/>
                  </w14:solidFill>
                </w14:textFill>
              </w:rPr>
              <w:t>供热</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本项目办公生活场所采暖由电暖或电单体空调供应。热水由电热水器供应。</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r>
              <w:rPr>
                <w:color w:val="000000" w:themeColor="text1"/>
                <w:sz w:val="28"/>
                <w14:textFill>
                  <w14:solidFill>
                    <w14:schemeClr w14:val="tx1"/>
                  </w14:solidFill>
                </w14:textFill>
              </w:rPr>
              <mc:AlternateContent>
                <mc:Choice Requires="wpg">
                  <w:drawing>
                    <wp:anchor distT="0" distB="0" distL="114300" distR="114300" simplePos="0" relativeHeight="4069470208" behindDoc="0" locked="0" layoutInCell="1" allowOverlap="1">
                      <wp:simplePos x="0" y="0"/>
                      <wp:positionH relativeFrom="column">
                        <wp:posOffset>0</wp:posOffset>
                      </wp:positionH>
                      <wp:positionV relativeFrom="paragraph">
                        <wp:posOffset>234950</wp:posOffset>
                      </wp:positionV>
                      <wp:extent cx="5511165" cy="1070610"/>
                      <wp:effectExtent l="5080" t="4445" r="8255" b="10795"/>
                      <wp:wrapNone/>
                      <wp:docPr id="179" name="组合 179"/>
                      <wp:cNvGraphicFramePr/>
                      <a:graphic xmlns:a="http://schemas.openxmlformats.org/drawingml/2006/main">
                        <a:graphicData uri="http://schemas.microsoft.com/office/word/2010/wordprocessingGroup">
                          <wpg:wgp>
                            <wpg:cNvGrpSpPr/>
                            <wpg:grpSpPr>
                              <a:xfrm>
                                <a:off x="0" y="0"/>
                                <a:ext cx="5511165" cy="1070610"/>
                                <a:chOff x="4084" y="350307"/>
                                <a:chExt cx="8679" cy="1686"/>
                              </a:xfrm>
                            </wpg:grpSpPr>
                            <wps:wsp>
                              <wps:cNvPr id="41" name="文本框 175"/>
                              <wps:cNvSpPr txBox="1"/>
                              <wps:spPr>
                                <a:xfrm>
                                  <a:off x="4084" y="350307"/>
                                  <a:ext cx="8664" cy="1686"/>
                                </a:xfrm>
                                <a:prstGeom prst="rect">
                                  <a:avLst/>
                                </a:prstGeom>
                                <a:noFill/>
                                <a:ln w="9525" cap="flat" cmpd="sng">
                                  <a:solidFill>
                                    <a:srgbClr val="FF0000"/>
                                  </a:solidFill>
                                  <a:prstDash val="dash"/>
                                  <a:miter/>
                                  <a:headEnd type="none" w="med" len="med"/>
                                  <a:tailEnd type="none" w="med" len="med"/>
                                </a:ln>
                              </wps:spPr>
                              <wps:txbx>
                                <w:txbxContent>
                                  <w:p>
                                    <w:pPr>
                                      <w:spacing w:line="240" w:lineRule="exact"/>
                                      <w:jc w:val="both"/>
                                      <w:rPr>
                                        <w:rFonts w:hint="eastAsia" w:ascii="Times New Roman" w:hAnsi="Times New Roman" w:cs="Times New Roman"/>
                                        <w:color w:val="000000"/>
                                        <w:w w:val="80"/>
                                        <w:sz w:val="21"/>
                                        <w:szCs w:val="21"/>
                                        <w:lang w:eastAsia="zh-CN"/>
                                      </w:rPr>
                                    </w:pP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w:t>
                                    </w:r>
                                    <w:r>
                                      <w:rPr>
                                        <w:rFonts w:hint="eastAsia" w:cs="Times New Roman"/>
                                        <w:color w:val="000000"/>
                                        <w:w w:val="80"/>
                                        <w:sz w:val="21"/>
                                        <w:szCs w:val="21"/>
                                        <w:lang w:val="en-US" w:eastAsia="zh-CN"/>
                                      </w:rPr>
                                      <w:t>9</w:t>
                                    </w:r>
                                    <w:r>
                                      <w:rPr>
                                        <w:rFonts w:hint="eastAsia" w:ascii="Times New Roman" w:hAnsi="Times New Roman" w:cs="Times New Roman"/>
                                        <w:color w:val="000000"/>
                                        <w:w w:val="80"/>
                                        <w:sz w:val="21"/>
                                        <w:szCs w:val="21"/>
                                        <w:lang w:val="en-US" w:eastAsia="zh-CN"/>
                                      </w:rPr>
                                      <w:t>%沙子</w:t>
                                    </w:r>
                                    <w:r>
                                      <w:rPr>
                                        <w:rFonts w:hint="eastAsia" w:cs="Times New Roman"/>
                                        <w:color w:val="000000"/>
                                        <w:w w:val="80"/>
                                        <w:sz w:val="21"/>
                                        <w:szCs w:val="21"/>
                                        <w:lang w:val="en-US" w:eastAsia="zh-CN"/>
                                      </w:rPr>
                                      <w:t>+1%KCL</w:t>
                                    </w:r>
                                    <w:r>
                                      <w:rPr>
                                        <w:rFonts w:hint="eastAsia" w:ascii="Times New Roman" w:hAnsi="Times New Roman" w:cs="Times New Roman"/>
                                        <w:color w:val="000000"/>
                                        <w:w w:val="80"/>
                                        <w:sz w:val="21"/>
                                        <w:szCs w:val="21"/>
                                        <w:lang w:eastAsia="zh-CN"/>
                                      </w:rPr>
                                      <w:t>）</w:t>
                                    </w:r>
                                  </w:p>
                                  <w:p>
                                    <w:pPr>
                                      <w:pStyle w:val="2"/>
                                      <w:rPr>
                                        <w:rFonts w:hint="default"/>
                                        <w:lang w:eastAsia="zh-CN"/>
                                      </w:rPr>
                                    </w:pPr>
                                  </w:p>
                                </w:txbxContent>
                              </wps:txbx>
                              <wps:bodyPr lIns="0" tIns="0" rIns="0" bIns="0" upright="1"/>
                            </wps:wsp>
                            <wps:wsp>
                              <wps:cNvPr id="206" name="直接连接符 206"/>
                              <wps:cNvCnPr/>
                              <wps:spPr>
                                <a:xfrm>
                                  <a:off x="4182" y="351398"/>
                                  <a:ext cx="918" cy="0"/>
                                </a:xfrm>
                                <a:prstGeom prst="line">
                                  <a:avLst/>
                                </a:prstGeom>
                                <a:ln w="12700" cap="flat" cmpd="sng">
                                  <a:solidFill>
                                    <a:srgbClr val="000000"/>
                                  </a:solidFill>
                                  <a:prstDash val="solid"/>
                                  <a:headEnd type="none" w="med" len="med"/>
                                  <a:tailEnd type="triangle" w="sm" len="lg"/>
                                </a:ln>
                              </wps:spPr>
                              <wps:bodyPr upright="1"/>
                            </wps:wsp>
                            <wps:wsp>
                              <wps:cNvPr id="185" name="文本框 185"/>
                              <wps:cNvSpPr txBox="1"/>
                              <wps:spPr>
                                <a:xfrm>
                                  <a:off x="4130" y="351094"/>
                                  <a:ext cx="951" cy="471"/>
                                </a:xfrm>
                                <a:prstGeom prst="rect">
                                  <a:avLst/>
                                </a:prstGeom>
                                <a:noFill/>
                                <a:ln w="9525">
                                  <a:noFill/>
                                </a:ln>
                              </wps:spPr>
                              <wps:txbx>
                                <w:txbxContent>
                                  <w:p>
                                    <w:pPr>
                                      <w:jc w:val="center"/>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00</w:t>
                                    </w:r>
                                  </w:p>
                                </w:txbxContent>
                              </wps:txbx>
                              <wps:bodyPr lIns="0" tIns="0" rIns="0" bIns="0" upright="1"/>
                            </wps:wsp>
                            <wps:wsp>
                              <wps:cNvPr id="184" name="文本框 184"/>
                              <wps:cNvSpPr txBox="1"/>
                              <wps:spPr>
                                <a:xfrm>
                                  <a:off x="6322" y="35109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300</w:t>
                                    </w:r>
                                  </w:p>
                                </w:txbxContent>
                              </wps:txbx>
                              <wps:bodyPr lIns="0" tIns="0" rIns="0" bIns="0" upright="1"/>
                            </wps:wsp>
                            <wps:wsp>
                              <wps:cNvPr id="180" name="文本框 180"/>
                              <wps:cNvSpPr txBox="1"/>
                              <wps:spPr>
                                <a:xfrm>
                                  <a:off x="5940" y="350518"/>
                                  <a:ext cx="1810" cy="410"/>
                                </a:xfrm>
                                <a:prstGeom prst="rect">
                                  <a:avLst/>
                                </a:prstGeom>
                                <a:noFill/>
                                <a:ln w="9525">
                                  <a:noFill/>
                                </a:ln>
                              </wps:spPr>
                              <wps:txbx>
                                <w:txbxContent>
                                  <w:p>
                                    <w:pPr>
                                      <w:jc w:val="center"/>
                                      <w:rPr>
                                        <w:rFonts w:ascii="仿宋_GB2312" w:eastAsia="仿宋_GB2312"/>
                                        <w:sz w:val="24"/>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wps:txbx>
                              <wps:bodyPr lIns="0" tIns="0" rIns="0" bIns="0" upright="1"/>
                            </wps:wsp>
                            <wps:wsp>
                              <wps:cNvPr id="203" name="文本框 203"/>
                              <wps:cNvSpPr txBox="1"/>
                              <wps:spPr>
                                <a:xfrm>
                                  <a:off x="7304" y="351214"/>
                                  <a:ext cx="1222"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wps:txbx>
                              <wps:bodyPr lIns="0" tIns="0" rIns="0" bIns="0" upright="1"/>
                            </wps:wsp>
                            <wps:wsp>
                              <wps:cNvPr id="202" name="文本框 202"/>
                              <wps:cNvSpPr txBox="1"/>
                              <wps:spPr>
                                <a:xfrm>
                                  <a:off x="5106" y="351229"/>
                                  <a:ext cx="1323"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wps:txbx>
                              <wps:bodyPr lIns="0" tIns="0" rIns="0" bIns="0" upright="1"/>
                            </wps:wsp>
                            <wps:wsp>
                              <wps:cNvPr id="186" name="任意多边形 186"/>
                              <wps:cNvSpPr/>
                              <wps:spPr bwMode="auto">
                                <a:xfrm rot="-1437750">
                                  <a:off x="5627" y="350996"/>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205" name="直接连接符 205"/>
                              <wps:cNvCnPr/>
                              <wps:spPr>
                                <a:xfrm>
                                  <a:off x="6418" y="351396"/>
                                  <a:ext cx="918" cy="0"/>
                                </a:xfrm>
                                <a:prstGeom prst="line">
                                  <a:avLst/>
                                </a:prstGeom>
                                <a:ln w="12700" cap="flat" cmpd="sng">
                                  <a:solidFill>
                                    <a:srgbClr val="000000"/>
                                  </a:solidFill>
                                  <a:prstDash val="solid"/>
                                  <a:headEnd type="none" w="med" len="med"/>
                                  <a:tailEnd type="triangle" w="sm" len="lg"/>
                                </a:ln>
                              </wps:spPr>
                              <wps:bodyPr upright="1"/>
                            </wps:wsp>
                            <wps:wsp>
                              <wps:cNvPr id="182" name="直接连接符 182"/>
                              <wps:cNvCnPr/>
                              <wps:spPr>
                                <a:xfrm>
                                  <a:off x="10816" y="350684"/>
                                  <a:ext cx="670" cy="10"/>
                                </a:xfrm>
                                <a:prstGeom prst="line">
                                  <a:avLst/>
                                </a:prstGeom>
                                <a:ln w="12700" cap="flat" cmpd="sng">
                                  <a:solidFill>
                                    <a:srgbClr val="000000"/>
                                  </a:solidFill>
                                  <a:prstDash val="solid"/>
                                  <a:headEnd type="none" w="med" len="med"/>
                                  <a:tailEnd type="triangle" w="sm" len="lg"/>
                                </a:ln>
                              </wps:spPr>
                              <wps:bodyPr upright="1"/>
                            </wps:wsp>
                            <wps:wsp>
                              <wps:cNvPr id="181" name="文本框 181"/>
                              <wps:cNvSpPr txBox="1"/>
                              <wps:spPr>
                                <a:xfrm>
                                  <a:off x="11485" y="350532"/>
                                  <a:ext cx="1279"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wps:txbx>
                              <wps:bodyPr lIns="0" tIns="0" rIns="0" bIns="0" upright="1"/>
                            </wps:wsp>
                            <wps:wsp>
                              <wps:cNvPr id="204" name="直接连接符 204"/>
                              <wps:cNvCnPr/>
                              <wps:spPr>
                                <a:xfrm>
                                  <a:off x="8534" y="351373"/>
                                  <a:ext cx="670" cy="10"/>
                                </a:xfrm>
                                <a:prstGeom prst="line">
                                  <a:avLst/>
                                </a:prstGeom>
                                <a:ln w="12700" cap="flat" cmpd="sng">
                                  <a:solidFill>
                                    <a:srgbClr val="000000"/>
                                  </a:solidFill>
                                  <a:prstDash val="solid"/>
                                  <a:headEnd type="none" w="med" len="med"/>
                                  <a:tailEnd type="triangle" w="sm" len="lg"/>
                                </a:ln>
                              </wps:spPr>
                              <wps:bodyPr upright="1"/>
                            </wps:wsp>
                            <wps:wsp>
                              <wps:cNvPr id="183" name="直接连接符 183"/>
                              <wps:cNvCnPr/>
                              <wps:spPr>
                                <a:xfrm>
                                  <a:off x="10815" y="350654"/>
                                  <a:ext cx="0" cy="1142"/>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8" name="直接连接符 208"/>
                              <wps:cNvCnPr/>
                              <wps:spPr>
                                <a:xfrm>
                                  <a:off x="10812" y="351793"/>
                                  <a:ext cx="670" cy="10"/>
                                </a:xfrm>
                                <a:prstGeom prst="line">
                                  <a:avLst/>
                                </a:prstGeom>
                                <a:ln w="12700" cap="flat" cmpd="sng">
                                  <a:solidFill>
                                    <a:srgbClr val="000000"/>
                                  </a:solidFill>
                                  <a:prstDash val="solid"/>
                                  <a:headEnd type="none" w="med" len="med"/>
                                  <a:tailEnd type="triangle" w="sm" len="lg"/>
                                </a:ln>
                              </wps:spPr>
                              <wps:bodyPr upright="1"/>
                            </wps:wsp>
                            <wps:wsp>
                              <wps:cNvPr id="207" name="文本框 207"/>
                              <wps:cNvSpPr txBox="1"/>
                              <wps:spPr>
                                <a:xfrm>
                                  <a:off x="11478" y="351618"/>
                                  <a:ext cx="1279"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wps:txbx>
                              <wps:bodyPr lIns="0" tIns="0" rIns="0" bIns="0" upright="1"/>
                            </wps:wsp>
                            <wps:wsp>
                              <wps:cNvPr id="218" name="文本框 218"/>
                              <wps:cNvSpPr txBox="1"/>
                              <wps:spPr>
                                <a:xfrm>
                                  <a:off x="8362" y="35102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300</w:t>
                                    </w:r>
                                  </w:p>
                                </w:txbxContent>
                              </wps:txbx>
                              <wps:bodyPr lIns="0" tIns="0" rIns="0" bIns="0" upright="1"/>
                            </wps:wsp>
                            <wps:wsp>
                              <wps:cNvPr id="219" name="文本框 219"/>
                              <wps:cNvSpPr txBox="1"/>
                              <wps:spPr>
                                <a:xfrm>
                                  <a:off x="9184" y="351064"/>
                                  <a:ext cx="1082" cy="59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cs="宋体"/>
                                        <w:color w:val="000000"/>
                                        <w:w w:val="80"/>
                                        <w:sz w:val="24"/>
                                        <w:lang w:val="en-US" w:eastAsia="zh-CN"/>
                                      </w:rPr>
                                    </w:pPr>
                                    <w:r>
                                      <w:rPr>
                                        <w:rFonts w:hint="eastAsia" w:ascii="宋体" w:hAnsi="宋体" w:cs="宋体"/>
                                        <w:color w:val="000000"/>
                                        <w:w w:val="80"/>
                                        <w:sz w:val="24"/>
                                        <w:lang w:val="en-US" w:eastAsia="zh-CN"/>
                                      </w:rPr>
                                      <w:t>压裂返排液</w:t>
                                    </w:r>
                                  </w:p>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处理装置</w:t>
                                    </w:r>
                                  </w:p>
                                </w:txbxContent>
                              </wps:txbx>
                              <wps:bodyPr lIns="0" tIns="0" rIns="0" bIns="0" upright="1"/>
                            </wps:wsp>
                            <wps:wsp>
                              <wps:cNvPr id="220" name="文本框 220"/>
                              <wps:cNvSpPr txBox="1"/>
                              <wps:spPr>
                                <a:xfrm>
                                  <a:off x="10619" y="350619"/>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270</w:t>
                                    </w:r>
                                  </w:p>
                                </w:txbxContent>
                              </wps:txbx>
                              <wps:bodyPr lIns="0" tIns="0" rIns="0" bIns="0" upright="1"/>
                            </wps:wsp>
                            <wps:wsp>
                              <wps:cNvPr id="221" name="文本框 221"/>
                              <wps:cNvSpPr txBox="1"/>
                              <wps:spPr>
                                <a:xfrm>
                                  <a:off x="10652" y="35147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w:t>
                                    </w:r>
                                  </w:p>
                                </w:txbxContent>
                              </wps:txbx>
                              <wps:bodyPr lIns="0" tIns="0" rIns="0" bIns="0" upright="1"/>
                            </wps:wsp>
                            <wps:wsp>
                              <wps:cNvPr id="222" name="直接连接符 222"/>
                              <wps:cNvCnPr/>
                              <wps:spPr>
                                <a:xfrm flipV="1">
                                  <a:off x="10275" y="351342"/>
                                  <a:ext cx="530" cy="10"/>
                                </a:xfrm>
                                <a:prstGeom prst="line">
                                  <a:avLst/>
                                </a:prstGeom>
                                <a:ln w="12700" cap="flat" cmpd="sng">
                                  <a:solidFill>
                                    <a:srgbClr val="000000"/>
                                  </a:solidFill>
                                  <a:prstDash val="solid"/>
                                  <a:headEnd type="none" w="med" len="med"/>
                                  <a:tailEnd type="triangle" w="sm" len="lg"/>
                                </a:ln>
                              </wps:spPr>
                              <wps:bodyPr upright="1"/>
                            </wps:wsp>
                            <wps:wsp>
                              <wps:cNvPr id="223" name="文本框 223"/>
                              <wps:cNvSpPr txBox="1"/>
                              <wps:spPr>
                                <a:xfrm>
                                  <a:off x="10042" y="35106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0</w:t>
                                    </w:r>
                                  </w:p>
                                </w:txbxContent>
                              </wps:txbx>
                              <wps:bodyPr lIns="0" tIns="0" rIns="0" bIns="0" upright="1"/>
                            </wps:wsp>
                          </wpg:wgp>
                        </a:graphicData>
                      </a:graphic>
                    </wp:anchor>
                  </w:drawing>
                </mc:Choice>
                <mc:Fallback>
                  <w:pict>
                    <v:group id="_x0000_s1026" o:spid="_x0000_s1026" o:spt="203" style="position:absolute;left:0pt;margin-left:0pt;margin-top:18.5pt;height:84.3pt;width:433.95pt;z-index:-225497088;mso-width-relative:page;mso-height-relative:page;" coordorigin="4084,350307" coordsize="8679,1686" o:gfxdata="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">
                      <o:lock v:ext="edit" aspectratio="f"/>
                      <v:shape id="文本框 175" o:spid="_x0000_s1026" o:spt="202" type="#_x0000_t202" style="position:absolute;left:4084;top:350307;height:1686;width:8664;" filled="f" stroked="t" coordsize="21600,21600" o:gfxdata="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Lz28AAAA&#10;2wAAAA8AAAAAAAAAAQAgAAAAIgAAAGRycy9kb3ducmV2LnhtbFBLAQIUABQAAAAIAIdO4kAzLwWe&#10;OwAAADkAAAAQAAAAAAAAAAEAIAAAAAsBAABkcnMvc2hhcGV4bWwueG1sUEsFBgAAAAAGAAYAWwEA&#10;ALUDAAAAAA==&#10;">
                        <v:fill on="f" focussize="0,0"/>
                        <v:stroke color="#FF0000" joinstyle="miter" dashstyle="dash"/>
                        <v:imagedata o:title=""/>
                        <o:lock v:ext="edit" aspectratio="f"/>
                        <v:textbox inset="0mm,0mm,0mm,0mm">
                          <w:txbxContent>
                            <w:p>
                              <w:pPr>
                                <w:spacing w:line="240" w:lineRule="exact"/>
                                <w:jc w:val="both"/>
                                <w:rPr>
                                  <w:rFonts w:hint="eastAsia" w:ascii="Times New Roman" w:hAnsi="Times New Roman" w:cs="Times New Roman"/>
                                  <w:color w:val="000000"/>
                                  <w:w w:val="80"/>
                                  <w:sz w:val="21"/>
                                  <w:szCs w:val="21"/>
                                  <w:lang w:eastAsia="zh-CN"/>
                                </w:rPr>
                              </w:pP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w:t>
                              </w:r>
                              <w:r>
                                <w:rPr>
                                  <w:rFonts w:hint="eastAsia" w:cs="Times New Roman"/>
                                  <w:color w:val="000000"/>
                                  <w:w w:val="80"/>
                                  <w:sz w:val="21"/>
                                  <w:szCs w:val="21"/>
                                  <w:lang w:val="en-US" w:eastAsia="zh-CN"/>
                                </w:rPr>
                                <w:t>9</w:t>
                              </w:r>
                              <w:r>
                                <w:rPr>
                                  <w:rFonts w:hint="eastAsia" w:ascii="Times New Roman" w:hAnsi="Times New Roman" w:cs="Times New Roman"/>
                                  <w:color w:val="000000"/>
                                  <w:w w:val="80"/>
                                  <w:sz w:val="21"/>
                                  <w:szCs w:val="21"/>
                                  <w:lang w:val="en-US" w:eastAsia="zh-CN"/>
                                </w:rPr>
                                <w:t>%沙子</w:t>
                              </w:r>
                              <w:r>
                                <w:rPr>
                                  <w:rFonts w:hint="eastAsia" w:cs="Times New Roman"/>
                                  <w:color w:val="000000"/>
                                  <w:w w:val="80"/>
                                  <w:sz w:val="21"/>
                                  <w:szCs w:val="21"/>
                                  <w:lang w:val="en-US" w:eastAsia="zh-CN"/>
                                </w:rPr>
                                <w:t>+1%KCL</w:t>
                              </w:r>
                              <w:r>
                                <w:rPr>
                                  <w:rFonts w:hint="eastAsia" w:ascii="Times New Roman" w:hAnsi="Times New Roman" w:cs="Times New Roman"/>
                                  <w:color w:val="000000"/>
                                  <w:w w:val="80"/>
                                  <w:sz w:val="21"/>
                                  <w:szCs w:val="21"/>
                                  <w:lang w:eastAsia="zh-CN"/>
                                </w:rPr>
                                <w:t>）</w:t>
                              </w:r>
                            </w:p>
                            <w:p>
                              <w:pPr>
                                <w:pStyle w:val="2"/>
                                <w:rPr>
                                  <w:rFonts w:hint="default"/>
                                  <w:lang w:eastAsia="zh-CN"/>
                                </w:rPr>
                              </w:pPr>
                            </w:p>
                          </w:txbxContent>
                        </v:textbox>
                      </v:shape>
                      <v:line id="_x0000_s1026" o:spid="_x0000_s1026" o:spt="20" style="position:absolute;left:4182;top:351398;height:0;width:918;" filled="f" stroked="t" coordsize="21600,21600" o:gfxdata="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2p3q/&#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4130;top:351094;height:471;width:951;"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00</w:t>
                              </w:r>
                            </w:p>
                          </w:txbxContent>
                        </v:textbox>
                      </v:shape>
                      <v:shape id="_x0000_s1026" o:spid="_x0000_s1026" o:spt="202" type="#_x0000_t202" style="position:absolute;left:6322;top:351092;height:449;width:987;"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300</w:t>
                              </w:r>
                            </w:p>
                          </w:txbxContent>
                        </v:textbox>
                      </v:shape>
                      <v:shape id="_x0000_s1026" o:spid="_x0000_s1026" o:spt="202" type="#_x0000_t202" style="position:absolute;left:5940;top:350518;height:410;width:1810;"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仿宋_GB2312" w:eastAsia="仿宋_GB2312"/>
                                  <w:sz w:val="24"/>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v:textbox>
                      </v:shape>
                      <v:shape id="_x0000_s1026" o:spid="_x0000_s1026" o:spt="202" type="#_x0000_t202" style="position:absolute;left:7304;top:351214;height:341;width:1222;" filled="f" stroked="t" coordsize="21600,21600" o:gfxdata="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TrV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v:textbox>
                      </v:shape>
                      <v:shape id="_x0000_s1026" o:spid="_x0000_s1026" o:spt="202" type="#_x0000_t202" style="position:absolute;left:5106;top:351229;height:341;width:1323;" filled="f" stroked="t" coordsize="21600,21600" o:gfxdata="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E7O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v:textbox>
                      </v:shape>
                      <v:shape id="_x0000_s1026" o:spid="_x0000_s1026" o:spt="100" style="position:absolute;left:5627;top:350996;height:150;width:340;rotation:-1570406f;" filled="f" stroked="t" coordsize="360,156" o:gfxdata="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b3MrsAAADc&#10;AAAADwAAAAAAAAABACAAAAAiAAAAZHJzL2Rvd25yZXYueG1sUEsBAhQAFAAAAAgAh07iQDMvBZ47&#10;AAAAOQAAABAAAAAAAAAAAQAgAAAACgEAAGRycy9zaGFwZXhtbC54bWxQSwUGAAAAAAYABgBbAQAA&#10;tAMAAAAA&#10;" path="m0,156c75,78,150,0,180,0c210,0,150,156,180,156c210,156,330,26,360,0e">
                        <v:path o:connectlocs="0,60483750;68548250,0;68548250,60483750;137096500,0" o:connectangles="0,0,0,0"/>
                        <v:fill on="f" focussize="0,0"/>
                        <v:stroke color="#000000" joinstyle="round" endarrow="block"/>
                        <v:imagedata o:title=""/>
                        <o:lock v:ext="edit" aspectratio="f"/>
                      </v:shape>
                      <v:line id="_x0000_s1026" o:spid="_x0000_s1026" o:spt="20" style="position:absolute;left:6418;top:351396;height:0;width:918;" filled="f" stroked="t" coordsize="21600,21600" o:gfxdata="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DkN&#10;wAAAANwAAAAPAAAAAAAAAAEAIAAAACIAAABkcnMvZG93bnJldi54bWxQSwECFAAUAAAACACHTuJA&#10;My8FnjsAAAA5AAAAEAAAAAAAAAABACAAAAAPAQAAZHJzL3NoYXBleG1sLnhtbFBLBQYAAAAABgAG&#10;AFsBAAC5AwAAAAA=&#10;">
                        <v:fill on="f" focussize="0,0"/>
                        <v:stroke weight="1pt" color="#000000" joinstyle="round" endarrow="block" endarrowwidth="narrow" endarrowlength="long"/>
                        <v:imagedata o:title=""/>
                        <o:lock v:ext="edit" aspectratio="f"/>
                      </v:line>
                      <v:line id="_x0000_s1026" o:spid="_x0000_s1026" o:spt="20" style="position:absolute;left:10816;top:350684;height:10;width:670;" filled="f" stroked="t" coordsize="21600,21600" o:gfxdata="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8Nf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11485;top:350532;height:341;width:1279;" filled="f" stroked="t" coordsize="21600,21600" o:gfxdata="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PLKf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v:textbox>
                      </v:shape>
                      <v:line id="_x0000_s1026" o:spid="_x0000_s1026" o:spt="20" style="position:absolute;left:8534;top:351373;height:10;width:670;" filled="f" stroked="t" coordsize="21600,21600" o:gfxdata="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6JyW&#10;wAAAANwAAAAPAAAAAAAAAAEAIAAAACIAAABkcnMvZG93bnJldi54bWxQSwECFAAUAAAACACHTuJA&#10;My8FnjsAAAA5AAAAEAAAAAAAAAABACAAAAAPAQAAZHJzL3NoYXBleG1sLnhtbFBLBQYAAAAABgAG&#10;AFsBAAC5AwAAAAA=&#10;">
                        <v:fill on="f" focussize="0,0"/>
                        <v:stroke weight="1pt" color="#000000" joinstyle="round" endarrow="block" endarrowwidth="narrow" endarrowlength="long"/>
                        <v:imagedata o:title=""/>
                        <o:lock v:ext="edit" aspectratio="f"/>
                      </v:line>
                      <v:line id="_x0000_s1026" o:spid="_x0000_s1026" o:spt="20" style="position:absolute;left:10815;top:350654;height:1142;width:0;" filled="f" stroked="t" coordsize="21600,21600" o:gfxdata="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1iub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line id="_x0000_s1026" o:spid="_x0000_s1026" o:spt="20" style="position:absolute;left:10812;top:351793;height:10;width:670;" filled="f" stroked="t" coordsize="21600,21600" o:gfxdata="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llpO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line>
                      <v:shape id="_x0000_s1026" o:spid="_x0000_s1026" o:spt="202" type="#_x0000_t202" style="position:absolute;left:11478;top:351618;height:341;width:1279;" filled="f" stroked="t" coordsize="21600,21600" o:gfxdata="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1W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v:textbox>
                      </v:shape>
                      <v:shape id="_x0000_s1026" o:spid="_x0000_s1026" o:spt="202" type="#_x0000_t202" style="position:absolute;left:8362;top:351022;height:449;width:987;"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300</w:t>
                              </w:r>
                            </w:p>
                          </w:txbxContent>
                        </v:textbox>
                      </v:shape>
                      <v:shape id="_x0000_s1026" o:spid="_x0000_s1026" o:spt="202" type="#_x0000_t202" style="position:absolute;left:9184;top:351064;height:591;width:1082;" filled="f" stroked="t" coordsize="21600,21600" o:gfxdata="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VKY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spacing w:line="240" w:lineRule="exact"/>
                                <w:jc w:val="center"/>
                                <w:rPr>
                                  <w:rFonts w:hint="eastAsia" w:ascii="宋体" w:hAnsi="宋体" w:cs="宋体"/>
                                  <w:color w:val="000000"/>
                                  <w:w w:val="80"/>
                                  <w:sz w:val="24"/>
                                  <w:lang w:val="en-US" w:eastAsia="zh-CN"/>
                                </w:rPr>
                              </w:pPr>
                              <w:r>
                                <w:rPr>
                                  <w:rFonts w:hint="eastAsia" w:ascii="宋体" w:hAnsi="宋体" w:cs="宋体"/>
                                  <w:color w:val="000000"/>
                                  <w:w w:val="80"/>
                                  <w:sz w:val="24"/>
                                  <w:lang w:val="en-US" w:eastAsia="zh-CN"/>
                                </w:rPr>
                                <w:t>压裂返排液</w:t>
                              </w:r>
                            </w:p>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处理装置</w:t>
                              </w:r>
                            </w:p>
                          </w:txbxContent>
                        </v:textbox>
                      </v:shape>
                      <v:shape id="_x0000_s1026" o:spid="_x0000_s1026" o:spt="202" type="#_x0000_t202" style="position:absolute;left:10619;top:350619;height:449;width:987;"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270</w:t>
                              </w:r>
                            </w:p>
                          </w:txbxContent>
                        </v:textbox>
                      </v:shape>
                      <v:shape id="_x0000_s1026" o:spid="_x0000_s1026" o:spt="202" type="#_x0000_t202" style="position:absolute;left:10652;top:351472;height:449;width:987;"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w:t>
                              </w:r>
                            </w:p>
                          </w:txbxContent>
                        </v:textbox>
                      </v:shape>
                      <v:line id="_x0000_s1026" o:spid="_x0000_s1026" o:spt="20" style="position:absolute;left:10275;top:351342;flip:y;height:10;width:530;" filled="f" stroked="t" coordsize="21600,21600" o:gfxdata="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awq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10042;top:351062;height:449;width:987;"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30</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0</w:t>
                              </w:r>
                            </w:p>
                          </w:txbxContent>
                        </v:textbox>
                      </v:shape>
                    </v:group>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vertAlign w:val="subscript"/>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4102705152" behindDoc="0" locked="0" layoutInCell="1" allowOverlap="1">
                      <wp:simplePos x="0" y="0"/>
                      <wp:positionH relativeFrom="column">
                        <wp:posOffset>499745</wp:posOffset>
                      </wp:positionH>
                      <wp:positionV relativeFrom="paragraph">
                        <wp:posOffset>140970</wp:posOffset>
                      </wp:positionV>
                      <wp:extent cx="4170680" cy="3175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417068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插图1  压裂工序用排水平衡图  单位m</w:t>
                                  </w:r>
                                  <w:r>
                                    <w:rPr>
                                      <w:rFonts w:hint="eastAsia"/>
                                      <w:b/>
                                      <w:bCs/>
                                      <w:vertAlign w:val="superscript"/>
                                      <w:lang w:val="en-US" w:eastAsia="zh-CN"/>
                                    </w:rPr>
                                    <w:t>3</w:t>
                                  </w:r>
                                  <w:r>
                                    <w:rPr>
                                      <w:rFonts w:hint="eastAsia"/>
                                      <w:b/>
                                      <w:bCs/>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5pt;margin-top:11.1pt;height:25pt;width:328.4pt;z-index:-192262144;mso-width-relative:page;mso-height-relative:page;" filled="f" stroked="f" coordsize="21600,21600" o:gfxdata="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m7&#10;7/rZAAAACAEAAA8AAAAAAAAAAQAgAAAAIgAAAGRycy9kb3ducmV2LnhtbFBLAQIUABQAAAAIAIdO&#10;4kDk83W7IgIAABwEAAAOAAAAAAAAAAEAIAAAACgBAABkcnMvZTJvRG9jLnhtbFBLBQYAAAAABgAG&#10;AFkBAAC8BQ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插图1  压裂工序用排水平衡图  单位m</w:t>
                            </w:r>
                            <w:r>
                              <w:rPr>
                                <w:rFonts w:hint="eastAsia"/>
                                <w:b/>
                                <w:bCs/>
                                <w:vertAlign w:val="superscript"/>
                                <w:lang w:val="en-US" w:eastAsia="zh-CN"/>
                              </w:rPr>
                              <w:t>3</w:t>
                            </w:r>
                            <w:r>
                              <w:rPr>
                                <w:rFonts w:hint="eastAsia"/>
                                <w:b/>
                                <w:bCs/>
                                <w:lang w:val="en-US" w:eastAsia="zh-CN"/>
                              </w:rPr>
                              <w:t>/d</w:t>
                            </w:r>
                          </w:p>
                        </w:txbxContent>
                      </v:textbox>
                    </v:shap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748800" behindDoc="0" locked="0" layoutInCell="1" allowOverlap="1">
                      <wp:simplePos x="0" y="0"/>
                      <wp:positionH relativeFrom="column">
                        <wp:posOffset>2494915</wp:posOffset>
                      </wp:positionH>
                      <wp:positionV relativeFrom="paragraph">
                        <wp:posOffset>107315</wp:posOffset>
                      </wp:positionV>
                      <wp:extent cx="489585" cy="27686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489585" cy="276860"/>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2.41</w:t>
                                  </w:r>
                                </w:p>
                              </w:txbxContent>
                            </wps:txbx>
                            <wps:bodyPr lIns="0" tIns="0" rIns="0" bIns="0" upright="1"/>
                          </wps:wsp>
                        </a:graphicData>
                      </a:graphic>
                    </wp:anchor>
                  </w:drawing>
                </mc:Choice>
                <mc:Fallback>
                  <w:pict>
                    <v:shape id="_x0000_s1026" o:spid="_x0000_s1026" o:spt="202" type="#_x0000_t202" style="position:absolute;left:0pt;margin-left:196.45pt;margin-top:8.45pt;height:21.8pt;width:38.55pt;z-index:252748800;mso-width-relative:page;mso-height-relative:page;" filled="f" stroked="f" coordsize="21600,21600" o:gfxdata="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BoBb31wAAAAkB&#10;AAAPAAAAAAAAAAEAIAAAACIAAABkcnMvZG93bnJldi54bWxQSwECFAAUAAAACACHTuJAJRew6aoB&#10;AAAwAwAADgAAAAAAAAABACAAAAAmAQAAZHJzL2Uyb0RvYy54bWxQSwUGAAAAAAYABgBZAQAAQgUA&#10;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2.41</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747776" behindDoc="0" locked="0" layoutInCell="1" allowOverlap="1">
                      <wp:simplePos x="0" y="0"/>
                      <wp:positionH relativeFrom="column">
                        <wp:posOffset>2287905</wp:posOffset>
                      </wp:positionH>
                      <wp:positionV relativeFrom="paragraph">
                        <wp:posOffset>202565</wp:posOffset>
                      </wp:positionV>
                      <wp:extent cx="215900" cy="95250"/>
                      <wp:effectExtent l="0" t="40005" r="0" b="55245"/>
                      <wp:wrapNone/>
                      <wp:docPr id="129" name="任意多边形 129"/>
                      <wp:cNvGraphicFramePr/>
                      <a:graphic xmlns:a="http://schemas.openxmlformats.org/drawingml/2006/main">
                        <a:graphicData uri="http://schemas.microsoft.com/office/word/2010/wordprocessingShape">
                          <wps:wsp>
                            <wps:cNvSpPr/>
                            <wps:spPr bwMode="auto">
                              <a:xfrm rot="20162250">
                                <a:off x="0" y="0"/>
                                <a:ext cx="215900" cy="952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80.15pt;margin-top:15.95pt;height:7.5pt;width:17pt;rotation:-1570406f;z-index:252747776;mso-width-relative:page;mso-height-relative:page;" filled="f" stroked="t" coordsize="360,156" o:gfxdata="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DeDRTb1gAAAAkBAAAPAAAA&#10;AAAAAAEAIAAAACIAAABkcnMvZG93bnJldi54bWxQSwECFAAUAAAACACHTuJAR9OU8m0DAABuCAAA&#10;DgAAAAAAAAABACAAAAAlAQAAZHJzL2Uyb0RvYy54bWxQSwUGAAAAAAYABgBZAQAABAcAAAAA&#10;" path="m0,156c75,78,150,0,180,0c210,0,150,156,180,156c210,156,330,26,360,0e">
                      <v:path o:connectlocs="0,@0;@0,0;@0,@0;@0,0" o:connectangles="0,0,0,0"/>
                      <v:fill on="f" focussize="0,0"/>
                      <v:stroke color="#000000" joinstyle="round" endarrow="block"/>
                      <v:imagedata o:title=""/>
                      <o:lock v:ext="edit" aspectratio="f"/>
                    </v:shape>
                  </w:pict>
                </mc:Fallback>
              </mc:AlternateContent>
            </w:r>
            <w:r>
              <w:rPr>
                <w:rFonts w:hint="default" w:ascii="Times New Roman" w:hAnsi="Times New Roman" w:cs="Times New Roman"/>
                <w:color w:val="000000" w:themeColor="text1"/>
                <w:sz w:val="28"/>
                <w14:textFill>
                  <w14:solidFill>
                    <w14:schemeClr w14:val="tx1"/>
                  </w14:solidFill>
                </w14:textFill>
              </w:rPr>
              <mc:AlternateContent>
                <mc:Choice Requires="wpg">
                  <w:drawing>
                    <wp:anchor distT="0" distB="0" distL="114300" distR="114300" simplePos="0" relativeHeight="252100608" behindDoc="0" locked="0" layoutInCell="1" allowOverlap="1">
                      <wp:simplePos x="0" y="0"/>
                      <wp:positionH relativeFrom="column">
                        <wp:posOffset>332105</wp:posOffset>
                      </wp:positionH>
                      <wp:positionV relativeFrom="paragraph">
                        <wp:posOffset>131445</wp:posOffset>
                      </wp:positionV>
                      <wp:extent cx="4710430" cy="4377690"/>
                      <wp:effectExtent l="0" t="0" r="0" b="0"/>
                      <wp:wrapNone/>
                      <wp:docPr id="146" name="组合 146"/>
                      <wp:cNvGraphicFramePr/>
                      <a:graphic xmlns:a="http://schemas.openxmlformats.org/drawingml/2006/main">
                        <a:graphicData uri="http://schemas.microsoft.com/office/word/2010/wordprocessingGroup">
                          <wpg:wgp>
                            <wpg:cNvGrpSpPr/>
                            <wpg:grpSpPr>
                              <a:xfrm>
                                <a:off x="0" y="0"/>
                                <a:ext cx="4710430" cy="4377690"/>
                                <a:chOff x="2973" y="294930"/>
                                <a:chExt cx="7418" cy="6894"/>
                              </a:xfrm>
                            </wpg:grpSpPr>
                            <wps:wsp>
                              <wps:cNvPr id="40" name="文本框 40"/>
                              <wps:cNvSpPr txBox="1"/>
                              <wps:spPr>
                                <a:xfrm>
                                  <a:off x="4853" y="294930"/>
                                  <a:ext cx="609" cy="435"/>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1.5</w:t>
                                    </w:r>
                                  </w:p>
                                </w:txbxContent>
                              </wps:txbx>
                              <wps:bodyPr lIns="0" tIns="0" rIns="0" bIns="0" upright="1"/>
                            </wps:wsp>
                            <wps:wsp>
                              <wps:cNvPr id="42" name="文本框 42"/>
                              <wps:cNvSpPr txBox="1"/>
                              <wps:spPr>
                                <a:xfrm>
                                  <a:off x="6910" y="295059"/>
                                  <a:ext cx="771" cy="436"/>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9.63</w:t>
                                    </w:r>
                                  </w:p>
                                </w:txbxContent>
                              </wps:txbx>
                              <wps:bodyPr lIns="0" tIns="0" rIns="0" bIns="0" upright="1"/>
                            </wps:wsp>
                            <wps:wsp>
                              <wps:cNvPr id="43" name="文本框 43"/>
                              <wps:cNvSpPr txBox="1"/>
                              <wps:spPr>
                                <a:xfrm>
                                  <a:off x="2973" y="298083"/>
                                  <a:ext cx="914" cy="548"/>
                                </a:xfrm>
                                <a:prstGeom prst="rect">
                                  <a:avLst/>
                                </a:prstGeom>
                                <a:solidFill>
                                  <a:srgbClr val="FFFFFF"/>
                                </a:solidFill>
                                <a:ln w="12700">
                                  <a:noFill/>
                                </a:ln>
                              </wps:spPr>
                              <wps:txbx>
                                <w:txbxContent>
                                  <w:p>
                                    <w:pPr>
                                      <w:rPr>
                                        <w:rFonts w:hint="eastAsia" w:ascii="Times New Roman" w:hAnsi="Times New Roman" w:cs="Times New Roman"/>
                                        <w:lang w:eastAsia="zh-CN"/>
                                      </w:rPr>
                                    </w:pPr>
                                    <w:r>
                                      <w:rPr>
                                        <w:rFonts w:hint="eastAsia" w:ascii="Times New Roman" w:hAnsi="Times New Roman" w:cs="Times New Roman"/>
                                        <w:lang w:eastAsia="zh-CN"/>
                                      </w:rPr>
                                      <w:t>新鲜水</w:t>
                                    </w:r>
                                  </w:p>
                                </w:txbxContent>
                              </wps:txbx>
                              <wps:bodyPr lIns="0" tIns="0" rIns="0" bIns="0" upright="1"/>
                            </wps:wsp>
                            <wps:wsp>
                              <wps:cNvPr id="44" name="文本框 44"/>
                              <wps:cNvSpPr txBox="1"/>
                              <wps:spPr>
                                <a:xfrm>
                                  <a:off x="5595" y="295274"/>
                                  <a:ext cx="1163" cy="34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lang w:eastAsia="zh-CN"/>
                                      </w:rPr>
                                    </w:pPr>
                                    <w:r>
                                      <w:rPr>
                                        <w:rFonts w:hint="eastAsia" w:ascii="Times New Roman" w:hAnsi="Times New Roman" w:cs="Times New Roman"/>
                                        <w:lang w:eastAsia="zh-CN"/>
                                      </w:rPr>
                                      <w:t>钻井液</w:t>
                                    </w:r>
                                  </w:p>
                                </w:txbxContent>
                              </wps:txbx>
                              <wps:bodyPr lIns="0" tIns="0" rIns="0" bIns="0" upright="1"/>
                            </wps:wsp>
                            <wps:wsp>
                              <wps:cNvPr id="45" name="文本框 45"/>
                              <wps:cNvSpPr txBox="1"/>
                              <wps:spPr>
                                <a:xfrm>
                                  <a:off x="5543" y="296852"/>
                                  <a:ext cx="1851"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sz w:val="24"/>
                                      </w:rPr>
                                    </w:pPr>
                                    <w:r>
                                      <w:rPr>
                                        <w:rFonts w:hint="eastAsia" w:ascii="Times New Roman" w:hAnsi="Times New Roman" w:cs="Times New Roman"/>
                                        <w:lang w:eastAsia="zh-CN"/>
                                      </w:rPr>
                                      <w:t>设备及钻台冲洗</w:t>
                                    </w:r>
                                  </w:p>
                                </w:txbxContent>
                              </wps:txbx>
                              <wps:bodyPr lIns="0" tIns="0" rIns="0" bIns="0" upright="1"/>
                            </wps:wsp>
                            <wps:wsp>
                              <wps:cNvPr id="47" name="直接连接符 47"/>
                              <wps:cNvCnPr/>
                              <wps:spPr>
                                <a:xfrm>
                                  <a:off x="6782" y="296144"/>
                                  <a:ext cx="966" cy="0"/>
                                </a:xfrm>
                                <a:prstGeom prst="line">
                                  <a:avLst/>
                                </a:prstGeom>
                                <a:ln w="12700" cap="flat" cmpd="sng">
                                  <a:solidFill>
                                    <a:srgbClr val="000000"/>
                                  </a:solidFill>
                                  <a:prstDash val="solid"/>
                                  <a:headEnd type="triangle" w="sm" len="lg"/>
                                  <a:tailEnd type="none" w="med" len="med"/>
                                </a:ln>
                              </wps:spPr>
                              <wps:bodyPr upright="1"/>
                            </wps:wsp>
                            <wps:wsp>
                              <wps:cNvPr id="48" name="文本框 48"/>
                              <wps:cNvSpPr txBox="1"/>
                              <wps:spPr>
                                <a:xfrm>
                                  <a:off x="5639" y="295951"/>
                                  <a:ext cx="1163"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sz w:val="24"/>
                                      </w:rPr>
                                    </w:pPr>
                                    <w:r>
                                      <w:rPr>
                                        <w:rFonts w:hint="eastAsia" w:ascii="Times New Roman" w:hAnsi="Times New Roman" w:cs="Times New Roman"/>
                                        <w:lang w:eastAsia="zh-CN"/>
                                      </w:rPr>
                                      <w:t>泥浆池</w:t>
                                    </w:r>
                                  </w:p>
                                </w:txbxContent>
                              </wps:txbx>
                              <wps:bodyPr lIns="0" tIns="0" rIns="0" bIns="0" upright="1"/>
                            </wps:wsp>
                            <wps:wsp>
                              <wps:cNvPr id="50" name="直接连接符 50"/>
                              <wps:cNvCnPr/>
                              <wps:spPr>
                                <a:xfrm>
                                  <a:off x="4883" y="295429"/>
                                  <a:ext cx="13" cy="3782"/>
                                </a:xfrm>
                                <a:prstGeom prst="line">
                                  <a:avLst/>
                                </a:prstGeom>
                                <a:ln w="12700" cap="flat" cmpd="sng">
                                  <a:solidFill>
                                    <a:srgbClr val="000000"/>
                                  </a:solidFill>
                                  <a:prstDash val="solid"/>
                                  <a:headEnd type="none" w="med" len="med"/>
                                  <a:tailEnd type="none" w="med" len="med"/>
                                </a:ln>
                              </wps:spPr>
                              <wps:bodyPr upright="1"/>
                            </wps:wsp>
                            <wps:wsp>
                              <wps:cNvPr id="51" name="直接连接符 51"/>
                              <wps:cNvCnPr/>
                              <wps:spPr>
                                <a:xfrm>
                                  <a:off x="4880" y="297054"/>
                                  <a:ext cx="693" cy="0"/>
                                </a:xfrm>
                                <a:prstGeom prst="line">
                                  <a:avLst/>
                                </a:prstGeom>
                                <a:ln w="12700" cap="flat" cmpd="sng">
                                  <a:solidFill>
                                    <a:srgbClr val="000000"/>
                                  </a:solidFill>
                                  <a:prstDash val="solid"/>
                                  <a:headEnd type="none" w="med" len="med"/>
                                  <a:tailEnd type="triangle" w="sm" len="lg"/>
                                </a:ln>
                              </wps:spPr>
                              <wps:bodyPr upright="1"/>
                            </wps:wsp>
                            <wps:wsp>
                              <wps:cNvPr id="52" name="直接连接符 52"/>
                              <wps:cNvCnPr/>
                              <wps:spPr>
                                <a:xfrm>
                                  <a:off x="3965" y="297020"/>
                                  <a:ext cx="918" cy="0"/>
                                </a:xfrm>
                                <a:prstGeom prst="line">
                                  <a:avLst/>
                                </a:prstGeom>
                                <a:ln w="12700" cap="flat" cmpd="sng">
                                  <a:solidFill>
                                    <a:srgbClr val="000000"/>
                                  </a:solidFill>
                                  <a:prstDash val="solid"/>
                                  <a:headEnd type="none" w="med" len="med"/>
                                  <a:tailEnd type="triangle" w="sm" len="lg"/>
                                </a:ln>
                              </wps:spPr>
                              <wps:bodyPr upright="1"/>
                            </wps:wsp>
                            <wps:wsp>
                              <wps:cNvPr id="53" name="文本框 53"/>
                              <wps:cNvSpPr txBox="1"/>
                              <wps:spPr>
                                <a:xfrm>
                                  <a:off x="4042" y="296398"/>
                                  <a:ext cx="609" cy="574"/>
                                </a:xfrm>
                                <a:prstGeom prst="rect">
                                  <a:avLst/>
                                </a:prstGeom>
                                <a:noFill/>
                                <a:ln w="9525">
                                  <a:noFill/>
                                </a:ln>
                              </wps:spPr>
                              <wps:txbx>
                                <w:txbxContent>
                                  <w:p>
                                    <w:pPr>
                                      <w:jc w:val="center"/>
                                      <w:rPr>
                                        <w:rFonts w:ascii="仿宋_GB2312" w:eastAsia="仿宋_GB2312"/>
                                        <w:sz w:val="24"/>
                                      </w:rPr>
                                    </w:pPr>
                                    <w:r>
                                      <w:rPr>
                                        <w:rFonts w:hint="eastAsia" w:ascii="Times New Roman" w:hAnsi="Times New Roman" w:eastAsia="仿宋_GB2312" w:cs="Times New Roman"/>
                                        <w:sz w:val="21"/>
                                        <w:szCs w:val="21"/>
                                        <w:lang w:val="en-US" w:eastAsia="zh-CN"/>
                                      </w:rPr>
                                      <w:t>2</w:t>
                                    </w:r>
                                    <w:r>
                                      <w:rPr>
                                        <w:rFonts w:hint="eastAsia" w:ascii="Times New Roman" w:hAnsi="Times New Roman" w:eastAsia="仿宋_GB2312" w:cs="Times New Roman"/>
                                        <w:sz w:val="21"/>
                                        <w:szCs w:val="21"/>
                                      </w:rPr>
                                      <w:t>4.1</w:t>
                                    </w:r>
                                  </w:p>
                                </w:txbxContent>
                              </wps:txbx>
                              <wps:bodyPr lIns="0" tIns="0" rIns="0" bIns="0" upright="1"/>
                            </wps:wsp>
                            <wps:wsp>
                              <wps:cNvPr id="58" name="直接连接符 58"/>
                              <wps:cNvCnPr/>
                              <wps:spPr>
                                <a:xfrm>
                                  <a:off x="3951" y="297000"/>
                                  <a:ext cx="31" cy="3678"/>
                                </a:xfrm>
                                <a:prstGeom prst="line">
                                  <a:avLst/>
                                </a:prstGeom>
                                <a:ln w="12700" cap="flat" cmpd="sng">
                                  <a:solidFill>
                                    <a:srgbClr val="000000"/>
                                  </a:solidFill>
                                  <a:prstDash val="solid"/>
                                  <a:headEnd type="none" w="med" len="med"/>
                                  <a:tailEnd type="none" w="med" len="med"/>
                                </a:ln>
                              </wps:spPr>
                              <wps:bodyPr upright="1"/>
                            </wps:wsp>
                            <wps:wsp>
                              <wps:cNvPr id="59" name="直接连接符 59"/>
                              <wps:cNvCnPr/>
                              <wps:spPr>
                                <a:xfrm>
                                  <a:off x="2983" y="298025"/>
                                  <a:ext cx="918" cy="0"/>
                                </a:xfrm>
                                <a:prstGeom prst="line">
                                  <a:avLst/>
                                </a:prstGeom>
                                <a:ln w="12700" cap="flat" cmpd="sng">
                                  <a:solidFill>
                                    <a:srgbClr val="000000"/>
                                  </a:solidFill>
                                  <a:prstDash val="solid"/>
                                  <a:headEnd type="none" w="med" len="med"/>
                                  <a:tailEnd type="triangle" w="sm" len="lg"/>
                                </a:ln>
                              </wps:spPr>
                              <wps:bodyPr upright="1"/>
                            </wps:wsp>
                            <wps:wsp>
                              <wps:cNvPr id="60" name="文本框 60"/>
                              <wps:cNvSpPr txBox="1"/>
                              <wps:spPr>
                                <a:xfrm>
                                  <a:off x="3046" y="297680"/>
                                  <a:ext cx="710" cy="485"/>
                                </a:xfrm>
                                <a:prstGeom prst="rect">
                                  <a:avLst/>
                                </a:prstGeom>
                                <a:noFill/>
                                <a:ln w="9525">
                                  <a:noFill/>
                                </a:ln>
                              </wps:spPr>
                              <wps:txbx>
                                <w:txbxContent>
                                  <w:p>
                                    <w:pPr>
                                      <w:jc w:val="center"/>
                                      <w:rPr>
                                        <w:rFonts w:ascii="仿宋_GB2312" w:eastAsia="仿宋_GB2312"/>
                                        <w:sz w:val="24"/>
                                      </w:rPr>
                                    </w:pPr>
                                    <w:r>
                                      <w:rPr>
                                        <w:rFonts w:hint="eastAsia" w:ascii="Times New Roman" w:hAnsi="Times New Roman" w:eastAsia="仿宋_GB2312" w:cs="Times New Roman"/>
                                        <w:sz w:val="21"/>
                                        <w:szCs w:val="21"/>
                                        <w:lang w:val="en-US" w:eastAsia="zh-CN"/>
                                      </w:rPr>
                                      <w:t>2</w:t>
                                    </w:r>
                                    <w:r>
                                      <w:rPr>
                                        <w:rFonts w:hint="eastAsia" w:ascii="Times New Roman" w:hAnsi="Times New Roman" w:eastAsia="仿宋_GB2312" w:cs="Times New Roman"/>
                                        <w:sz w:val="21"/>
                                        <w:szCs w:val="21"/>
                                      </w:rPr>
                                      <w:t>5.7</w:t>
                                    </w:r>
                                  </w:p>
                                </w:txbxContent>
                              </wps:txbx>
                              <wps:bodyPr lIns="0" tIns="0" rIns="0" bIns="0" upright="1"/>
                            </wps:wsp>
                            <wps:wsp>
                              <wps:cNvPr id="61" name="直接连接符 61"/>
                              <wps:cNvCnPr/>
                              <wps:spPr>
                                <a:xfrm>
                                  <a:off x="4889" y="295420"/>
                                  <a:ext cx="693" cy="0"/>
                                </a:xfrm>
                                <a:prstGeom prst="line">
                                  <a:avLst/>
                                </a:prstGeom>
                                <a:ln w="12700" cap="flat" cmpd="sng">
                                  <a:solidFill>
                                    <a:srgbClr val="000000"/>
                                  </a:solidFill>
                                  <a:prstDash val="solid"/>
                                  <a:headEnd type="none" w="med" len="med"/>
                                  <a:tailEnd type="triangle" w="sm" len="lg"/>
                                </a:ln>
                              </wps:spPr>
                              <wps:bodyPr upright="1"/>
                            </wps:wsp>
                            <wps:wsp>
                              <wps:cNvPr id="62" name="直接连接符 62"/>
                              <wps:cNvCnPr/>
                              <wps:spPr>
                                <a:xfrm>
                                  <a:off x="6766" y="295391"/>
                                  <a:ext cx="966" cy="0"/>
                                </a:xfrm>
                                <a:prstGeom prst="line">
                                  <a:avLst/>
                                </a:prstGeom>
                                <a:ln w="12700" cap="flat" cmpd="sng">
                                  <a:solidFill>
                                    <a:srgbClr val="000000"/>
                                  </a:solidFill>
                                  <a:prstDash val="solid"/>
                                  <a:headEnd type="none" w="sm" len="lg"/>
                                  <a:tailEnd type="none" w="med" len="med"/>
                                </a:ln>
                              </wps:spPr>
                              <wps:bodyPr upright="1"/>
                            </wps:wsp>
                            <wps:wsp>
                              <wps:cNvPr id="63" name="直接连接符 63"/>
                              <wps:cNvCnPr/>
                              <wps:spPr>
                                <a:xfrm rot="5400000">
                                  <a:off x="7348" y="295739"/>
                                  <a:ext cx="761" cy="7"/>
                                </a:xfrm>
                                <a:prstGeom prst="line">
                                  <a:avLst/>
                                </a:prstGeom>
                                <a:ln w="12700" cap="flat" cmpd="sng">
                                  <a:solidFill>
                                    <a:srgbClr val="000000"/>
                                  </a:solidFill>
                                  <a:prstDash val="solid"/>
                                  <a:headEnd type="none" w="sm" len="lg"/>
                                  <a:tailEnd type="none" w="med" len="med"/>
                                </a:ln>
                              </wps:spPr>
                              <wps:bodyPr upright="1"/>
                            </wps:wsp>
                            <wps:wsp>
                              <wps:cNvPr id="64" name="文本框 64"/>
                              <wps:cNvSpPr txBox="1"/>
                              <wps:spPr>
                                <a:xfrm>
                                  <a:off x="7239" y="296334"/>
                                  <a:ext cx="759" cy="457"/>
                                </a:xfrm>
                                <a:prstGeom prst="rect">
                                  <a:avLst/>
                                </a:prstGeom>
                                <a:noFill/>
                                <a:ln w="9525">
                                  <a:noFill/>
                                </a:ln>
                              </wps:spPr>
                              <wps:txbx>
                                <w:txbxContent>
                                  <w:p>
                                    <w:pPr>
                                      <w:jc w:val="center"/>
                                      <w:rPr>
                                        <w:rFonts w:ascii="仿宋_GB2312" w:eastAsia="仿宋_GB2312"/>
                                        <w:sz w:val="24"/>
                                      </w:rPr>
                                    </w:pPr>
                                    <w:r>
                                      <w:rPr>
                                        <w:rFonts w:hint="eastAsia" w:ascii="Times New Roman" w:hAnsi="Times New Roman" w:eastAsia="仿宋_GB2312" w:cs="Times New Roman"/>
                                        <w:sz w:val="21"/>
                                        <w:szCs w:val="21"/>
                                      </w:rPr>
                                      <w:t>0.06</w:t>
                                    </w:r>
                                  </w:p>
                                </w:txbxContent>
                              </wps:txbx>
                              <wps:bodyPr lIns="0" tIns="0" rIns="0" bIns="0" upright="1"/>
                            </wps:wsp>
                            <wps:wsp>
                              <wps:cNvPr id="66" name="文本框 66"/>
                              <wps:cNvSpPr txBox="1"/>
                              <wps:spPr>
                                <a:xfrm>
                                  <a:off x="4915" y="296687"/>
                                  <a:ext cx="609" cy="526"/>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0.6</w:t>
                                    </w:r>
                                  </w:p>
                                </w:txbxContent>
                              </wps:txbx>
                              <wps:bodyPr lIns="0" tIns="0" rIns="0" bIns="0" upright="1"/>
                            </wps:wsp>
                            <wps:wsp>
                              <wps:cNvPr id="67" name="直接连接符 67"/>
                              <wps:cNvCnPr/>
                              <wps:spPr>
                                <a:xfrm flipV="1">
                                  <a:off x="6317" y="296262"/>
                                  <a:ext cx="5" cy="586"/>
                                </a:xfrm>
                                <a:prstGeom prst="line">
                                  <a:avLst/>
                                </a:prstGeom>
                                <a:ln w="12700" cap="flat" cmpd="sng">
                                  <a:solidFill>
                                    <a:srgbClr val="000000"/>
                                  </a:solidFill>
                                  <a:prstDash val="solid"/>
                                  <a:headEnd type="none" w="med" len="med"/>
                                  <a:tailEnd type="triangle" w="sm" len="lg"/>
                                </a:ln>
                              </wps:spPr>
                              <wps:bodyPr upright="1"/>
                            </wps:wsp>
                            <wps:wsp>
                              <wps:cNvPr id="68" name="文本框 68"/>
                              <wps:cNvSpPr txBox="1"/>
                              <wps:spPr>
                                <a:xfrm>
                                  <a:off x="5811" y="296364"/>
                                  <a:ext cx="609" cy="512"/>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0.54</w:t>
                                    </w:r>
                                  </w:p>
                                </w:txbxContent>
                              </wps:txbx>
                              <wps:bodyPr lIns="0" tIns="0" rIns="0" bIns="0" upright="1"/>
                            </wps:wsp>
                            <wps:wsp>
                              <wps:cNvPr id="73" name="文本框 73"/>
                              <wps:cNvSpPr txBox="1"/>
                              <wps:spPr>
                                <a:xfrm>
                                  <a:off x="6333" y="300100"/>
                                  <a:ext cx="609" cy="448"/>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0.32</w:t>
                                    </w:r>
                                  </w:p>
                                </w:txbxContent>
                              </wps:txbx>
                              <wps:bodyPr lIns="0" tIns="0" rIns="0" bIns="0" upright="1"/>
                            </wps:wsp>
                            <wps:wsp>
                              <wps:cNvPr id="96" name="任意多边形 96"/>
                              <wps:cNvSpPr/>
                              <wps:spPr bwMode="auto">
                                <a:xfrm rot="20162250">
                                  <a:off x="7045" y="29661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128" name="文本框 128"/>
                              <wps:cNvSpPr txBox="1"/>
                              <wps:spPr>
                                <a:xfrm>
                                  <a:off x="4531" y="301439"/>
                                  <a:ext cx="4157" cy="385"/>
                                </a:xfrm>
                                <a:prstGeom prst="rect">
                                  <a:avLst/>
                                </a:prstGeom>
                                <a:noFill/>
                                <a:ln w="9525">
                                  <a:noFill/>
                                </a:ln>
                              </wps:spPr>
                              <wps:txbx>
                                <w:txbxContent>
                                  <w:p>
                                    <w:pPr>
                                      <w:spacing w:line="260" w:lineRule="exact"/>
                                      <w:jc w:val="center"/>
                                      <w:rPr>
                                        <w:rFonts w:hint="default" w:ascii="Times New Roman" w:hAnsi="Times New Roman" w:eastAsia="宋体" w:cs="Times New Roman"/>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 xml:space="preserve">2  </w:t>
                                    </w:r>
                                    <w:r>
                                      <w:rPr>
                                        <w:rFonts w:hint="eastAsia" w:ascii="宋体" w:hAnsi="宋体" w:eastAsia="宋体" w:cs="宋体"/>
                                        <w:b/>
                                        <w:bCs/>
                                        <w:color w:val="000000"/>
                                        <w:sz w:val="21"/>
                                        <w:szCs w:val="21"/>
                                        <w:lang w:val="en-US" w:eastAsia="zh-CN"/>
                                      </w:rPr>
                                      <w:t>钻井期井场水平衡图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wps:txbx>
                              <wps:bodyPr lIns="0" tIns="0" rIns="0" bIns="0" upright="1"/>
                            </wps:wsp>
                            <wpg:grpSp>
                              <wpg:cNvPr id="117" name="组合 117"/>
                              <wpg:cNvGrpSpPr/>
                              <wpg:grpSpPr>
                                <a:xfrm>
                                  <a:off x="4890" y="298553"/>
                                  <a:ext cx="2421" cy="803"/>
                                  <a:chOff x="6283" y="297675"/>
                                  <a:chExt cx="2421" cy="803"/>
                                </a:xfrm>
                              </wpg:grpSpPr>
                              <wps:wsp>
                                <wps:cNvPr id="54" name="直接连接符 54"/>
                                <wps:cNvCnPr/>
                                <wps:spPr>
                                  <a:xfrm>
                                    <a:off x="6296" y="298309"/>
                                    <a:ext cx="603" cy="1"/>
                                  </a:xfrm>
                                  <a:prstGeom prst="line">
                                    <a:avLst/>
                                  </a:prstGeom>
                                  <a:ln w="12700" cap="flat" cmpd="sng">
                                    <a:solidFill>
                                      <a:srgbClr val="000000"/>
                                    </a:solidFill>
                                    <a:prstDash val="solid"/>
                                    <a:headEnd type="none" w="med" len="med"/>
                                    <a:tailEnd type="triangle" w="sm" len="lg"/>
                                  </a:ln>
                                </wps:spPr>
                                <wps:bodyPr upright="1"/>
                              </wps:wsp>
                              <wps:wsp>
                                <wps:cNvPr id="55" name="文本框 55"/>
                                <wps:cNvSpPr txBox="1"/>
                                <wps:spPr>
                                  <a:xfrm>
                                    <a:off x="6894" y="298111"/>
                                    <a:ext cx="1811"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sz w:val="24"/>
                                        </w:rPr>
                                      </w:pPr>
                                      <w:r>
                                        <w:rPr>
                                          <w:rFonts w:hint="eastAsia" w:ascii="Times New Roman" w:hAnsi="Times New Roman" w:cs="Times New Roman"/>
                                          <w:lang w:eastAsia="zh-CN"/>
                                        </w:rPr>
                                        <w:t>水泥浆配料用水</w:t>
                                      </w:r>
                                    </w:p>
                                  </w:txbxContent>
                                </wps:txbx>
                                <wps:bodyPr lIns="0" tIns="0" rIns="0" bIns="0" upright="1"/>
                              </wps:wsp>
                              <wps:wsp>
                                <wps:cNvPr id="56" name="文本框 56"/>
                                <wps:cNvSpPr txBox="1"/>
                                <wps:spPr>
                                  <a:xfrm>
                                    <a:off x="8033" y="297675"/>
                                    <a:ext cx="609" cy="454"/>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2.0</w:t>
                                      </w:r>
                                    </w:p>
                                  </w:txbxContent>
                                </wps:txbx>
                                <wps:bodyPr lIns="0" tIns="0" rIns="0" bIns="0" upright="1"/>
                              </wps:wsp>
                              <wps:wsp>
                                <wps:cNvPr id="77" name="文本框 77"/>
                                <wps:cNvSpPr txBox="1"/>
                                <wps:spPr>
                                  <a:xfrm>
                                    <a:off x="6283" y="297966"/>
                                    <a:ext cx="609" cy="513"/>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2.0</w:t>
                                      </w:r>
                                    </w:p>
                                  </w:txbxContent>
                                </wps:txbx>
                                <wps:bodyPr lIns="0" tIns="0" rIns="0" bIns="0" upright="1"/>
                              </wps:wsp>
                              <wps:wsp>
                                <wps:cNvPr id="98" name="任意多边形 98"/>
                                <wps:cNvSpPr/>
                                <wps:spPr bwMode="auto">
                                  <a:xfrm rot="20162250">
                                    <a:off x="7728" y="29790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g:grpSp>
                            <wpg:grpSp>
                              <wpg:cNvPr id="108" name="组合 108"/>
                              <wpg:cNvGrpSpPr/>
                              <wpg:grpSpPr>
                                <a:xfrm>
                                  <a:off x="3981" y="300267"/>
                                  <a:ext cx="6410" cy="758"/>
                                  <a:chOff x="5353" y="298992"/>
                                  <a:chExt cx="6410" cy="758"/>
                                </a:xfrm>
                              </wpg:grpSpPr>
                              <wps:wsp>
                                <wps:cNvPr id="69" name="文本框 69"/>
                                <wps:cNvSpPr txBox="1"/>
                                <wps:spPr>
                                  <a:xfrm>
                                    <a:off x="10815" y="299160"/>
                                    <a:ext cx="949" cy="590"/>
                                  </a:xfrm>
                                  <a:prstGeom prst="rect">
                                    <a:avLst/>
                                  </a:prstGeom>
                                  <a:noFill/>
                                  <a:ln w="9525">
                                    <a:noFill/>
                                  </a:ln>
                                </wps:spPr>
                                <wps:txbx>
                                  <w:txbxContent>
                                    <w:p>
                                      <w:pPr>
                                        <w:jc w:val="center"/>
                                        <w:rPr>
                                          <w:rFonts w:hint="eastAsia" w:ascii="Times New Roman" w:hAnsi="Times New Roman" w:cs="Times New Roman"/>
                                          <w:lang w:eastAsia="zh-CN"/>
                                        </w:rPr>
                                      </w:pPr>
                                      <w:r>
                                        <w:rPr>
                                          <w:rFonts w:hint="eastAsia" w:ascii="Times New Roman" w:hAnsi="Times New Roman" w:cs="Times New Roman"/>
                                          <w:lang w:eastAsia="zh-CN"/>
                                        </w:rPr>
                                        <w:t>定期村</w:t>
                                      </w:r>
                                    </w:p>
                                    <w:p>
                                      <w:pPr>
                                        <w:jc w:val="center"/>
                                        <w:rPr>
                                          <w:rFonts w:hint="eastAsia" w:ascii="宋体" w:hAnsi="宋体" w:eastAsia="宋体" w:cs="宋体"/>
                                          <w:sz w:val="21"/>
                                          <w:szCs w:val="21"/>
                                          <w:lang w:eastAsia="zh-CN"/>
                                        </w:rPr>
                                      </w:pPr>
                                      <w:r>
                                        <w:rPr>
                                          <w:rFonts w:hint="eastAsia" w:ascii="Times New Roman" w:hAnsi="Times New Roman" w:cs="Times New Roman"/>
                                          <w:lang w:eastAsia="zh-CN"/>
                                        </w:rPr>
                                        <w:t>民清运</w:t>
                                      </w:r>
                                    </w:p>
                                  </w:txbxContent>
                                </wps:txbx>
                                <wps:bodyPr lIns="0" tIns="0" rIns="0" bIns="0" upright="1"/>
                              </wps:wsp>
                              <wps:wsp>
                                <wps:cNvPr id="70" name="直接连接符 70"/>
                                <wps:cNvCnPr/>
                                <wps:spPr>
                                  <a:xfrm>
                                    <a:off x="5353" y="299402"/>
                                    <a:ext cx="1616" cy="0"/>
                                  </a:xfrm>
                                  <a:prstGeom prst="line">
                                    <a:avLst/>
                                  </a:prstGeom>
                                  <a:ln w="12700" cap="flat" cmpd="sng">
                                    <a:solidFill>
                                      <a:srgbClr val="000000"/>
                                    </a:solidFill>
                                    <a:prstDash val="solid"/>
                                    <a:headEnd type="none" w="med" len="med"/>
                                    <a:tailEnd type="triangle" w="sm" len="lg"/>
                                  </a:ln>
                                </wps:spPr>
                                <wps:bodyPr upright="1"/>
                              </wps:wsp>
                              <wps:wsp>
                                <wps:cNvPr id="71" name="文本框 71"/>
                                <wps:cNvSpPr txBox="1"/>
                                <wps:spPr>
                                  <a:xfrm>
                                    <a:off x="5689" y="299048"/>
                                    <a:ext cx="609" cy="464"/>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1.60</w:t>
                                      </w:r>
                                    </w:p>
                                  </w:txbxContent>
                                </wps:txbx>
                                <wps:bodyPr lIns="0" tIns="0" rIns="0" bIns="0" upright="1"/>
                              </wps:wsp>
                              <wps:wsp>
                                <wps:cNvPr id="72" name="文本框 72"/>
                                <wps:cNvSpPr txBox="1"/>
                                <wps:spPr>
                                  <a:xfrm>
                                    <a:off x="6969" y="299213"/>
                                    <a:ext cx="1163" cy="341"/>
                                  </a:xfrm>
                                  <a:prstGeom prst="rect">
                                    <a:avLst/>
                                  </a:prstGeom>
                                  <a:noFill/>
                                  <a:ln w="12700" cap="flat" cmpd="sng">
                                    <a:solidFill>
                                      <a:srgbClr val="000000"/>
                                    </a:solidFill>
                                    <a:prstDash val="solid"/>
                                    <a:miter/>
                                    <a:headEnd type="none" w="med" len="med"/>
                                    <a:tailEnd type="none" w="med" len="med"/>
                                  </a:ln>
                                </wps:spPr>
                                <wps:txbx>
                                  <w:txbxContent>
                                    <w:p>
                                      <w:pPr>
                                        <w:spacing w:line="260" w:lineRule="exact"/>
                                        <w:jc w:val="center"/>
                                        <w:rPr>
                                          <w:rFonts w:hint="eastAsia" w:ascii="宋体" w:hAnsi="宋体" w:eastAsia="宋体" w:cs="宋体"/>
                                          <w:color w:val="000000"/>
                                          <w:sz w:val="24"/>
                                        </w:rPr>
                                      </w:pPr>
                                      <w:r>
                                        <w:rPr>
                                          <w:rFonts w:hint="eastAsia" w:ascii="Times New Roman" w:hAnsi="Times New Roman" w:cs="Times New Roman"/>
                                          <w:lang w:eastAsia="zh-CN"/>
                                        </w:rPr>
                                        <w:t>生活用水</w:t>
                                      </w:r>
                                    </w:p>
                                  </w:txbxContent>
                                </wps:txbx>
                                <wps:bodyPr lIns="0" tIns="0" rIns="0" bIns="0" upright="1"/>
                              </wps:wsp>
                              <wps:wsp>
                                <wps:cNvPr id="75" name="直接连接符 75"/>
                                <wps:cNvCnPr/>
                                <wps:spPr>
                                  <a:xfrm>
                                    <a:off x="8132" y="299382"/>
                                    <a:ext cx="817" cy="1"/>
                                  </a:xfrm>
                                  <a:prstGeom prst="line">
                                    <a:avLst/>
                                  </a:prstGeom>
                                  <a:ln w="12700" cap="flat" cmpd="sng">
                                    <a:solidFill>
                                      <a:srgbClr val="000000"/>
                                    </a:solidFill>
                                    <a:prstDash val="solid"/>
                                    <a:headEnd type="none" w="med" len="med"/>
                                    <a:tailEnd type="triangle" w="sm" len="lg"/>
                                  </a:ln>
                                </wps:spPr>
                                <wps:bodyPr upright="1"/>
                              </wps:wsp>
                              <wps:wsp>
                                <wps:cNvPr id="76" name="文本框 76"/>
                                <wps:cNvSpPr txBox="1"/>
                                <wps:spPr>
                                  <a:xfrm>
                                    <a:off x="8203" y="299018"/>
                                    <a:ext cx="719" cy="469"/>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1.28</w:t>
                                      </w:r>
                                    </w:p>
                                  </w:txbxContent>
                                </wps:txbx>
                                <wps:bodyPr lIns="0" tIns="0" rIns="0" bIns="0" upright="1"/>
                              </wps:wsp>
                              <wps:wsp>
                                <wps:cNvPr id="79" name="文本框 79"/>
                                <wps:cNvSpPr txBox="1"/>
                                <wps:spPr>
                                  <a:xfrm>
                                    <a:off x="8971" y="299213"/>
                                    <a:ext cx="1163" cy="341"/>
                                  </a:xfrm>
                                  <a:prstGeom prst="rect">
                                    <a:avLst/>
                                  </a:prstGeom>
                                  <a:noFill/>
                                  <a:ln w="12700" cap="flat" cmpd="sng">
                                    <a:solidFill>
                                      <a:srgbClr val="000000"/>
                                    </a:solidFill>
                                    <a:prstDash val="solid"/>
                                    <a:miter/>
                                    <a:headEnd type="none" w="med" len="med"/>
                                    <a:tailEnd type="none" w="med" len="med"/>
                                  </a:ln>
                                </wps:spPr>
                                <wps:txbx>
                                  <w:txbxContent>
                                    <w:p>
                                      <w:pPr>
                                        <w:spacing w:line="260" w:lineRule="exact"/>
                                        <w:jc w:val="center"/>
                                        <w:rPr>
                                          <w:rFonts w:hint="eastAsia" w:ascii="宋体" w:hAnsi="宋体" w:eastAsia="宋体" w:cs="宋体"/>
                                          <w:color w:val="000000"/>
                                          <w:sz w:val="24"/>
                                          <w:lang w:eastAsia="zh-CN"/>
                                        </w:rPr>
                                      </w:pPr>
                                      <w:r>
                                        <w:rPr>
                                          <w:rFonts w:hint="eastAsia" w:ascii="Times New Roman" w:hAnsi="Times New Roman" w:cs="Times New Roman"/>
                                          <w:lang w:eastAsia="zh-CN"/>
                                        </w:rPr>
                                        <w:t>环保旱厕</w:t>
                                      </w:r>
                                    </w:p>
                                  </w:txbxContent>
                                </wps:txbx>
                                <wps:bodyPr lIns="0" tIns="0" rIns="0" bIns="0" upright="1"/>
                              </wps:wsp>
                              <wps:wsp>
                                <wps:cNvPr id="80" name="直接连接符 80"/>
                                <wps:cNvCnPr/>
                                <wps:spPr>
                                  <a:xfrm>
                                    <a:off x="10134" y="299420"/>
                                    <a:ext cx="693" cy="0"/>
                                  </a:xfrm>
                                  <a:prstGeom prst="line">
                                    <a:avLst/>
                                  </a:prstGeom>
                                  <a:ln w="12700" cap="flat" cmpd="sng">
                                    <a:solidFill>
                                      <a:srgbClr val="000000"/>
                                    </a:solidFill>
                                    <a:prstDash val="solid"/>
                                    <a:headEnd type="none" w="med" len="med"/>
                                    <a:tailEnd type="triangle" w="sm" len="lg"/>
                                  </a:ln>
                                </wps:spPr>
                                <wps:bodyPr upright="1"/>
                              </wps:wsp>
                              <wps:wsp>
                                <wps:cNvPr id="81" name="文本框 81"/>
                                <wps:cNvSpPr txBox="1"/>
                                <wps:spPr>
                                  <a:xfrm>
                                    <a:off x="10146" y="299114"/>
                                    <a:ext cx="719" cy="469"/>
                                  </a:xfrm>
                                  <a:prstGeom prst="rect">
                                    <a:avLst/>
                                  </a:prstGeom>
                                  <a:noFill/>
                                  <a:ln w="9525">
                                    <a:noFill/>
                                  </a:ln>
                                </wps:spPr>
                                <wps:txbx>
                                  <w:txbxContent>
                                    <w:p>
                                      <w:pPr>
                                        <w:jc w:val="center"/>
                                        <w:rPr>
                                          <w:rFonts w:ascii="仿宋_GB2312" w:eastAsia="仿宋_GB2312"/>
                                          <w:sz w:val="24"/>
                                        </w:rPr>
                                      </w:pPr>
                                      <w:r>
                                        <w:rPr>
                                          <w:rFonts w:hint="eastAsia" w:ascii="Times New Roman" w:hAnsi="Times New Roman" w:eastAsia="仿宋_GB2312" w:cs="Times New Roman"/>
                                          <w:sz w:val="21"/>
                                          <w:szCs w:val="21"/>
                                        </w:rPr>
                                        <w:t>1.28</w:t>
                                      </w:r>
                                    </w:p>
                                  </w:txbxContent>
                                </wps:txbx>
                                <wps:bodyPr lIns="0" tIns="0" rIns="0" bIns="0" upright="1"/>
                              </wps:wsp>
                              <wps:wsp>
                                <wps:cNvPr id="103" name="任意多边形 103"/>
                                <wps:cNvSpPr/>
                                <wps:spPr bwMode="auto">
                                  <a:xfrm rot="20162250">
                                    <a:off x="7393" y="29899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g:grpSp>
                            <wps:wsp>
                              <wps:cNvPr id="91" name="文本框 91"/>
                              <wps:cNvSpPr txBox="1"/>
                              <wps:spPr>
                                <a:xfrm>
                                  <a:off x="5150" y="297682"/>
                                  <a:ext cx="609" cy="454"/>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20</w:t>
                                    </w:r>
                                  </w:p>
                                </w:txbxContent>
                              </wps:txbx>
                              <wps:bodyPr lIns="0" tIns="0" rIns="0" bIns="0" upright="1"/>
                            </wps:wsp>
                            <wps:wsp>
                              <wps:cNvPr id="105" name="直接连接符 105"/>
                              <wps:cNvCnPr/>
                              <wps:spPr>
                                <a:xfrm>
                                  <a:off x="4916" y="298028"/>
                                  <a:ext cx="1031" cy="1"/>
                                </a:xfrm>
                                <a:prstGeom prst="line">
                                  <a:avLst/>
                                </a:prstGeom>
                                <a:ln w="12700" cap="flat" cmpd="sng">
                                  <a:solidFill>
                                    <a:srgbClr val="000000"/>
                                  </a:solidFill>
                                  <a:prstDash val="solid"/>
                                  <a:headEnd type="none" w="med" len="med"/>
                                  <a:tailEnd type="triangle" w="sm" len="lg"/>
                                </a:ln>
                              </wps:spPr>
                              <wps:bodyPr upright="1"/>
                            </wps:wsp>
                            <wps:wsp>
                              <wps:cNvPr id="106" name="文本框 106"/>
                              <wps:cNvSpPr txBox="1"/>
                              <wps:spPr>
                                <a:xfrm>
                                  <a:off x="5924" y="297815"/>
                                  <a:ext cx="1239" cy="437"/>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单井洗井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直接连接符 107"/>
                              <wps:cNvCnPr/>
                              <wps:spPr>
                                <a:xfrm>
                                  <a:off x="7156" y="298030"/>
                                  <a:ext cx="1031" cy="1"/>
                                </a:xfrm>
                                <a:prstGeom prst="line">
                                  <a:avLst/>
                                </a:prstGeom>
                                <a:ln w="12700" cap="flat" cmpd="sng">
                                  <a:solidFill>
                                    <a:srgbClr val="000000"/>
                                  </a:solidFill>
                                  <a:prstDash val="solid"/>
                                  <a:headEnd type="none" w="med" len="med"/>
                                  <a:tailEnd type="triangle" w="sm" len="lg"/>
                                </a:ln>
                              </wps:spPr>
                              <wps:bodyPr upright="1"/>
                            </wps:wsp>
                            <wps:wsp>
                              <wps:cNvPr id="122" name="任意多边形 122"/>
                              <wps:cNvSpPr/>
                              <wps:spPr bwMode="auto">
                                <a:xfrm rot="20162250">
                                  <a:off x="6509" y="297618"/>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126" name="文本框 126"/>
                              <wps:cNvSpPr txBox="1"/>
                              <wps:spPr>
                                <a:xfrm>
                                  <a:off x="6715" y="297472"/>
                                  <a:ext cx="609" cy="454"/>
                                </a:xfrm>
                                <a:prstGeom prst="rect">
                                  <a:avLst/>
                                </a:prstGeom>
                                <a:noFill/>
                                <a:ln w="9525">
                                  <a:noFill/>
                                </a:ln>
                              </wps:spPr>
                              <wps:txbx>
                                <w:txbxContent>
                                  <w:p>
                                    <w:pPr>
                                      <w:jc w:val="center"/>
                                      <w:rPr>
                                        <w:rFonts w:hint="eastAsia" w:ascii="仿宋_GB2312" w:eastAsia="仿宋_GB2312"/>
                                        <w:sz w:val="24"/>
                                        <w:lang w:val="en-US" w:eastAsia="zh-CN"/>
                                      </w:rPr>
                                    </w:pPr>
                                    <w:r>
                                      <w:rPr>
                                        <w:rFonts w:hint="eastAsia" w:ascii="Times New Roman" w:hAnsi="Times New Roman" w:eastAsia="仿宋_GB2312" w:cs="Times New Roman"/>
                                        <w:sz w:val="21"/>
                                        <w:szCs w:val="21"/>
                                        <w:lang w:val="en-US" w:eastAsia="zh-CN"/>
                                      </w:rPr>
                                      <w:t>10</w:t>
                                    </w:r>
                                  </w:p>
                                </w:txbxContent>
                              </wps:txbx>
                              <wps:bodyPr lIns="0" tIns="0" rIns="0" bIns="0" upright="1"/>
                            </wps:wsp>
                            <wps:wsp>
                              <wps:cNvPr id="127" name="文本框 127"/>
                              <wps:cNvSpPr txBox="1"/>
                              <wps:spPr>
                                <a:xfrm>
                                  <a:off x="7427" y="297722"/>
                                  <a:ext cx="609" cy="454"/>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w:t>
                                    </w:r>
                                  </w:p>
                                </w:txbxContent>
                              </wps:txbx>
                              <wps:bodyPr lIns="0" tIns="0" rIns="0" bIns="0" upright="1"/>
                            </wps:wsp>
                            <wps:wsp>
                              <wps:cNvPr id="120" name="直接连接符 120"/>
                              <wps:cNvCnPr/>
                              <wps:spPr>
                                <a:xfrm flipH="1" flipV="1">
                                  <a:off x="8165" y="296291"/>
                                  <a:ext cx="10" cy="1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接连接符 145"/>
                              <wps:cNvCnPr/>
                              <wps:spPr>
                                <a:xfrm>
                                  <a:off x="6765" y="296287"/>
                                  <a:ext cx="1399" cy="0"/>
                                </a:xfrm>
                                <a:prstGeom prst="line">
                                  <a:avLst/>
                                </a:prstGeom>
                                <a:ln w="12700" cap="flat" cmpd="sng">
                                  <a:solidFill>
                                    <a:srgbClr val="000000"/>
                                  </a:solidFill>
                                  <a:prstDash val="solid"/>
                                  <a:headEnd type="triangle" w="sm" len="lg"/>
                                  <a:tailEnd type="none" w="med" len="med"/>
                                </a:ln>
                              </wps:spPr>
                              <wps:bodyPr upright="1"/>
                            </wps:wsp>
                          </wpg:wgp>
                        </a:graphicData>
                      </a:graphic>
                    </wp:anchor>
                  </w:drawing>
                </mc:Choice>
                <mc:Fallback>
                  <w:pict>
                    <v:group id="_x0000_s1026" o:spid="_x0000_s1026" o:spt="203" style="position:absolute;left:0pt;margin-left:26.15pt;margin-top:10.35pt;height:344.7pt;width:370.9pt;z-index:252100608;mso-width-relative:page;mso-height-relative:page;" coordorigin="2973,294930" coordsize="7418,6894" o:gfxdata="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">
                      <o:lock v:ext="edit" aspectratio="f"/>
                      <v:shape id="_x0000_s1026" o:spid="_x0000_s1026" o:spt="202" type="#_x0000_t202" style="position:absolute;left:4853;top:294930;height:435;width:609;"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1.5</w:t>
                              </w:r>
                            </w:p>
                          </w:txbxContent>
                        </v:textbox>
                      </v:shape>
                      <v:shape id="_x0000_s1026" o:spid="_x0000_s1026" o:spt="202" type="#_x0000_t202" style="position:absolute;left:6910;top:295059;height:436;width:771;"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9.63</w:t>
                              </w:r>
                            </w:p>
                          </w:txbxContent>
                        </v:textbox>
                      </v:shape>
                      <v:shape id="_x0000_s1026" o:spid="_x0000_s1026" o:spt="202" type="#_x0000_t202" style="position:absolute;left:2973;top:298083;height:548;width:914;" fillcolor="#FFFFFF" filled="t" stroked="f" coordsize="21600,21600" o:gfxdata="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IoZ+8AAAA&#10;2wAAAA8AAAAAAAAAAQAgAAAAIgAAAGRycy9kb3ducmV2LnhtbFBLAQIUABQAAAAIAIdO4kAzLwWe&#10;OwAAADkAAAAQAAAAAAAAAAEAIAAAAAsBAABkcnMvc2hhcGV4bWwueG1sUEsFBgAAAAAGAAYAWwEA&#10;ALUDAAAAAA==&#10;">
                        <v:fill on="t" focussize="0,0"/>
                        <v:stroke on="f" weight="1pt"/>
                        <v:imagedata o:title=""/>
                        <o:lock v:ext="edit" aspectratio="f"/>
                        <v:textbox inset="0mm,0mm,0mm,0mm">
                          <w:txbxContent>
                            <w:p>
                              <w:pPr>
                                <w:rPr>
                                  <w:rFonts w:hint="eastAsia" w:ascii="Times New Roman" w:hAnsi="Times New Roman" w:cs="Times New Roman"/>
                                  <w:lang w:eastAsia="zh-CN"/>
                                </w:rPr>
                              </w:pPr>
                              <w:r>
                                <w:rPr>
                                  <w:rFonts w:hint="eastAsia" w:ascii="Times New Roman" w:hAnsi="Times New Roman" w:cs="Times New Roman"/>
                                  <w:lang w:eastAsia="zh-CN"/>
                                </w:rPr>
                                <w:t>新鲜水</w:t>
                              </w:r>
                            </w:p>
                          </w:txbxContent>
                        </v:textbox>
                      </v:shape>
                      <v:shape id="_x0000_s1026" o:spid="_x0000_s1026" o:spt="202" type="#_x0000_t202" style="position:absolute;left:5595;top:295274;height:341;width:1163;" filled="f" stroked="t" coordsize="21600,21600" o:gfxdata="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8f5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jc w:val="center"/>
                                <w:rPr>
                                  <w:rFonts w:hint="eastAsia" w:ascii="Times New Roman" w:hAnsi="Times New Roman" w:cs="Times New Roman"/>
                                  <w:lang w:eastAsia="zh-CN"/>
                                </w:rPr>
                              </w:pPr>
                              <w:r>
                                <w:rPr>
                                  <w:rFonts w:hint="eastAsia" w:ascii="Times New Roman" w:hAnsi="Times New Roman" w:cs="Times New Roman"/>
                                  <w:lang w:eastAsia="zh-CN"/>
                                </w:rPr>
                                <w:t>钻井液</w:t>
                              </w:r>
                            </w:p>
                          </w:txbxContent>
                        </v:textbox>
                      </v:shape>
                      <v:shape id="_x0000_s1026" o:spid="_x0000_s1026" o:spt="202" type="#_x0000_t202" style="position:absolute;left:5543;top:296852;height:341;width:1851;" filled="f" stroked="t" coordsize="21600,21600" o:gfxdata="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zuny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sz w:val="24"/>
                                </w:rPr>
                              </w:pPr>
                              <w:r>
                                <w:rPr>
                                  <w:rFonts w:hint="eastAsia" w:ascii="Times New Roman" w:hAnsi="Times New Roman" w:cs="Times New Roman"/>
                                  <w:lang w:eastAsia="zh-CN"/>
                                </w:rPr>
                                <w:t>设备及钻台冲洗</w:t>
                              </w:r>
                            </w:p>
                          </w:txbxContent>
                        </v:textbox>
                      </v:shape>
                      <v:line id="_x0000_s1026" o:spid="_x0000_s1026" o:spt="20" style="position:absolute;left:6782;top:296144;height:0;width:966;" filled="f" stroked="t" coordsize="21600,21600" o:gfxdata="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Gjwe8AAAA&#10;2wAAAA8AAAAAAAAAAQAgAAAAIgAAAGRycy9kb3ducmV2LnhtbFBLAQIUABQAAAAIAIdO4kAzLwWe&#10;OwAAADkAAAAQAAAAAAAAAAEAIAAAAAsBAABkcnMvc2hhcGV4bWwueG1sUEsFBgAAAAAGAAYAWwEA&#10;ALUDAAAAAA==&#10;">
                        <v:fill on="f" focussize="0,0"/>
                        <v:stroke weight="1pt" color="#000000" joinstyle="round" startarrow="block" startarrowwidth="narrow" startarrowlength="long"/>
                        <v:imagedata o:title=""/>
                        <o:lock v:ext="edit" aspectratio="f"/>
                      </v:line>
                      <v:shape id="_x0000_s1026" o:spid="_x0000_s1026" o:spt="202" type="#_x0000_t202" style="position:absolute;left:5639;top:295951;height:341;width:1163;" filled="f" stroked="t" coordsize="21600,21600" o:gfxdata="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yFeK5AAAA2w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sz w:val="24"/>
                                </w:rPr>
                              </w:pPr>
                              <w:r>
                                <w:rPr>
                                  <w:rFonts w:hint="eastAsia" w:ascii="Times New Roman" w:hAnsi="Times New Roman" w:cs="Times New Roman"/>
                                  <w:lang w:eastAsia="zh-CN"/>
                                </w:rPr>
                                <w:t>泥浆池</w:t>
                              </w:r>
                            </w:p>
                          </w:txbxContent>
                        </v:textbox>
                      </v:shape>
                      <v:line id="_x0000_s1026" o:spid="_x0000_s1026" o:spt="20" style="position:absolute;left:4883;top:295429;height:3782;width:13;" filled="f" stroked="t" coordsize="21600,21600" o:gfxdata="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bQmi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4880;top:297054;height:0;width:693;" filled="f" stroked="t" coordsize="21600,21600" o:gfxdata="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oj8L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line id="_x0000_s1026" o:spid="_x0000_s1026" o:spt="20" style="position:absolute;left:3965;top:297020;height:0;width:918;" filled="f" stroked="t" coordsize="21600,21600" o:gfxdata="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2L2H&#10;wAAAANsAAAAPAAAAAAAAAAEAIAAAACIAAABkcnMvZG93bnJldi54bWxQSwECFAAUAAAACACHTuJA&#10;My8FnjsAAAA5AAAAEAAAAAAAAAABACAAAAAPAQAAZHJzL3NoYXBleG1sLnhtbFBLBQYAAAAABgAG&#10;AFsBAAC5AwAAAAA=&#10;">
                        <v:fill on="f" focussize="0,0"/>
                        <v:stroke weight="1pt" color="#000000" joinstyle="round" endarrow="block" endarrowwidth="narrow" endarrowlength="long"/>
                        <v:imagedata o:title=""/>
                        <o:lock v:ext="edit" aspectratio="f"/>
                      </v:line>
                      <v:shape id="_x0000_s1026" o:spid="_x0000_s1026" o:spt="202" type="#_x0000_t202" style="position:absolute;left:4042;top:296398;height:574;width:609;"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仿宋_GB2312" w:eastAsia="仿宋_GB2312"/>
                                  <w:sz w:val="24"/>
                                </w:rPr>
                              </w:pPr>
                              <w:r>
                                <w:rPr>
                                  <w:rFonts w:hint="eastAsia" w:ascii="Times New Roman" w:hAnsi="Times New Roman" w:eastAsia="仿宋_GB2312" w:cs="Times New Roman"/>
                                  <w:sz w:val="21"/>
                                  <w:szCs w:val="21"/>
                                  <w:lang w:val="en-US" w:eastAsia="zh-CN"/>
                                </w:rPr>
                                <w:t>2</w:t>
                              </w:r>
                              <w:r>
                                <w:rPr>
                                  <w:rFonts w:hint="eastAsia" w:ascii="Times New Roman" w:hAnsi="Times New Roman" w:eastAsia="仿宋_GB2312" w:cs="Times New Roman"/>
                                  <w:sz w:val="21"/>
                                  <w:szCs w:val="21"/>
                                </w:rPr>
                                <w:t>4.1</w:t>
                              </w:r>
                            </w:p>
                          </w:txbxContent>
                        </v:textbox>
                      </v:shape>
                      <v:line id="_x0000_s1026" o:spid="_x0000_s1026" o:spt="20" style="position:absolute;left:3951;top:297000;height:3678;width:31;" filled="f" stroked="t" coordsize="21600,21600" o:gfxdata="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tTm6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983;top:298025;height:0;width:918;" filled="f" stroked="t" coordsize="21600,21600" o:gfxdata="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8L/a/&#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3046;top:297680;height:485;width:710;"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ascii="仿宋_GB2312" w:eastAsia="仿宋_GB2312"/>
                                  <w:sz w:val="24"/>
                                </w:rPr>
                              </w:pPr>
                              <w:r>
                                <w:rPr>
                                  <w:rFonts w:hint="eastAsia" w:ascii="Times New Roman" w:hAnsi="Times New Roman" w:eastAsia="仿宋_GB2312" w:cs="Times New Roman"/>
                                  <w:sz w:val="21"/>
                                  <w:szCs w:val="21"/>
                                  <w:lang w:val="en-US" w:eastAsia="zh-CN"/>
                                </w:rPr>
                                <w:t>2</w:t>
                              </w:r>
                              <w:r>
                                <w:rPr>
                                  <w:rFonts w:hint="eastAsia" w:ascii="Times New Roman" w:hAnsi="Times New Roman" w:eastAsia="仿宋_GB2312" w:cs="Times New Roman"/>
                                  <w:sz w:val="21"/>
                                  <w:szCs w:val="21"/>
                                </w:rPr>
                                <w:t>5.7</w:t>
                              </w:r>
                            </w:p>
                          </w:txbxContent>
                        </v:textbox>
                      </v:shape>
                      <v:line id="_x0000_s1026" o:spid="_x0000_s1026" o:spt="20" style="position:absolute;left:4889;top:295420;height:0;width:693;" filled="f" stroked="t" coordsize="21600,21600" o:gfxdata="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bpTb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line id="_x0000_s1026" o:spid="_x0000_s1026" o:spt="20" style="position:absolute;left:6766;top:295391;height:0;width:966;" filled="f" stroked="t" coordsize="21600,21600" o:gfxdata="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gx3vQAA&#10;ANsAAAAPAAAAAAAAAAEAIAAAACIAAABkcnMvZG93bnJldi54bWxQSwECFAAUAAAACACHTuJAMy8F&#10;njsAAAA5AAAAEAAAAAAAAAABACAAAAAMAQAAZHJzL3NoYXBleG1sLnhtbFBLBQYAAAAABgAGAFsB&#10;AAC2AwAAAAA=&#10;">
                        <v:fill on="f" focussize="0,0"/>
                        <v:stroke weight="1pt" color="#000000" joinstyle="round" startarrowwidth="narrow" startarrowlength="long"/>
                        <v:imagedata o:title=""/>
                        <o:lock v:ext="edit" aspectratio="f"/>
                      </v:line>
                      <v:line id="_x0000_s1026" o:spid="_x0000_s1026" o:spt="20" style="position:absolute;left:7348;top:295739;height:7;width:761;rotation:5898240f;" filled="f" stroked="t" coordsize="21600,21600" o:gfxdata="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WCPvQAA&#10;ANsAAAAPAAAAAAAAAAEAIAAAACIAAABkcnMvZG93bnJldi54bWxQSwECFAAUAAAACACHTuJAMy8F&#10;njsAAAA5AAAAEAAAAAAAAAABACAAAAAMAQAAZHJzL3NoYXBleG1sLnhtbFBLBQYAAAAABgAGAFsB&#10;AAC2AwAAAAA=&#10;">
                        <v:fill on="f" focussize="0,0"/>
                        <v:stroke weight="1pt" color="#000000" joinstyle="round" startarrowwidth="narrow" startarrowlength="long"/>
                        <v:imagedata o:title=""/>
                        <o:lock v:ext="edit" aspectratio="f"/>
                      </v:line>
                      <v:shape id="_x0000_s1026" o:spid="_x0000_s1026" o:spt="202" type="#_x0000_t202" style="position:absolute;left:7239;top:296334;height:457;width:759;"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仿宋_GB2312" w:eastAsia="仿宋_GB2312"/>
                                  <w:sz w:val="24"/>
                                </w:rPr>
                              </w:pPr>
                              <w:r>
                                <w:rPr>
                                  <w:rFonts w:hint="eastAsia" w:ascii="Times New Roman" w:hAnsi="Times New Roman" w:eastAsia="仿宋_GB2312" w:cs="Times New Roman"/>
                                  <w:sz w:val="21"/>
                                  <w:szCs w:val="21"/>
                                </w:rPr>
                                <w:t>0.06</w:t>
                              </w:r>
                            </w:p>
                          </w:txbxContent>
                        </v:textbox>
                      </v:shape>
                      <v:shape id="_x0000_s1026" o:spid="_x0000_s1026" o:spt="202" type="#_x0000_t202" style="position:absolute;left:4915;top:296687;height:526;width:60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0.6</w:t>
                              </w:r>
                            </w:p>
                          </w:txbxContent>
                        </v:textbox>
                      </v:shape>
                      <v:line id="_x0000_s1026" o:spid="_x0000_s1026" o:spt="20" style="position:absolute;left:6317;top:296262;flip:y;height:586;width:5;" filled="f" stroked="t" coordsize="21600,21600" o:gfxdata="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jzw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5811;top:296364;height:512;width:609;"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0.54</w:t>
                              </w:r>
                            </w:p>
                          </w:txbxContent>
                        </v:textbox>
                      </v:shape>
                      <v:shape id="_x0000_s1026" o:spid="_x0000_s1026" o:spt="202" type="#_x0000_t202" style="position:absolute;left:6333;top:300100;height:448;width:609;"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0.32</w:t>
                              </w:r>
                            </w:p>
                          </w:txbxContent>
                        </v:textbox>
                      </v:shape>
                      <v:shape id="_x0000_s1026" o:spid="_x0000_s1026" o:spt="100" style="position:absolute;left:7045;top:296612;height:150;width:340;rotation:-1570406f;" filled="f" stroked="t" coordsize="360,156" o:gfxdata="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7XFHvQAA&#10;ANsAAAAPAAAAAAAAAAEAIAAAACIAAABkcnMvZG93bnJldi54bWxQSwECFAAUAAAACACHTuJAMy8F&#10;njsAAAA5AAAAEAAAAAAAAAABACAAAAAMAQAAZHJzL3NoYXBleG1sLnhtbFBLBQYAAAAABgAGAFsB&#10;AAC2AwAAAAA=&#10;" path="m0,156c75,78,150,0,180,0c210,0,150,156,180,156c210,156,330,26,360,0e">
                        <v:path o:connectlocs="0,60483750;68548250,0;68548250,60483750;137096500,0" o:connectangles="0,0,0,0"/>
                        <v:fill on="f" focussize="0,0"/>
                        <v:stroke color="#000000" joinstyle="round" endarrow="block"/>
                        <v:imagedata o:title=""/>
                        <o:lock v:ext="edit" aspectratio="f"/>
                      </v:shape>
                      <v:shape id="_x0000_s1026" o:spid="_x0000_s1026" o:spt="202" type="#_x0000_t202" style="position:absolute;left:4531;top:301439;height:385;width:4157;"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60" w:lineRule="exact"/>
                                <w:jc w:val="center"/>
                                <w:rPr>
                                  <w:rFonts w:hint="default" w:ascii="Times New Roman" w:hAnsi="Times New Roman" w:eastAsia="宋体" w:cs="Times New Roman"/>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 xml:space="preserve">2  </w:t>
                              </w:r>
                              <w:r>
                                <w:rPr>
                                  <w:rFonts w:hint="eastAsia" w:ascii="宋体" w:hAnsi="宋体" w:eastAsia="宋体" w:cs="宋体"/>
                                  <w:b/>
                                  <w:bCs/>
                                  <w:color w:val="000000"/>
                                  <w:sz w:val="21"/>
                                  <w:szCs w:val="21"/>
                                  <w:lang w:val="en-US" w:eastAsia="zh-CN"/>
                                </w:rPr>
                                <w:t>钻井期井场水平衡图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v:textbox>
                      </v:shape>
                      <v:group id="_x0000_s1026" o:spid="_x0000_s1026" o:spt="203" style="position:absolute;left:4890;top:298553;height:803;width:2421;" coordorigin="6283,297675" coordsize="2421,803"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296;top:298309;height:1;width:603;" filled="f" stroked="t" coordsize="21600,21600" o:gfxdata="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9gGi/&#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6894;top:298111;height:341;width:1811;" filled="f" stroked="t" coordsize="21600,21600" o:gfxdata="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6iyh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sz w:val="24"/>
                                  </w:rPr>
                                </w:pPr>
                                <w:r>
                                  <w:rPr>
                                    <w:rFonts w:hint="eastAsia" w:ascii="Times New Roman" w:hAnsi="Times New Roman" w:cs="Times New Roman"/>
                                    <w:lang w:eastAsia="zh-CN"/>
                                  </w:rPr>
                                  <w:t>水泥浆配料用水</w:t>
                                </w:r>
                              </w:p>
                            </w:txbxContent>
                          </v:textbox>
                        </v:shape>
                        <v:shape id="_x0000_s1026" o:spid="_x0000_s1026" o:spt="202" type="#_x0000_t202" style="position:absolute;left:8033;top:297675;height:454;width:609;"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2.0</w:t>
                                </w:r>
                              </w:p>
                            </w:txbxContent>
                          </v:textbox>
                        </v:shape>
                        <v:shape id="_x0000_s1026" o:spid="_x0000_s1026" o:spt="202" type="#_x0000_t202" style="position:absolute;left:6283;top:297966;height:513;width:609;"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2.0</w:t>
                                </w:r>
                              </w:p>
                            </w:txbxContent>
                          </v:textbox>
                        </v:shape>
                        <v:shape id="_x0000_s1026" o:spid="_x0000_s1026" o:spt="100" style="position:absolute;left:7728;top:297902;height:150;width:340;rotation:-1570406f;" filled="f" stroked="t" coordsize="360,156" o:gfxdata="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QK65AAAA2wAA&#10;AA8AAAAAAAAAAQAgAAAAIgAAAGRycy9kb3ducmV2LnhtbFBLAQIUABQAAAAIAIdO4kAzLwWeOwAA&#10;ADkAAAAQAAAAAAAAAAEAIAAAAAgBAABkcnMvc2hhcGV4bWwueG1sUEsFBgAAAAAGAAYAWwEAALID&#10;AAAAAA==&#10;" path="m0,156c75,78,150,0,180,0c210,0,150,156,180,156c210,156,330,26,360,0e">
                          <v:path o:connectlocs="0,60483750;68548250,0;68548250,60483750;137096500,0" o:connectangles="0,0,0,0"/>
                          <v:fill on="f" focussize="0,0"/>
                          <v:stroke color="#000000" joinstyle="round" endarrow="block"/>
                          <v:imagedata o:title=""/>
                          <o:lock v:ext="edit" aspectratio="f"/>
                        </v:shape>
                      </v:group>
                      <v:group id="_x0000_s1026" o:spid="_x0000_s1026" o:spt="203" style="position:absolute;left:3981;top:300267;height:758;width:6410;" coordorigin="5353,298992" coordsize="6410,758"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0815;top:299160;height:590;width:949;"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ascii="Times New Roman" w:hAnsi="Times New Roman" w:cs="Times New Roman"/>
                                    <w:lang w:eastAsia="zh-CN"/>
                                  </w:rPr>
                                </w:pPr>
                                <w:r>
                                  <w:rPr>
                                    <w:rFonts w:hint="eastAsia" w:ascii="Times New Roman" w:hAnsi="Times New Roman" w:cs="Times New Roman"/>
                                    <w:lang w:eastAsia="zh-CN"/>
                                  </w:rPr>
                                  <w:t>定期村</w:t>
                                </w:r>
                              </w:p>
                              <w:p>
                                <w:pPr>
                                  <w:jc w:val="center"/>
                                  <w:rPr>
                                    <w:rFonts w:hint="eastAsia" w:ascii="宋体" w:hAnsi="宋体" w:eastAsia="宋体" w:cs="宋体"/>
                                    <w:sz w:val="21"/>
                                    <w:szCs w:val="21"/>
                                    <w:lang w:eastAsia="zh-CN"/>
                                  </w:rPr>
                                </w:pPr>
                                <w:r>
                                  <w:rPr>
                                    <w:rFonts w:hint="eastAsia" w:ascii="Times New Roman" w:hAnsi="Times New Roman" w:cs="Times New Roman"/>
                                    <w:lang w:eastAsia="zh-CN"/>
                                  </w:rPr>
                                  <w:t>民清运</w:t>
                                </w:r>
                              </w:p>
                            </w:txbxContent>
                          </v:textbox>
                        </v:shape>
                        <v:line id="_x0000_s1026" o:spid="_x0000_s1026" o:spt="20" style="position:absolute;left:5353;top:299402;height:0;width:1616;" filled="f" stroked="t" coordsize="21600,21600" o:gfxdata="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89oL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5689;top:299048;height:464;width:609;"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1.60</w:t>
                                </w:r>
                              </w:p>
                            </w:txbxContent>
                          </v:textbox>
                        </v:shape>
                        <v:shape id="_x0000_s1026" o:spid="_x0000_s1026" o:spt="202" type="#_x0000_t202" style="position:absolute;left:6969;top:299213;height:341;width:1163;" filled="f" stroked="t" coordsize="21600,21600" o:gfxdata="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ui1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60" w:lineRule="exact"/>
                                  <w:jc w:val="center"/>
                                  <w:rPr>
                                    <w:rFonts w:hint="eastAsia" w:ascii="宋体" w:hAnsi="宋体" w:eastAsia="宋体" w:cs="宋体"/>
                                    <w:color w:val="000000"/>
                                    <w:sz w:val="24"/>
                                  </w:rPr>
                                </w:pPr>
                                <w:r>
                                  <w:rPr>
                                    <w:rFonts w:hint="eastAsia" w:ascii="Times New Roman" w:hAnsi="Times New Roman" w:cs="Times New Roman"/>
                                    <w:lang w:eastAsia="zh-CN"/>
                                  </w:rPr>
                                  <w:t>生活用水</w:t>
                                </w:r>
                              </w:p>
                            </w:txbxContent>
                          </v:textbox>
                        </v:shape>
                        <v:line id="_x0000_s1026" o:spid="_x0000_s1026" o:spt="20" style="position:absolute;left:8132;top:299382;height:1;width:817;" filled="f" stroked="t" coordsize="21600,21600" o:gfxdata="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EeZO/&#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8203;top:299018;height:469;width:719;"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eastAsia" w:ascii="Times New Roman" w:hAnsi="Times New Roman" w:eastAsia="仿宋_GB2312" w:cs="Times New Roman"/>
                                    <w:sz w:val="21"/>
                                    <w:szCs w:val="21"/>
                                  </w:rPr>
                                  <w:t>1.28</w:t>
                                </w:r>
                              </w:p>
                            </w:txbxContent>
                          </v:textbox>
                        </v:shape>
                        <v:shape id="_x0000_s1026" o:spid="_x0000_s1026" o:spt="202" type="#_x0000_t202" style="position:absolute;left:8971;top:299213;height:341;width:1163;" filled="f" stroked="t" coordsize="21600,21600" o:gfxdata="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J6xL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spacing w:line="260" w:lineRule="exact"/>
                                  <w:jc w:val="center"/>
                                  <w:rPr>
                                    <w:rFonts w:hint="eastAsia" w:ascii="宋体" w:hAnsi="宋体" w:eastAsia="宋体" w:cs="宋体"/>
                                    <w:color w:val="000000"/>
                                    <w:sz w:val="24"/>
                                    <w:lang w:eastAsia="zh-CN"/>
                                  </w:rPr>
                                </w:pPr>
                                <w:r>
                                  <w:rPr>
                                    <w:rFonts w:hint="eastAsia" w:ascii="Times New Roman" w:hAnsi="Times New Roman" w:cs="Times New Roman"/>
                                    <w:lang w:eastAsia="zh-CN"/>
                                  </w:rPr>
                                  <w:t>环保旱厕</w:t>
                                </w:r>
                              </w:p>
                            </w:txbxContent>
                          </v:textbox>
                        </v:shape>
                        <v:line id="_x0000_s1026" o:spid="_x0000_s1026" o:spt="20" style="position:absolute;left:10134;top:299420;height:0;width:693;" filled="f" stroked="t" coordsize="21600,21600" o:gfxdata="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qos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10146;top:299114;height:469;width:7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仿宋_GB2312" w:eastAsia="仿宋_GB2312"/>
                                    <w:sz w:val="24"/>
                                  </w:rPr>
                                </w:pPr>
                                <w:r>
                                  <w:rPr>
                                    <w:rFonts w:hint="eastAsia" w:ascii="Times New Roman" w:hAnsi="Times New Roman" w:eastAsia="仿宋_GB2312" w:cs="Times New Roman"/>
                                    <w:sz w:val="21"/>
                                    <w:szCs w:val="21"/>
                                  </w:rPr>
                                  <w:t>1.28</w:t>
                                </w:r>
                              </w:p>
                            </w:txbxContent>
                          </v:textbox>
                        </v:shape>
                        <v:shape id="_x0000_s1026" o:spid="_x0000_s1026" o:spt="100" style="position:absolute;left:7393;top:298992;height:150;width:340;rotation:-1570406f;" filled="f" stroked="t" coordsize="360,156" o:gfxdata="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UlfwugAAANwA&#10;AAAPAAAAAAAAAAEAIAAAACIAAABkcnMvZG93bnJldi54bWxQSwECFAAUAAAACACHTuJAMy8FnjsA&#10;AAA5AAAAEAAAAAAAAAABACAAAAAJAQAAZHJzL3NoYXBleG1sLnhtbFBLBQYAAAAABgAGAFsBAACz&#10;AwAAAAA=&#10;" path="m0,156c75,78,150,0,180,0c210,0,150,156,180,156c210,156,330,26,360,0e">
                          <v:path o:connectlocs="0,60483750;68548250,0;68548250,60483750;137096500,0" o:connectangles="0,0,0,0"/>
                          <v:fill on="f" focussize="0,0"/>
                          <v:stroke color="#000000" joinstyle="round" endarrow="block"/>
                          <v:imagedata o:title=""/>
                          <o:lock v:ext="edit" aspectratio="f"/>
                        </v:shape>
                      </v:group>
                      <v:shape id="_x0000_s1026" o:spid="_x0000_s1026" o:spt="202" type="#_x0000_t202" style="position:absolute;left:5150;top:297682;height:454;width:609;"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20</w:t>
                              </w:r>
                            </w:p>
                          </w:txbxContent>
                        </v:textbox>
                      </v:shape>
                      <v:line id="_x0000_s1026" o:spid="_x0000_s1026" o:spt="20" style="position:absolute;left:4916;top:298028;height:1;width:1031;" filled="f" stroked="t" coordsize="21600,21600" o:gfxdata="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Vhx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5924;top:297815;height:437;width:1239;" fillcolor="#FFFFFF [3201]" filled="t" stroked="t" coordsize="21600,21600" o:gfxdata="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rBkS8AAAA&#10;3AAAAA8AAAAAAAAAAQAgAAAAIgAAAGRycy9kb3ducmV2LnhtbFBLAQIUABQAAAAIAIdO4kAzLwWe&#10;OwAAADkAAAAQAAAAAAAAAAEAIAAAAAsBAABkcnMvc2hhcGV4bWwueG1sUEsFBgAAAAAGAAYAWwEA&#10;ALUDAAAAAA==&#10;">
                        <v:fill on="t" focussize="0,0"/>
                        <v:stroke color="#000000 [3204]" joinstyle="round"/>
                        <v:imagedata o:title=""/>
                        <o:lock v:ext="edit" aspectratio="f"/>
                        <v:textbox>
                          <w:txbxContent>
                            <w:p>
                              <w:pPr>
                                <w:rPr>
                                  <w:rFonts w:hint="eastAsia" w:eastAsia="宋体"/>
                                  <w:lang w:eastAsia="zh-CN"/>
                                </w:rPr>
                              </w:pPr>
                              <w:r>
                                <w:rPr>
                                  <w:rFonts w:hint="eastAsia"/>
                                  <w:lang w:eastAsia="zh-CN"/>
                                </w:rPr>
                                <w:t>单井洗井</w:t>
                              </w:r>
                            </w:p>
                          </w:txbxContent>
                        </v:textbox>
                      </v:shape>
                      <v:line id="_x0000_s1026" o:spid="_x0000_s1026" o:spt="20" style="position:absolute;left:7156;top:298030;height:1;width:1031;" filled="f" stroked="t" coordsize="21600,21600" o:gfxdata="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2Od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100" style="position:absolute;left:6509;top:297618;height:150;width:340;rotation:-1570406f;" filled="f" stroked="t" coordsize="360,156" o:gfxdata="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uuC7sAAADc&#10;AAAADwAAAAAAAAABACAAAAAiAAAAZHJzL2Rvd25yZXYueG1sUEsBAhQAFAAAAAgAh07iQDMvBZ47&#10;AAAAOQAAABAAAAAAAAAAAQAgAAAACgEAAGRycy9zaGFwZXhtbC54bWxQSwUGAAAAAAYABgBbAQAA&#10;tAMAAAAA&#10;" path="m0,156c75,78,150,0,180,0c210,0,150,156,180,156c210,156,330,26,360,0e">
                        <v:path o:connectlocs="0,60483750;68548250,0;68548250,60483750;137096500,0" o:connectangles="0,0,0,0"/>
                        <v:fill on="f" focussize="0,0"/>
                        <v:stroke color="#000000" joinstyle="round" endarrow="block"/>
                        <v:imagedata o:title=""/>
                        <o:lock v:ext="edit" aspectratio="f"/>
                      </v:shape>
                      <v:shape id="_x0000_s1026" o:spid="_x0000_s1026" o:spt="202" type="#_x0000_t202" style="position:absolute;left:6715;top:297472;height:454;width:609;"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仿宋_GB2312" w:eastAsia="仿宋_GB2312"/>
                                  <w:sz w:val="24"/>
                                  <w:lang w:val="en-US" w:eastAsia="zh-CN"/>
                                </w:rPr>
                              </w:pPr>
                              <w:r>
                                <w:rPr>
                                  <w:rFonts w:hint="eastAsia" w:ascii="Times New Roman" w:hAnsi="Times New Roman" w:eastAsia="仿宋_GB2312" w:cs="Times New Roman"/>
                                  <w:sz w:val="21"/>
                                  <w:szCs w:val="21"/>
                                  <w:lang w:val="en-US" w:eastAsia="zh-CN"/>
                                </w:rPr>
                                <w:t>10</w:t>
                              </w:r>
                            </w:p>
                          </w:txbxContent>
                        </v:textbox>
                      </v:shape>
                      <v:shape id="_x0000_s1026" o:spid="_x0000_s1026" o:spt="202" type="#_x0000_t202" style="position:absolute;left:7427;top:297722;height:454;width:609;"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w:t>
                              </w:r>
                            </w:p>
                          </w:txbxContent>
                        </v:textbox>
                      </v:shape>
                      <v:line id="_x0000_s1026" o:spid="_x0000_s1026" o:spt="20" style="position:absolute;left:8165;top:296291;flip:x y;height:1725;width:10;" filled="f" stroked="t" coordsize="21600,21600" o:gfxdata="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dgKi/&#10;AAAA3AAAAA8AAAAAAAAAAQAgAAAAIgAAAGRycy9kb3ducmV2LnhtbFBLAQIUABQAAAAIAIdO4kAz&#10;LwWeOwAAADkAAAAQAAAAAAAAAAEAIAAAAA4BAABkcnMvc2hhcGV4bWwueG1sUEsFBgAAAAAGAAYA&#10;WwEAALgDAAAAAA==&#10;">
                        <v:fill on="f" focussize="0,0"/>
                        <v:stroke weight="1pt" color="#000000 [3213]" joinstyle="round"/>
                        <v:imagedata o:title=""/>
                        <o:lock v:ext="edit" aspectratio="f"/>
                      </v:line>
                      <v:line id="_x0000_s1026" o:spid="_x0000_s1026" o:spt="20" style="position:absolute;left:6765;top:296287;height:0;width:1399;" filled="f" stroked="t" coordsize="21600,21600" o:gfxdata="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ZEMcugAAANwA&#10;AAAPAAAAAAAAAAEAIAAAACIAAABkcnMvZG93bnJldi54bWxQSwECFAAUAAAACACHTuJAMy8FnjsA&#10;AAA5AAAAEAAAAAAAAAABACAAAAAJAQAAZHJzL3NoYXBleG1sLnhtbFBLBQYAAAAABgAGAFsBAACz&#10;AwAAAAA=&#10;">
                        <v:fill on="f" focussize="0,0"/>
                        <v:stroke weight="1pt" color="#000000" joinstyle="round" startarrow="block" startarrowwidth="narrow" startarrowlength="long"/>
                        <v:imagedata o:title=""/>
                        <o:lock v:ext="edit" aspectratio="f"/>
                      </v:line>
                    </v:group>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746752" behindDoc="0" locked="0" layoutInCell="1" allowOverlap="1">
                      <wp:simplePos x="0" y="0"/>
                      <wp:positionH relativeFrom="column">
                        <wp:posOffset>2011680</wp:posOffset>
                      </wp:positionH>
                      <wp:positionV relativeFrom="paragraph">
                        <wp:posOffset>60960</wp:posOffset>
                      </wp:positionV>
                      <wp:extent cx="489585" cy="27686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489585" cy="276860"/>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10.54</w:t>
                                  </w:r>
                                </w:p>
                              </w:txbxContent>
                            </wps:txbx>
                            <wps:bodyPr lIns="0" tIns="0" rIns="0" bIns="0" upright="1"/>
                          </wps:wsp>
                        </a:graphicData>
                      </a:graphic>
                    </wp:anchor>
                  </w:drawing>
                </mc:Choice>
                <mc:Fallback>
                  <w:pict>
                    <v:shape id="_x0000_s1026" o:spid="_x0000_s1026" o:spt="202" type="#_x0000_t202" style="position:absolute;left:0pt;margin-left:158.4pt;margin-top:4.8pt;height:21.8pt;width:38.55pt;z-index:252746752;mso-width-relative:page;mso-height-relative:page;" filled="f" stroked="f" coordsize="21600,21600" o:gfxdata="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w6QDzXAAAACAEA&#10;AA8AAAAAAAAAAQAgAAAAIgAAAGRycy9kb3ducmV2LnhtbFBLAQIUABQAAAAIAIdO4kBOqTX4qQEA&#10;ADADAAAOAAAAAAAAAAEAIAAAACYBAABkcnMvZTJvRG9jLnhtbFBLBQYAAAAABgAGAFkBAABBBQAA&#10;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10.54</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745728" behindDoc="0" locked="0" layoutInCell="1" allowOverlap="1">
                      <wp:simplePos x="0" y="0"/>
                      <wp:positionH relativeFrom="column">
                        <wp:posOffset>2451735</wp:posOffset>
                      </wp:positionH>
                      <wp:positionV relativeFrom="paragraph">
                        <wp:posOffset>62865</wp:posOffset>
                      </wp:positionV>
                      <wp:extent cx="3175" cy="215900"/>
                      <wp:effectExtent l="24130" t="0" r="29845" b="12700"/>
                      <wp:wrapNone/>
                      <wp:docPr id="115" name="直接连接符 115"/>
                      <wp:cNvGraphicFramePr/>
                      <a:graphic xmlns:a="http://schemas.openxmlformats.org/drawingml/2006/main">
                        <a:graphicData uri="http://schemas.microsoft.com/office/word/2010/wordprocessingShape">
                          <wps:wsp>
                            <wps:cNvCnPr/>
                            <wps:spPr>
                              <a:xfrm flipV="1">
                                <a:off x="0" y="0"/>
                                <a:ext cx="3175" cy="215900"/>
                              </a:xfrm>
                              <a:prstGeom prst="line">
                                <a:avLst/>
                              </a:prstGeom>
                              <a:ln w="12700" cap="flat" cmpd="sng">
                                <a:solidFill>
                                  <a:srgbClr val="000000"/>
                                </a:solidFill>
                                <a:prstDash val="solid"/>
                                <a:headEnd type="none" w="sm" len="lg"/>
                                <a:tailEnd type="triangle" w="sm" len="lg"/>
                              </a:ln>
                            </wps:spPr>
                            <wps:bodyPr upright="1"/>
                          </wps:wsp>
                        </a:graphicData>
                      </a:graphic>
                    </wp:anchor>
                  </w:drawing>
                </mc:Choice>
                <mc:Fallback>
                  <w:pict>
                    <v:line id="_x0000_s1026" o:spid="_x0000_s1026" o:spt="20" style="position:absolute;left:0pt;flip:y;margin-left:193.05pt;margin-top:4.95pt;height:17pt;width:0.25pt;z-index:252745728;mso-width-relative:page;mso-height-relative:page;" filled="f" stroked="t" coordsize="21600,21600" o:gfxdata="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I85I0&#10;1QAAAAgBAAAPAAAAAAAAAAEAIAAAACIAAABkcnMvZG93bnJldi54bWxQSwECFAAUAAAACACHTuJA&#10;IWUTBusBAACnAwAADgAAAAAAAAABACAAAAAkAQAAZHJzL2Uyb0RvYy54bWxQSwUGAAAAAAYABgBZ&#10;AQAAgQUAAAAA&#10;">
                      <v:fill on="f" focussize="0,0"/>
                      <v:stroke weight="1pt" color="#000000" joinstyle="round" startarrowwidth="narrow" startarrowlength="long" endarrow="block" endarrowwidth="narrow" endarrowlength="long"/>
                      <v:imagedata o:title=""/>
                      <o:lock v:ext="edit" aspectratio="f"/>
                    </v:lin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2542976" behindDoc="0" locked="0" layoutInCell="1" allowOverlap="1">
                      <wp:simplePos x="0" y="0"/>
                      <wp:positionH relativeFrom="column">
                        <wp:posOffset>537845</wp:posOffset>
                      </wp:positionH>
                      <wp:positionV relativeFrom="paragraph">
                        <wp:posOffset>19050</wp:posOffset>
                      </wp:positionV>
                      <wp:extent cx="4202430" cy="1513205"/>
                      <wp:effectExtent l="6350" t="0" r="1270" b="0"/>
                      <wp:wrapNone/>
                      <wp:docPr id="33" name="组合 33"/>
                      <wp:cNvGraphicFramePr/>
                      <a:graphic xmlns:a="http://schemas.openxmlformats.org/drawingml/2006/main">
                        <a:graphicData uri="http://schemas.microsoft.com/office/word/2010/wordprocessingGroup">
                          <wpg:wgp>
                            <wpg:cNvGrpSpPr/>
                            <wpg:grpSpPr>
                              <a:xfrm>
                                <a:off x="0" y="0"/>
                                <a:ext cx="4202430" cy="1513205"/>
                                <a:chOff x="4841" y="299694"/>
                                <a:chExt cx="6618" cy="2383"/>
                              </a:xfrm>
                            </wpg:grpSpPr>
                            <wps:wsp>
                              <wps:cNvPr id="130" name="任意多边形 130"/>
                              <wps:cNvSpPr/>
                              <wps:spPr bwMode="auto">
                                <a:xfrm rot="-1437750">
                                  <a:off x="6425" y="30102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83" name="文本框 83"/>
                              <wps:cNvSpPr txBox="1"/>
                              <wps:spPr>
                                <a:xfrm>
                                  <a:off x="4841" y="299887"/>
                                  <a:ext cx="1167" cy="34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lang w:eastAsia="zh-CN"/>
                                      </w:rPr>
                                    </w:pPr>
                                    <w:r>
                                      <w:rPr>
                                        <w:rFonts w:hint="eastAsia" w:ascii="Times New Roman" w:hAnsi="Times New Roman" w:cs="Times New Roman"/>
                                        <w:lang w:eastAsia="zh-CN"/>
                                      </w:rPr>
                                      <w:t>采出水</w:t>
                                    </w:r>
                                  </w:p>
                                </w:txbxContent>
                              </wps:txbx>
                              <wps:bodyPr lIns="0" tIns="0" rIns="0" bIns="0" upright="1"/>
                            </wps:wsp>
                            <wps:wsp>
                              <wps:cNvPr id="84" name="文本框 84"/>
                              <wps:cNvSpPr txBox="1"/>
                              <wps:spPr>
                                <a:xfrm>
                                  <a:off x="7069" y="299897"/>
                                  <a:ext cx="1163" cy="34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lang w:eastAsia="zh-CN"/>
                                      </w:rPr>
                                    </w:pPr>
                                    <w:r>
                                      <w:rPr>
                                        <w:rFonts w:hint="eastAsia" w:ascii="Times New Roman" w:hAnsi="Times New Roman" w:cs="Times New Roman"/>
                                        <w:lang w:eastAsia="zh-CN"/>
                                      </w:rPr>
                                      <w:t>排采水池</w:t>
                                    </w:r>
                                  </w:p>
                                </w:txbxContent>
                              </wps:txbx>
                              <wps:bodyPr lIns="0" tIns="0" rIns="0" bIns="0" upright="1"/>
                            </wps:wsp>
                            <wps:wsp>
                              <wps:cNvPr id="85" name="直接连接符 85"/>
                              <wps:cNvCnPr/>
                              <wps:spPr>
                                <a:xfrm>
                                  <a:off x="6038" y="300064"/>
                                  <a:ext cx="1031" cy="1"/>
                                </a:xfrm>
                                <a:prstGeom prst="line">
                                  <a:avLst/>
                                </a:prstGeom>
                                <a:ln w="12700" cap="flat" cmpd="sng">
                                  <a:solidFill>
                                    <a:srgbClr val="000000"/>
                                  </a:solidFill>
                                  <a:prstDash val="solid"/>
                                  <a:headEnd type="none" w="med" len="med"/>
                                  <a:tailEnd type="triangle" w="sm" len="lg"/>
                                </a:ln>
                              </wps:spPr>
                              <wps:bodyPr upright="1"/>
                            </wps:wsp>
                            <wps:wsp>
                              <wps:cNvPr id="86" name="直接连接符 86"/>
                              <wps:cNvCnPr/>
                              <wps:spPr>
                                <a:xfrm flipV="1">
                                  <a:off x="8232" y="300057"/>
                                  <a:ext cx="1128" cy="14"/>
                                </a:xfrm>
                                <a:prstGeom prst="line">
                                  <a:avLst/>
                                </a:prstGeom>
                                <a:ln w="12700" cap="flat" cmpd="sng">
                                  <a:solidFill>
                                    <a:srgbClr val="000000"/>
                                  </a:solidFill>
                                  <a:prstDash val="solid"/>
                                  <a:headEnd type="none" w="med" len="med"/>
                                  <a:tailEnd type="triangle" w="sm" len="lg"/>
                                </a:ln>
                              </wps:spPr>
                              <wps:bodyPr upright="1"/>
                            </wps:wsp>
                            <wps:wsp>
                              <wps:cNvPr id="87" name="文本框 87"/>
                              <wps:cNvSpPr txBox="1"/>
                              <wps:spPr>
                                <a:xfrm>
                                  <a:off x="6012" y="299694"/>
                                  <a:ext cx="1170" cy="610"/>
                                </a:xfrm>
                                <a:prstGeom prst="rect">
                                  <a:avLst/>
                                </a:prstGeom>
                                <a:noFill/>
                                <a:ln w="9525">
                                  <a:noFill/>
                                </a:ln>
                              </wps:spPr>
                              <wps:txbx>
                                <w:txbxContent>
                                  <w:p>
                                    <w:pPr>
                                      <w:rPr>
                                        <w:rFonts w:hint="eastAsia"/>
                                        <w:kern w:val="0"/>
                                        <w:sz w:val="21"/>
                                        <w:szCs w:val="21"/>
                                      </w:rPr>
                                    </w:pPr>
                                    <w:r>
                                      <w:rPr>
                                        <w:rFonts w:hint="eastAsia"/>
                                        <w:kern w:val="0"/>
                                        <w:sz w:val="21"/>
                                        <w:szCs w:val="21"/>
                                        <w:lang w:val="en-US" w:eastAsia="zh-CN"/>
                                      </w:rPr>
                                      <w:t>20</w:t>
                                    </w:r>
                                    <w:r>
                                      <w:rPr>
                                        <w:rFonts w:hint="eastAsia"/>
                                        <w:kern w:val="0"/>
                                        <w:sz w:val="21"/>
                                        <w:szCs w:val="21"/>
                                      </w:rPr>
                                      <w:t>(最大)</w:t>
                                    </w:r>
                                  </w:p>
                                </w:txbxContent>
                              </wps:txbx>
                              <wps:bodyPr lIns="0" tIns="0" rIns="0" bIns="0" upright="1"/>
                            </wps:wsp>
                            <wps:wsp>
                              <wps:cNvPr id="88" name="文本框 88"/>
                              <wps:cNvSpPr txBox="1"/>
                              <wps:spPr>
                                <a:xfrm>
                                  <a:off x="8254" y="299763"/>
                                  <a:ext cx="1170" cy="618"/>
                                </a:xfrm>
                                <a:prstGeom prst="rect">
                                  <a:avLst/>
                                </a:prstGeom>
                                <a:noFill/>
                                <a:ln w="9525">
                                  <a:noFill/>
                                </a:ln>
                              </wps:spPr>
                              <wps:txbx>
                                <w:txbxContent>
                                  <w:p>
                                    <w:pPr>
                                      <w:rPr>
                                        <w:rFonts w:hint="eastAsia"/>
                                        <w:kern w:val="0"/>
                                        <w:sz w:val="21"/>
                                        <w:szCs w:val="21"/>
                                        <w:lang w:val="en-US" w:eastAsia="zh-CN"/>
                                      </w:rPr>
                                    </w:pPr>
                                    <w:r>
                                      <w:rPr>
                                        <w:rFonts w:hint="eastAsia"/>
                                        <w:kern w:val="0"/>
                                        <w:sz w:val="21"/>
                                        <w:szCs w:val="21"/>
                                        <w:lang w:val="en-US" w:eastAsia="zh-CN"/>
                                      </w:rPr>
                                      <w:t>20(最大)</w:t>
                                    </w:r>
                                  </w:p>
                                </w:txbxContent>
                              </wps:txbx>
                              <wps:bodyPr lIns="0" tIns="0" rIns="0" bIns="0" upright="1"/>
                            </wps:wsp>
                            <wps:wsp>
                              <wps:cNvPr id="89" name="文本框 89"/>
                              <wps:cNvSpPr txBox="1"/>
                              <wps:spPr>
                                <a:xfrm>
                                  <a:off x="9359" y="299873"/>
                                  <a:ext cx="1991" cy="368"/>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lang w:eastAsia="zh-CN"/>
                                      </w:rPr>
                                    </w:pPr>
                                    <w:r>
                                      <w:rPr>
                                        <w:rFonts w:hint="eastAsia" w:ascii="Times New Roman" w:hAnsi="Times New Roman" w:cs="Times New Roman"/>
                                        <w:lang w:eastAsia="zh-CN"/>
                                      </w:rPr>
                                      <w:t>静乐县污水净化中心</w:t>
                                    </w:r>
                                  </w:p>
                                </w:txbxContent>
                              </wps:txbx>
                              <wps:bodyPr lIns="0" tIns="0" rIns="0" bIns="0" upright="1"/>
                            </wps:wsp>
                            <wps:wsp>
                              <wps:cNvPr id="132" name="直接连接符 132"/>
                              <wps:cNvCnPr/>
                              <wps:spPr>
                                <a:xfrm>
                                  <a:off x="4913" y="301416"/>
                                  <a:ext cx="1031" cy="1"/>
                                </a:xfrm>
                                <a:prstGeom prst="line">
                                  <a:avLst/>
                                </a:prstGeom>
                                <a:ln w="12700" cap="flat" cmpd="sng">
                                  <a:solidFill>
                                    <a:srgbClr val="000000"/>
                                  </a:solidFill>
                                  <a:prstDash val="solid"/>
                                  <a:headEnd type="none" w="med" len="med"/>
                                  <a:tailEnd type="triangle" w="sm" len="lg"/>
                                </a:ln>
                              </wps:spPr>
                              <wps:bodyPr upright="1"/>
                            </wps:wsp>
                            <wps:wsp>
                              <wps:cNvPr id="133" name="文本框 133"/>
                              <wps:cNvSpPr txBox="1"/>
                              <wps:spPr>
                                <a:xfrm>
                                  <a:off x="5921" y="301250"/>
                                  <a:ext cx="1163" cy="34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生活用水</w:t>
                                    </w:r>
                                  </w:p>
                                </w:txbxContent>
                              </wps:txbx>
                              <wps:bodyPr lIns="0" tIns="0" rIns="0" bIns="0" upright="1"/>
                            </wps:wsp>
                            <wps:wsp>
                              <wps:cNvPr id="134" name="直接连接符 134"/>
                              <wps:cNvCnPr/>
                              <wps:spPr>
                                <a:xfrm>
                                  <a:off x="7103" y="301381"/>
                                  <a:ext cx="1031" cy="1"/>
                                </a:xfrm>
                                <a:prstGeom prst="line">
                                  <a:avLst/>
                                </a:prstGeom>
                                <a:ln w="12700" cap="flat" cmpd="sng">
                                  <a:solidFill>
                                    <a:srgbClr val="000000"/>
                                  </a:solidFill>
                                  <a:prstDash val="solid"/>
                                  <a:headEnd type="none" w="med" len="med"/>
                                  <a:tailEnd type="triangle" w="sm" len="lg"/>
                                </a:ln>
                              </wps:spPr>
                              <wps:bodyPr upright="1"/>
                            </wps:wsp>
                            <wps:wsp>
                              <wps:cNvPr id="135" name="直接连接符 135"/>
                              <wps:cNvCnPr/>
                              <wps:spPr>
                                <a:xfrm>
                                  <a:off x="9316" y="301393"/>
                                  <a:ext cx="1031" cy="1"/>
                                </a:xfrm>
                                <a:prstGeom prst="line">
                                  <a:avLst/>
                                </a:prstGeom>
                                <a:ln w="12700" cap="flat" cmpd="sng">
                                  <a:solidFill>
                                    <a:srgbClr val="000000"/>
                                  </a:solidFill>
                                  <a:prstDash val="solid"/>
                                  <a:headEnd type="none" w="med" len="med"/>
                                  <a:tailEnd type="triangle" w="sm" len="lg"/>
                                </a:ln>
                              </wps:spPr>
                              <wps:bodyPr upright="1"/>
                            </wps:wsp>
                            <wps:wsp>
                              <wps:cNvPr id="136" name="文本框 136"/>
                              <wps:cNvSpPr txBox="1"/>
                              <wps:spPr>
                                <a:xfrm>
                                  <a:off x="8136" y="301240"/>
                                  <a:ext cx="1163" cy="34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环保旱厕</w:t>
                                    </w:r>
                                  </w:p>
                                </w:txbxContent>
                              </wps:txbx>
                              <wps:bodyPr lIns="0" tIns="0" rIns="0" bIns="0" upright="1"/>
                            </wps:wsp>
                            <wps:wsp>
                              <wps:cNvPr id="137" name="文本框 137"/>
                              <wps:cNvSpPr txBox="1"/>
                              <wps:spPr>
                                <a:xfrm>
                                  <a:off x="10289" y="301209"/>
                                  <a:ext cx="1170" cy="499"/>
                                </a:xfrm>
                                <a:prstGeom prst="rect">
                                  <a:avLst/>
                                </a:prstGeom>
                                <a:noFill/>
                                <a:ln w="9525">
                                  <a:noFill/>
                                </a:ln>
                              </wps:spPr>
                              <wps:txbx>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定期清掏</w:t>
                                    </w:r>
                                  </w:p>
                                </w:txbxContent>
                              </wps:txbx>
                              <wps:bodyPr lIns="0" tIns="0" rIns="0" bIns="0" upright="1"/>
                            </wps:wsp>
                            <wps:wsp>
                              <wps:cNvPr id="138" name="文本框 138"/>
                              <wps:cNvSpPr txBox="1"/>
                              <wps:spPr>
                                <a:xfrm>
                                  <a:off x="4989" y="301085"/>
                                  <a:ext cx="807" cy="610"/>
                                </a:xfrm>
                                <a:prstGeom prst="rect">
                                  <a:avLst/>
                                </a:prstGeom>
                                <a:noFill/>
                                <a:ln w="9525">
                                  <a:noFill/>
                                </a:ln>
                              </wps:spPr>
                              <wps:txbx>
                                <w:txbxContent>
                                  <w:p>
                                    <w:pPr>
                                      <w:rPr>
                                        <w:rFonts w:hint="eastAsia" w:eastAsia="宋体"/>
                                        <w:kern w:val="0"/>
                                        <w:sz w:val="21"/>
                                        <w:szCs w:val="21"/>
                                        <w:lang w:val="en-US" w:eastAsia="zh-CN"/>
                                      </w:rPr>
                                    </w:pPr>
                                    <w:r>
                                      <w:rPr>
                                        <w:rFonts w:hint="eastAsia"/>
                                        <w:kern w:val="0"/>
                                        <w:sz w:val="21"/>
                                        <w:szCs w:val="21"/>
                                        <w:lang w:val="en-US" w:eastAsia="zh-CN"/>
                                      </w:rPr>
                                      <w:t>0.16</w:t>
                                    </w:r>
                                  </w:p>
                                </w:txbxContent>
                              </wps:txbx>
                              <wps:bodyPr lIns="0" tIns="0" rIns="0" bIns="0" upright="1"/>
                            </wps:wsp>
                            <wps:wsp>
                              <wps:cNvPr id="139" name="文本框 139"/>
                              <wps:cNvSpPr txBox="1"/>
                              <wps:spPr>
                                <a:xfrm>
                                  <a:off x="7154" y="301112"/>
                                  <a:ext cx="807" cy="610"/>
                                </a:xfrm>
                                <a:prstGeom prst="rect">
                                  <a:avLst/>
                                </a:prstGeom>
                                <a:noFill/>
                                <a:ln w="9525">
                                  <a:noFill/>
                                </a:ln>
                              </wps:spPr>
                              <wps:txbx>
                                <w:txbxContent>
                                  <w:p>
                                    <w:pPr>
                                      <w:rPr>
                                        <w:rFonts w:hint="eastAsia" w:eastAsia="宋体"/>
                                        <w:kern w:val="0"/>
                                        <w:sz w:val="21"/>
                                        <w:szCs w:val="21"/>
                                        <w:lang w:val="en-US" w:eastAsia="zh-CN"/>
                                      </w:rPr>
                                    </w:pPr>
                                    <w:r>
                                      <w:rPr>
                                        <w:rFonts w:hint="eastAsia"/>
                                        <w:kern w:val="0"/>
                                        <w:sz w:val="21"/>
                                        <w:szCs w:val="21"/>
                                        <w:lang w:val="en-US" w:eastAsia="zh-CN"/>
                                      </w:rPr>
                                      <w:t>0.13</w:t>
                                    </w:r>
                                  </w:p>
                                </w:txbxContent>
                              </wps:txbx>
                              <wps:bodyPr lIns="0" tIns="0" rIns="0" bIns="0" upright="1"/>
                            </wps:wsp>
                            <wps:wsp>
                              <wps:cNvPr id="140" name="文本框 140"/>
                              <wps:cNvSpPr txBox="1"/>
                              <wps:spPr>
                                <a:xfrm>
                                  <a:off x="6704" y="300725"/>
                                  <a:ext cx="807" cy="610"/>
                                </a:xfrm>
                                <a:prstGeom prst="rect">
                                  <a:avLst/>
                                </a:prstGeom>
                                <a:noFill/>
                                <a:ln w="9525">
                                  <a:noFill/>
                                </a:ln>
                              </wps:spPr>
                              <wps:txbx>
                                <w:txbxContent>
                                  <w:p>
                                    <w:pPr>
                                      <w:rPr>
                                        <w:rFonts w:hint="eastAsia" w:eastAsia="宋体"/>
                                        <w:kern w:val="0"/>
                                        <w:sz w:val="21"/>
                                        <w:szCs w:val="21"/>
                                        <w:lang w:val="en-US" w:eastAsia="zh-CN"/>
                                      </w:rPr>
                                    </w:pPr>
                                    <w:r>
                                      <w:rPr>
                                        <w:rFonts w:hint="eastAsia"/>
                                        <w:kern w:val="0"/>
                                        <w:sz w:val="21"/>
                                        <w:szCs w:val="21"/>
                                        <w:lang w:val="en-US" w:eastAsia="zh-CN"/>
                                      </w:rPr>
                                      <w:t>0.03</w:t>
                                    </w:r>
                                  </w:p>
                                </w:txbxContent>
                              </wps:txbx>
                              <wps:bodyPr lIns="0" tIns="0" rIns="0" bIns="0" upright="1"/>
                            </wps:wsp>
                            <wps:wsp>
                              <wps:cNvPr id="141" name="文本框 141"/>
                              <wps:cNvSpPr txBox="1"/>
                              <wps:spPr>
                                <a:xfrm>
                                  <a:off x="9331" y="301014"/>
                                  <a:ext cx="807" cy="610"/>
                                </a:xfrm>
                                <a:prstGeom prst="rect">
                                  <a:avLst/>
                                </a:prstGeom>
                                <a:noFill/>
                                <a:ln w="9525">
                                  <a:noFill/>
                                </a:ln>
                              </wps:spPr>
                              <wps:txbx>
                                <w:txbxContent>
                                  <w:p>
                                    <w:pPr>
                                      <w:rPr>
                                        <w:rFonts w:hint="eastAsia" w:eastAsia="宋体"/>
                                        <w:kern w:val="0"/>
                                        <w:sz w:val="21"/>
                                        <w:szCs w:val="21"/>
                                        <w:lang w:val="en-US" w:eastAsia="zh-CN"/>
                                      </w:rPr>
                                    </w:pPr>
                                    <w:r>
                                      <w:rPr>
                                        <w:rFonts w:hint="eastAsia"/>
                                        <w:kern w:val="0"/>
                                        <w:sz w:val="21"/>
                                        <w:szCs w:val="21"/>
                                        <w:lang w:val="en-US" w:eastAsia="zh-CN"/>
                                      </w:rPr>
                                      <w:t>0.13</w:t>
                                    </w:r>
                                  </w:p>
                                </w:txbxContent>
                              </wps:txbx>
                              <wps:bodyPr lIns="0" tIns="0" rIns="0" bIns="0" upright="1"/>
                            </wps:wsp>
                            <wps:wsp>
                              <wps:cNvPr id="142" name="文本框 142"/>
                              <wps:cNvSpPr txBox="1"/>
                              <wps:spPr>
                                <a:xfrm>
                                  <a:off x="6192" y="301692"/>
                                  <a:ext cx="4157" cy="385"/>
                                </a:xfrm>
                                <a:prstGeom prst="rect">
                                  <a:avLst/>
                                </a:prstGeom>
                                <a:noFill/>
                                <a:ln w="9525">
                                  <a:noFill/>
                                </a:ln>
                              </wps:spPr>
                              <wps:txbx>
                                <w:txbxContent>
                                  <w:p>
                                    <w:pPr>
                                      <w:spacing w:line="26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3  排采期</w:t>
                                    </w:r>
                                    <w:r>
                                      <w:rPr>
                                        <w:rFonts w:hint="eastAsia" w:ascii="宋体" w:hAnsi="宋体" w:eastAsia="宋体" w:cs="宋体"/>
                                        <w:b/>
                                        <w:bCs/>
                                        <w:color w:val="000000"/>
                                        <w:sz w:val="21"/>
                                        <w:szCs w:val="21"/>
                                        <w:lang w:val="en-US" w:eastAsia="zh-CN"/>
                                      </w:rPr>
                                      <w:t>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wps:txbx>
                              <wps:bodyPr lIns="0" tIns="0" rIns="0" bIns="0" upright="1"/>
                            </wps:wsp>
                          </wpg:wgp>
                        </a:graphicData>
                      </a:graphic>
                    </wp:anchor>
                  </w:drawing>
                </mc:Choice>
                <mc:Fallback>
                  <w:pict>
                    <v:group id="_x0000_s1026" o:spid="_x0000_s1026" o:spt="203" style="position:absolute;left:0pt;margin-left:42.35pt;margin-top:1.5pt;height:119.15pt;width:330.9pt;z-index:252542976;mso-width-relative:page;mso-height-relative:page;" coordorigin="4841,299694" coordsize="6618,2383" o:gfxdata="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DrUjyLZAAAACAEAAA8AAAAAAAAA&#10;AQAgAAAAIgAAAGRycy9kb3ducmV2LnhtbFBLAQIUABQAAAAIAIdO4kBwPaxvLwcAANQsAAAOAAAA&#10;AAAAAAEAIAAAACgBAABkcnMvZTJvRG9jLnhtbFBLBQYAAAAABgAGAFkBAADJCgAAAAA=&#10;">
                      <o:lock v:ext="edit" aspectratio="f"/>
                      <v:shape id="_x0000_s1026" o:spid="_x0000_s1026" o:spt="100" style="position:absolute;left:6425;top:301022;height:150;width:340;rotation:-1570406f;" filled="f" stroked="t" coordsize="360,156" o:gfxdata="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wDOr4A&#10;AADcAAAADwAAAAAAAAABACAAAAAiAAAAZHJzL2Rvd25yZXYueG1sUEsBAhQAFAAAAAgAh07iQDMv&#10;BZ47AAAAOQAAABAAAAAAAAAAAQAgAAAADQEAAGRycy9zaGFwZXhtbC54bWxQSwUGAAAAAAYABgBb&#10;AQAAtwMAAAAA&#10;" path="m0,156c75,78,150,0,180,0c210,0,150,156,180,156c210,156,330,26,360,0e">
                        <v:path o:connectlocs="0,60483750;68548250,0;68548250,60483750;137096500,0" o:connectangles="0,0,0,0"/>
                        <v:fill on="f" focussize="0,0"/>
                        <v:stroke color="#000000" joinstyle="round" endarrow="block"/>
                        <v:imagedata o:title=""/>
                        <o:lock v:ext="edit" aspectratio="f"/>
                      </v:shape>
                      <v:shape id="_x0000_s1026" o:spid="_x0000_s1026" o:spt="202" type="#_x0000_t202" style="position:absolute;left:4841;top:299887;height:341;width:1167;" filled="f" stroked="t" coordsize="21600,21600" o:gfxdata="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z0J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jc w:val="center"/>
                                <w:rPr>
                                  <w:rFonts w:hint="eastAsia" w:ascii="Times New Roman" w:hAnsi="Times New Roman" w:cs="Times New Roman"/>
                                  <w:lang w:eastAsia="zh-CN"/>
                                </w:rPr>
                              </w:pPr>
                              <w:r>
                                <w:rPr>
                                  <w:rFonts w:hint="eastAsia" w:ascii="Times New Roman" w:hAnsi="Times New Roman" w:cs="Times New Roman"/>
                                  <w:lang w:eastAsia="zh-CN"/>
                                </w:rPr>
                                <w:t>采出水</w:t>
                              </w:r>
                            </w:p>
                          </w:txbxContent>
                        </v:textbox>
                      </v:shape>
                      <v:shape id="_x0000_s1026" o:spid="_x0000_s1026" o:spt="202" type="#_x0000_t202" style="position:absolute;left:7069;top:299897;height:341;width:1163;" filled="f" stroked="t" coordsize="21600,21600" o:gfxdata="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xqV9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jc w:val="center"/>
                                <w:rPr>
                                  <w:rFonts w:hint="eastAsia" w:ascii="Times New Roman" w:hAnsi="Times New Roman" w:cs="Times New Roman"/>
                                  <w:lang w:eastAsia="zh-CN"/>
                                </w:rPr>
                              </w:pPr>
                              <w:r>
                                <w:rPr>
                                  <w:rFonts w:hint="eastAsia" w:ascii="Times New Roman" w:hAnsi="Times New Roman" w:cs="Times New Roman"/>
                                  <w:lang w:eastAsia="zh-CN"/>
                                </w:rPr>
                                <w:t>排采水池</w:t>
                              </w:r>
                            </w:p>
                          </w:txbxContent>
                        </v:textbox>
                      </v:shape>
                      <v:line id="_x0000_s1026" o:spid="_x0000_s1026" o:spt="20" style="position:absolute;left:6038;top:300064;height:1;width:1031;" filled="f" stroked="t" coordsize="21600,21600" o:gfxdata="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RCbS/&#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line id="_x0000_s1026" o:spid="_x0000_s1026" o:spt="20" style="position:absolute;left:8232;top:300057;flip:y;height:14;width:1128;" filled="f" stroked="t" coordsize="21600,21600" o:gfxdata="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n+R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6012;top:299694;height:610;width:1170;"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kern w:val="0"/>
                                  <w:sz w:val="21"/>
                                  <w:szCs w:val="21"/>
                                </w:rPr>
                              </w:pPr>
                              <w:r>
                                <w:rPr>
                                  <w:rFonts w:hint="eastAsia"/>
                                  <w:kern w:val="0"/>
                                  <w:sz w:val="21"/>
                                  <w:szCs w:val="21"/>
                                  <w:lang w:val="en-US" w:eastAsia="zh-CN"/>
                                </w:rPr>
                                <w:t>20</w:t>
                              </w:r>
                              <w:r>
                                <w:rPr>
                                  <w:rFonts w:hint="eastAsia"/>
                                  <w:kern w:val="0"/>
                                  <w:sz w:val="21"/>
                                  <w:szCs w:val="21"/>
                                </w:rPr>
                                <w:t>(最大)</w:t>
                              </w:r>
                            </w:p>
                          </w:txbxContent>
                        </v:textbox>
                      </v:shape>
                      <v:shape id="_x0000_s1026" o:spid="_x0000_s1026" o:spt="202" type="#_x0000_t202" style="position:absolute;left:8254;top:299763;height:618;width:1170;"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hint="eastAsia"/>
                                  <w:kern w:val="0"/>
                                  <w:sz w:val="21"/>
                                  <w:szCs w:val="21"/>
                                  <w:lang w:val="en-US" w:eastAsia="zh-CN"/>
                                </w:rPr>
                              </w:pPr>
                              <w:r>
                                <w:rPr>
                                  <w:rFonts w:hint="eastAsia"/>
                                  <w:kern w:val="0"/>
                                  <w:sz w:val="21"/>
                                  <w:szCs w:val="21"/>
                                  <w:lang w:val="en-US" w:eastAsia="zh-CN"/>
                                </w:rPr>
                                <w:t>20(最大)</w:t>
                              </w:r>
                            </w:p>
                          </w:txbxContent>
                        </v:textbox>
                      </v:shape>
                      <v:shape id="_x0000_s1026" o:spid="_x0000_s1026" o:spt="202" type="#_x0000_t202" style="position:absolute;left:9359;top:299873;height:368;width:1991;" filled="f" stroked="t" coordsize="21600,21600" o:gfxdata="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cK4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jc w:val="center"/>
                                <w:rPr>
                                  <w:rFonts w:hint="eastAsia" w:ascii="Times New Roman" w:hAnsi="Times New Roman" w:cs="Times New Roman"/>
                                  <w:lang w:eastAsia="zh-CN"/>
                                </w:rPr>
                              </w:pPr>
                              <w:r>
                                <w:rPr>
                                  <w:rFonts w:hint="eastAsia" w:ascii="Times New Roman" w:hAnsi="Times New Roman" w:cs="Times New Roman"/>
                                  <w:lang w:eastAsia="zh-CN"/>
                                </w:rPr>
                                <w:t>静乐县污水净化中心</w:t>
                              </w:r>
                            </w:p>
                          </w:txbxContent>
                        </v:textbox>
                      </v:shape>
                      <v:line id="_x0000_s1026" o:spid="_x0000_s1026" o:spt="20" style="position:absolute;left:4913;top:301416;height:1;width:1031;" filled="f" stroked="t" coordsize="21600,21600" o:gfxdata="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Cri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line>
                      <v:shape id="_x0000_s1026" o:spid="_x0000_s1026" o:spt="202" type="#_x0000_t202" style="position:absolute;left:5921;top:301250;height:341;width:1163;" filled="f" stroked="t" coordsize="21600,21600" o:gfxdata="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dQJ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生活用水</w:t>
                              </w:r>
                            </w:p>
                          </w:txbxContent>
                        </v:textbox>
                      </v:shape>
                      <v:line id="_x0000_s1026" o:spid="_x0000_s1026" o:spt="20" style="position:absolute;left:7103;top:301381;height:1;width:1031;" filled="f" stroked="t" coordsize="21600,21600" o:gfxdata="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E3V7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line id="_x0000_s1026" o:spid="_x0000_s1026" o:spt="20" style="position:absolute;left:9316;top:301393;height:1;width:1031;" filled="f" stroked="t" coordsize="21600,21600" o:gfxdata="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7ZLM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8136;top:301240;height:341;width:1163;" filled="f" stroked="t" coordsize="21600,21600" o:gfxdata="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rjD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inset="0mm,0mm,0mm,0mm">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环保旱厕</w:t>
                              </w:r>
                            </w:p>
                          </w:txbxContent>
                        </v:textbox>
                      </v:shape>
                      <v:shape id="_x0000_s1026" o:spid="_x0000_s1026" o:spt="202" type="#_x0000_t202" style="position:absolute;left:10289;top:301209;height:499;width:1170;"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定期清掏</w:t>
                              </w:r>
                            </w:p>
                          </w:txbxContent>
                        </v:textbox>
                      </v:shape>
                      <v:shape id="_x0000_s1026" o:spid="_x0000_s1026" o:spt="202" type="#_x0000_t202" style="position:absolute;left:4989;top:301085;height:610;width:807;" filled="f" stroked="f" coordsize="21600,21600" o:gfxdata="UEsDBAoAAAAAAIdO4kAAAAAAAAAAAAAAAAAEAAAAZHJzL1BLAwQUAAAACACHTuJAl5qQ2b8AAADc&#10;AAAADwAAAGRycy9kb3ducmV2LnhtbEWPQUvDQBCF74L/YZmCN7tbh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k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eastAsia="宋体"/>
                                  <w:kern w:val="0"/>
                                  <w:sz w:val="21"/>
                                  <w:szCs w:val="21"/>
                                  <w:lang w:val="en-US" w:eastAsia="zh-CN"/>
                                </w:rPr>
                              </w:pPr>
                              <w:r>
                                <w:rPr>
                                  <w:rFonts w:hint="eastAsia"/>
                                  <w:kern w:val="0"/>
                                  <w:sz w:val="21"/>
                                  <w:szCs w:val="21"/>
                                  <w:lang w:val="en-US" w:eastAsia="zh-CN"/>
                                </w:rPr>
                                <w:t>0.16</w:t>
                              </w:r>
                            </w:p>
                          </w:txbxContent>
                        </v:textbox>
                      </v:shape>
                      <v:shape id="_x0000_s1026" o:spid="_x0000_s1026" o:spt="202" type="#_x0000_t202" style="position:absolute;left:7154;top:301112;height:610;width:807;"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eastAsia="宋体"/>
                                  <w:kern w:val="0"/>
                                  <w:sz w:val="21"/>
                                  <w:szCs w:val="21"/>
                                  <w:lang w:val="en-US" w:eastAsia="zh-CN"/>
                                </w:rPr>
                              </w:pPr>
                              <w:r>
                                <w:rPr>
                                  <w:rFonts w:hint="eastAsia"/>
                                  <w:kern w:val="0"/>
                                  <w:sz w:val="21"/>
                                  <w:szCs w:val="21"/>
                                  <w:lang w:val="en-US" w:eastAsia="zh-CN"/>
                                </w:rPr>
                                <w:t>0.13</w:t>
                              </w:r>
                            </w:p>
                          </w:txbxContent>
                        </v:textbox>
                      </v:shape>
                      <v:shape id="_x0000_s1026" o:spid="_x0000_s1026" o:spt="202" type="#_x0000_t202" style="position:absolute;left:6704;top:300725;height:610;width:807;"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eastAsia="宋体"/>
                                  <w:kern w:val="0"/>
                                  <w:sz w:val="21"/>
                                  <w:szCs w:val="21"/>
                                  <w:lang w:val="en-US" w:eastAsia="zh-CN"/>
                                </w:rPr>
                              </w:pPr>
                              <w:r>
                                <w:rPr>
                                  <w:rFonts w:hint="eastAsia"/>
                                  <w:kern w:val="0"/>
                                  <w:sz w:val="21"/>
                                  <w:szCs w:val="21"/>
                                  <w:lang w:val="en-US" w:eastAsia="zh-CN"/>
                                </w:rPr>
                                <w:t>0.03</w:t>
                              </w:r>
                            </w:p>
                          </w:txbxContent>
                        </v:textbox>
                      </v:shape>
                      <v:shape id="_x0000_s1026" o:spid="_x0000_s1026" o:spt="202" type="#_x0000_t202" style="position:absolute;left:9331;top:301014;height:610;width:807;"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eastAsia="宋体"/>
                                  <w:kern w:val="0"/>
                                  <w:sz w:val="21"/>
                                  <w:szCs w:val="21"/>
                                  <w:lang w:val="en-US" w:eastAsia="zh-CN"/>
                                </w:rPr>
                              </w:pPr>
                              <w:r>
                                <w:rPr>
                                  <w:rFonts w:hint="eastAsia"/>
                                  <w:kern w:val="0"/>
                                  <w:sz w:val="21"/>
                                  <w:szCs w:val="21"/>
                                  <w:lang w:val="en-US" w:eastAsia="zh-CN"/>
                                </w:rPr>
                                <w:t>0.13</w:t>
                              </w:r>
                            </w:p>
                          </w:txbxContent>
                        </v:textbox>
                      </v:shape>
                      <v:shape id="_x0000_s1026" o:spid="_x0000_s1026" o:spt="202" type="#_x0000_t202" style="position:absolute;left:6192;top:301692;height:385;width:4157;"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3  排采期</w:t>
                              </w:r>
                              <w:r>
                                <w:rPr>
                                  <w:rFonts w:hint="eastAsia" w:ascii="宋体" w:hAnsi="宋体" w:eastAsia="宋体" w:cs="宋体"/>
                                  <w:b/>
                                  <w:bCs/>
                                  <w:color w:val="000000"/>
                                  <w:sz w:val="21"/>
                                  <w:szCs w:val="21"/>
                                  <w:lang w:val="en-US" w:eastAsia="zh-CN"/>
                                </w:rPr>
                                <w:t>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v:textbox>
                      </v:shape>
                    </v:group>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5"/>
              <w:adjustRightInd w:val="0"/>
              <w:snapToGrid w:val="0"/>
              <w:spacing w:after="0" w:line="440" w:lineRule="exact"/>
              <w:ind w:left="0" w:leftChars="0" w:firstLine="560" w:firstLineChars="200"/>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六、主要经济技术指标</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项目主要经济技术指标见插表1</w:t>
            </w:r>
            <w:r>
              <w:rPr>
                <w:rFonts w:hint="eastAsia" w:cs="Times New Roman"/>
                <w:b w:val="0"/>
                <w:bCs w:val="0"/>
                <w:color w:val="000000" w:themeColor="text1"/>
                <w:spacing w:val="0"/>
                <w:w w:val="100"/>
                <w:position w:val="0"/>
                <w:lang w:val="en-US" w:eastAsia="zh-CN"/>
                <w14:textFill>
                  <w14:solidFill>
                    <w14:schemeClr w14:val="tx1"/>
                  </w14:solidFill>
                </w14:textFill>
              </w:rPr>
              <w:t>1</w:t>
            </w: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插表1</w:t>
            </w:r>
            <w:r>
              <w:rPr>
                <w:rFonts w:hint="eastAsia" w:cs="Times New Roman" w:eastAsiaTheme="minorEastAsia"/>
                <w:b/>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项目主要经济技术指标一览表</w:t>
            </w:r>
          </w:p>
          <w:tbl>
            <w:tblPr>
              <w:tblStyle w:val="44"/>
              <w:tblW w:w="8814"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46"/>
              <w:gridCol w:w="635"/>
              <w:gridCol w:w="31"/>
              <w:gridCol w:w="1827"/>
              <w:gridCol w:w="1431"/>
              <w:gridCol w:w="1775"/>
              <w:gridCol w:w="226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49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指标名称</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指标</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49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勘查面积</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2-3</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49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勘查井数量</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口</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直井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635"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工期</w:t>
                  </w:r>
                </w:p>
              </w:tc>
              <w:tc>
                <w:tcPr>
                  <w:tcW w:w="1858" w:type="dxa"/>
                  <w:gridSpan w:val="2"/>
                  <w:tcBorders>
                    <w:left w:val="single" w:color="auto"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38</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35" w:type="dxa"/>
                  <w:vMerge w:val="continue"/>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858" w:type="dxa"/>
                  <w:gridSpan w:val="2"/>
                  <w:tcBorders>
                    <w:left w:val="single" w:color="auto"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排采期</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49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勘查周期</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666" w:type="dxa"/>
                  <w:gridSpan w:val="2"/>
                  <w:vMerge w:val="restart"/>
                  <w:tcBorders>
                    <w:righ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工作制度</w:t>
                  </w:r>
                </w:p>
              </w:tc>
              <w:tc>
                <w:tcPr>
                  <w:tcW w:w="1827" w:type="dxa"/>
                  <w:tcBorders>
                    <w:lef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日工作班数</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班/日</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66" w:type="dxa"/>
                  <w:gridSpan w:val="2"/>
                  <w:vMerge w:val="continue"/>
                  <w:tcBorders>
                    <w:righ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827" w:type="dxa"/>
                  <w:tcBorders>
                    <w:lef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班工作时数</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时/班</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666" w:type="dxa"/>
                  <w:gridSpan w:val="2"/>
                  <w:vMerge w:val="restart"/>
                  <w:tcBorders>
                    <w:righ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能耗</w:t>
                  </w:r>
                </w:p>
              </w:tc>
              <w:tc>
                <w:tcPr>
                  <w:tcW w:w="1827" w:type="dxa"/>
                  <w:tcBorders>
                    <w:lef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120</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r>
                    <w:rPr>
                      <w:rFonts w:hint="eastAsia" w:cs="Times New Roman"/>
                      <w:color w:val="000000" w:themeColor="text1"/>
                      <w:sz w:val="2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66" w:type="dxa"/>
                  <w:gridSpan w:val="2"/>
                  <w:vMerge w:val="continue"/>
                  <w:tcBorders>
                    <w:righ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827" w:type="dxa"/>
                  <w:tcBorders>
                    <w:lef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b w:val="0"/>
                      <w:bCs w:val="0"/>
                      <w:color w:val="000000" w:themeColor="text1"/>
                      <w:spacing w:val="-4"/>
                      <w:w w:val="100"/>
                      <w:sz w:val="21"/>
                      <w:szCs w:val="21"/>
                      <w:lang w:val="en-US" w:eastAsia="zh-CN"/>
                      <w14:textFill>
                        <w14:solidFill>
                          <w14:schemeClr w14:val="tx1"/>
                        </w14:solidFill>
                      </w14:textFill>
                    </w:rPr>
                    <w:t>548</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249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工程总投资</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万元</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00</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249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占地面积</w:t>
                  </w:r>
                </w:p>
              </w:tc>
              <w:tc>
                <w:tcPr>
                  <w:tcW w:w="14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1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pacing w:val="6"/>
                      <w:kern w:val="0"/>
                      <w:sz w:val="21"/>
                      <w:szCs w:val="21"/>
                      <w:lang w:eastAsia="zh-CN"/>
                      <w14:textFill>
                        <w14:solidFill>
                          <w14:schemeClr w14:val="tx1"/>
                        </w14:solidFill>
                      </w14:textFill>
                    </w:rPr>
                    <w:t>8000</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adjustRightInd w:val="0"/>
              <w:snapToGrid w:val="0"/>
              <w:spacing w:line="300" w:lineRule="auto"/>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92" w:hRule="atLeast"/>
          <w:jc w:val="center"/>
        </w:trPr>
        <w:tc>
          <w:tcPr>
            <w:tcW w:w="9060" w:type="dxa"/>
            <w:gridSpan w:val="10"/>
          </w:tcPr>
          <w:p>
            <w:pPr>
              <w:rPr>
                <w:rFonts w:hint="default" w:ascii="Times New Roman" w:hAnsi="Times New Roman" w:eastAsia="黑体" w:cs="Times New Roman"/>
                <w:b/>
                <w:color w:val="000000" w:themeColor="text1"/>
                <w:sz w:val="28"/>
                <w14:textFill>
                  <w14:solidFill>
                    <w14:schemeClr w14:val="tx1"/>
                  </w14:solidFill>
                </w14:textFill>
              </w:rPr>
            </w:pPr>
            <w:r>
              <w:rPr>
                <w:rFonts w:hint="default" w:ascii="Times New Roman" w:hAnsi="Times New Roman" w:eastAsia="黑体" w:cs="Times New Roman"/>
                <w:b/>
                <w:color w:val="000000" w:themeColor="text1"/>
                <w:sz w:val="28"/>
                <w14:textFill>
                  <w14:solidFill>
                    <w14:schemeClr w14:val="tx1"/>
                  </w14:solidFill>
                </w14:textFill>
              </w:rPr>
              <w:t>与本项目有关的原有污染情况及主要环境问题：</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本项目属于新建项目，井场所在位置周围均属于山谷、山坡地等，</w:t>
            </w:r>
            <w:r>
              <w:rPr>
                <w:rFonts w:hint="default" w:ascii="Times New Roman" w:hAnsi="Times New Roman" w:cs="Times New Roman"/>
                <w:color w:val="000000" w:themeColor="text1"/>
                <w:sz w:val="24"/>
                <w:szCs w:val="24"/>
                <w:lang w:eastAsia="zh-CN"/>
                <w14:textFill>
                  <w14:solidFill>
                    <w14:schemeClr w14:val="tx1"/>
                  </w14:solidFill>
                </w14:textFill>
              </w:rPr>
              <w:t>项目占地</w:t>
            </w:r>
            <w:r>
              <w:rPr>
                <w:rFonts w:hint="default" w:ascii="Times New Roman" w:hAnsi="Times New Roman" w:cs="Times New Roman"/>
                <w:color w:val="000000" w:themeColor="text1"/>
                <w:sz w:val="24"/>
                <w:szCs w:val="24"/>
                <w:lang w:val="en-US" w:eastAsia="zh-CN"/>
                <w14:textFill>
                  <w14:solidFill>
                    <w14:schemeClr w14:val="tx1"/>
                  </w14:solidFill>
                </w14:textFill>
              </w:rPr>
              <w:t>8000m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14:textFill>
                  <w14:solidFill>
                    <w14:schemeClr w14:val="tx1"/>
                  </w14:solidFill>
                </w14:textFill>
              </w:rPr>
              <w:t>全</w:t>
            </w:r>
            <w:r>
              <w:rPr>
                <w:rFonts w:hint="default" w:ascii="Times New Roman" w:hAnsi="Times New Roman" w:cs="Times New Roman"/>
                <w:color w:val="000000" w:themeColor="text1"/>
                <w:sz w:val="24"/>
                <w:szCs w:val="24"/>
                <w14:textFill>
                  <w14:solidFill>
                    <w14:schemeClr w14:val="tx1"/>
                  </w14:solidFill>
                </w14:textFill>
              </w:rPr>
              <w:t>部为静</w:t>
            </w:r>
            <w:r>
              <w:rPr>
                <w:rFonts w:hint="default" w:ascii="Times New Roman" w:hAnsi="Times New Roman" w:cs="Times New Roman"/>
                <w:color w:val="000000" w:themeColor="text1"/>
                <w:spacing w:val="-3"/>
                <w:sz w:val="24"/>
                <w:szCs w:val="24"/>
                <w14:textFill>
                  <w14:solidFill>
                    <w14:schemeClr w14:val="tx1"/>
                  </w14:solidFill>
                </w14:textFill>
              </w:rPr>
              <w:t>乐</w:t>
            </w:r>
            <w:r>
              <w:rPr>
                <w:rFonts w:hint="default" w:ascii="Times New Roman" w:hAnsi="Times New Roman" w:cs="Times New Roman"/>
                <w:color w:val="000000" w:themeColor="text1"/>
                <w:sz w:val="24"/>
                <w:szCs w:val="24"/>
                <w14:textFill>
                  <w14:solidFill>
                    <w14:schemeClr w14:val="tx1"/>
                  </w14:solidFill>
                </w14:textFill>
              </w:rPr>
              <w:t>县王</w:t>
            </w:r>
            <w:r>
              <w:rPr>
                <w:rFonts w:hint="default" w:ascii="Times New Roman" w:hAnsi="Times New Roman" w:cs="Times New Roman"/>
                <w:color w:val="000000" w:themeColor="text1"/>
                <w:spacing w:val="-3"/>
                <w:sz w:val="24"/>
                <w:szCs w:val="24"/>
                <w14:textFill>
                  <w14:solidFill>
                    <w14:schemeClr w14:val="tx1"/>
                  </w14:solidFill>
                </w14:textFill>
              </w:rPr>
              <w:t>村乡</w:t>
            </w:r>
            <w:r>
              <w:rPr>
                <w:rFonts w:hint="default" w:ascii="Times New Roman" w:hAnsi="Times New Roman" w:cs="Times New Roman"/>
                <w:color w:val="000000" w:themeColor="text1"/>
                <w:sz w:val="24"/>
                <w:szCs w:val="24"/>
                <w14:textFill>
                  <w14:solidFill>
                    <w14:schemeClr w14:val="tx1"/>
                  </w14:solidFill>
                </w14:textFill>
              </w:rPr>
              <w:t>王村集</w:t>
            </w:r>
            <w:r>
              <w:rPr>
                <w:rFonts w:hint="default" w:ascii="Times New Roman" w:hAnsi="Times New Roman" w:cs="Times New Roman"/>
                <w:color w:val="000000" w:themeColor="text1"/>
                <w:spacing w:val="-3"/>
                <w:sz w:val="24"/>
                <w:szCs w:val="24"/>
                <w14:textFill>
                  <w14:solidFill>
                    <w14:schemeClr w14:val="tx1"/>
                  </w14:solidFill>
                </w14:textFill>
              </w:rPr>
              <w:t>体</w:t>
            </w:r>
            <w:r>
              <w:rPr>
                <w:rFonts w:hint="default" w:ascii="Times New Roman" w:hAnsi="Times New Roman" w:cs="Times New Roman"/>
                <w:color w:val="000000" w:themeColor="text1"/>
                <w:sz w:val="24"/>
                <w:szCs w:val="24"/>
                <w14:textFill>
                  <w14:solidFill>
                    <w14:schemeClr w14:val="tx1"/>
                  </w14:solidFill>
                </w14:textFill>
              </w:rPr>
              <w:t>林</w:t>
            </w:r>
            <w:r>
              <w:rPr>
                <w:rFonts w:hint="default" w:ascii="Times New Roman" w:hAnsi="Times New Roman" w:cs="Times New Roman"/>
                <w:color w:val="000000" w:themeColor="text1"/>
                <w:spacing w:val="-3"/>
                <w:sz w:val="24"/>
                <w:szCs w:val="24"/>
                <w14:textFill>
                  <w14:solidFill>
                    <w14:schemeClr w14:val="tx1"/>
                  </w14:solidFill>
                </w14:textFill>
              </w:rPr>
              <w:t>地</w:t>
            </w:r>
            <w:r>
              <w:rPr>
                <w:rFonts w:hint="default" w:ascii="Times New Roman" w:hAnsi="Times New Roman" w:cs="Times New Roman"/>
                <w:color w:val="000000" w:themeColor="text1"/>
                <w:spacing w:val="-3"/>
                <w:sz w:val="24"/>
                <w:szCs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占地类型为</w:t>
            </w:r>
            <w:r>
              <w:rPr>
                <w:rFonts w:hint="default" w:ascii="Times New Roman" w:hAnsi="Times New Roman" w:cs="Times New Roman"/>
                <w:color w:val="000000" w:themeColor="text1"/>
                <w:sz w:val="24"/>
                <w:lang w:eastAsia="zh-CN"/>
                <w14:textFill>
                  <w14:solidFill>
                    <w14:schemeClr w14:val="tx1"/>
                  </w14:solidFill>
                </w14:textFill>
              </w:rPr>
              <w:t>林地中的一般灌木林地</w:t>
            </w:r>
            <w:r>
              <w:rPr>
                <w:rFonts w:hint="default" w:ascii="Times New Roman" w:hAnsi="Times New Roman" w:cs="Times New Roman"/>
                <w:color w:val="000000" w:themeColor="text1"/>
                <w:sz w:val="24"/>
                <w14:textFill>
                  <w14:solidFill>
                    <w14:schemeClr w14:val="tx1"/>
                  </w14:solidFill>
                </w14:textFill>
              </w:rPr>
              <w:t>，不存在与项目有关的原有污染情况及主要环境问题。</w:t>
            </w:r>
          </w:p>
          <w:p>
            <w:pPr>
              <w:pStyle w:val="2"/>
              <w:rPr>
                <w:rFonts w:hint="default" w:ascii="Times New Roman" w:hAnsi="Times New Roman" w:cs="Times New Roman"/>
                <w:color w:val="000000" w:themeColor="text1"/>
                <w:sz w:val="24"/>
                <w14:textFill>
                  <w14:solidFill>
                    <w14:schemeClr w14:val="tx1"/>
                  </w14:solidFill>
                </w14:textFill>
              </w:rPr>
            </w:pPr>
          </w:p>
          <w:p>
            <w:pPr>
              <w:rPr>
                <w:rFonts w:hint="default" w:ascii="Times New Roman" w:hAnsi="Times New Roman" w:cs="Times New Roman"/>
                <w:color w:val="000000" w:themeColor="text1"/>
                <w:sz w:val="24"/>
                <w14:textFill>
                  <w14:solidFill>
                    <w14:schemeClr w14:val="tx1"/>
                  </w14:solidFill>
                </w14:textFill>
              </w:rPr>
            </w:pPr>
          </w:p>
          <w:p>
            <w:pPr>
              <w:pStyle w:val="2"/>
              <w:rPr>
                <w:rFonts w:hint="default" w:ascii="Times New Roman" w:hAnsi="Times New Roman" w:cs="Times New Roman"/>
                <w:color w:val="000000" w:themeColor="text1"/>
                <w:sz w:val="24"/>
                <w14:textFill>
                  <w14:solidFill>
                    <w14:schemeClr w14:val="tx1"/>
                  </w14:solidFill>
                </w14:textFill>
              </w:rPr>
            </w:pPr>
          </w:p>
          <w:p>
            <w:pPr>
              <w:rPr>
                <w:rFonts w:hint="default" w:ascii="Times New Roman" w:hAnsi="Times New Roman" w:cs="Times New Roman"/>
                <w:color w:val="000000" w:themeColor="text1"/>
                <w:sz w:val="24"/>
                <w14:textFill>
                  <w14:solidFill>
                    <w14:schemeClr w14:val="tx1"/>
                  </w14:solidFill>
                </w14:textFill>
              </w:rPr>
            </w:pPr>
          </w:p>
          <w:p>
            <w:pPr>
              <w:pStyle w:val="2"/>
              <w:rPr>
                <w:rFonts w:hint="default" w:ascii="Times New Roman" w:hAnsi="Times New Roman" w:cs="Times New Roman"/>
                <w:color w:val="000000" w:themeColor="text1"/>
                <w:sz w:val="24"/>
                <w14:textFill>
                  <w14:solidFill>
                    <w14:schemeClr w14:val="tx1"/>
                  </w14:solidFill>
                </w14:textFill>
              </w:rPr>
            </w:pPr>
          </w:p>
          <w:p>
            <w:pPr>
              <w:rPr>
                <w:rFonts w:hint="default" w:ascii="Times New Roman" w:hAnsi="Times New Roman" w:cs="Times New Roman"/>
                <w:color w:val="000000" w:themeColor="text1"/>
                <w:sz w:val="24"/>
                <w14:textFill>
                  <w14:solidFill>
                    <w14:schemeClr w14:val="tx1"/>
                  </w14:solidFill>
                </w14:textFill>
              </w:rPr>
            </w:pPr>
          </w:p>
          <w:p>
            <w:pPr>
              <w:pStyle w:val="2"/>
              <w:rPr>
                <w:rFonts w:hint="default" w:ascii="Times New Roman" w:hAnsi="Times New Roman" w:cs="Times New Roman"/>
                <w:color w:val="000000" w:themeColor="text1"/>
                <w:sz w:val="24"/>
                <w14:textFill>
                  <w14:solidFill>
                    <w14:schemeClr w14:val="tx1"/>
                  </w14:solidFill>
                </w14:textFill>
              </w:rPr>
            </w:pPr>
          </w:p>
          <w:p>
            <w:pPr>
              <w:rPr>
                <w:rFonts w:hint="default" w:ascii="Times New Roman" w:hAnsi="Times New Roman" w:cs="Times New Roman"/>
                <w:color w:val="000000" w:themeColor="text1"/>
                <w:sz w:val="24"/>
                <w14:textFill>
                  <w14:solidFill>
                    <w14:schemeClr w14:val="tx1"/>
                  </w14:solidFill>
                </w14:textFill>
              </w:rPr>
            </w:pPr>
          </w:p>
          <w:p>
            <w:pPr>
              <w:adjustRightInd w:val="0"/>
              <w:snapToGrid w:val="0"/>
              <w:spacing w:line="300" w:lineRule="auto"/>
              <w:outlineLvl w:val="2"/>
              <w:rPr>
                <w:rFonts w:hint="default" w:ascii="Times New Roman" w:hAnsi="Times New Roman" w:cs="Times New Roman" w:eastAsiaTheme="minorEastAsia"/>
                <w:b/>
                <w:bCs/>
                <w:color w:val="000000" w:themeColor="text1"/>
                <w:sz w:val="30"/>
                <w:szCs w:val="30"/>
                <w14:textFill>
                  <w14:solidFill>
                    <w14:schemeClr w14:val="tx1"/>
                  </w14:solidFill>
                </w14:textFill>
              </w:rPr>
            </w:pPr>
          </w:p>
        </w:tc>
      </w:tr>
    </w:tbl>
    <w:p>
      <w:pPr>
        <w:rPr>
          <w:rFonts w:hint="default" w:ascii="Times New Roman" w:hAnsi="Times New Roman" w:cs="Times New Roman"/>
          <w:color w:val="000000" w:themeColor="text1"/>
          <w14:textFill>
            <w14:solidFill>
              <w14:schemeClr w14:val="tx1"/>
            </w14:solidFill>
          </w14:textFill>
        </w:rPr>
        <w:sectPr>
          <w:headerReference r:id="rId10" w:type="default"/>
          <w:footerReference r:id="rId11"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 w:name="_Toc18185"/>
      <w:r>
        <w:rPr>
          <w:rFonts w:hint="default" w:ascii="Times New Roman" w:hAnsi="Times New Roman" w:cs="Times New Roman"/>
          <w:color w:val="000000" w:themeColor="text1"/>
          <w14:textFill>
            <w14:solidFill>
              <w14:schemeClr w14:val="tx1"/>
            </w14:solidFill>
          </w14:textFill>
        </w:rPr>
        <w:t>建设项目所在地自然环境简况</w:t>
      </w:r>
      <w:bookmarkEnd w:id="1"/>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14" w:hRule="atLeast"/>
          <w:jc w:val="center"/>
        </w:trPr>
        <w:tc>
          <w:tcPr>
            <w:tcW w:w="9040" w:type="dxa"/>
            <w:tcBorders>
              <w:top w:val="single" w:color="auto" w:sz="12" w:space="0"/>
              <w:bottom w:val="single" w:color="auto" w:sz="12" w:space="0"/>
            </w:tcBorders>
          </w:tcPr>
          <w:p>
            <w:pPr>
              <w:pStyle w:val="22"/>
              <w:adjustRightInd w:val="0"/>
              <w:snapToGrid w:val="0"/>
              <w:spacing w:line="300" w:lineRule="auto"/>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自然环境简况（地形、地貌、地质、气候、气象、水文、植被、生物多样性等）</w:t>
            </w:r>
          </w:p>
          <w:p>
            <w:pPr>
              <w:pStyle w:val="180"/>
              <w:tabs>
                <w:tab w:val="left" w:pos="7500"/>
              </w:tabs>
              <w:adjustRightInd w:val="0"/>
              <w:snapToGrid w:val="0"/>
              <w:ind w:firstLine="482"/>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1</w:t>
            </w:r>
            <w:r>
              <w:rPr>
                <w:rFonts w:hint="default"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地理位置</w:t>
            </w:r>
          </w:p>
          <w:p>
            <w:pPr>
              <w:pStyle w:val="17"/>
              <w:keepNext w:val="0"/>
              <w:keepLines w:val="0"/>
              <w:pageBreakBefore w:val="0"/>
              <w:widowControl w:val="0"/>
              <w:kinsoku/>
              <w:wordWrap/>
              <w:overflowPunct/>
              <w:topLinePunct w:val="0"/>
              <w:autoSpaceDE/>
              <w:autoSpaceDN/>
              <w:bidi w:val="0"/>
              <w:spacing w:line="300" w:lineRule="auto"/>
              <w:ind w:left="0" w:right="0" w:firstLine="480" w:firstLineChars="200"/>
              <w:jc w:val="both"/>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静乐县位于晋西北黄土高原、汾河上游、忻州市辖区南部、太原市西北，东部与 忻府区、阳曲县毗邻，南接娄烦县、古交市，西邻岚县、岢岚县，北靠宁武县、原平 市。全县南北长约 50km，东西宽约 45km，总面积 2058km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。S215、S313 两条省道横穿县境南北，宁静铁路即将通车，太古岚铁路规划建设，太佳高速已建成通车，忻保高速全面开工，G46、G50 两条高速分别穿插于县城的南北；静乐县地理坐标介于东经 111°43′～112°20′、北纬 38°08′～38°40′之间，县城距离忻州市 91km、距离省城太原市 89km。</w:t>
            </w:r>
          </w:p>
          <w:p>
            <w:pPr>
              <w:pStyle w:val="233"/>
              <w:keepNext w:val="0"/>
              <w:keepLines w:val="0"/>
              <w:pageBreakBefore w:val="0"/>
              <w:widowControl w:val="0"/>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本项目宁探1井位于静乐县王村乡境内，距离静乐县城最近距离为6.19km。宁探1井地理坐标为北纬 </w:t>
            </w:r>
            <w:r>
              <w:rPr>
                <w:rFonts w:hint="default" w:ascii="Times New Roman" w:hAnsi="Times New Roman" w:cs="Times New Roman"/>
                <w:color w:val="000000" w:themeColor="text1"/>
                <w:sz w:val="24"/>
                <w:szCs w:val="24"/>
                <w14:textFill>
                  <w14:solidFill>
                    <w14:schemeClr w14:val="tx1"/>
                  </w14:solidFill>
                </w14:textFill>
              </w:rPr>
              <w:t>38°</w:t>
            </w:r>
            <w:r>
              <w:rPr>
                <w:rFonts w:hint="default" w:ascii="Times New Roman" w:hAnsi="Times New Roman" w:cs="Times New Roman"/>
                <w:color w:val="000000" w:themeColor="text1"/>
                <w:sz w:val="24"/>
                <w:szCs w:val="24"/>
                <w:lang w:val="en-US" w:eastAsia="zh-CN"/>
                <w14:textFill>
                  <w14:solidFill>
                    <w14:schemeClr w14:val="tx1"/>
                  </w14:solidFill>
                </w14:textFill>
              </w:rPr>
              <w:t>23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41.43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，东经 </w:t>
            </w:r>
            <w:r>
              <w:rPr>
                <w:rFonts w:hint="default" w:ascii="Times New Roman" w:hAnsi="Times New Roman" w:cs="Times New Roman"/>
                <w:color w:val="000000" w:themeColor="text1"/>
                <w:sz w:val="24"/>
                <w:szCs w:val="24"/>
                <w14:textFill>
                  <w14:solidFill>
                    <w14:schemeClr w14:val="tx1"/>
                  </w14:solidFill>
                </w14:textFill>
              </w:rPr>
              <w:t>111°</w:t>
            </w:r>
            <w:r>
              <w:rPr>
                <w:rFonts w:hint="default" w:ascii="Times New Roman" w:hAnsi="Times New Roman" w:cs="Times New Roman"/>
                <w:color w:val="000000" w:themeColor="text1"/>
                <w:sz w:val="24"/>
                <w:szCs w:val="24"/>
                <w:lang w:val="en-US" w:eastAsia="zh-CN"/>
                <w14:textFill>
                  <w14:solidFill>
                    <w14:schemeClr w14:val="tx1"/>
                  </w14:solidFill>
                </w14:textFill>
              </w:rPr>
              <w:t>52</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11.31</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场区占地为</w:t>
            </w:r>
            <w:r>
              <w:rPr>
                <w:rFonts w:hint="default" w:ascii="Times New Roman" w:hAnsi="Times New Roman" w:cs="Times New Roman"/>
                <w:color w:val="000000" w:themeColor="text1"/>
                <w:sz w:val="24"/>
                <w:lang w:val="en-US" w:eastAsia="zh-CN"/>
                <w14:textFill>
                  <w14:solidFill>
                    <w14:schemeClr w14:val="tx1"/>
                  </w14:solidFill>
                </w14:textFill>
              </w:rPr>
              <w:t>静乐县王村乡王村集体林地（退耕还林后一般灌木林地）</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，四周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荒山坡</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keepNext w:val="0"/>
              <w:keepLines w:val="0"/>
              <w:pageBreakBefore w:val="0"/>
              <w:widowControl w:val="0"/>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本项目地理位置见附图1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，四邻关系见附图</w:t>
            </w:r>
            <w:r>
              <w:rPr>
                <w:rFonts w:hint="eastAsia"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tabs>
                <w:tab w:val="left" w:pos="7500"/>
              </w:tabs>
              <w:adjustRightInd w:val="0"/>
              <w:snapToGrid w:val="0"/>
              <w:ind w:firstLine="482"/>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2</w:t>
            </w:r>
            <w:r>
              <w:rPr>
                <w:rFonts w:hint="default"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地形、地貌</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静乐县属陆地山地型地貌。整个地形东北高、西南低。海拔高度介于1140～2421 m 之间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相对高差1281m。静乐县东、南、北三面环山，境内诸山均属吕梁山脉，其主要山峰北部有大车山，东部有万花山、巾字山，南部有高金寨山等，海拔除高金寨</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山</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1932m 外，其余均在2000m 以上，最高峰为东北部的黄韦山，海拔高度为 2421m。 最低在汾河出境处丰润镇高家舍村，海拔1140m。境内高差悬殊、山峦叠嶂、丘陵起伏、沟壑纵横，地形地貌破碎复杂。根据不同的地貌特征，具体可分为土石山区、黄土丘陵区和河川区三种类型，其中东部土石山区地貌分布最广，位置较高，海拔</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2000m以上，面积为10.11 万 hm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，约占全县总面积49</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%。西部较低，与岚县合成一个小型盆地。</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本项目区域内山峦起伏，沟壑纵横，多坡地，少平川，水土流失比较严重，植被稀少，属强烈侵蚀的中山区。</w:t>
            </w:r>
          </w:p>
          <w:p>
            <w:pPr>
              <w:pStyle w:val="180"/>
              <w:tabs>
                <w:tab w:val="left" w:pos="7500"/>
              </w:tabs>
              <w:adjustRightInd w:val="0"/>
              <w:snapToGrid w:val="0"/>
              <w:ind w:firstLine="482"/>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3</w:t>
            </w:r>
            <w:r>
              <w:rPr>
                <w:rFonts w:hint="default" w:ascii="Times New Roman" w:hAnsi="Times New Roman" w:eastAsia="宋体" w:cs="Times New Roman"/>
                <w:b/>
                <w:color w:val="000000" w:themeColor="text1"/>
                <w:lang w:eastAsia="zh-CN"/>
                <w14:textFill>
                  <w14:solidFill>
                    <w14:schemeClr w14:val="tx1"/>
                  </w14:solidFill>
                </w14:textFill>
              </w:rPr>
              <w:t>、</w:t>
            </w:r>
            <w:r>
              <w:rPr>
                <w:rFonts w:hint="default" w:ascii="Times New Roman" w:hAnsi="Times New Roman" w:eastAsia="宋体" w:cs="Times New Roman"/>
                <w:b/>
                <w:color w:val="000000" w:themeColor="text1"/>
                <w14:textFill>
                  <w14:solidFill>
                    <w14:schemeClr w14:val="tx1"/>
                  </w14:solidFill>
                </w14:textFill>
              </w:rPr>
              <w:t>气候、气象</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静乐县地处山西黄土高原中北部，属北温带大陆性气候，气候干燥。由于受季风 影响，春、夏、秋、冬四季分明，光照长、热量足</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气候温和，降雨较少，昼夜温差 大，冬季长而寒冷，夏季短而炎热，气温多变。据山西省静乐县气象部门观测资料， 年平均气温6～7℃，最高是</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月份，平均</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约</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20.7℃，最低为1月份</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平均约-9℃。气温极端值：最高37℃，最低-29℃。年平均降水量为472.5mm，但主要集中在7～8 月 份，其降水量为217～248mm，占年降水量的 60%；降水量最少是一月份约为 15mm， 仅占年降水量的3%左右。年平均蒸发量为 2860.2mm，5～6月份蒸发量最大</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约占全年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30%，最小是1月份，仅为全年蒸发量的 0.5%。全年蒸发量是降水量的3.7倍</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所以该区气候干旱。无霜期为90～145d。冻结期为11月中旬至次年的3月中旬，冻结深度一般在1m左右，最大冻土深度为1.5m。风向一般多为西北风及西风，而东南和南风较少。平均风速 2.7m/s，最大风速为28m/s。干旱、霜冻、冰雹为本县的主要灾害性天气。</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4、区域地质条件</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4.1构造条件</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武盆地位于华北板块山西过渡块体，其东部为河淮活动块体，西部为鄂尔多斯稳定地块。燕山运动时期，在东西向挤压为主的应力场作用下，形成了以太行山和吕梁山为主体的两大隆起褶皱带，并在两大隆起带之间进一步发育了次级隆起和沉降带。现今的基本构造特征主要可以概括为：基本面貌为宽缓复式向斜，普遍发育低缓平行褶皱，并且以断层多、小型为主。上述构造特征决定了沁水盆地之内是以背斜型构造圈闭发育为主要特点。</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武盆地南部东为五台山隆起，西为吕梁山隆起，南与汾河水库相连，北部与盆地腹部相接，属于中生代以来形成的构造坳陷，是以石炭-二叠系含煤沉积为主的富煤区。其主要定型于燕山期，在喜山期其形态有得到了加强及一定程度的改造。</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武盆地南部煤层呈现东西两翼高、中部低的向斜构造，全区构造格局呈三分结构，即：东西两翼为斜坡带，中间为洼槽区。其中宁武盆地南部区块中部属于向斜轴部，区内存在NE、NNE向两组断裂，并以断距小于100m的小型断层为主，局部发育200-400m的大断层。该区褶皱以NNE、NE向为主，多为背斜构造，形态完整，长短轴之比一般在 1-4之间，幅度一般在40-200m之间。</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4.2 地层沉积</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区地层属华北型沉积，地层岩性、岩相、古生物等特征比较稳定，沉积旋迴和韵律性明显。本区钻遇地层由老至新为：下古生界寒武系、奥陶系、上古生界石炭系、二叠系、中生界三叠系、新生界第四系。其中石炭系太原组及二叠系山西组为主要煤系地层。</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下石盒子组：为河流相沉积，地层厚度一般60-110m，由灰色、灰绿色，灰黄色、灰白色、紫色砂岩、泥岩、砂质泥岩、粉砂岩、铝质泥岩组成，顶部常含有一层夹有大量紫色斑块的铝土质泥岩（俗称桃花泥岩），该泥岩形成区域盖层；下部含有煤线和薄煤层，底部砂岩为灰色中粗粒砂岩，含大量岩屑，厚度一般10-25m，是有利的潜在区域储层。</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山西组：为三角洲、河湖沼泽相沉积，地层厚度一般80-150m，由砂岩、砂质泥岩和煤层组成。本组砂岩发育，含煤3-4层，煤层总厚4～11.5m，分布较稳定，盆地南部由盆地中心向边部增大，4#煤为其主要煤层，厚2～7m。</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太原组：属于海陆交互相沉积，地层厚度一般70-130m，主要由灰岩、泥岩、砂质泥岩、砂岩及煤层组成。煤层总厚10～21m，总体趋势为北厚南薄，其中9#煤是其主要煤层，厚8～14m。</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奥陶系是以碳酸盐岩为主的海相沉积建造，厚360～600m，平均厚480m左右。由上至下分为峰峰组、马家沟组、亮甲山组、冶里组。岩性主要是灰色、深灰色石灰岩夹泥质灰岩，下部发育细晶白云岩。</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宁探1井地层分层数据表见插表1</w:t>
            </w:r>
            <w:r>
              <w:rPr>
                <w:rFonts w:hint="eastAsia"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宁探1井地层综合柱状图</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见插图</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 水文</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5.1 地表水</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县境内河流均属汾河水系，大部分为时令河。按照河川径流的循环方式，除汾河外，基本属内河流。河流流向和水系排列与地质构造和地形特点关系密切。由于东缘云中山系和西缘芦芽山系隆起，境内山脉、沟壑朝东西走向，皆向中部汾河谷地倾斜，构成两边高、中间低、向南开口的地形特点，地表水系亦随地形形态发育，形成以汾河为主河道、东西两侧支流呈树枝状分布的排列形式。汾河在境内较大的支流为东碾河、西碾河、鸣河、双路河、叉上河、万辉河、扶头会河共7条，均为常流河，大都发源于本县东西山脉。</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全县河流具有明显的夏雨型和山地型河流特征。清水流量小，洪水流量大，水量不稳定，变化频率高，河道较短，坡陡弯急，冲刷严重，泥沙含量高，洪水利用率很低。河川径流的基本规律是主要靠大气降水供给。全年地表来水量 3.11 亿</w:t>
            </w:r>
            <w:r>
              <w:rPr>
                <w:rFonts w:hint="eastAsia" w:cs="Times New Roman"/>
                <w:color w:val="000000" w:themeColor="text1"/>
                <w:kern w:val="2"/>
                <w:sz w:val="24"/>
                <w:szCs w:val="24"/>
                <w:lang w:val="en-US" w:eastAsia="zh-CN" w:bidi="ar-SA"/>
                <w14:textFill>
                  <w14:solidFill>
                    <w14:schemeClr w14:val="tx1"/>
                  </w14:solidFill>
                </w14:textFill>
              </w:rPr>
              <w:t>m</w:t>
            </w:r>
            <w:r>
              <w:rPr>
                <w:rFonts w:hint="eastAsia"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，其中清水 0.7 亿</w:t>
            </w:r>
            <w:r>
              <w:rPr>
                <w:rFonts w:hint="eastAsia" w:cs="Times New Roman"/>
                <w:color w:val="000000" w:themeColor="text1"/>
                <w:kern w:val="2"/>
                <w:sz w:val="24"/>
                <w:szCs w:val="24"/>
                <w:lang w:val="en-US" w:eastAsia="zh-CN" w:bidi="ar-SA"/>
                <w14:textFill>
                  <w14:solidFill>
                    <w14:schemeClr w14:val="tx1"/>
                  </w14:solidFill>
                </w14:textFill>
              </w:rPr>
              <w:t>m</w:t>
            </w:r>
            <w:r>
              <w:rPr>
                <w:rFonts w:hint="eastAsia"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，洪水 2.41 亿</w:t>
            </w:r>
            <w:r>
              <w:rPr>
                <w:rFonts w:hint="eastAsia" w:cs="Times New Roman"/>
                <w:color w:val="000000" w:themeColor="text1"/>
                <w:kern w:val="2"/>
                <w:sz w:val="24"/>
                <w:szCs w:val="24"/>
                <w:lang w:val="en-US" w:eastAsia="zh-CN" w:bidi="ar-SA"/>
                <w14:textFill>
                  <w14:solidFill>
                    <w14:schemeClr w14:val="tx1"/>
                  </w14:solidFill>
                </w14:textFill>
              </w:rPr>
              <w:t>m</w:t>
            </w:r>
            <w:r>
              <w:rPr>
                <w:rFonts w:hint="eastAsia"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，形成河川径流大约 2.8 亿</w:t>
            </w:r>
            <w:r>
              <w:rPr>
                <w:rFonts w:hint="eastAsia" w:cs="Times New Roman"/>
                <w:color w:val="000000" w:themeColor="text1"/>
                <w:kern w:val="2"/>
                <w:sz w:val="24"/>
                <w:szCs w:val="24"/>
                <w:lang w:val="en-US" w:eastAsia="zh-CN" w:bidi="ar-SA"/>
                <w14:textFill>
                  <w14:solidFill>
                    <w14:schemeClr w14:val="tx1"/>
                  </w14:solidFill>
                </w14:textFill>
              </w:rPr>
              <w:t>m</w:t>
            </w:r>
            <w:r>
              <w:rPr>
                <w:rFonts w:hint="eastAsia"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东碾河：是境内第二大河，发源于境内云中山西麓的漫岩马圈山下，流经境内3 个</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20" w:firstLineChars="200"/>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插图</w:t>
            </w:r>
            <w:r>
              <w:rPr>
                <w:rFonts w:hint="eastAsia" w:cs="Times New Roman"/>
                <w:b/>
                <w:bCs/>
                <w:color w:val="000000" w:themeColor="text1"/>
                <w:kern w:val="2"/>
                <w:sz w:val="21"/>
                <w:szCs w:val="21"/>
                <w:lang w:val="en-US" w:eastAsia="zh-CN" w:bidi="ar-SA"/>
                <w14:textFill>
                  <w14:solidFill>
                    <w14:schemeClr w14:val="tx1"/>
                  </w14:solidFill>
                </w14:textFill>
              </w:rPr>
              <w:t>4</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宁探1井地层综合柱状图</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leftChars="0" w:right="0" w:firstLine="0" w:firstLineChars="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乡镇，在县城南1公里处汇入汾河，全</w:t>
            </w:r>
            <w:r>
              <w:rPr>
                <w:rFonts w:hint="eastAsia" w:cs="Times New Roman"/>
                <w:color w:val="000000" w:themeColor="text1"/>
                <w:kern w:val="2"/>
                <w:sz w:val="24"/>
                <w:szCs w:val="24"/>
                <w:lang w:val="en-US" w:eastAsia="zh-CN" w:bidi="ar-SA"/>
                <w14:textFill>
                  <w14:solidFill>
                    <w14:schemeClr w14:val="tx1"/>
                  </w14:solidFill>
                </w14:textFill>
              </w:rPr>
              <w:t>长</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58.9km，流域面积506km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，东碾河河床陡</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水流湍急，河床平均宽度527m，总落差726m</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年均流量1.5～3m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西碾河：发源于马坊镇乡鹿径岭下寺庄村，流经境内3个乡</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在县城西南西崖底 村前汇入汾河，全长27km，流域面积97 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eastAsia" w:cs="Times New Roman"/>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流域平均宽度3.43 km</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年均流量 1.55m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/s。 </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扶头会河：发源于岚县渝湾乡山底村杀猪峁，流经2个乡在上、下店村前汇入汾河。</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全长26.1 km，在静乐县境内长 14.57 km，在静乐县境内流域面积 44.75 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。源于宁武管涔山麓雷鸣中寺，入境后由北向南流经段家寨、城关、西坡崖、神谷沟、丰润 5 个乡镇 39.6 </w:t>
            </w:r>
            <w:r>
              <w:rPr>
                <w:rFonts w:hint="eastAsia" w:cs="Times New Roman"/>
                <w:color w:val="000000" w:themeColor="text1"/>
                <w:kern w:val="2"/>
                <w:sz w:val="24"/>
                <w:szCs w:val="24"/>
                <w:lang w:val="en-US" w:eastAsia="zh-CN" w:bidi="ar-SA"/>
                <w14:textFill>
                  <w14:solidFill>
                    <w14:schemeClr w14:val="tx1"/>
                  </w14:solidFill>
                </w14:textFill>
              </w:rPr>
              <w:t>km</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，至高家舍出境，流域面积 1784 </w:t>
            </w:r>
            <w:r>
              <w:rPr>
                <w:rFonts w:hint="eastAsia" w:cs="Times New Roman"/>
                <w:color w:val="000000" w:themeColor="text1"/>
                <w:kern w:val="2"/>
                <w:sz w:val="24"/>
                <w:szCs w:val="24"/>
                <w:lang w:val="en-US" w:eastAsia="zh-CN" w:bidi="ar-SA"/>
                <w14:textFill>
                  <w14:solidFill>
                    <w14:schemeClr w14:val="tx1"/>
                  </w14:solidFill>
                </w14:textFill>
              </w:rPr>
              <w:t>km</w:t>
            </w:r>
            <w:r>
              <w:rPr>
                <w:rFonts w:hint="eastAsia"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，占全县总面积的 86.7%。 </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本项目距离最近的地表水体为项目西南侧</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653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m处的西碾河，静乐县地表水系</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分布</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见附图</w:t>
            </w:r>
            <w:r>
              <w:rPr>
                <w:rFonts w:hint="eastAsia"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5.2 地下水</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静乐县的地下水按赋存条件可分为三种：冲洪积砂砾石孔隙水、砂岩裂隙水、灰 岩岩溶裂隙水，其中冲洪积砂砾孔隙水分布于汾河及其支流东碾河等河谷内，含水层 厚 6～30 m；砂岩裂隙水分布于汾河及其支流东碾河等河的两岸丘陵地形内，埋深约 3.7～18 m；灰岩岩溶裂隙水分布在伍家村、黑汉沟一带，该地段的地下水位埋深浅， 为 0～15.5 m，水层厚 27～60 m。</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静乐县地层发育经历了太古界、元古界、古生界、中生界、新生界五个时期，地 质构造较为复杂，各个时期的地层出露较多，岩性多样。静乐县大地构造性质属地台 型，基底岩层以褶皱构造为主，伴生一系列断层，造成了前马宗祖地层的重新出现。</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5.3 静乐县集中供水水源</w:t>
            </w:r>
            <w:r>
              <w:rPr>
                <w:rFonts w:hint="eastAsia" w:cs="Times New Roman"/>
                <w:b/>
                <w:color w:val="000000" w:themeColor="text1"/>
                <w:lang w:val="en-US" w:eastAsia="zh-CN"/>
                <w14:textFill>
                  <w14:solidFill>
                    <w14:schemeClr w14:val="tx1"/>
                  </w14:solidFill>
                </w14:textFill>
              </w:rPr>
              <w:t>（略）</w:t>
            </w:r>
          </w:p>
          <w:p>
            <w:pPr>
              <w:pStyle w:val="180"/>
              <w:numPr>
                <w:ilvl w:val="0"/>
                <w:numId w:val="5"/>
              </w:numPr>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自然生物（态）环境</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6.1土壤</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静乐县土壤分为褐土、棕壤、草甸土三大类，9个亚类，48个土属。褐土为分布最广的一种区域地带性土壤，主要有山地淋溶褐土和山地褐土。</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6.2植被</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静乐县按典型的植被群落可分为：木本植物群落：由针叶、阔叶木本绿色植物组成。主要分布于县境东北、西北部海 拔 1800m 以上的高中山区，多为针、阔叶混交林，树种主要有油松、华北落叶松、桦、山杨、侧柏、云杉、椴、山杏等构成，植被覆盖度好。</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 xml:space="preserve">草灌植物群落：在该地区低山区多有分布，覆盖度较好。 </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草甸植物群落：主要由喜温草甸绿色植物组成，分布于河川沟谷和山前洼地、河漫 滩，面积不大且零星分布。主要植物为蒲草、蓖梳草、车前草、蒲公英、水草等。</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经现场调查，评价区域内植被主要为灌丛</w:t>
            </w:r>
            <w:r>
              <w:rPr>
                <w:rFonts w:hint="eastAsia" w:cs="Times New Roman"/>
                <w:color w:val="000000" w:themeColor="text1"/>
                <w:kern w:val="2"/>
                <w:sz w:val="24"/>
                <w:szCs w:val="24"/>
                <w:lang w:val="en-US" w:eastAsia="zh-CN" w:bidi="ar-SA"/>
                <w14:textFill>
                  <w14:solidFill>
                    <w14:schemeClr w14:val="tx1"/>
                  </w14:solidFill>
                </w14:textFill>
              </w:rPr>
              <w:t>林地</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，未发现有国家及省级保护的植物分布。</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6.3动物</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动物资源较丰富，主要种类为哺乳纲兽类、鸟纲动物类、两栖与爬行纲、昆虫纲等。野兽主要有：野猪、狍羊、獾、野兔、狼、狐等；禽类主要有：鹰、燕、鸽、黄鹂、喜鹊、乌鸦、麻雀等；鼠类主要有黄鼠、家鼠等；其它野生动物还有蛇、青蛙、鱼类、蝙蝠等；昆虫类名目较多，除蝇、野蜂外，此外还有多种农业害虫。</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本项目所在区域内受人为干扰较多，经现场调查及周边村庄走访，无国家重点保护 野生动物分布，均为常见种。</w:t>
            </w:r>
          </w:p>
          <w:p>
            <w:pPr>
              <w:pStyle w:val="180"/>
              <w:numPr>
                <w:ilvl w:val="0"/>
                <w:numId w:val="5"/>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矿产资源</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bookmarkStart w:id="2" w:name="_Toc493782035"/>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矿产资源丰富，主要有煤、石灰石、铝钒土、铁、锰、铜、耐火粘土、云母、水晶、大理石、长石、花岗岩等，原煤分布较广，各乡镇均有煤，总储量为260亿吨，煤质较好，均为肥焦煤，具有含硫低、挥发性小，胶质较大的特点。铁矿以晶铁矿为主，另有分布磁铁矿、赤铁矿。</w:t>
            </w:r>
          </w:p>
          <w:p>
            <w:pPr>
              <w:pStyle w:val="180"/>
              <w:numPr>
                <w:ilvl w:val="0"/>
                <w:numId w:val="5"/>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地震</w:t>
            </w:r>
            <w:bookmarkEnd w:id="2"/>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根据《中国地震动参数区划图》GB18306-2015，静乐县地震峰值加速度g为0.10，反应谱特征周期为0.45s，地震基本烈度为Ⅶ度。经调查文献资料，历史上未发生强烈地震，也未发现不良地质存在，属于地质稳定结构区。</w:t>
            </w:r>
          </w:p>
          <w:p>
            <w:pPr>
              <w:pStyle w:val="180"/>
              <w:numPr>
                <w:ilvl w:val="0"/>
                <w:numId w:val="5"/>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文物古迹</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eastAsiaTheme="minorEastAsia"/>
                <w:color w:val="000000" w:themeColor="text1"/>
                <w:sz w:val="11"/>
                <w:szCs w:val="11"/>
                <w14:textFill>
                  <w14:solidFill>
                    <w14:schemeClr w14:val="tx1"/>
                  </w14:solidFill>
                </w14:textFill>
              </w:rPr>
            </w:pPr>
            <w:r>
              <w:rPr>
                <w:rFonts w:hint="default" w:ascii="Times New Roman" w:hAnsi="Times New Roman" w:cs="Times New Roman"/>
                <w:color w:val="000000" w:themeColor="text1"/>
                <w:kern w:val="2"/>
                <w:sz w:val="24"/>
                <w:szCs w:val="24"/>
                <w:lang w:val="zh-CN" w:eastAsia="zh-CN" w:bidi="ar-SA"/>
                <w14:textFill>
                  <w14:solidFill>
                    <w14:schemeClr w14:val="tx1"/>
                  </w14:solidFill>
                </w14:textFill>
              </w:rPr>
              <w:t>静乐县境内拥有全国重点文物保护单位6处，省级重点文物保护单位3处，</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经现场勘查和咨询相关文物行政主管部门，本项目评价范围内不涉及各级文物保护单位。</w:t>
            </w:r>
          </w:p>
          <w:p>
            <w:pPr>
              <w:pStyle w:val="180"/>
              <w:numPr>
                <w:ilvl w:val="0"/>
                <w:numId w:val="5"/>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相关规划及环境功能区划</w:t>
            </w:r>
          </w:p>
          <w:p>
            <w:pPr>
              <w:pStyle w:val="180"/>
              <w:tabs>
                <w:tab w:val="left" w:pos="7500"/>
              </w:tabs>
              <w:adjustRightInd w:val="0"/>
              <w:snapToGrid w:val="0"/>
              <w:ind w:firstLine="482"/>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 xml:space="preserve">10.1 </w:t>
            </w:r>
            <w:r>
              <w:rPr>
                <w:rFonts w:hint="default" w:ascii="Times New Roman" w:hAnsi="Times New Roman" w:eastAsia="宋体" w:cs="Times New Roman"/>
                <w:b/>
                <w:bCs w:val="0"/>
                <w:color w:val="000000" w:themeColor="text1"/>
                <w:lang w:val="en-US" w:eastAsia="zh-CN"/>
                <w14:textFill>
                  <w14:solidFill>
                    <w14:schemeClr w14:val="tx1"/>
                  </w14:solidFill>
                </w14:textFill>
              </w:rPr>
              <w:t>与《静乐县总体规划》符合性分析</w:t>
            </w:r>
          </w:p>
          <w:p>
            <w:pPr>
              <w:pStyle w:val="180"/>
              <w:tabs>
                <w:tab w:val="left" w:pos="7500"/>
              </w:tabs>
              <w:adjustRightInd w:val="0"/>
              <w:snapToGrid w:val="0"/>
              <w:ind w:firstLine="482"/>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本项目位于静乐县王村乡王村东北521m处，不在静乐县城市总体规划范围内，因此，不违背静乐县城市总体规划要求。</w:t>
            </w:r>
          </w:p>
          <w:p>
            <w:pPr>
              <w:pStyle w:val="180"/>
              <w:tabs>
                <w:tab w:val="left" w:pos="7500"/>
              </w:tabs>
              <w:adjustRightInd w:val="0"/>
              <w:snapToGrid w:val="0"/>
              <w:ind w:firstLine="482"/>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 xml:space="preserve">10.2 </w:t>
            </w:r>
            <w:r>
              <w:rPr>
                <w:rFonts w:hint="default" w:ascii="Times New Roman" w:hAnsi="Times New Roman" w:eastAsia="宋体" w:cs="Times New Roman"/>
                <w:b/>
                <w:bCs w:val="0"/>
                <w:color w:val="000000" w:themeColor="text1"/>
                <w:lang w:val="en-US" w:eastAsia="zh-CN"/>
                <w14:textFill>
                  <w14:solidFill>
                    <w14:schemeClr w14:val="tx1"/>
                  </w14:solidFill>
                </w14:textFill>
              </w:rPr>
              <w:t>与《山西静乐汾河川国家湿地公园总体规划》符合性分析</w:t>
            </w:r>
            <w:r>
              <w:rPr>
                <w:rFonts w:hint="eastAsia" w:cs="Times New Roman"/>
                <w:b/>
                <w:bCs w:val="0"/>
                <w:color w:val="000000" w:themeColor="text1"/>
                <w:lang w:val="en-US" w:eastAsia="zh-CN"/>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 xml:space="preserve">10.3 </w:t>
            </w:r>
            <w:r>
              <w:rPr>
                <w:rFonts w:hint="default" w:ascii="Times New Roman" w:hAnsi="Times New Roman" w:eastAsia="宋体" w:cs="Times New Roman"/>
                <w:b/>
                <w:bCs w:val="0"/>
                <w:color w:val="000000" w:themeColor="text1"/>
                <w:lang w:val="en-US" w:eastAsia="zh-CN"/>
                <w14:textFill>
                  <w14:solidFill>
                    <w14:schemeClr w14:val="tx1"/>
                  </w14:solidFill>
                </w14:textFill>
              </w:rPr>
              <w:t>与汾河水库水源地保护区</w:t>
            </w:r>
            <w:r>
              <w:rPr>
                <w:rFonts w:hint="eastAsia" w:cs="Times New Roman"/>
                <w:b/>
                <w:bCs w:val="0"/>
                <w:color w:val="000000" w:themeColor="text1"/>
                <w:lang w:val="en-US" w:eastAsia="zh-CN"/>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eastAsia="宋体" w:cs="Times New Roman"/>
                <w:b/>
                <w:bCs w:val="0"/>
                <w:color w:val="000000" w:themeColor="text1"/>
                <w:lang w:eastAsia="zh-CN"/>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 xml:space="preserve">10.4 </w:t>
            </w:r>
            <w:r>
              <w:rPr>
                <w:rFonts w:hint="default" w:ascii="Times New Roman" w:hAnsi="Times New Roman" w:eastAsia="宋体" w:cs="Times New Roman"/>
                <w:b/>
                <w:bCs w:val="0"/>
                <w:color w:val="000000" w:themeColor="text1"/>
                <w:lang w:val="en-US" w:eastAsia="zh-CN"/>
                <w14:textFill>
                  <w14:solidFill>
                    <w14:schemeClr w14:val="tx1"/>
                  </w14:solidFill>
                </w14:textFill>
              </w:rPr>
              <w:t>与《</w:t>
            </w:r>
            <w:r>
              <w:rPr>
                <w:rFonts w:hint="default" w:ascii="Times New Roman" w:hAnsi="Times New Roman" w:eastAsia="宋体" w:cs="Times New Roman"/>
                <w:b/>
                <w:bCs w:val="0"/>
                <w:color w:val="000000" w:themeColor="text1"/>
                <w:lang w:eastAsia="zh-CN"/>
                <w14:textFill>
                  <w14:solidFill>
                    <w14:schemeClr w14:val="tx1"/>
                  </w14:solidFill>
                </w14:textFill>
              </w:rPr>
              <w:t>山西汾河上游省级自然保护区区划</w:t>
            </w:r>
            <w:r>
              <w:rPr>
                <w:rFonts w:hint="default" w:ascii="Times New Roman" w:hAnsi="Times New Roman" w:eastAsia="宋体" w:cs="Times New Roman"/>
                <w:b/>
                <w:bCs w:val="0"/>
                <w:color w:val="000000" w:themeColor="text1"/>
                <w:lang w:val="en-US" w:eastAsia="zh-CN"/>
                <w14:textFill>
                  <w14:solidFill>
                    <w14:schemeClr w14:val="tx1"/>
                  </w14:solidFill>
                </w14:textFill>
              </w:rPr>
              <w:t>》符合性分析</w:t>
            </w:r>
            <w:r>
              <w:rPr>
                <w:rFonts w:hint="eastAsia" w:cs="Times New Roman"/>
                <w:b/>
                <w:bCs w:val="0"/>
                <w:color w:val="000000" w:themeColor="text1"/>
                <w:lang w:val="en-US" w:eastAsia="zh-CN"/>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eastAsia="宋体" w:cs="Times New Roman"/>
                <w:b/>
                <w:bCs w:val="0"/>
                <w:color w:val="000000" w:themeColor="text1"/>
                <w:lang w:eastAsia="zh-CN"/>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 xml:space="preserve">10.5 </w:t>
            </w:r>
            <w:r>
              <w:rPr>
                <w:rFonts w:hint="default" w:ascii="Times New Roman" w:hAnsi="Times New Roman" w:eastAsia="宋体" w:cs="Times New Roman"/>
                <w:b/>
                <w:bCs w:val="0"/>
                <w:color w:val="000000" w:themeColor="text1"/>
                <w:lang w:eastAsia="zh-CN"/>
                <w14:textFill>
                  <w14:solidFill>
                    <w14:schemeClr w14:val="tx1"/>
                  </w14:solidFill>
                </w14:textFill>
              </w:rPr>
              <w:t>山西省煤层气规划</w:t>
            </w:r>
          </w:p>
          <w:p>
            <w:pPr>
              <w:pStyle w:val="180"/>
              <w:tabs>
                <w:tab w:val="left" w:pos="7500"/>
              </w:tabs>
              <w:adjustRightInd w:val="0"/>
              <w:snapToGrid w:val="0"/>
              <w:ind w:firstLine="482"/>
              <w:rPr>
                <w:rFonts w:hint="default" w:ascii="Times New Roman" w:hAnsi="Times New Roman" w:eastAsia="宋体" w:cs="Times New Roman"/>
                <w:b w:val="0"/>
                <w:bCs/>
                <w:color w:val="000000" w:themeColor="text1"/>
                <w:lang w:eastAsia="zh-CN"/>
                <w14:textFill>
                  <w14:solidFill>
                    <w14:schemeClr w14:val="tx1"/>
                  </w14:solidFill>
                </w14:textFill>
              </w:rPr>
            </w:pPr>
            <w:r>
              <w:rPr>
                <w:rFonts w:hint="default" w:ascii="Times New Roman" w:hAnsi="Times New Roman" w:eastAsia="宋体" w:cs="Times New Roman"/>
                <w:b w:val="0"/>
                <w:bCs/>
                <w:color w:val="000000" w:themeColor="text1"/>
                <w:lang w:eastAsia="zh-CN"/>
                <w14:textFill>
                  <w14:solidFill>
                    <w14:schemeClr w14:val="tx1"/>
                  </w14:solidFill>
                </w14:textFill>
              </w:rPr>
              <w:t>根据晋政办发</w:t>
            </w:r>
            <w:r>
              <w:rPr>
                <w:rFonts w:hint="eastAsia"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eastAsia="zh-CN"/>
                <w14:textFill>
                  <w14:solidFill>
                    <w14:schemeClr w14:val="tx1"/>
                  </w14:solidFill>
                </w14:textFill>
              </w:rPr>
              <w:t>2017</w:t>
            </w:r>
            <w:r>
              <w:rPr>
                <w:rFonts w:hint="eastAsia"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eastAsia="zh-CN"/>
                <w14:textFill>
                  <w14:solidFill>
                    <w14:schemeClr w14:val="tx1"/>
                  </w14:solidFill>
                </w14:textFill>
              </w:rPr>
              <w:t>90号“山西省人民政府办公厅关于印发山西省煤层气资源勘查开发规划（2016—2020年）的通知”，《山西省煤层气资源勘查开发规划（2016—2020年）》以2015年为基期，2016—2020年为规划期，展望到2025年，适用范围为山西省所辖行政区域，涉及煤层气资源勘查开发活动的相关行业规划，应当与《规划》做好衔接。</w:t>
            </w:r>
          </w:p>
          <w:p>
            <w:pPr>
              <w:pStyle w:val="180"/>
              <w:tabs>
                <w:tab w:val="left" w:pos="7500"/>
              </w:tabs>
              <w:adjustRightInd w:val="0"/>
              <w:snapToGrid w:val="0"/>
              <w:ind w:firstLine="482"/>
              <w:rPr>
                <w:rFonts w:hint="default" w:ascii="Times New Roman" w:hAnsi="Times New Roman" w:eastAsia="宋体" w:cs="Times New Roman"/>
                <w:b w:val="0"/>
                <w:bCs/>
                <w:color w:val="000000" w:themeColor="text1"/>
                <w:lang w:eastAsia="zh-CN"/>
                <w14:textFill>
                  <w14:solidFill>
                    <w14:schemeClr w14:val="tx1"/>
                  </w14:solidFill>
                </w14:textFill>
              </w:rPr>
            </w:pPr>
            <w:r>
              <w:rPr>
                <w:rFonts w:hint="eastAsia" w:ascii="Times New Roman" w:hAnsi="Times New Roman" w:eastAsia="宋体" w:cs="Times New Roman"/>
                <w:b w:val="0"/>
                <w:bCs/>
                <w:color w:val="000000" w:themeColor="text1"/>
                <w:lang w:val="en-US" w:eastAsia="zh-CN"/>
                <w14:textFill>
                  <w14:solidFill>
                    <w14:schemeClr w14:val="tx1"/>
                  </w14:solidFill>
                </w14:textFill>
              </w:rPr>
              <w:t>根据</w:t>
            </w:r>
            <w:r>
              <w:rPr>
                <w:rFonts w:hint="default" w:ascii="Times New Roman" w:hAnsi="Times New Roman" w:eastAsia="宋体" w:cs="Times New Roman"/>
                <w:b w:val="0"/>
                <w:bCs/>
                <w:color w:val="000000" w:themeColor="text1"/>
                <w:lang w:val="en-US" w:eastAsia="zh-CN"/>
                <w14:textFill>
                  <w14:solidFill>
                    <w14:schemeClr w14:val="tx1"/>
                  </w14:solidFill>
                </w14:textFill>
              </w:rPr>
              <w:t>《规划》</w:t>
            </w:r>
            <w:r>
              <w:rPr>
                <w:rFonts w:hint="eastAsia" w:cs="Times New Roman"/>
                <w:b w:val="0"/>
                <w:bCs/>
                <w:color w:val="000000" w:themeColor="text1"/>
                <w:lang w:val="en-US" w:eastAsia="zh-CN"/>
                <w14:textFill>
                  <w14:solidFill>
                    <w14:schemeClr w14:val="tx1"/>
                  </w14:solidFill>
                </w14:textFill>
              </w:rPr>
              <w:t>中</w:t>
            </w:r>
            <w:r>
              <w:rPr>
                <w:rFonts w:hint="eastAsia" w:ascii="Times New Roman" w:hAnsi="Times New Roman" w:eastAsia="宋体" w:cs="Times New Roman"/>
                <w:b w:val="0"/>
                <w:bCs/>
                <w:color w:val="000000" w:themeColor="text1"/>
                <w:lang w:val="en-US" w:eastAsia="zh-CN"/>
                <w14:textFill>
                  <w14:solidFill>
                    <w14:schemeClr w14:val="tx1"/>
                  </w14:solidFill>
                </w14:textFill>
              </w:rPr>
              <w:t>煤层气勘查开发总体布局与安排</w:t>
            </w:r>
            <w:r>
              <w:rPr>
                <w:rFonts w:hint="eastAsia" w:cs="Times New Roman"/>
                <w:b w:val="0"/>
                <w:bCs/>
                <w:color w:val="000000" w:themeColor="text1"/>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落实国家和</w:t>
            </w:r>
            <w:r>
              <w:rPr>
                <w:rFonts w:hint="eastAsia" w:cs="Times New Roman"/>
                <w:b w:val="0"/>
                <w:bCs/>
                <w:color w:val="000000" w:themeColor="text1"/>
                <w:lang w:val="en-US" w:eastAsia="zh-CN"/>
                <w14:textFill>
                  <w14:solidFill>
                    <w14:schemeClr w14:val="tx1"/>
                  </w14:solidFill>
                </w14:textFill>
              </w:rPr>
              <w:t>山西省</w:t>
            </w:r>
            <w:r>
              <w:rPr>
                <w:rFonts w:hint="default" w:ascii="Times New Roman" w:hAnsi="Times New Roman" w:eastAsia="宋体" w:cs="Times New Roman"/>
                <w:b w:val="0"/>
                <w:bCs/>
                <w:color w:val="000000" w:themeColor="text1"/>
                <w:lang w:val="en-US" w:eastAsia="zh-CN"/>
                <w14:textFill>
                  <w14:solidFill>
                    <w14:schemeClr w14:val="tx1"/>
                  </w14:solidFill>
                </w14:textFill>
              </w:rPr>
              <w:t>矿产资源总体规划部署，衔接</w:t>
            </w:r>
            <w:r>
              <w:rPr>
                <w:rFonts w:hint="eastAsia" w:cs="Times New Roman"/>
                <w:b w:val="0"/>
                <w:bCs/>
                <w:color w:val="000000" w:themeColor="text1"/>
                <w:lang w:val="en-US" w:eastAsia="zh-CN"/>
                <w14:textFill>
                  <w14:solidFill>
                    <w14:schemeClr w14:val="tx1"/>
                  </w14:solidFill>
                </w14:textFill>
              </w:rPr>
              <w:t>山西省</w:t>
            </w:r>
            <w:r>
              <w:rPr>
                <w:rFonts w:hint="default" w:ascii="Times New Roman" w:hAnsi="Times New Roman" w:eastAsia="宋体" w:cs="Times New Roman"/>
                <w:b w:val="0"/>
                <w:bCs/>
                <w:color w:val="000000" w:themeColor="text1"/>
                <w:lang w:val="en-US" w:eastAsia="zh-CN"/>
                <w14:textFill>
                  <w14:solidFill>
                    <w14:schemeClr w14:val="tx1"/>
                  </w14:solidFill>
                </w14:textFill>
              </w:rPr>
              <w:t>主体功能区划及生态保护要求，结合资源勘查开发现状及发展趋势，确立煤层气资源保护与利用的空间布局和时序安排，实施一批重大工程和重点项目，推进沁水盆地、鄂尔多斯盆地东缘两大基地建设，促进资源有效保护、适度开发与集约利用</w:t>
            </w:r>
            <w:r>
              <w:rPr>
                <w:rFonts w:hint="eastAsia" w:cs="Times New Roman"/>
                <w:b w:val="0"/>
                <w:bCs/>
                <w:color w:val="000000" w:themeColor="text1"/>
                <w:lang w:val="en-US" w:eastAsia="zh-CN"/>
                <w14:textFill>
                  <w14:solidFill>
                    <w14:schemeClr w14:val="tx1"/>
                  </w14:solidFill>
                </w14:textFill>
              </w:rPr>
              <w:t>。</w:t>
            </w:r>
          </w:p>
          <w:p>
            <w:pPr>
              <w:adjustRightInd w:val="0"/>
              <w:snapToGrid w:val="0"/>
              <w:spacing w:line="300" w:lineRule="auto"/>
              <w:ind w:firstLine="482"/>
              <w:outlineLvl w:val="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b w:val="0"/>
                <w:bCs/>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《规划》</w:t>
            </w:r>
            <w:r>
              <w:rPr>
                <w:rFonts w:hint="eastAsia" w:cs="Times New Roman"/>
                <w:b w:val="0"/>
                <w:bCs/>
                <w:color w:val="000000" w:themeColor="text1"/>
                <w:sz w:val="24"/>
                <w:szCs w:val="24"/>
                <w:lang w:val="en-US" w:eastAsia="zh-CN"/>
                <w14:textFill>
                  <w14:solidFill>
                    <w14:schemeClr w14:val="tx1"/>
                  </w14:solidFill>
                </w14:textFill>
              </w:rPr>
              <w:t>专栏4山西省重点勘查规划可知，</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已有煤层气探矿权</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11个，</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勘查规划区块共25个，开采规划区块22个，本项目位于已有煤层气探矿权</w:t>
            </w:r>
            <w:r>
              <w:rPr>
                <w:rFonts w:hint="eastAsia" w:cs="Times New Roman"/>
                <w:b w:val="0"/>
                <w:bCs/>
                <w:color w:val="000000" w:themeColor="text1"/>
                <w:sz w:val="24"/>
                <w:szCs w:val="24"/>
                <w:lang w:val="en-US" w:eastAsia="zh-CN"/>
                <w14:textFill>
                  <w14:solidFill>
                    <w14:schemeClr w14:val="tx1"/>
                  </w14:solidFill>
                </w14:textFill>
              </w:rPr>
              <w:t>中的</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宁武</w:t>
            </w:r>
            <w:r>
              <w:rPr>
                <w:rFonts w:hint="default" w:ascii="Times New Roman" w:hAnsi="Times New Roman" w:cs="Times New Roman"/>
                <w:b w:val="0"/>
                <w:bCs/>
                <w:color w:val="000000" w:themeColor="text1"/>
                <w:sz w:val="24"/>
                <w:szCs w:val="24"/>
                <w:lang w:eastAsia="zh-CN"/>
                <w14:textFill>
                  <w14:solidFill>
                    <w14:schemeClr w14:val="tx1"/>
                  </w14:solidFill>
                </w14:textFill>
              </w:rPr>
              <w:t>南部地区</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块，</w:t>
            </w:r>
            <w:r>
              <w:rPr>
                <w:rFonts w:hint="eastAsia" w:cs="Times New Roman"/>
                <w:b w:val="0"/>
                <w:bCs/>
                <w:color w:val="000000" w:themeColor="text1"/>
                <w:sz w:val="24"/>
                <w:szCs w:val="24"/>
                <w:lang w:val="en-US" w:eastAsia="zh-CN"/>
                <w14:textFill>
                  <w14:solidFill>
                    <w14:schemeClr w14:val="tx1"/>
                  </w14:solidFill>
                </w14:textFill>
              </w:rPr>
              <w:t>宁武区块</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位于山西省静乐县、岚县、娄烦县、宁武县辖区。</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本项目属于</w:t>
            </w:r>
            <w:r>
              <w:rPr>
                <w:rFonts w:hint="eastAsia" w:cs="Times New Roman"/>
                <w:b w:val="0"/>
                <w:bCs/>
                <w:color w:val="000000" w:themeColor="text1"/>
                <w:sz w:val="24"/>
                <w:szCs w:val="24"/>
                <w:lang w:val="en-US" w:eastAsia="zh-CN"/>
                <w14:textFill>
                  <w14:solidFill>
                    <w14:schemeClr w14:val="tx1"/>
                  </w14:solidFill>
                </w14:textFill>
              </w:rPr>
              <w:t>静乐县</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未勘探的井场，符合山西省煤层气资源勘查开发规划（2016—2020年）要求。</w:t>
            </w:r>
          </w:p>
          <w:p>
            <w:pPr>
              <w:adjustRightInd w:val="0"/>
              <w:snapToGrid w:val="0"/>
              <w:spacing w:line="300" w:lineRule="auto"/>
              <w:ind w:firstLine="482"/>
              <w:outlineLvl w:val="0"/>
              <w:rPr>
                <w:rFonts w:hint="default" w:ascii="Times New Roman" w:hAnsi="Times New Roman" w:cs="Times New Roman" w:eastAsiaTheme="minorEastAsia"/>
                <w:color w:val="000000" w:themeColor="text1"/>
                <w:sz w:val="11"/>
                <w:szCs w:val="11"/>
                <w14:textFill>
                  <w14:solidFill>
                    <w14:schemeClr w14:val="tx1"/>
                  </w14:solidFill>
                </w14:textFill>
              </w:rPr>
            </w:pPr>
          </w:p>
          <w:p>
            <w:pPr>
              <w:adjustRightInd w:val="0"/>
              <w:snapToGrid w:val="0"/>
              <w:spacing w:line="300" w:lineRule="auto"/>
              <w:ind w:firstLine="482"/>
              <w:outlineLvl w:val="0"/>
              <w:rPr>
                <w:rFonts w:hint="default" w:ascii="Times New Roman" w:hAnsi="Times New Roman" w:cs="Times New Roman" w:eastAsiaTheme="minorEastAsia"/>
                <w:color w:val="000000" w:themeColor="text1"/>
                <w:sz w:val="11"/>
                <w:szCs w:val="11"/>
                <w14:textFill>
                  <w14:solidFill>
                    <w14:schemeClr w14:val="tx1"/>
                  </w14:solidFill>
                </w14:textFill>
              </w:rPr>
            </w:pPr>
          </w:p>
          <w:p>
            <w:pPr>
              <w:adjustRightInd w:val="0"/>
              <w:snapToGrid w:val="0"/>
              <w:spacing w:line="300" w:lineRule="auto"/>
              <w:ind w:firstLine="482"/>
              <w:outlineLvl w:val="0"/>
              <w:rPr>
                <w:rFonts w:hint="default" w:ascii="Times New Roman" w:hAnsi="Times New Roman" w:cs="Times New Roman" w:eastAsiaTheme="minorEastAsia"/>
                <w:color w:val="000000" w:themeColor="text1"/>
                <w:sz w:val="11"/>
                <w:szCs w:val="11"/>
                <w14:textFill>
                  <w14:solidFill>
                    <w14:schemeClr w14:val="tx1"/>
                  </w14:solidFill>
                </w14:textFill>
              </w:rPr>
            </w:pPr>
          </w:p>
          <w:p>
            <w:pPr>
              <w:adjustRightInd w:val="0"/>
              <w:snapToGrid w:val="0"/>
              <w:spacing w:line="300" w:lineRule="auto"/>
              <w:outlineLvl w:val="0"/>
              <w:rPr>
                <w:rFonts w:hint="default" w:ascii="Times New Roman" w:hAnsi="Times New Roman" w:cs="Times New Roman" w:eastAsiaTheme="minorEastAsia"/>
                <w:color w:val="000000" w:themeColor="text1"/>
                <w:sz w:val="11"/>
                <w:szCs w:val="11"/>
                <w14:textFill>
                  <w14:solidFill>
                    <w14:schemeClr w14:val="tx1"/>
                  </w14:solidFill>
                </w14:textFill>
              </w:rPr>
            </w:pPr>
          </w:p>
          <w:p>
            <w:pPr>
              <w:adjustRightInd w:val="0"/>
              <w:snapToGrid w:val="0"/>
              <w:spacing w:line="300" w:lineRule="auto"/>
              <w:outlineLvl w:val="0"/>
              <w:rPr>
                <w:rFonts w:hint="default" w:ascii="Times New Roman" w:hAnsi="Times New Roman" w:cs="Times New Roman" w:eastAsiaTheme="minorEastAsia"/>
                <w:color w:val="000000" w:themeColor="text1"/>
                <w:sz w:val="11"/>
                <w:szCs w:val="11"/>
                <w14:textFill>
                  <w14:solidFill>
                    <w14:schemeClr w14:val="tx1"/>
                  </w14:solidFill>
                </w14:textFill>
              </w:rPr>
            </w:pPr>
          </w:p>
        </w:tc>
      </w:tr>
    </w:tbl>
    <w:p>
      <w:pPr>
        <w:adjustRightInd w:val="0"/>
        <w:snapToGrid w:val="0"/>
        <w:spacing w:line="300" w:lineRule="auto"/>
        <w:ind w:firstLine="640" w:firstLineChars="200"/>
        <w:outlineLvl w:val="0"/>
        <w:rPr>
          <w:rFonts w:hint="default" w:ascii="Times New Roman" w:hAnsi="Times New Roman" w:cs="Times New Roman" w:eastAsiaTheme="minorEastAsia"/>
          <w:color w:val="000000" w:themeColor="text1"/>
          <w:sz w:val="32"/>
          <w:szCs w:val="32"/>
          <w14:textFill>
            <w14:solidFill>
              <w14:schemeClr w14:val="tx1"/>
            </w14:solidFill>
          </w14:textFill>
        </w:rPr>
        <w:sectPr>
          <w:pgSz w:w="11906" w:h="16838"/>
          <w:pgMar w:top="1418" w:right="1418" w:bottom="1418" w:left="1418" w:header="1134" w:footer="1134" w:gutter="0"/>
          <w:pgBorders>
            <w:top w:val="none" w:sz="0" w:space="0"/>
            <w:left w:val="none" w:sz="0" w:space="0"/>
            <w:bottom w:val="none" w:sz="0" w:space="0"/>
            <w:right w:val="none" w:sz="0" w:space="0"/>
          </w:pgBorders>
          <w:cols w:space="425" w:num="1"/>
          <w:docGrid w:type="linesAndChars" w:linePitch="312" w:charSpace="0"/>
        </w:sectPr>
      </w:pPr>
    </w:p>
    <w:p>
      <w:pPr>
        <w:adjustRightInd w:val="0"/>
        <w:snapToGrid w:val="0"/>
        <w:spacing w:line="300" w:lineRule="auto"/>
        <w:outlineLvl w:val="0"/>
        <w:rPr>
          <w:rFonts w:hint="default" w:ascii="Times New Roman" w:hAnsi="Times New Roman" w:cs="Times New Roman" w:eastAsiaTheme="minorEastAsia"/>
          <w:b/>
          <w:color w:val="000000" w:themeColor="text1"/>
          <w:sz w:val="32"/>
          <w:szCs w:val="32"/>
          <w14:textFill>
            <w14:solidFill>
              <w14:schemeClr w14:val="tx1"/>
            </w14:solidFill>
          </w14:textFill>
        </w:rPr>
      </w:pPr>
      <w:bookmarkStart w:id="3" w:name="_Toc19673"/>
      <w:r>
        <w:rPr>
          <w:rFonts w:hint="default" w:ascii="Times New Roman" w:hAnsi="Times New Roman" w:cs="Times New Roman" w:eastAsiaTheme="minorEastAsia"/>
          <w:b/>
          <w:color w:val="000000" w:themeColor="text1"/>
          <w:sz w:val="32"/>
          <w:szCs w:val="32"/>
          <w14:textFill>
            <w14:solidFill>
              <w14:schemeClr w14:val="tx1"/>
            </w14:solidFill>
          </w14:textFill>
        </w:rPr>
        <w:t>环境质量状况</w:t>
      </w:r>
      <w:bookmarkEnd w:id="3"/>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9040" w:type="dxa"/>
          </w:tcPr>
          <w:p>
            <w:pPr>
              <w:pStyle w:val="22"/>
              <w:adjustRightInd w:val="0"/>
              <w:snapToGrid w:val="0"/>
              <w:spacing w:line="300" w:lineRule="auto"/>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建设项目所在地区域环境质量现状及主要环境问题(环境空气、地面水、地下水、声环境、生态环境等)</w:t>
            </w:r>
          </w:p>
          <w:p>
            <w:pPr>
              <w:pStyle w:val="180"/>
              <w:keepNext w:val="0"/>
              <w:keepLines w:val="0"/>
              <w:pageBreakBefore w:val="0"/>
              <w:widowControl w:val="0"/>
              <w:numPr>
                <w:ilvl w:val="0"/>
                <w:numId w:val="6"/>
              </w:numPr>
              <w:kinsoku/>
              <w:wordWrap/>
              <w:overflowPunct/>
              <w:topLinePunct w:val="0"/>
              <w:autoSpaceDE/>
              <w:autoSpaceDN/>
              <w:bidi w:val="0"/>
              <w:adjustRightInd/>
              <w:spacing w:line="300" w:lineRule="auto"/>
              <w:ind w:firstLine="482"/>
              <w:textAlignment w:val="auto"/>
              <w:outlineLvl w:val="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环境空气质量现状</w:t>
            </w:r>
          </w:p>
          <w:p>
            <w:pPr>
              <w:keepNext w:val="0"/>
              <w:keepLines w:val="0"/>
              <w:pageBreakBefore w:val="0"/>
              <w:widowControl w:val="0"/>
              <w:kinsoku/>
              <w:wordWrap/>
              <w:overflowPunct/>
              <w:topLinePunct w:val="0"/>
              <w:autoSpaceDE/>
              <w:autoSpaceDN/>
              <w:bidi w:val="0"/>
              <w:adjustRightInd/>
              <w:snapToGrid w:val="0"/>
              <w:spacing w:line="300" w:lineRule="auto"/>
              <w:ind w:firstLine="480" w:firstLineChars="200"/>
              <w:jc w:val="left"/>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本项目地处农村地区，周边无工矿企业，无明显的大气污染源。为了解项目所在区域大气环境质量现状，本次评价收集了静乐县2018年各污染物</w:t>
            </w:r>
            <w:r>
              <w:rPr>
                <w:rFonts w:hint="default" w:ascii="Times New Roman" w:hAnsi="Times New Roman" w:cs="Times New Roman"/>
                <w:color w:val="000000" w:themeColor="text1"/>
                <w:sz w:val="24"/>
                <w:szCs w:val="24"/>
                <w:lang w:eastAsia="zh-CN"/>
                <w14:textFill>
                  <w14:solidFill>
                    <w14:schemeClr w14:val="tx1"/>
                  </w14:solidFill>
                </w14:textFill>
              </w:rPr>
              <w:t>例行监测数据统计</w:t>
            </w:r>
            <w:r>
              <w:rPr>
                <w:rFonts w:hint="default" w:ascii="Times New Roman" w:hAnsi="Times New Roman" w:cs="Times New Roman"/>
                <w:color w:val="000000" w:themeColor="text1"/>
                <w:sz w:val="24"/>
                <w:szCs w:val="24"/>
                <w14:textFill>
                  <w14:solidFill>
                    <w14:schemeClr w14:val="tx1"/>
                  </w14:solidFill>
                </w14:textFill>
              </w:rPr>
              <w:t>的年均值，相关数值见</w:t>
            </w:r>
            <w:r>
              <w:rPr>
                <w:rFonts w:hint="default" w:ascii="Times New Roman" w:hAnsi="Times New Roman" w:cs="Times New Roman"/>
                <w:color w:val="000000" w:themeColor="text1"/>
                <w:sz w:val="24"/>
                <w:szCs w:val="24"/>
                <w:lang w:val="en-US" w:eastAsia="zh-CN"/>
                <w14:textFill>
                  <w14:solidFill>
                    <w14:schemeClr w14:val="tx1"/>
                  </w14:solidFill>
                </w14:textFill>
              </w:rPr>
              <w:t>插</w:t>
            </w:r>
            <w:r>
              <w:rPr>
                <w:rFonts w:hint="default" w:ascii="Times New Roman" w:hAnsi="Times New Roman" w:cs="Times New Roman"/>
                <w:color w:val="000000" w:themeColor="text1"/>
                <w:sz w:val="24"/>
                <w:szCs w:val="24"/>
                <w14:textFill>
                  <w14:solidFill>
                    <w14:schemeClr w14:val="tx1"/>
                  </w14:solidFill>
                </w14:textFill>
              </w:rPr>
              <w:t>表</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插表1</w:t>
            </w:r>
            <w:r>
              <w:rPr>
                <w:rFonts w:hint="eastAsia" w:cs="Times New Roman" w:eastAsiaTheme="minorEastAsia"/>
                <w:b/>
                <w:bCs w:val="0"/>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2018年度静乐县大气污染物年均值</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36"/>
              <w:gridCol w:w="1398"/>
              <w:gridCol w:w="1523"/>
              <w:gridCol w:w="1523"/>
              <w:gridCol w:w="1435"/>
              <w:gridCol w:w="139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3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年评价指标</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现状浓度/（μg/Nm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标准值/（μg/Nm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占标率/%</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3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31</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51.67</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52.50</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81</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115.71</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94.29</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CO-95per</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1.2mg/Nm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4.0mg/Nm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30.00</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-8h-90per</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154</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96.25</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pPr>
              <w:pStyle w:val="18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由上表统计数据分析可知，项目所在地区域各污染物质量浓度除PM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超标外，其余监测因子质量浓度</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均</w:t>
            </w:r>
            <w:r>
              <w:rPr>
                <w:rFonts w:hint="default" w:ascii="Times New Roman" w:hAnsi="Times New Roman" w:cs="Times New Roman"/>
                <w:snapToGrid w:val="0"/>
                <w:color w:val="000000" w:themeColor="text1"/>
                <w:kern w:val="0"/>
                <w:sz w:val="24"/>
                <w:szCs w:val="24"/>
                <w14:textFill>
                  <w14:solidFill>
                    <w14:schemeClr w14:val="tx1"/>
                  </w14:solidFill>
                </w14:textFill>
              </w:rPr>
              <w:t>满足《环境空气质量标准》（GB3095-2012）中的二级标准限值要求，PM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出现超标主要是因为北方气候干燥，扬尘天气较多所致。</w:t>
            </w:r>
          </w:p>
          <w:p>
            <w:pPr>
              <w:pStyle w:val="18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项目评价区属于不达标区。</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pacing w:line="300" w:lineRule="auto"/>
              <w:ind w:firstLine="480" w:firstLineChars="200"/>
              <w:textAlignment w:val="auto"/>
              <w:outlineLvl w:val="9"/>
              <w:rPr>
                <w:rFonts w:hint="default" w:ascii="Times New Roman" w:hAnsi="Times New Roman"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二）地表水质量现状</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根据忻州市2018年1-12月</w:t>
            </w:r>
            <w:r>
              <w:rPr>
                <w:rFonts w:hint="eastAsia" w:cs="Times New Roman"/>
                <w:color w:val="000000" w:themeColor="text1"/>
                <w:sz w:val="24"/>
                <w:lang w:val="en-US" w:eastAsia="zh-CN"/>
                <w14:textFill>
                  <w14:solidFill>
                    <w14:schemeClr w14:val="tx1"/>
                  </w14:solidFill>
                </w14:textFill>
              </w:rPr>
              <w:t>份</w:t>
            </w:r>
            <w:r>
              <w:rPr>
                <w:rFonts w:hint="default" w:ascii="Times New Roman" w:hAnsi="Times New Roman" w:cs="Times New Roman"/>
                <w:color w:val="000000" w:themeColor="text1"/>
                <w:sz w:val="24"/>
                <w:lang w:val="en-US" w:eastAsia="zh-CN"/>
                <w14:textFill>
                  <w14:solidFill>
                    <w14:schemeClr w14:val="tx1"/>
                  </w14:solidFill>
                </w14:textFill>
              </w:rPr>
              <w:t>地表水环境质量状况的通报情况可知，2018年1月-12月</w:t>
            </w:r>
            <w:r>
              <w:rPr>
                <w:rFonts w:hint="eastAsia" w:cs="Times New Roman"/>
                <w:color w:val="000000" w:themeColor="text1"/>
                <w:sz w:val="24"/>
                <w:lang w:val="en-US" w:eastAsia="zh-CN"/>
                <w14:textFill>
                  <w14:solidFill>
                    <w14:schemeClr w14:val="tx1"/>
                  </w14:solidFill>
                </w14:textFill>
              </w:rPr>
              <w:t>份</w:t>
            </w:r>
            <w:r>
              <w:rPr>
                <w:rFonts w:hint="default" w:ascii="Times New Roman" w:hAnsi="Times New Roman" w:cs="Times New Roman"/>
                <w:color w:val="000000" w:themeColor="text1"/>
                <w:sz w:val="24"/>
                <w:lang w:val="en-US" w:eastAsia="zh-CN"/>
                <w14:textFill>
                  <w14:solidFill>
                    <w14:schemeClr w14:val="tx1"/>
                  </w14:solidFill>
                </w14:textFill>
              </w:rPr>
              <w:t>汾河河西村断面的汾河水质能够达到</w:t>
            </w:r>
            <w:r>
              <w:rPr>
                <w:rFonts w:hint="default" w:ascii="Times New Roman" w:hAnsi="Times New Roman" w:cs="Times New Roman"/>
                <w:color w:val="000000" w:themeColor="text1"/>
                <w14:textFill>
                  <w14:solidFill>
                    <w14:schemeClr w14:val="tx1"/>
                  </w14:solidFill>
                </w14:textFill>
              </w:rPr>
              <w:t>《地表水环境质量标准》（GB3838-2002）中</w:t>
            </w:r>
            <w:r>
              <w:rPr>
                <w:rFonts w:hint="default" w:ascii="Times New Roman" w:hAnsi="Times New Roman" w:cs="Times New Roman"/>
                <w:color w:val="000000" w:themeColor="text1"/>
                <w:lang w:val="en-US" w:eastAsia="zh-CN"/>
                <w14:textFill>
                  <w14:solidFill>
                    <w14:schemeClr w14:val="tx1"/>
                  </w14:solidFill>
                </w14:textFill>
              </w:rPr>
              <w:t>II类水质标准，同比水质有所改善。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无废水外排，不会对地表水体产生明显影响</w:t>
            </w:r>
            <w:r>
              <w:rPr>
                <w:rFonts w:hint="default" w:ascii="Times New Roman" w:hAnsi="Times New Roman" w:cs="Times New Roman"/>
                <w:bCs/>
                <w:color w:val="000000" w:themeColor="text1"/>
                <w:sz w:val="24"/>
                <w14:textFill>
                  <w14:solidFill>
                    <w14:schemeClr w14:val="tx1"/>
                  </w14:solidFill>
                </w14:textFill>
              </w:rPr>
              <w:t>。</w:t>
            </w:r>
          </w:p>
          <w:p>
            <w:pPr>
              <w:pStyle w:val="180"/>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三</w:t>
            </w:r>
            <w:r>
              <w:rPr>
                <w:rFonts w:hint="default" w:ascii="Times New Roman" w:hAnsi="Times New Roman" w:cs="Times New Roman"/>
                <w:b/>
                <w:color w:val="000000" w:themeColor="text1"/>
                <w14:textFill>
                  <w14:solidFill>
                    <w14:schemeClr w14:val="tx1"/>
                  </w14:solidFill>
                </w14:textFill>
              </w:rPr>
              <w:t>）声环境质量现状</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为了解项目区声环境质量现状，本次评价对场区的声环境进行了现状监测。</w:t>
            </w:r>
          </w:p>
          <w:p>
            <w:pPr>
              <w:pStyle w:val="180"/>
              <w:ind w:firstLine="482"/>
              <w:rPr>
                <w:rFonts w:hint="default" w:ascii="Times New Roman" w:hAnsi="Times New Roman" w:cs="Times New Roman"/>
                <w:b/>
                <w:color w:val="000000" w:themeColor="text1"/>
                <w14:textFill>
                  <w14:solidFill>
                    <w14:schemeClr w14:val="tx1"/>
                  </w14:solidFill>
                </w14:textFill>
              </w:rPr>
            </w:pPr>
            <w:bookmarkStart w:id="4" w:name="_Toc427589029"/>
            <w:r>
              <w:rPr>
                <w:rFonts w:hint="default" w:ascii="Times New Roman" w:hAnsi="Times New Roman" w:cs="Times New Roman"/>
                <w:b/>
                <w:color w:val="000000" w:themeColor="text1"/>
                <w14:textFill>
                  <w14:solidFill>
                    <w14:schemeClr w14:val="tx1"/>
                  </w14:solidFill>
                </w14:textFill>
              </w:rPr>
              <w:t>1. 声环境</w:t>
            </w:r>
            <w:r>
              <w:rPr>
                <w:rFonts w:hint="default" w:ascii="Times New Roman" w:hAnsi="Times New Roman" w:cs="Times New Roman"/>
                <w:b/>
                <w:color w:val="000000" w:themeColor="text1"/>
                <w:lang w:val="en-US" w:eastAsia="zh-CN"/>
                <w14:textFill>
                  <w14:solidFill>
                    <w14:schemeClr w14:val="tx1"/>
                  </w14:solidFill>
                </w14:textFill>
              </w:rPr>
              <w:t>质量</w:t>
            </w:r>
            <w:r>
              <w:rPr>
                <w:rFonts w:hint="default" w:ascii="Times New Roman" w:hAnsi="Times New Roman" w:cs="Times New Roman"/>
                <w:b/>
                <w:color w:val="000000" w:themeColor="text1"/>
                <w14:textFill>
                  <w14:solidFill>
                    <w14:schemeClr w14:val="tx1"/>
                  </w14:solidFill>
                </w14:textFill>
              </w:rPr>
              <w:t>现状调查</w:t>
            </w:r>
            <w:bookmarkEnd w:id="4"/>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（1）声环境功能区划</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本项目所在区域属于村庄地区，尚未进行声环境功能区划。</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（2）区域主要噪声污染源</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经现场调查，本项目评价范围内无</w:t>
            </w:r>
            <w:r>
              <w:rPr>
                <w:rFonts w:hint="eastAsia" w:cs="Times New Roman"/>
                <w:color w:val="000000" w:themeColor="text1"/>
                <w:lang w:eastAsia="zh-CN"/>
                <w14:textFill>
                  <w14:solidFill>
                    <w14:schemeClr w14:val="tx1"/>
                  </w14:solidFill>
                </w14:textFill>
              </w:rPr>
              <w:t>产生强噪声</w:t>
            </w:r>
            <w:r>
              <w:rPr>
                <w:rFonts w:hint="default" w:ascii="Times New Roman" w:hAnsi="Times New Roman" w:cs="Times New Roman"/>
                <w:color w:val="000000" w:themeColor="text1"/>
                <w14:textFill>
                  <w14:solidFill>
                    <w14:schemeClr w14:val="tx1"/>
                  </w14:solidFill>
                </w14:textFill>
              </w:rPr>
              <w:t>的大型工矿企业分布。</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评价范围内噪声污染源主要是来自周边村庄的社会生活噪声，距离最近的村庄为王</w:t>
            </w:r>
            <w:r>
              <w:rPr>
                <w:rFonts w:hint="default" w:ascii="Times New Roman" w:hAnsi="Times New Roman" w:cs="Times New Roman"/>
                <w:color w:val="000000" w:themeColor="text1"/>
                <w:lang w:val="en-US" w:eastAsia="zh-CN"/>
                <w14:textFill>
                  <w14:solidFill>
                    <w14:schemeClr w14:val="tx1"/>
                  </w14:solidFill>
                </w14:textFill>
              </w:rPr>
              <w:t>村</w:t>
            </w:r>
            <w:r>
              <w:rPr>
                <w:rFonts w:hint="default" w:ascii="Times New Roman" w:hAnsi="Times New Roman" w:cs="Times New Roman"/>
                <w:color w:val="000000" w:themeColor="text1"/>
                <w14:textFill>
                  <w14:solidFill>
                    <w14:schemeClr w14:val="tx1"/>
                  </w14:solidFill>
                </w14:textFill>
              </w:rPr>
              <w:t>，约</w:t>
            </w:r>
            <w:r>
              <w:rPr>
                <w:rFonts w:hint="default" w:ascii="Times New Roman" w:hAnsi="Times New Roman" w:cs="Times New Roman"/>
                <w:color w:val="000000" w:themeColor="text1"/>
                <w:lang w:val="en-US" w:eastAsia="zh-CN"/>
                <w14:textFill>
                  <w14:solidFill>
                    <w14:schemeClr w14:val="tx1"/>
                  </w14:solidFill>
                </w14:textFill>
              </w:rPr>
              <w:t>521</w:t>
            </w:r>
            <w:r>
              <w:rPr>
                <w:rFonts w:hint="default" w:ascii="Times New Roman" w:hAnsi="Times New Roman" w:cs="Times New Roman"/>
                <w:color w:val="000000" w:themeColor="text1"/>
                <w14:textFill>
                  <w14:solidFill>
                    <w14:schemeClr w14:val="tx1"/>
                  </w14:solidFill>
                </w14:textFill>
              </w:rPr>
              <w:t>m。</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（3）声环境保护目标</w:t>
            </w:r>
          </w:p>
          <w:p>
            <w:pPr>
              <w:adjustRightInd w:val="0"/>
              <w:snapToGrid w:val="0"/>
              <w:spacing w:line="300" w:lineRule="auto"/>
              <w:ind w:firstLine="480" w:firstLineChars="200"/>
              <w:jc w:val="left"/>
              <w:rPr>
                <w:rFonts w:hint="default" w:ascii="Times New Roman" w:hAnsi="Times New Roman" w:cs="Times New Roman"/>
                <w:color w:val="000000" w:themeColor="text1"/>
                <w:kern w:val="0"/>
                <w:sz w:val="24"/>
                <w:szCs w:val="20"/>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本项目位于山区，距离最近的村庄约</w:t>
            </w:r>
            <w:r>
              <w:rPr>
                <w:rFonts w:hint="default" w:ascii="Times New Roman" w:hAnsi="Times New Roman" w:cs="Times New Roman"/>
                <w:color w:val="000000" w:themeColor="text1"/>
                <w:kern w:val="0"/>
                <w:sz w:val="24"/>
                <w:szCs w:val="20"/>
                <w:lang w:val="en-US" w:eastAsia="zh-CN"/>
                <w14:textFill>
                  <w14:solidFill>
                    <w14:schemeClr w14:val="tx1"/>
                  </w14:solidFill>
                </w14:textFill>
              </w:rPr>
              <w:t>521</w:t>
            </w:r>
            <w:r>
              <w:rPr>
                <w:rFonts w:hint="default" w:ascii="Times New Roman" w:hAnsi="Times New Roman" w:cs="Times New Roman"/>
                <w:color w:val="000000" w:themeColor="text1"/>
                <w:kern w:val="0"/>
                <w:sz w:val="24"/>
                <w:szCs w:val="20"/>
                <w14:textFill>
                  <w14:solidFill>
                    <w14:schemeClr w14:val="tx1"/>
                  </w14:solidFill>
                </w14:textFill>
              </w:rPr>
              <w:t>m，评价范围内无声环境敏感点。</w:t>
            </w:r>
          </w:p>
          <w:p>
            <w:pPr>
              <w:pStyle w:val="180"/>
              <w:ind w:firstLine="482"/>
              <w:rPr>
                <w:rFonts w:hint="default" w:ascii="Times New Roman" w:hAnsi="Times New Roman" w:cs="Times New Roman"/>
                <w:b/>
                <w:color w:val="000000" w:themeColor="text1"/>
                <w14:textFill>
                  <w14:solidFill>
                    <w14:schemeClr w14:val="tx1"/>
                  </w14:solidFill>
                </w14:textFill>
              </w:rPr>
            </w:pPr>
            <w:bookmarkStart w:id="5" w:name="_Toc427589030"/>
            <w:r>
              <w:rPr>
                <w:rFonts w:hint="default" w:ascii="Times New Roman" w:hAnsi="Times New Roman" w:cs="Times New Roman"/>
                <w:b/>
                <w:color w:val="000000" w:themeColor="text1"/>
                <w14:textFill>
                  <w14:solidFill>
                    <w14:schemeClr w14:val="tx1"/>
                  </w14:solidFill>
                </w14:textFill>
              </w:rPr>
              <w:t>2. 声环境</w:t>
            </w:r>
            <w:r>
              <w:rPr>
                <w:rFonts w:hint="default" w:ascii="Times New Roman" w:hAnsi="Times New Roman" w:cs="Times New Roman"/>
                <w:b/>
                <w:color w:val="000000" w:themeColor="text1"/>
                <w:lang w:val="en-US" w:eastAsia="zh-CN"/>
                <w14:textFill>
                  <w14:solidFill>
                    <w14:schemeClr w14:val="tx1"/>
                  </w14:solidFill>
                </w14:textFill>
              </w:rPr>
              <w:t>质量</w:t>
            </w:r>
            <w:r>
              <w:rPr>
                <w:rFonts w:hint="default" w:ascii="Times New Roman" w:hAnsi="Times New Roman" w:cs="Times New Roman"/>
                <w:b/>
                <w:color w:val="000000" w:themeColor="text1"/>
                <w14:textFill>
                  <w14:solidFill>
                    <w14:schemeClr w14:val="tx1"/>
                  </w14:solidFill>
                </w14:textFill>
              </w:rPr>
              <w:t>现状监测</w:t>
            </w:r>
            <w:bookmarkEnd w:id="5"/>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（1）监测布点</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w:t>
            </w:r>
            <w:r>
              <w:rPr>
                <w:rFonts w:hint="default" w:ascii="Times New Roman" w:hAnsi="Times New Roman" w:cs="Times New Roman"/>
                <w:color w:val="000000" w:themeColor="text1"/>
                <w:lang w:eastAsia="zh-CN"/>
                <w14:textFill>
                  <w14:solidFill>
                    <w14:schemeClr w14:val="tx1"/>
                  </w14:solidFill>
                </w14:textFill>
              </w:rPr>
              <w:t>井场</w:t>
            </w:r>
            <w:r>
              <w:rPr>
                <w:rFonts w:hint="default" w:ascii="Times New Roman" w:hAnsi="Times New Roman" w:cs="Times New Roman"/>
                <w:color w:val="000000" w:themeColor="text1"/>
                <w14:textFill>
                  <w14:solidFill>
                    <w14:schemeClr w14:val="tx1"/>
                  </w14:solidFill>
                </w14:textFill>
              </w:rPr>
              <w:t>北、东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南、西场界各布设一个噪声监测点，监测点位设置情况见插表</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，监测布点示意图见插图</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pStyle w:val="180"/>
              <w:ind w:firstLine="1440" w:firstLineChars="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c">
                  <w:drawing>
                    <wp:inline distT="0" distB="0" distL="0" distR="0">
                      <wp:extent cx="3578860" cy="2120900"/>
                      <wp:effectExtent l="4445" t="4445" r="17145" b="8255"/>
                      <wp:docPr id="282" name="画布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188" name="矩形 286"/>
                              <wps:cNvSpPr/>
                              <wps:spPr>
                                <a:xfrm>
                                  <a:off x="640079" y="394745"/>
                                  <a:ext cx="2342271" cy="1153551"/>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9" name="文本框 287"/>
                              <wps:cNvSpPr txBox="1"/>
                              <wps:spPr>
                                <a:xfrm flipH="1">
                                  <a:off x="1174498" y="36005"/>
                                  <a:ext cx="300990" cy="302895"/>
                                </a:xfrm>
                                <a:prstGeom prst="rect">
                                  <a:avLst/>
                                </a:prstGeom>
                                <a:solidFill>
                                  <a:schemeClr val="lt1"/>
                                </a:solidFill>
                                <a:ln w="6350">
                                  <a:solidFill>
                                    <a:schemeClr val="bg1"/>
                                  </a:solidFill>
                                </a:ln>
                              </wps:spPr>
                              <wps:txbx>
                                <w:txbxContent>
                                  <w:p>
                                    <w:r>
                                      <w:rPr>
                                        <w:rFonts w:hint="eastAsia"/>
                                      </w:rPr>
                                      <w:t>1</w:t>
                                    </w:r>
                                    <w:r>
                                      <w:rPr>
                                        <w:vertAlign w:val="superscript"/>
                                      </w:rPr>
                                      <w:t>#</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0" name="等腰三角形 288"/>
                              <wps:cNvSpPr/>
                              <wps:spPr>
                                <a:xfrm>
                                  <a:off x="1519249" y="113372"/>
                                  <a:ext cx="140738" cy="12663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1" name="文本框 150"/>
                              <wps:cNvSpPr txBox="1"/>
                              <wps:spPr>
                                <a:xfrm flipH="1">
                                  <a:off x="3221355" y="1161415"/>
                                  <a:ext cx="300990" cy="302895"/>
                                </a:xfrm>
                                <a:prstGeom prst="rect">
                                  <a:avLst/>
                                </a:prstGeom>
                                <a:solidFill>
                                  <a:schemeClr val="lt1"/>
                                </a:solidFill>
                                <a:ln w="6350">
                                  <a:solidFill>
                                    <a:schemeClr val="bg1"/>
                                  </a:solidFill>
                                </a:ln>
                              </wps:spPr>
                              <wps:txbx>
                                <w:txbxContent>
                                  <w:p>
                                    <w:r>
                                      <w:t>2</w:t>
                                    </w:r>
                                    <w:r>
                                      <w:rPr>
                                        <w:vertAlign w:val="superscript"/>
                                      </w:rPr>
                                      <w:t>#</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2" name="文本框 151"/>
                              <wps:cNvSpPr txBox="1"/>
                              <wps:spPr>
                                <a:xfrm>
                                  <a:off x="161925" y="949960"/>
                                  <a:ext cx="300990" cy="280035"/>
                                </a:xfrm>
                                <a:prstGeom prst="rect">
                                  <a:avLst/>
                                </a:prstGeom>
                                <a:solidFill>
                                  <a:schemeClr val="lt1"/>
                                </a:solidFill>
                                <a:ln w="6350">
                                  <a:solidFill>
                                    <a:schemeClr val="bg1"/>
                                  </a:solidFill>
                                </a:ln>
                              </wps:spPr>
                              <wps:txbx>
                                <w:txbxContent>
                                  <w:p>
                                    <w:r>
                                      <w:t>4</w:t>
                                    </w:r>
                                    <w:r>
                                      <w:rPr>
                                        <w:vertAlign w:val="superscript"/>
                                      </w:rPr>
                                      <w:t>#</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3" name="文本框 152"/>
                              <wps:cNvSpPr txBox="1"/>
                              <wps:spPr>
                                <a:xfrm flipH="1">
                                  <a:off x="1779562" y="1560500"/>
                                  <a:ext cx="300990" cy="408305"/>
                                </a:xfrm>
                                <a:prstGeom prst="rect">
                                  <a:avLst/>
                                </a:prstGeom>
                                <a:solidFill>
                                  <a:schemeClr val="lt1"/>
                                </a:solidFill>
                                <a:ln w="6350">
                                  <a:solidFill>
                                    <a:schemeClr val="bg1"/>
                                  </a:solidFill>
                                </a:ln>
                              </wps:spPr>
                              <wps:txbx>
                                <w:txbxContent>
                                  <w:p>
                                    <w:r>
                                      <w:t>3</w:t>
                                    </w:r>
                                    <w:r>
                                      <w:rPr>
                                        <w:vertAlign w:val="superscript"/>
                                      </w:rPr>
                                      <w:t>#</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4" name="等腰三角形 153"/>
                              <wps:cNvSpPr/>
                              <wps:spPr>
                                <a:xfrm>
                                  <a:off x="414935" y="1006670"/>
                                  <a:ext cx="140738" cy="12663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等腰三角形 154"/>
                              <wps:cNvSpPr/>
                              <wps:spPr>
                                <a:xfrm>
                                  <a:off x="1540351" y="1618615"/>
                                  <a:ext cx="140738" cy="12663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6" name="等腰三角形 155"/>
                              <wps:cNvSpPr/>
                              <wps:spPr>
                                <a:xfrm>
                                  <a:off x="3151101" y="1006697"/>
                                  <a:ext cx="140738" cy="12663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7" name="直接箭头连接符 289"/>
                              <wps:cNvCnPr/>
                              <wps:spPr>
                                <a:xfrm flipV="1">
                                  <a:off x="3388848" y="203981"/>
                                  <a:ext cx="0" cy="3727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文本框 290"/>
                              <wps:cNvSpPr txBox="1"/>
                              <wps:spPr>
                                <a:xfrm>
                                  <a:off x="3221355" y="435186"/>
                                  <a:ext cx="323215" cy="358775"/>
                                </a:xfrm>
                                <a:prstGeom prst="rect">
                                  <a:avLst/>
                                </a:prstGeom>
                                <a:solidFill>
                                  <a:schemeClr val="lt1"/>
                                </a:solidFill>
                                <a:ln w="6350">
                                  <a:solidFill>
                                    <a:schemeClr val="bg1"/>
                                  </a:solidFill>
                                </a:ln>
                              </wps:spPr>
                              <wps:txbx>
                                <w:txbxContent>
                                  <w:p>
                                    <w:r>
                                      <w:rPr>
                                        <w:rFonts w:hint="eastAsia"/>
                                      </w:rPr>
                                      <w:t>北</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9" name="文本框 158"/>
                              <wps:cNvSpPr txBox="1"/>
                              <wps:spPr>
                                <a:xfrm>
                                  <a:off x="1603571" y="855740"/>
                                  <a:ext cx="456565" cy="358140"/>
                                </a:xfrm>
                                <a:prstGeom prst="rect">
                                  <a:avLst/>
                                </a:prstGeom>
                                <a:solidFill>
                                  <a:schemeClr val="lt1"/>
                                </a:solidFill>
                                <a:ln w="6350">
                                  <a:solidFill>
                                    <a:schemeClr val="bg1"/>
                                  </a:solidFill>
                                </a:ln>
                              </wps:spPr>
                              <wps:txbx>
                                <w:txbxContent>
                                  <w:p>
                                    <w:r>
                                      <w:rPr>
                                        <w:rFonts w:hint="eastAsia"/>
                                      </w:rPr>
                                      <w:t>场址</w:t>
                                    </w:r>
                                  </w:p>
                                </w:txbxContent>
                              </wps:txbx>
                              <wps:bodyPr rot="0" spcFirstLastPara="0" vertOverflow="overflow" horzOverflow="overflow" vert="horz" wrap="non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7pt;width:281.8pt;" coordsize="3578860,2120900" editas="canvas" o:gfxdata="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B8CEV61AAAAAUBAAAPAAAAAAAAAAEAIAAAACIAAABk&#10;cnMvZG93bnJldi54bWxQSwECFAAUAAAACACHTuJAMo/sHtMFAAD7JQAADgAAAAAAAAABACAAAAAj&#10;AQAAZHJzL2Uyb0RvYy54bWxQSwUGAAAAAAYABgBZAQAAaAkAAAAA&#10;">
                      <o:lock v:ext="edit" aspectratio="f"/>
                      <v:shape id="_x0000_s1026" o:spid="_x0000_s1026" style="position:absolute;left:0;top:0;height:2120900;width:3578860;" filled="f" stroked="t" coordsize="21600,21600" o:gfxdata="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AAAAAGRycy9QSwEC&#10;FAAUAAAACACHTuJAfAhFetQAAAAFAQAADwAAAAAAAAABACAAAAAiAAAAZHJzL2Rvd25yZXYueG1s&#10;UEsBAhQAFAAAAAgAh07iQMLehJSMBQAAiiUAAA4AAAAAAAAAAQAgAAAAIwEAAGRycy9lMm9Eb2Mu&#10;eG1sUEsFBgAAAAAGAAYAWQEAACEJAAAAAA==&#10;">
                        <v:fill on="f" focussize="0,0"/>
                        <v:stroke color="#000000 [3213]" joinstyle="round"/>
                        <v:imagedata o:title=""/>
                        <o:lock v:ext="edit" aspectratio="t"/>
                      </v:shape>
                      <v:rect id="矩形 286" o:spid="_x0000_s1026" o:spt="1" style="position:absolute;left:640079;top:394745;height:1153551;width:2342271;v-text-anchor:middle;" fillcolor="#FFFFFF [3212]" filled="t" stroked="t" coordsize="21600,21600" o:gfxdata="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d3Ja9cAAAAF&#10;AQAADwAAAAAAAAABACAAAAAiAAAAZHJzL2Rvd25yZXYueG1sUEsBAhQAFAAAAAgAh07iQCfLtK9W&#10;AgAAnQQAAA4AAAAAAAAAAQAgAAAAJgEAAGRycy9lMm9Eb2MueG1sUEsFBgAAAAAGAAYAWQEAAO4F&#10;AAAAAA==&#10;">
                        <v:fill on="t" focussize="0,0"/>
                        <v:stroke weight="0.25pt" color="#000000 [3213]" joinstyle="round"/>
                        <v:imagedata o:title=""/>
                        <o:lock v:ext="edit" aspectratio="f"/>
                      </v:rect>
                      <v:shape id="文本框 287" o:spid="_x0000_s1026" o:spt="202" type="#_x0000_t202" style="position:absolute;left:1174498;top:36005;flip:x;height:302895;width:300990;mso-wrap-style:none;" fillcolor="#FFFFFF [3201]" filled="t" stroked="t" coordsize="21600,21600" o:gfxdata="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53XaM1QAAAAUBAAAPAAAAAAAAAAEAIAAA&#10;ACIAAABkcnMvZG93bnJldi54bWxQSwECFAAUAAAACACHTuJANuRT20gCAAB/BAAADgAAAAAAAAAB&#10;ACAAAAAkAQAAZHJzL2Uyb0RvYy54bWxQSwUGAAAAAAYABgBZAQAA3gUAAAAA&#10;">
                        <v:fill on="t" focussize="0,0"/>
                        <v:stroke weight="0.5pt" color="#FFFFFF [3212]" joinstyle="round"/>
                        <v:imagedata o:title=""/>
                        <o:lock v:ext="edit" aspectratio="f"/>
                        <v:textbox>
                          <w:txbxContent>
                            <w:p>
                              <w:r>
                                <w:rPr>
                                  <w:rFonts w:hint="eastAsia"/>
                                </w:rPr>
                                <w:t>1</w:t>
                              </w:r>
                              <w:r>
                                <w:rPr>
                                  <w:vertAlign w:val="superscript"/>
                                </w:rPr>
                                <w:t>#</w:t>
                              </w:r>
                            </w:p>
                          </w:txbxContent>
                        </v:textbox>
                      </v:shape>
                      <v:shape id="等腰三角形 288" o:spid="_x0000_s1026" o:spt="5" type="#_x0000_t5" style="position:absolute;left:1519249;top:113372;height:126630;width:140738;v-text-anchor:middle;" fillcolor="#000000 [3213]" filled="t" stroked="t" coordsize="21600,21600" o:gfxdata="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F8S79QAAAAFAQAADwAAAAAAAAABACAAAAAiAAAAZHJzL2Rvd25yZXYueG1sUEsBAhQAFAAA&#10;AAgAh07iQKSYypZlAgAAqgQAAA4AAAAAAAAAAQAgAAAAIwEAAGRycy9lMm9Eb2MueG1sUEsFBgAA&#10;AAAGAAYAWQEAAPoFAAAAAA==&#10;" adj="10800">
                        <v:fill on="t" focussize="0,0"/>
                        <v:stroke weight="2pt" color="#000000 [3213]" joinstyle="round"/>
                        <v:imagedata o:title=""/>
                        <o:lock v:ext="edit" aspectratio="f"/>
                      </v:shape>
                      <v:shape id="文本框 150" o:spid="_x0000_s1026" o:spt="202" type="#_x0000_t202" style="position:absolute;left:3221355;top:1161415;flip:x;height:302895;width:300990;mso-wrap-style:none;" fillcolor="#FFFFFF [3201]" filled="t" stroked="t" coordsize="21600,21600" o:gfxdata="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nddozVAAAABQEAAA8AAAAAAAAAAQAgAAAAIgAA&#10;AGRycy9kb3ducmV2LnhtbFBLAQIUABQAAAAIAIdO4kDLXrMARAIAAIEEAAAOAAAAAAAAAAEAIAAA&#10;ACQBAABkcnMvZTJvRG9jLnhtbFBLBQYAAAAABgAGAFkBAADaBQAAAAA=&#10;">
                        <v:fill on="t" focussize="0,0"/>
                        <v:stroke weight="0.5pt" color="#FFFFFF [3212]" joinstyle="round"/>
                        <v:imagedata o:title=""/>
                        <o:lock v:ext="edit" aspectratio="f"/>
                        <v:textbox>
                          <w:txbxContent>
                            <w:p>
                              <w:r>
                                <w:t>2</w:t>
                              </w:r>
                              <w:r>
                                <w:rPr>
                                  <w:vertAlign w:val="superscript"/>
                                </w:rPr>
                                <w:t>#</w:t>
                              </w:r>
                            </w:p>
                          </w:txbxContent>
                        </v:textbox>
                      </v:shape>
                      <v:shape id="文本框 151" o:spid="_x0000_s1026" o:spt="202" type="#_x0000_t202" style="position:absolute;left:161925;top:949960;height:280035;width:300990;mso-wrap-style:none;" fillcolor="#FFFFFF [3201]" filled="t" stroked="t" coordsize="21600,21600" o:gfxdata="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OAN9UAAAAFAQAADwAAAAAAAAABACAAAAAiAAAAZHJz&#10;L2Rvd25yZXYueG1sUEsBAhQAFAAAAAgAh07iQKYquH1AAgAAdQQAAA4AAAAAAAAAAQAgAAAAJAEA&#10;AGRycy9lMm9Eb2MueG1sUEsFBgAAAAAGAAYAWQEAANYFAAAAAA==&#10;">
                        <v:fill on="t" focussize="0,0"/>
                        <v:stroke weight="0.5pt" color="#FFFFFF [3212]" joinstyle="round"/>
                        <v:imagedata o:title=""/>
                        <o:lock v:ext="edit" aspectratio="f"/>
                        <v:textbox>
                          <w:txbxContent>
                            <w:p>
                              <w:r>
                                <w:t>4</w:t>
                              </w:r>
                              <w:r>
                                <w:rPr>
                                  <w:vertAlign w:val="superscript"/>
                                </w:rPr>
                                <w:t>#</w:t>
                              </w:r>
                            </w:p>
                          </w:txbxContent>
                        </v:textbox>
                      </v:shape>
                      <v:shape id="文本框 152" o:spid="_x0000_s1026" o:spt="202" type="#_x0000_t202" style="position:absolute;left:1779562;top:1560500;flip:x;height:408305;width:300990;mso-wrap-style:none;" fillcolor="#FFFFFF [3201]" filled="t" stroked="t" coordsize="21600,21600" o:gfxdata="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53XaM1QAAAAUBAAAPAAAAAAAAAAEAIAAA&#10;ACIAAABkcnMvZG93bnJldi54bWxQSwECFAAUAAAACACHTuJAA/8PpkgCAACBBAAADgAAAAAAAAAB&#10;ACAAAAAkAQAAZHJzL2Uyb0RvYy54bWxQSwUGAAAAAAYABgBZAQAA3gUAAAAA&#10;">
                        <v:fill on="t" focussize="0,0"/>
                        <v:stroke weight="0.5pt" color="#FFFFFF [3212]" joinstyle="round"/>
                        <v:imagedata o:title=""/>
                        <o:lock v:ext="edit" aspectratio="f"/>
                        <v:textbox>
                          <w:txbxContent>
                            <w:p>
                              <w:r>
                                <w:t>3</w:t>
                              </w:r>
                              <w:r>
                                <w:rPr>
                                  <w:vertAlign w:val="superscript"/>
                                </w:rPr>
                                <w:t>#</w:t>
                              </w:r>
                            </w:p>
                          </w:txbxContent>
                        </v:textbox>
                      </v:shape>
                      <v:shape id="等腰三角形 153" o:spid="_x0000_s1026" o:spt="5" type="#_x0000_t5" style="position:absolute;left:414935;top:1006670;height:126630;width:140738;v-text-anchor:middle;" fillcolor="#000000 [3213]" filled="t" stroked="t" coordsize="21600,21600" o:gfxdata="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BfEu/UAAAABQEAAA8AAAAAAAAAAQAgAAAAIgAAAGRycy9kb3ducmV2LnhtbFBLAQIUABQA&#10;AAAIAIdO4kBMi1i/ZgIAAKoEAAAOAAAAAAAAAAEAIAAAACMBAABkcnMvZTJvRG9jLnhtbFBLBQYA&#10;AAAABgAGAFkBAAD7BQAAAAA=&#10;" adj="10800">
                        <v:fill on="t" focussize="0,0"/>
                        <v:stroke weight="2pt" color="#000000 [3213]" joinstyle="round"/>
                        <v:imagedata o:title=""/>
                        <o:lock v:ext="edit" aspectratio="f"/>
                      </v:shape>
                      <v:shape id="等腰三角形 154" o:spid="_x0000_s1026" o:spt="5" type="#_x0000_t5" style="position:absolute;left:1540351;top:1618615;height:126630;width:140738;v-text-anchor:middle;" fillcolor="#000000 [3213]" filled="t" stroked="t" coordsize="21600,21600" o:gfxdata="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BfEu/UAAAABQEAAA8AAAAAAAAAAQAgAAAAIgAAAGRycy9kb3ducmV2LnhtbFBLAQIUABQA&#10;AAAIAIdO4kCHeObyZgIAAKsEAAAOAAAAAAAAAAEAIAAAACMBAABkcnMvZTJvRG9jLnhtbFBLBQYA&#10;AAAABgAGAFkBAAD7BQAAAAA=&#10;" adj="10800">
                        <v:fill on="t" focussize="0,0"/>
                        <v:stroke weight="2pt" color="#000000 [3213]" joinstyle="round"/>
                        <v:imagedata o:title=""/>
                        <o:lock v:ext="edit" aspectratio="f"/>
                      </v:shape>
                      <v:shape id="等腰三角形 155" o:spid="_x0000_s1026" o:spt="5" type="#_x0000_t5" style="position:absolute;left:3151101;top:1006697;height:126630;width:140738;v-text-anchor:middle;" fillcolor="#000000 [3213]" filled="t" stroked="t" coordsize="21600,21600" o:gfxdata="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F8S79QAAAAFAQAADwAAAAAAAAABACAAAAAiAAAAZHJzL2Rvd25yZXYueG1sUEsBAhQA&#10;FAAAAAgAh07iQNgNvztoAgAAqwQAAA4AAAAAAAAAAQAgAAAAIwEAAGRycy9lMm9Eb2MueG1sUEsF&#10;BgAAAAAGAAYAWQEAAP0FAAAAAA==&#10;" adj="10800">
                        <v:fill on="t" focussize="0,0"/>
                        <v:stroke weight="2pt" color="#000000 [3213]" joinstyle="round"/>
                        <v:imagedata o:title=""/>
                        <o:lock v:ext="edit" aspectratio="f"/>
                      </v:shape>
                      <v:shape id="直接箭头连接符 289" o:spid="_x0000_s1026" o:spt="32" type="#_x0000_t32" style="position:absolute;left:3388848;top:203981;flip:y;height:372794;width:0;" filled="f" stroked="t" coordsize="21600,21600" o:gfxdata="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6GRLWAAAABQEAAA8AAAAAAAAAAQAgAAAA&#10;IgAAAGRycy9kb3ducmV2LnhtbFBLAQIUABQAAAAIAIdO4kA6jtuODQIAAM0DAAAOAAAAAAAAAAEA&#10;IAAAACUBAABkcnMvZTJvRG9jLnhtbFBLBQYAAAAABgAGAFkBAACkBQAAAAA=&#10;">
                        <v:fill on="f" focussize="0,0"/>
                        <v:stroke color="#000000 [3200]" joinstyle="round" endarrow="block"/>
                        <v:imagedata o:title=""/>
                        <o:lock v:ext="edit" aspectratio="f"/>
                      </v:shape>
                      <v:shape id="文本框 290" o:spid="_x0000_s1026" o:spt="202" type="#_x0000_t202" style="position:absolute;left:3221355;top:435186;height:358775;width:323215;mso-wrap-style:none;" fillcolor="#FFFFFF [3201]" filled="t" stroked="t" coordsize="21600,21600" o:gfxdata="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OAN9UAAAAFAQAADwAAAAAAAAABACAAAAAiAAAAZHJz&#10;L2Rvd25yZXYueG1sUEsBAhQAFAAAAAgAh07iQKwFI3VAAgAAdgQAAA4AAAAAAAAAAQAgAAAAJAEA&#10;AGRycy9lMm9Eb2MueG1sUEsFBgAAAAAGAAYAWQEAANYFAAAAAA==&#10;">
                        <v:fill on="t" focussize="0,0"/>
                        <v:stroke weight="0.5pt" color="#FFFFFF [3212]" joinstyle="round"/>
                        <v:imagedata o:title=""/>
                        <o:lock v:ext="edit" aspectratio="f"/>
                        <v:textbox>
                          <w:txbxContent>
                            <w:p>
                              <w:r>
                                <w:rPr>
                                  <w:rFonts w:hint="eastAsia"/>
                                </w:rPr>
                                <w:t>北</w:t>
                              </w:r>
                            </w:p>
                          </w:txbxContent>
                        </v:textbox>
                      </v:shape>
                      <v:shape id="文本框 158" o:spid="_x0000_s1026" o:spt="202" type="#_x0000_t202" style="position:absolute;left:1603571;top:855740;height:358140;width:456565;mso-wrap-style:none;" fillcolor="#FFFFFF [3201]" filled="t" stroked="t" coordsize="21600,21600" o:gfxdata="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OAN9UAAAAFAQAADwAAAAAAAAABACAAAAAiAAAA&#10;ZHJzL2Rvd25yZXYueG1sUEsBAhQAFAAAAAgAh07iQGyw8+JDAgAAdgQAAA4AAAAAAAAAAQAgAAAA&#10;JAEAAGRycy9lMm9Eb2MueG1sUEsFBgAAAAAGAAYAWQEAANkFAAAAAA==&#10;">
                        <v:fill on="t" focussize="0,0"/>
                        <v:stroke weight="0.5pt" color="#FFFFFF [3212]" joinstyle="round"/>
                        <v:imagedata o:title=""/>
                        <o:lock v:ext="edit" aspectratio="f"/>
                        <v:textbox>
                          <w:txbxContent>
                            <w:p>
                              <w:r>
                                <w:rPr>
                                  <w:rFonts w:hint="eastAsia"/>
                                </w:rPr>
                                <w:t>场址</w:t>
                              </w:r>
                            </w:p>
                          </w:txbxContent>
                        </v:textbox>
                      </v:shape>
                      <w10:wrap type="none"/>
                      <w10:anchorlock/>
                    </v:group>
                  </w:pict>
                </mc:Fallback>
              </mc:AlternateContent>
            </w:r>
          </w:p>
          <w:p>
            <w:pPr>
              <w:pStyle w:val="180"/>
              <w:ind w:firstLine="1260" w:firstLineChars="60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插图</w:t>
            </w:r>
            <w:r>
              <w:rPr>
                <w:rFonts w:hint="eastAsia" w:cs="Times New Roman" w:eastAsiaTheme="minorEastAsia"/>
                <w:b/>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color w:val="000000" w:themeColor="text1"/>
                <w:sz w:val="21"/>
                <w:szCs w:val="21"/>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14:textFill>
                  <w14:solidFill>
                    <w14:schemeClr w14:val="tx1"/>
                  </w14:solidFill>
                </w14:textFill>
              </w:rPr>
              <w:t>场界噪声监测布点示意图</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插表1</w:t>
            </w:r>
            <w:r>
              <w:rPr>
                <w:rFonts w:hint="eastAsia" w:cs="Times New Roman" w:eastAsiaTheme="minorEastAsia"/>
                <w:b/>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声环境现状监测布点一览表</w:t>
            </w:r>
          </w:p>
          <w:tbl>
            <w:tblPr>
              <w:tblStyle w:val="44"/>
              <w:tblW w:w="879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09"/>
              <w:gridCol w:w="2904"/>
              <w:gridCol w:w="428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pStyle w:val="227"/>
                    <w:rPr>
                      <w:rFonts w:hint="default" w:ascii="Times New Roman" w:hAnsi="Times New Roman" w:cs="Times New Roman" w:eastAsiaTheme="minorEastAsia"/>
                      <w:b/>
                      <w:snapToGrid w:val="0"/>
                      <w:color w:val="000000" w:themeColor="text1"/>
                      <w14:textFill>
                        <w14:solidFill>
                          <w14:schemeClr w14:val="tx1"/>
                        </w14:solidFill>
                      </w14:textFill>
                    </w:rPr>
                  </w:pPr>
                  <w:r>
                    <w:rPr>
                      <w:rFonts w:hint="default" w:ascii="Times New Roman" w:hAnsi="Times New Roman" w:cs="Times New Roman" w:eastAsiaTheme="minorEastAsia"/>
                      <w:b/>
                      <w:snapToGrid w:val="0"/>
                      <w:color w:val="000000" w:themeColor="text1"/>
                      <w14:textFill>
                        <w14:solidFill>
                          <w14:schemeClr w14:val="tx1"/>
                        </w14:solidFill>
                      </w14:textFill>
                    </w:rPr>
                    <w:t>编号</w:t>
                  </w:r>
                </w:p>
              </w:tc>
              <w:tc>
                <w:tcPr>
                  <w:tcW w:w="2904" w:type="dxa"/>
                  <w:tcBorders>
                    <w:tl2br w:val="nil"/>
                    <w:tr2bl w:val="nil"/>
                  </w:tcBorders>
                  <w:vAlign w:val="center"/>
                </w:tcPr>
                <w:p>
                  <w:pPr>
                    <w:pStyle w:val="227"/>
                    <w:rPr>
                      <w:rFonts w:hint="default" w:ascii="Times New Roman" w:hAnsi="Times New Roman" w:cs="Times New Roman" w:eastAsiaTheme="minorEastAsia"/>
                      <w:b/>
                      <w:snapToGrid w:val="0"/>
                      <w:color w:val="000000" w:themeColor="text1"/>
                      <w14:textFill>
                        <w14:solidFill>
                          <w14:schemeClr w14:val="tx1"/>
                        </w14:solidFill>
                      </w14:textFill>
                    </w:rPr>
                  </w:pPr>
                  <w:r>
                    <w:rPr>
                      <w:rFonts w:hint="default" w:ascii="Times New Roman" w:hAnsi="Times New Roman" w:cs="Times New Roman" w:eastAsiaTheme="minorEastAsia"/>
                      <w:b/>
                      <w:snapToGrid w:val="0"/>
                      <w:color w:val="000000" w:themeColor="text1"/>
                      <w14:textFill>
                        <w14:solidFill>
                          <w14:schemeClr w14:val="tx1"/>
                        </w14:solidFill>
                      </w14:textFill>
                    </w:rPr>
                    <w:t>监测点名称</w:t>
                  </w:r>
                </w:p>
              </w:tc>
              <w:tc>
                <w:tcPr>
                  <w:tcW w:w="4281" w:type="dxa"/>
                  <w:tcBorders>
                    <w:tl2br w:val="nil"/>
                    <w:tr2bl w:val="nil"/>
                  </w:tcBorders>
                  <w:vAlign w:val="center"/>
                </w:tcPr>
                <w:p>
                  <w:pPr>
                    <w:pStyle w:val="227"/>
                    <w:rPr>
                      <w:rFonts w:hint="default" w:ascii="Times New Roman" w:hAnsi="Times New Roman" w:cs="Times New Roman" w:eastAsiaTheme="minorEastAsia"/>
                      <w:b/>
                      <w:snapToGrid w:val="0"/>
                      <w:color w:val="000000" w:themeColor="text1"/>
                      <w14:textFill>
                        <w14:solidFill>
                          <w14:schemeClr w14:val="tx1"/>
                        </w14:solidFill>
                      </w14:textFill>
                    </w:rPr>
                  </w:pPr>
                  <w:r>
                    <w:rPr>
                      <w:rFonts w:hint="default" w:ascii="Times New Roman" w:hAnsi="Times New Roman" w:cs="Times New Roman" w:eastAsiaTheme="minorEastAsia"/>
                      <w:b/>
                      <w:snapToGrid w:val="0"/>
                      <w:color w:val="000000" w:themeColor="text1"/>
                      <w14:textFill>
                        <w14:solidFill>
                          <w14:schemeClr w14:val="tx1"/>
                        </w14:solidFill>
                      </w14:textFill>
                    </w:rPr>
                    <w:t>监测噪声类型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1</w:t>
                  </w:r>
                </w:p>
              </w:tc>
              <w:tc>
                <w:tcPr>
                  <w:tcW w:w="2904"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场界北侧</w:t>
                  </w:r>
                </w:p>
              </w:tc>
              <w:tc>
                <w:tcPr>
                  <w:tcW w:w="4281"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2</w:t>
                  </w:r>
                </w:p>
              </w:tc>
              <w:tc>
                <w:tcPr>
                  <w:tcW w:w="2904" w:type="dxa"/>
                  <w:tcBorders>
                    <w:tl2br w:val="nil"/>
                    <w:tr2bl w:val="nil"/>
                  </w:tcBorders>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场界东侧</w:t>
                  </w:r>
                </w:p>
              </w:tc>
              <w:tc>
                <w:tcPr>
                  <w:tcW w:w="4281"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3</w:t>
                  </w:r>
                </w:p>
              </w:tc>
              <w:tc>
                <w:tcPr>
                  <w:tcW w:w="2904" w:type="dxa"/>
                  <w:tcBorders>
                    <w:tl2br w:val="nil"/>
                    <w:tr2bl w:val="nil"/>
                  </w:tcBorders>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场界南侧</w:t>
                  </w:r>
                </w:p>
              </w:tc>
              <w:tc>
                <w:tcPr>
                  <w:tcW w:w="4281"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1609"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4</w:t>
                  </w:r>
                </w:p>
              </w:tc>
              <w:tc>
                <w:tcPr>
                  <w:tcW w:w="2904" w:type="dxa"/>
                  <w:tcBorders>
                    <w:tl2br w:val="nil"/>
                    <w:tr2bl w:val="nil"/>
                  </w:tcBorders>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场界西侧</w:t>
                  </w:r>
                </w:p>
              </w:tc>
              <w:tc>
                <w:tcPr>
                  <w:tcW w:w="4281" w:type="dxa"/>
                  <w:tcBorders>
                    <w:tl2br w:val="nil"/>
                    <w:tr2bl w:val="nil"/>
                  </w:tcBorders>
                  <w:vAlign w:val="center"/>
                </w:tcPr>
                <w:p>
                  <w:pPr>
                    <w:adjustRightInd w:val="0"/>
                    <w:snapToGrid w:val="0"/>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bl>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（2）监测时间与时段</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本次噪声监测日期为201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日，测量1天，昼间、夜间各测1次，昼间测量选在8:00~12:00时段内，夜间测量选在22：00~24:00时段内。</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（3）测量仪器</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按照《声环境质量标准》（GB3096-2008）中有关规定监测；采用HS6288E声级计。</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（4）测量方法</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现状监测方法按国家《声环境质量标准》（GB3096-2008）进行，各测点的声压级以A声级计。</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（5）监测结果统计与评价</w:t>
            </w:r>
          </w:p>
          <w:p>
            <w:pPr>
              <w:pStyle w:val="180"/>
              <w:keepNext w:val="0"/>
              <w:keepLines w:val="0"/>
              <w:pageBreakBefore w:val="0"/>
              <w:kinsoku/>
              <w:wordWrap/>
              <w:overflowPunct/>
              <w:topLinePunct w:val="0"/>
              <w:autoSpaceDE/>
              <w:autoSpaceDN/>
              <w:bidi w:val="0"/>
              <w:adjustRightInd/>
              <w:snapToGrid/>
              <w:spacing w:line="300" w:lineRule="auto"/>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本项目声环境现状监测结果及达标情况见监测数据见插表</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插表1</w:t>
            </w:r>
            <w:r>
              <w:rPr>
                <w:rFonts w:hint="eastAsia" w:cs="Times New Roman" w:eastAsiaTheme="minorEastAsia"/>
                <w:b/>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声环境现状监测结果及达标分析表            （dB（A））</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86"/>
              <w:gridCol w:w="1136"/>
              <w:gridCol w:w="950"/>
              <w:gridCol w:w="951"/>
              <w:gridCol w:w="950"/>
              <w:gridCol w:w="950"/>
              <w:gridCol w:w="950"/>
              <w:gridCol w:w="950"/>
              <w:gridCol w:w="109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3" w:hRule="atLeast"/>
                <w:jc w:val="center"/>
              </w:trPr>
              <w:tc>
                <w:tcPr>
                  <w:tcW w:w="886"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1136"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测点位置</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时段</w:t>
                  </w:r>
                </w:p>
              </w:tc>
              <w:tc>
                <w:tcPr>
                  <w:tcW w:w="95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eq</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10</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50</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L</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90</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标准值</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88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3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45.7</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48.6</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44.8</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39.6</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6" w:hRule="atLeast"/>
                <w:jc w:val="center"/>
              </w:trPr>
              <w:tc>
                <w:tcPr>
                  <w:tcW w:w="88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38.3</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42.6</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37.0</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32.2</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88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13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45.0</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46.8</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44.4</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42.2</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88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37.6</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39.8</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36.4</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33.8</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8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13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厂界南</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45.1</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47.6</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44.6</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39.6</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88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38.9</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41.6</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37.8</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33.6</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88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136"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45.8</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48.4</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45.4</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39.2</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88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95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38.2</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40.2</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37.6</w:t>
                  </w:r>
                </w:p>
              </w:tc>
              <w:tc>
                <w:tcPr>
                  <w:tcW w:w="950"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35.2</w:t>
                  </w:r>
                </w:p>
              </w:tc>
              <w:tc>
                <w:tcPr>
                  <w:tcW w:w="95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1091"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pPr>
              <w:pStyle w:val="43"/>
              <w:rPr>
                <w:rFonts w:hint="default" w:ascii="Times New Roman" w:hAnsi="Times New Roman" w:cs="Times New Roman"/>
                <w:color w:val="000000" w:themeColor="text1"/>
                <w:lang w:val="en-US" w:eastAsia="zh-CN"/>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由上表可以看出，</w:t>
            </w:r>
            <w:r>
              <w:rPr>
                <w:rFonts w:hint="default" w:ascii="Times New Roman" w:hAnsi="Times New Roman" w:cs="Times New Roman"/>
                <w:color w:val="000000" w:themeColor="text1"/>
                <w:sz w:val="24"/>
                <w14:textFill>
                  <w14:solidFill>
                    <w14:schemeClr w14:val="tx1"/>
                  </w14:solidFill>
                </w14:textFill>
              </w:rPr>
              <w:t>监测期间</w:t>
            </w:r>
            <w:r>
              <w:rPr>
                <w:rFonts w:hint="default" w:ascii="Times New Roman" w:hAnsi="Times New Roman" w:cs="Times New Roman"/>
                <w:color w:val="000000" w:themeColor="text1"/>
                <w:sz w:val="24"/>
                <w:lang w:val="en-US" w:eastAsia="zh-CN"/>
                <w14:textFill>
                  <w14:solidFill>
                    <w14:schemeClr w14:val="tx1"/>
                  </w14:solidFill>
                </w14:textFill>
              </w:rPr>
              <w:t>1#-4#</w:t>
            </w:r>
            <w:r>
              <w:rPr>
                <w:rFonts w:hint="default" w:ascii="Times New Roman" w:hAnsi="Times New Roman" w:cs="Times New Roman"/>
                <w:color w:val="000000" w:themeColor="text1"/>
                <w:sz w:val="24"/>
                <w14:textFill>
                  <w14:solidFill>
                    <w14:schemeClr w14:val="tx1"/>
                  </w14:solidFill>
                </w14:textFill>
              </w:rPr>
              <w:t>厂界噪声昼间在</w:t>
            </w:r>
            <w:r>
              <w:rPr>
                <w:rFonts w:hint="default" w:ascii="Times New Roman" w:hAnsi="Times New Roman" w:cs="Times New Roman"/>
                <w:color w:val="000000" w:themeColor="text1"/>
                <w:sz w:val="24"/>
                <w:lang w:val="en-US" w:eastAsia="zh-CN"/>
                <w14:textFill>
                  <w14:solidFill>
                    <w14:schemeClr w14:val="tx1"/>
                  </w14:solidFill>
                </w14:textFill>
              </w:rPr>
              <w:t>45.0</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45.8</w:t>
            </w:r>
            <w:r>
              <w:rPr>
                <w:rFonts w:hint="default" w:ascii="Times New Roman" w:hAnsi="Times New Roman" w:cs="Times New Roman"/>
                <w:color w:val="000000" w:themeColor="text1"/>
                <w:sz w:val="24"/>
                <w14:textFill>
                  <w14:solidFill>
                    <w14:schemeClr w14:val="tx1"/>
                  </w14:solidFill>
                </w14:textFill>
              </w:rPr>
              <w:t>dB(A)之间，夜间噪声在</w:t>
            </w:r>
            <w:r>
              <w:rPr>
                <w:rFonts w:hint="default" w:ascii="Times New Roman" w:hAnsi="Times New Roman" w:cs="Times New Roman"/>
                <w:color w:val="000000" w:themeColor="text1"/>
                <w:sz w:val="24"/>
                <w:lang w:val="en-US" w:eastAsia="zh-CN"/>
                <w14:textFill>
                  <w14:solidFill>
                    <w14:schemeClr w14:val="tx1"/>
                  </w14:solidFill>
                </w14:textFill>
              </w:rPr>
              <w:t>37.6</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38.9</w:t>
            </w:r>
            <w:r>
              <w:rPr>
                <w:rFonts w:hint="default" w:ascii="Times New Roman" w:hAnsi="Times New Roman" w:cs="Times New Roman"/>
                <w:color w:val="000000" w:themeColor="text1"/>
                <w:sz w:val="24"/>
                <w14:textFill>
                  <w14:solidFill>
                    <w14:schemeClr w14:val="tx1"/>
                  </w14:solidFill>
                </w14:textFill>
              </w:rPr>
              <w:t>dB(A)之间</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均满足《</w:t>
            </w:r>
            <w:r>
              <w:rPr>
                <w:rFonts w:hint="default" w:ascii="Times New Roman" w:hAnsi="Times New Roman" w:cs="Times New Roman"/>
                <w:color w:val="000000" w:themeColor="text1"/>
                <w:sz w:val="24"/>
                <w:lang w:eastAsia="zh-CN"/>
                <w14:textFill>
                  <w14:solidFill>
                    <w14:schemeClr w14:val="tx1"/>
                  </w14:solidFill>
                </w14:textFill>
              </w:rPr>
              <w:t>声环境质量标准</w:t>
            </w:r>
            <w:r>
              <w:rPr>
                <w:rFonts w:hint="default" w:ascii="Times New Roman" w:hAnsi="Times New Roman" w:cs="Times New Roman"/>
                <w:color w:val="000000" w:themeColor="text1"/>
                <w:sz w:val="24"/>
                <w14:textFill>
                  <w14:solidFill>
                    <w14:schemeClr w14:val="tx1"/>
                  </w14:solidFill>
                </w14:textFill>
              </w:rPr>
              <w:t>》（GB</w:t>
            </w:r>
            <w:r>
              <w:rPr>
                <w:rFonts w:hint="default" w:ascii="Times New Roman" w:hAnsi="Times New Roman" w:cs="Times New Roman"/>
                <w:color w:val="000000" w:themeColor="text1"/>
                <w:sz w:val="24"/>
                <w:lang w:val="en-US" w:eastAsia="zh-CN"/>
                <w14:textFill>
                  <w14:solidFill>
                    <w14:schemeClr w14:val="tx1"/>
                  </w14:solidFill>
                </w14:textFill>
              </w:rPr>
              <w:t>3096</w:t>
            </w:r>
            <w:r>
              <w:rPr>
                <w:rFonts w:hint="default" w:ascii="Times New Roman" w:hAnsi="Times New Roman" w:cs="Times New Roman"/>
                <w:color w:val="000000" w:themeColor="text1"/>
                <w:sz w:val="24"/>
                <w14:textFill>
                  <w14:solidFill>
                    <w14:schemeClr w14:val="tx1"/>
                  </w14:solidFill>
                </w14:textFill>
              </w:rPr>
              <w:t>-2008）</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类标准要求</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表明项目所在地声环境质量良好。</w:t>
            </w:r>
          </w:p>
          <w:p>
            <w:pPr>
              <w:pStyle w:val="180"/>
              <w:adjustRightInd w:val="0"/>
              <w:snapToGrid w:val="0"/>
              <w:ind w:firstLine="482"/>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t>（</w:t>
            </w:r>
            <w:r>
              <w:rPr>
                <w:rFonts w:hint="default" w:ascii="Times New Roman" w:hAnsi="Times New Roman" w:cs="Times New Roman" w:eastAsiaTheme="minorEastAsia"/>
                <w:b/>
                <w:color w:val="000000" w:themeColor="text1"/>
                <w:lang w:val="en-US" w:eastAsia="zh-CN"/>
                <w14:textFill>
                  <w14:solidFill>
                    <w14:schemeClr w14:val="tx1"/>
                  </w14:solidFill>
                </w14:textFill>
              </w:rPr>
              <w:t>四</w:t>
            </w:r>
            <w:r>
              <w:rPr>
                <w:rFonts w:hint="default" w:ascii="Times New Roman" w:hAnsi="Times New Roman" w:cs="Times New Roman" w:eastAsiaTheme="minorEastAsia"/>
                <w:b/>
                <w:color w:val="000000" w:themeColor="text1"/>
                <w14:textFill>
                  <w14:solidFill>
                    <w14:schemeClr w14:val="tx1"/>
                  </w14:solidFill>
                </w14:textFill>
              </w:rPr>
              <w:t>）生态质量现状</w:t>
            </w:r>
          </w:p>
          <w:p>
            <w:pPr>
              <w:pStyle w:val="233"/>
              <w:adjustRightInd w:val="0"/>
              <w:snapToGrid w:val="0"/>
              <w:ind w:firstLine="482"/>
              <w:rPr>
                <w:rFonts w:hint="default" w:ascii="Times New Roman" w:hAnsi="Times New Roman" w:cs="Times New Roman"/>
                <w:b/>
                <w:color w:val="000000" w:themeColor="text1"/>
                <w:kern w:val="2"/>
                <w:szCs w:val="24"/>
                <w14:textFill>
                  <w14:solidFill>
                    <w14:schemeClr w14:val="tx1"/>
                  </w14:solidFill>
                </w14:textFill>
              </w:rPr>
            </w:pPr>
            <w:r>
              <w:rPr>
                <w:rFonts w:hint="default" w:ascii="Times New Roman" w:hAnsi="Times New Roman" w:cs="Times New Roman"/>
                <w:b/>
                <w:color w:val="000000" w:themeColor="text1"/>
                <w:kern w:val="2"/>
                <w:szCs w:val="24"/>
                <w14:textFill>
                  <w14:solidFill>
                    <w14:schemeClr w14:val="tx1"/>
                  </w14:solidFill>
                </w14:textFill>
              </w:rPr>
              <w:t>1. 土地利用现状</w:t>
            </w:r>
          </w:p>
          <w:p>
            <w:pPr>
              <w:adjustRightInd w:val="0"/>
              <w:snapToGrid w:val="0"/>
              <w:spacing w:line="30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静乐县</w:t>
            </w:r>
            <w:r>
              <w:rPr>
                <w:rFonts w:hint="default" w:ascii="Times New Roman" w:hAnsi="Times New Roman" w:cs="Times New Roman"/>
                <w:color w:val="000000" w:themeColor="text1"/>
                <w:sz w:val="24"/>
                <w14:textFill>
                  <w14:solidFill>
                    <w14:schemeClr w14:val="tx1"/>
                  </w14:solidFill>
                </w14:textFill>
              </w:rPr>
              <w:t>的农村区域，项目占地为</w:t>
            </w:r>
            <w:r>
              <w:rPr>
                <w:rFonts w:hint="default" w:ascii="Times New Roman" w:hAnsi="Times New Roman" w:cs="Times New Roman"/>
                <w:color w:val="000000" w:themeColor="text1"/>
                <w:sz w:val="24"/>
                <w:lang w:val="en-US" w:eastAsia="zh-CN"/>
                <w14:textFill>
                  <w14:solidFill>
                    <w14:schemeClr w14:val="tx1"/>
                  </w14:solidFill>
                </w14:textFill>
              </w:rPr>
              <w:t>静乐县王村乡王村集体林地（退耕还林后一般灌木林地）</w:t>
            </w:r>
            <w:r>
              <w:rPr>
                <w:rFonts w:hint="default" w:ascii="Times New Roman" w:hAnsi="Times New Roman" w:cs="Times New Roman"/>
                <w:color w:val="000000" w:themeColor="text1"/>
                <w:sz w:val="24"/>
                <w14:textFill>
                  <w14:solidFill>
                    <w14:schemeClr w14:val="tx1"/>
                  </w14:solidFill>
                </w14:textFill>
              </w:rPr>
              <w:t>，占用形式为临时</w:t>
            </w:r>
            <w:r>
              <w:rPr>
                <w:rFonts w:hint="default" w:ascii="Times New Roman" w:hAnsi="Times New Roman" w:cs="Times New Roman"/>
                <w:color w:val="000000" w:themeColor="text1"/>
                <w:sz w:val="24"/>
                <w:lang w:val="en-US" w:eastAsia="zh-CN"/>
                <w14:textFill>
                  <w14:solidFill>
                    <w14:schemeClr w14:val="tx1"/>
                  </w14:solidFill>
                </w14:textFill>
              </w:rPr>
              <w:t>占用</w:t>
            </w:r>
            <w:r>
              <w:rPr>
                <w:rFonts w:hint="default" w:ascii="Times New Roman" w:hAnsi="Times New Roman" w:cs="Times New Roman"/>
                <w:color w:val="000000" w:themeColor="text1"/>
                <w:sz w:val="24"/>
                <w14:textFill>
                  <w14:solidFill>
                    <w14:schemeClr w14:val="tx1"/>
                  </w14:solidFill>
                </w14:textFill>
              </w:rPr>
              <w:t>，待</w:t>
            </w:r>
            <w:r>
              <w:rPr>
                <w:rFonts w:hint="default" w:ascii="Times New Roman" w:hAnsi="Times New Roman" w:cs="Times New Roman"/>
                <w:color w:val="000000" w:themeColor="text1"/>
                <w:sz w:val="24"/>
                <w:lang w:val="en-US" w:eastAsia="zh-CN"/>
                <w14:textFill>
                  <w14:solidFill>
                    <w14:schemeClr w14:val="tx1"/>
                  </w14:solidFill>
                </w14:textFill>
              </w:rPr>
              <w:t>封井</w:t>
            </w:r>
            <w:r>
              <w:rPr>
                <w:rFonts w:hint="default" w:ascii="Times New Roman" w:hAnsi="Times New Roman" w:cs="Times New Roman"/>
                <w:color w:val="000000" w:themeColor="text1"/>
                <w:sz w:val="24"/>
                <w14:textFill>
                  <w14:solidFill>
                    <w14:schemeClr w14:val="tx1"/>
                  </w14:solidFill>
                </w14:textFill>
              </w:rPr>
              <w:t>后，对占用的场地进行生态恢复，采用</w:t>
            </w:r>
            <w:r>
              <w:rPr>
                <w:rFonts w:hint="eastAsia" w:cs="Times New Roman"/>
                <w:color w:val="000000" w:themeColor="text1"/>
                <w:sz w:val="24"/>
                <w:lang w:eastAsia="zh-CN"/>
                <w14:textFill>
                  <w14:solidFill>
                    <w14:schemeClr w14:val="tx1"/>
                  </w14:solidFill>
                </w14:textFill>
              </w:rPr>
              <w:t>绿化的</w:t>
            </w:r>
            <w:r>
              <w:rPr>
                <w:rFonts w:hint="default" w:ascii="Times New Roman" w:hAnsi="Times New Roman" w:cs="Times New Roman"/>
                <w:color w:val="000000" w:themeColor="text1"/>
                <w:sz w:val="24"/>
                <w:lang w:eastAsia="zh-CN"/>
                <w14:textFill>
                  <w14:solidFill>
                    <w14:schemeClr w14:val="tx1"/>
                  </w14:solidFill>
                </w14:textFill>
              </w:rPr>
              <w:t>植被</w:t>
            </w:r>
            <w:r>
              <w:rPr>
                <w:rFonts w:hint="default" w:ascii="Times New Roman" w:hAnsi="Times New Roman" w:cs="Times New Roman"/>
                <w:color w:val="000000" w:themeColor="text1"/>
                <w:sz w:val="24"/>
                <w14:textFill>
                  <w14:solidFill>
                    <w14:schemeClr w14:val="tx1"/>
                  </w14:solidFill>
                </w14:textFill>
              </w:rPr>
              <w:t>恢复方式。</w:t>
            </w:r>
          </w:p>
          <w:p>
            <w:pPr>
              <w:pStyle w:val="233"/>
              <w:adjustRightInd w:val="0"/>
              <w:snapToGrid w:val="0"/>
              <w:ind w:firstLine="482"/>
              <w:rPr>
                <w:rFonts w:hint="default" w:ascii="Times New Roman" w:hAnsi="Times New Roman" w:cs="Times New Roman"/>
                <w:b/>
                <w:color w:val="000000" w:themeColor="text1"/>
                <w:kern w:val="2"/>
                <w:szCs w:val="24"/>
                <w14:textFill>
                  <w14:solidFill>
                    <w14:schemeClr w14:val="tx1"/>
                  </w14:solidFill>
                </w14:textFill>
              </w:rPr>
            </w:pPr>
            <w:r>
              <w:rPr>
                <w:rFonts w:hint="default" w:ascii="Times New Roman" w:hAnsi="Times New Roman" w:cs="Times New Roman"/>
                <w:b/>
                <w:color w:val="000000" w:themeColor="text1"/>
                <w:kern w:val="2"/>
                <w:szCs w:val="24"/>
                <w14:textFill>
                  <w14:solidFill>
                    <w14:schemeClr w14:val="tx1"/>
                  </w14:solidFill>
                </w14:textFill>
              </w:rPr>
              <w:t>2. 植被现状</w:t>
            </w:r>
          </w:p>
          <w:p>
            <w:pPr>
              <w:pStyle w:val="180"/>
              <w:tabs>
                <w:tab w:val="left" w:pos="7500"/>
              </w:tabs>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本项目</w:t>
            </w:r>
            <w:r>
              <w:rPr>
                <w:rFonts w:hint="default" w:ascii="Times New Roman" w:hAnsi="Times New Roman" w:cs="Times New Roman"/>
                <w:color w:val="000000" w:themeColor="text1"/>
                <w:kern w:val="2"/>
                <w:szCs w:val="24"/>
                <w:lang w:val="en-US" w:eastAsia="zh-CN"/>
                <w14:textFill>
                  <w14:solidFill>
                    <w14:schemeClr w14:val="tx1"/>
                  </w14:solidFill>
                </w14:textFill>
              </w:rPr>
              <w:t>占地范围内植被</w:t>
            </w:r>
            <w:r>
              <w:rPr>
                <w:rFonts w:hint="default" w:ascii="Times New Roman" w:hAnsi="Times New Roman" w:cs="Times New Roman"/>
                <w:color w:val="000000" w:themeColor="text1"/>
                <w:lang w:val="en-US" w:eastAsia="zh-CN"/>
                <w14:textFill>
                  <w14:solidFill>
                    <w14:schemeClr w14:val="tx1"/>
                  </w14:solidFill>
                </w14:textFill>
              </w:rPr>
              <w:t>以荒草</w:t>
            </w:r>
            <w:r>
              <w:rPr>
                <w:rFonts w:hint="default" w:ascii="Times New Roman" w:hAnsi="Times New Roman" w:cs="Times New Roman"/>
                <w:color w:val="000000" w:themeColor="text1"/>
                <w14:textFill>
                  <w14:solidFill>
                    <w14:schemeClr w14:val="tx1"/>
                  </w14:solidFill>
                </w14:textFill>
              </w:rPr>
              <w:t>为主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分布有少量的灌木</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无人工种植植物</w:t>
            </w:r>
            <w:r>
              <w:rPr>
                <w:rFonts w:hint="default" w:ascii="Times New Roman" w:hAnsi="Times New Roman" w:cs="Times New Roman"/>
                <w:color w:val="000000" w:themeColor="text1"/>
                <w14:textFill>
                  <w14:solidFill>
                    <w14:schemeClr w14:val="tx1"/>
                  </w14:solidFill>
                </w14:textFill>
              </w:rPr>
              <w:t>等，植被覆盖度</w:t>
            </w:r>
            <w:r>
              <w:rPr>
                <w:rFonts w:hint="eastAsia" w:cs="Times New Roman"/>
                <w:color w:val="000000" w:themeColor="text1"/>
                <w:lang w:eastAsia="zh-CN"/>
                <w14:textFill>
                  <w14:solidFill>
                    <w14:schemeClr w14:val="tx1"/>
                  </w14:solidFill>
                </w14:textFill>
              </w:rPr>
              <w:t>一般</w:t>
            </w:r>
            <w:r>
              <w:rPr>
                <w:rFonts w:hint="default" w:ascii="Times New Roman" w:hAnsi="Times New Roman" w:cs="Times New Roman"/>
                <w:color w:val="000000" w:themeColor="text1"/>
                <w14:textFill>
                  <w14:solidFill>
                    <w14:schemeClr w14:val="tx1"/>
                  </w14:solidFill>
                </w14:textFill>
              </w:rPr>
              <w:t>。评价范围内无国家和山西省重点保护野生植物和古树名木分布。</w:t>
            </w:r>
          </w:p>
          <w:p>
            <w:pPr>
              <w:pStyle w:val="233"/>
              <w:adjustRightInd w:val="0"/>
              <w:snapToGrid w:val="0"/>
              <w:ind w:firstLine="482"/>
              <w:rPr>
                <w:rFonts w:hint="default" w:ascii="Times New Roman" w:hAnsi="Times New Roman" w:cs="Times New Roman"/>
                <w:b/>
                <w:color w:val="000000" w:themeColor="text1"/>
                <w:kern w:val="2"/>
                <w:szCs w:val="24"/>
                <w14:textFill>
                  <w14:solidFill>
                    <w14:schemeClr w14:val="tx1"/>
                  </w14:solidFill>
                </w14:textFill>
              </w:rPr>
            </w:pPr>
            <w:r>
              <w:rPr>
                <w:rFonts w:hint="default" w:ascii="Times New Roman" w:hAnsi="Times New Roman" w:cs="Times New Roman"/>
                <w:b/>
                <w:color w:val="000000" w:themeColor="text1"/>
                <w:kern w:val="2"/>
                <w:szCs w:val="24"/>
                <w14:textFill>
                  <w14:solidFill>
                    <w14:schemeClr w14:val="tx1"/>
                  </w14:solidFill>
                </w14:textFill>
              </w:rPr>
              <w:t>3. 动物现状</w:t>
            </w:r>
          </w:p>
          <w:p>
            <w:pPr>
              <w:adjustRightInd w:val="0"/>
              <w:snapToGrid w:val="0"/>
              <w:spacing w:line="30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本项目评价范围内动物均为当地常见物种，评价范围内未发现国家和山西省重点保护野生动物。</w:t>
            </w:r>
          </w:p>
          <w:tbl>
            <w:tblPr>
              <w:tblStyle w:val="45"/>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4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6" w:type="dxa"/>
                </w:tcPr>
                <w:p>
                  <w:pPr>
                    <w:pStyle w:val="180"/>
                    <w:adjustRightInd w:val="0"/>
                    <w:snapToGrid w:val="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749550" cy="1993900"/>
                        <wp:effectExtent l="0" t="0" r="12700"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0"/>
                                <a:stretch>
                                  <a:fillRect/>
                                </a:stretch>
                              </pic:blipFill>
                              <pic:spPr>
                                <a:xfrm>
                                  <a:off x="0" y="0"/>
                                  <a:ext cx="2749550" cy="1993900"/>
                                </a:xfrm>
                                <a:prstGeom prst="rect">
                                  <a:avLst/>
                                </a:prstGeom>
                                <a:noFill/>
                                <a:ln>
                                  <a:noFill/>
                                </a:ln>
                              </pic:spPr>
                            </pic:pic>
                          </a:graphicData>
                        </a:graphic>
                      </wp:inline>
                    </w:drawing>
                  </w:r>
                </w:p>
              </w:tc>
              <w:tc>
                <w:tcPr>
                  <w:tcW w:w="4398" w:type="dxa"/>
                </w:tcPr>
                <w:p>
                  <w:pPr>
                    <w:pStyle w:val="180"/>
                    <w:adjustRightInd w:val="0"/>
                    <w:snapToGrid w:val="0"/>
                    <w:ind w:firstLine="0" w:firstLineChars="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1995805" cy="2738755"/>
                        <wp:effectExtent l="0" t="0" r="4445" b="4445"/>
                        <wp:docPr id="22" name="图片 22" descr="微信图片_2019092522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0925225549"/>
                                <pic:cNvPicPr>
                                  <a:picLocks noChangeAspect="1"/>
                                </pic:cNvPicPr>
                              </pic:nvPicPr>
                              <pic:blipFill>
                                <a:blip r:embed="rId21"/>
                                <a:stretch>
                                  <a:fillRect/>
                                </a:stretch>
                              </pic:blipFill>
                              <pic:spPr>
                                <a:xfrm rot="5400000">
                                  <a:off x="0" y="0"/>
                                  <a:ext cx="1995805" cy="27387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6" w:type="dxa"/>
                </w:tcPr>
                <w:p>
                  <w:pPr>
                    <w:pStyle w:val="180"/>
                    <w:adjustRightInd w:val="0"/>
                    <w:snapToGrid w:val="0"/>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场区</w:t>
                  </w:r>
                  <w:r>
                    <w:rPr>
                      <w:rFonts w:hint="default" w:ascii="Times New Roman" w:hAnsi="Times New Roman" w:cs="Times New Roman"/>
                      <w:color w:val="000000" w:themeColor="text1"/>
                      <w:lang w:val="en-US" w:eastAsia="zh-CN"/>
                      <w14:textFill>
                        <w14:solidFill>
                          <w14:schemeClr w14:val="tx1"/>
                        </w14:solidFill>
                      </w14:textFill>
                    </w:rPr>
                    <w:t>范围内（灌草丛）</w:t>
                  </w:r>
                </w:p>
              </w:tc>
              <w:tc>
                <w:tcPr>
                  <w:tcW w:w="4398" w:type="dxa"/>
                </w:tcPr>
                <w:p>
                  <w:pPr>
                    <w:pStyle w:val="180"/>
                    <w:adjustRightInd w:val="0"/>
                    <w:snapToGrid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场区</w:t>
                  </w:r>
                  <w:r>
                    <w:rPr>
                      <w:rFonts w:hint="default" w:ascii="Times New Roman" w:hAnsi="Times New Roman" w:cs="Times New Roman"/>
                      <w:color w:val="000000" w:themeColor="text1"/>
                      <w:lang w:val="en-US" w:eastAsia="zh-CN"/>
                      <w14:textFill>
                        <w14:solidFill>
                          <w14:schemeClr w14:val="tx1"/>
                        </w14:solidFill>
                      </w14:textFill>
                    </w:rPr>
                    <w:t>范围内</w:t>
                  </w:r>
                  <w:r>
                    <w:rPr>
                      <w:rFonts w:hint="default" w:ascii="Times New Roman" w:hAnsi="Times New Roman" w:cs="Times New Roman"/>
                      <w:color w:val="000000" w:themeColor="text1"/>
                      <w14:textFill>
                        <w14:solidFill>
                          <w14:schemeClr w14:val="tx1"/>
                        </w14:solidFill>
                      </w14:textFill>
                    </w:rPr>
                    <w:t>（灌草丛）</w:t>
                  </w:r>
                </w:p>
              </w:tc>
            </w:tr>
          </w:tbl>
          <w:p>
            <w:pPr>
              <w:pStyle w:val="180"/>
              <w:adjustRightInd w:val="0"/>
              <w:snapToGrid w:val="0"/>
              <w:ind w:firstLine="48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插图</w:t>
            </w:r>
            <w:r>
              <w:rPr>
                <w:rFonts w:hint="eastAsia" w:cs="Times New Roman"/>
                <w:b/>
                <w:color w:val="000000" w:themeColor="text1"/>
                <w:sz w:val="21"/>
                <w:szCs w:val="21"/>
                <w:lang w:val="en-US" w:eastAsia="zh-CN"/>
                <w14:textFill>
                  <w14:solidFill>
                    <w14:schemeClr w14:val="tx1"/>
                  </w14:solidFill>
                </w14:textFill>
              </w:rPr>
              <w:t>6</w:t>
            </w:r>
            <w:r>
              <w:rPr>
                <w:rFonts w:hint="default" w:ascii="Times New Roman" w:hAnsi="Times New Roman" w:cs="Times New Roman"/>
                <w:b/>
                <w:color w:val="000000" w:themeColor="text1"/>
                <w:sz w:val="21"/>
                <w:szCs w:val="21"/>
                <w14:textFill>
                  <w14:solidFill>
                    <w14:schemeClr w14:val="tx1"/>
                  </w14:solidFill>
                </w14:textFill>
              </w:rPr>
              <w:t xml:space="preserve">  本项目</w:t>
            </w:r>
            <w:r>
              <w:rPr>
                <w:rFonts w:hint="default" w:ascii="Times New Roman" w:hAnsi="Times New Roman" w:cs="Times New Roman"/>
                <w:b/>
                <w:color w:val="000000" w:themeColor="text1"/>
                <w:sz w:val="21"/>
                <w:szCs w:val="21"/>
                <w:lang w:val="en-US" w:eastAsia="zh-CN"/>
                <w14:textFill>
                  <w14:solidFill>
                    <w14:schemeClr w14:val="tx1"/>
                  </w14:solidFill>
                </w14:textFill>
              </w:rPr>
              <w:t>场区</w:t>
            </w:r>
            <w:r>
              <w:rPr>
                <w:rFonts w:hint="default" w:ascii="Times New Roman" w:hAnsi="Times New Roman" w:cs="Times New Roman"/>
                <w:b/>
                <w:color w:val="000000" w:themeColor="text1"/>
                <w:sz w:val="21"/>
                <w:szCs w:val="21"/>
                <w14:textFill>
                  <w14:solidFill>
                    <w14:schemeClr w14:val="tx1"/>
                  </w14:solidFill>
                </w14:textFill>
              </w:rPr>
              <w:t>植被现状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19" w:hRule="atLeast"/>
          <w:jc w:val="center"/>
        </w:trPr>
        <w:tc>
          <w:tcPr>
            <w:tcW w:w="9040" w:type="dxa"/>
          </w:tcPr>
          <w:p>
            <w:pPr>
              <w:pStyle w:val="22"/>
              <w:adjustRightInd w:val="0"/>
              <w:snapToGrid w:val="0"/>
              <w:spacing w:line="300" w:lineRule="auto"/>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主要环境保护目标（列出名单及保护级别）</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根据本项目所在地的自然环境和社会环境特征，其环境保护目标具体如下：</w:t>
            </w:r>
          </w:p>
          <w:p>
            <w:pPr>
              <w:pStyle w:val="180"/>
              <w:ind w:firstLine="482"/>
              <w:rPr>
                <w:rFonts w:hint="default" w:ascii="Times New Roman" w:hAnsi="Times New Roman" w:cs="Times New Roman" w:eastAsiaTheme="minorEastAsia"/>
                <w:b/>
                <w:color w:val="000000" w:themeColor="text1"/>
                <w14:textFill>
                  <w14:solidFill>
                    <w14:schemeClr w14:val="tx1"/>
                  </w14:solidFill>
                </w14:textFill>
              </w:rPr>
            </w:pPr>
            <w:bookmarkStart w:id="6" w:name="_Toc499127707"/>
            <w:r>
              <w:rPr>
                <w:rFonts w:hint="default" w:ascii="Times New Roman" w:hAnsi="Times New Roman" w:cs="Times New Roman" w:eastAsiaTheme="minorEastAsia"/>
                <w:b/>
                <w:color w:val="000000" w:themeColor="text1"/>
                <w14:textFill>
                  <w14:solidFill>
                    <w14:schemeClr w14:val="tx1"/>
                  </w14:solidFill>
                </w14:textFill>
              </w:rPr>
              <w:t>1. 环境保护目标</w:t>
            </w:r>
            <w:bookmarkEnd w:id="6"/>
            <w:r>
              <w:rPr>
                <w:rFonts w:hint="default" w:ascii="Times New Roman" w:hAnsi="Times New Roman" w:cs="Times New Roman" w:eastAsiaTheme="minorEastAsia"/>
                <w:b/>
                <w:color w:val="000000" w:themeColor="text1"/>
                <w14:textFill>
                  <w14:solidFill>
                    <w14:schemeClr w14:val="tx1"/>
                  </w14:solidFill>
                </w14:textFill>
              </w:rPr>
              <w:t>的环境质量标准</w:t>
            </w:r>
          </w:p>
          <w:p>
            <w:pPr>
              <w:pStyle w:val="180"/>
              <w:ind w:left="0" w:leftChars="0" w:firstLine="24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1）环境空气：《环境空气质量标准》（GB3095-2012）二级标准要求。</w:t>
            </w:r>
          </w:p>
          <w:p>
            <w:pPr>
              <w:pStyle w:val="180"/>
              <w:ind w:left="0" w:leftChars="0" w:firstLine="240" w:firstLineChars="1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2）地表水环境：</w:t>
            </w:r>
            <w:r>
              <w:rPr>
                <w:rFonts w:hint="default" w:ascii="Times New Roman" w:hAnsi="Times New Roman" w:cs="Times New Roman"/>
                <w:bCs/>
                <w:color w:val="000000" w:themeColor="text1"/>
                <w14:textFill>
                  <w14:solidFill>
                    <w14:schemeClr w14:val="tx1"/>
                  </w14:solidFill>
                </w14:textFill>
              </w:rPr>
              <w:t>《地表水环境质量标准》（GB3838-2002）</w:t>
            </w:r>
            <w:r>
              <w:rPr>
                <w:rFonts w:hint="default" w:ascii="Times New Roman" w:hAnsi="Times New Roman" w:cs="Times New Roman"/>
                <w:color w:val="000000" w:themeColor="text1"/>
                <w:lang w:val="en-US" w:eastAsia="zh-CN"/>
                <w14:textFill>
                  <w14:solidFill>
                    <w14:schemeClr w14:val="tx1"/>
                  </w14:solidFill>
                </w14:textFill>
              </w:rPr>
              <w:t>II</w:t>
            </w:r>
            <w:r>
              <w:rPr>
                <w:rFonts w:hint="default" w:ascii="Times New Roman" w:hAnsi="Times New Roman" w:cs="Times New Roman"/>
                <w:bCs/>
                <w:color w:val="000000" w:themeColor="text1"/>
                <w14:textFill>
                  <w14:solidFill>
                    <w14:schemeClr w14:val="tx1"/>
                  </w14:solidFill>
                </w14:textFill>
              </w:rPr>
              <w:t>类标准。</w:t>
            </w:r>
          </w:p>
          <w:p>
            <w:pPr>
              <w:pStyle w:val="180"/>
              <w:ind w:left="0" w:leftChars="0" w:firstLine="240" w:firstLineChars="1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lang w:eastAsia="zh-CN"/>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3）地下水环境：《</w:t>
            </w:r>
            <w:r>
              <w:rPr>
                <w:rFonts w:hint="default" w:ascii="Times New Roman" w:hAnsi="Times New Roman" w:cs="Times New Roman"/>
                <w:bCs/>
                <w:color w:val="000000" w:themeColor="text1"/>
                <w:szCs w:val="21"/>
                <w14:textFill>
                  <w14:solidFill>
                    <w14:schemeClr w14:val="tx1"/>
                  </w14:solidFill>
                </w14:textFill>
              </w:rPr>
              <w:t>地下水环境质量标准》（GB/T14848-2017）中的Ⅲ类标准。</w:t>
            </w:r>
          </w:p>
          <w:p>
            <w:pPr>
              <w:pStyle w:val="180"/>
              <w:ind w:left="0" w:leftChars="0" w:firstLine="24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4）声环境：《声环境质量标准》（GB3096-2008）中1类区标准。</w:t>
            </w:r>
          </w:p>
          <w:p>
            <w:pPr>
              <w:pStyle w:val="180"/>
              <w:ind w:firstLine="482"/>
              <w:rPr>
                <w:rFonts w:hint="default" w:ascii="Times New Roman" w:hAnsi="Times New Roman" w:cs="Times New Roman" w:eastAsiaTheme="minorEastAsia"/>
                <w:b/>
                <w:color w:val="000000" w:themeColor="text1"/>
                <w14:textFill>
                  <w14:solidFill>
                    <w14:schemeClr w14:val="tx1"/>
                  </w14:solidFill>
                </w14:textFill>
              </w:rPr>
            </w:pPr>
            <w:bookmarkStart w:id="7" w:name="_Toc499127708"/>
            <w:r>
              <w:rPr>
                <w:rFonts w:hint="default" w:ascii="Times New Roman" w:hAnsi="Times New Roman" w:cs="Times New Roman" w:eastAsiaTheme="minorEastAsia"/>
                <w:b/>
                <w:color w:val="000000" w:themeColor="text1"/>
                <w14:textFill>
                  <w14:solidFill>
                    <w14:schemeClr w14:val="tx1"/>
                  </w14:solidFill>
                </w14:textFill>
              </w:rPr>
              <w:t>2. 环境保护对象</w:t>
            </w:r>
            <w:bookmarkEnd w:id="7"/>
          </w:p>
          <w:p>
            <w:pPr>
              <w:pStyle w:val="180"/>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本项目不涉及自然保护区等环境敏感区域，距离</w:t>
            </w:r>
            <w:r>
              <w:rPr>
                <w:rFonts w:hint="default" w:ascii="Times New Roman" w:hAnsi="Times New Roman" w:cs="Times New Roman" w:eastAsiaTheme="minorEastAsia"/>
                <w:color w:val="000000" w:themeColor="text1"/>
                <w:lang w:eastAsia="zh-CN"/>
                <w14:textFill>
                  <w14:solidFill>
                    <w14:schemeClr w14:val="tx1"/>
                  </w14:solidFill>
                </w14:textFill>
              </w:rPr>
              <w:t>山西汾河上游省级自然保护区</w:t>
            </w:r>
            <w:r>
              <w:rPr>
                <w:rFonts w:hint="default" w:ascii="Times New Roman" w:hAnsi="Times New Roman" w:cs="Times New Roman" w:eastAsiaTheme="minorEastAsia"/>
                <w:color w:val="000000" w:themeColor="text1"/>
                <w14:textFill>
                  <w14:solidFill>
                    <w14:schemeClr w14:val="tx1"/>
                  </w14:solidFill>
                </w14:textFill>
              </w:rPr>
              <w:t>实验区边界在23</w:t>
            </w:r>
            <w:r>
              <w:rPr>
                <w:rFonts w:hint="default" w:ascii="Times New Roman" w:hAnsi="Times New Roman" w:cs="Times New Roman" w:eastAsiaTheme="minorEastAsia"/>
                <w:color w:val="000000" w:themeColor="text1"/>
                <w:lang w:val="en-US" w:eastAsia="zh-CN"/>
                <w14:textFill>
                  <w14:solidFill>
                    <w14:schemeClr w14:val="tx1"/>
                  </w14:solidFill>
                </w14:textFill>
              </w:rPr>
              <w:t>.96</w:t>
            </w:r>
            <w:r>
              <w:rPr>
                <w:rFonts w:hint="default" w:ascii="Times New Roman" w:hAnsi="Times New Roman" w:cs="Times New Roman" w:eastAsiaTheme="minorEastAsia"/>
                <w:color w:val="000000" w:themeColor="text1"/>
                <w14:textFill>
                  <w14:solidFill>
                    <w14:schemeClr w14:val="tx1"/>
                  </w14:solidFill>
                </w14:textFill>
              </w:rPr>
              <w:t>km以上，距离</w:t>
            </w:r>
            <w:r>
              <w:rPr>
                <w:rFonts w:hint="default" w:ascii="Times New Roman" w:hAnsi="Times New Roman" w:cs="Times New Roman" w:eastAsiaTheme="minorEastAsia"/>
                <w:color w:val="000000" w:themeColor="text1"/>
                <w:lang w:val="en-US" w:eastAsia="zh-CN"/>
                <w14:textFill>
                  <w14:solidFill>
                    <w14:schemeClr w14:val="tx1"/>
                  </w14:solidFill>
                </w14:textFill>
              </w:rPr>
              <w:t>王村乡</w:t>
            </w:r>
            <w:r>
              <w:rPr>
                <w:rFonts w:hint="default" w:ascii="Times New Roman" w:hAnsi="Times New Roman" w:cs="Times New Roman" w:eastAsiaTheme="minorEastAsia"/>
                <w:color w:val="000000" w:themeColor="text1"/>
                <w14:textFill>
                  <w14:solidFill>
                    <w14:schemeClr w14:val="tx1"/>
                  </w14:solidFill>
                </w14:textFill>
              </w:rPr>
              <w:t>集中式饮用水水源地</w:t>
            </w:r>
            <w:r>
              <w:rPr>
                <w:rFonts w:hint="default" w:ascii="Times New Roman" w:hAnsi="Times New Roman" w:cs="Times New Roman" w:eastAsiaTheme="minorEastAsia"/>
                <w:color w:val="000000" w:themeColor="text1"/>
                <w:lang w:val="en-US" w:eastAsia="zh-CN"/>
                <w14:textFill>
                  <w14:solidFill>
                    <w14:schemeClr w14:val="tx1"/>
                  </w14:solidFill>
                </w14:textFill>
              </w:rPr>
              <w:t>二</w:t>
            </w:r>
            <w:r>
              <w:rPr>
                <w:rFonts w:hint="default" w:ascii="Times New Roman" w:hAnsi="Times New Roman" w:cs="Times New Roman" w:eastAsiaTheme="minorEastAsia"/>
                <w:color w:val="000000" w:themeColor="text1"/>
                <w14:textFill>
                  <w14:solidFill>
                    <w14:schemeClr w14:val="tx1"/>
                  </w14:solidFill>
                </w14:textFill>
              </w:rPr>
              <w:t>级保护区边界</w:t>
            </w:r>
            <w:r>
              <w:rPr>
                <w:rFonts w:hint="eastAsia" w:cs="Times New Roman" w:eastAsiaTheme="minorEastAsia"/>
                <w:color w:val="000000" w:themeColor="text1"/>
                <w:lang w:val="en-US" w:eastAsia="zh-CN"/>
                <w14:textFill>
                  <w14:solidFill>
                    <w14:schemeClr w14:val="tx1"/>
                  </w14:solidFill>
                </w14:textFill>
              </w:rPr>
              <w:t>535m</w:t>
            </w:r>
            <w:r>
              <w:rPr>
                <w:rFonts w:hint="default" w:ascii="Times New Roman" w:hAnsi="Times New Roman" w:cs="Times New Roman" w:eastAsiaTheme="minorEastAsia"/>
                <w:color w:val="000000" w:themeColor="text1"/>
                <w14:textFill>
                  <w14:solidFill>
                    <w14:schemeClr w14:val="tx1"/>
                  </w14:solidFill>
                </w14:textFill>
              </w:rPr>
              <w:t>，主要环境保护目标见插表</w:t>
            </w:r>
            <w:r>
              <w:rPr>
                <w:rFonts w:hint="default" w:ascii="Times New Roman" w:hAnsi="Times New Roman" w:cs="Times New Roman" w:eastAsiaTheme="minorEastAsia"/>
                <w:color w:val="000000" w:themeColor="text1"/>
                <w:lang w:val="en-US" w:eastAsia="zh-CN"/>
                <w14:textFill>
                  <w14:solidFill>
                    <w14:schemeClr w14:val="tx1"/>
                  </w14:solidFill>
                </w14:textFill>
              </w:rPr>
              <w:t>1</w:t>
            </w:r>
            <w:r>
              <w:rPr>
                <w:rFonts w:hint="eastAsia" w:cs="Times New Roman" w:eastAsiaTheme="minorEastAsia"/>
                <w:color w:val="000000" w:themeColor="text1"/>
                <w:lang w:val="en-US" w:eastAsia="zh-CN"/>
                <w14:textFill>
                  <w14:solidFill>
                    <w14:schemeClr w14:val="tx1"/>
                  </w14:solidFill>
                </w14:textFill>
              </w:rPr>
              <w:t>6</w:t>
            </w:r>
            <w:r>
              <w:rPr>
                <w:rFonts w:hint="default" w:ascii="Times New Roman" w:hAnsi="Times New Roman" w:cs="Times New Roman" w:eastAsiaTheme="minor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插表1</w:t>
            </w:r>
            <w:r>
              <w:rPr>
                <w:rFonts w:hint="eastAsia" w:cs="Times New Roman" w:eastAsiaTheme="minorEastAsia"/>
                <w:b/>
                <w:bCs w:val="0"/>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主要环境保护对象与目标</w:t>
            </w:r>
          </w:p>
          <w:tbl>
            <w:tblPr>
              <w:tblStyle w:val="44"/>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35"/>
              <w:gridCol w:w="1342"/>
              <w:gridCol w:w="2795"/>
              <w:gridCol w:w="1"/>
              <w:gridCol w:w="2073"/>
              <w:gridCol w:w="137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tcBorders>
                    <w:tl2br w:val="nil"/>
                    <w:tr2bl w:val="nil"/>
                  </w:tcBorders>
                  <w:vAlign w:val="center"/>
                </w:tcPr>
                <w:p>
                  <w:pPr>
                    <w:spacing w:line="30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环境要素</w:t>
                  </w:r>
                </w:p>
              </w:tc>
              <w:tc>
                <w:tcPr>
                  <w:tcW w:w="1342" w:type="dxa"/>
                  <w:tcBorders>
                    <w:tl2br w:val="nil"/>
                    <w:tr2bl w:val="nil"/>
                  </w:tcBorders>
                  <w:vAlign w:val="center"/>
                </w:tcPr>
                <w:p>
                  <w:pPr>
                    <w:spacing w:line="30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保护</w:t>
                  </w:r>
                  <w:r>
                    <w:rPr>
                      <w:rFonts w:hint="default" w:ascii="Times New Roman" w:hAnsi="Times New Roman" w:cs="Times New Roman"/>
                      <w:b/>
                      <w:bCs/>
                      <w:color w:val="000000" w:themeColor="text1"/>
                      <w:sz w:val="21"/>
                      <w:szCs w:val="21"/>
                      <w:lang w:eastAsia="zh-CN"/>
                      <w14:textFill>
                        <w14:solidFill>
                          <w14:schemeClr w14:val="tx1"/>
                        </w14:solidFill>
                      </w14:textFill>
                    </w:rPr>
                    <w:t>目标</w:t>
                  </w:r>
                </w:p>
              </w:tc>
              <w:tc>
                <w:tcPr>
                  <w:tcW w:w="2796" w:type="dxa"/>
                  <w:gridSpan w:val="2"/>
                  <w:tcBorders>
                    <w:tl2br w:val="nil"/>
                    <w:tr2bl w:val="nil"/>
                  </w:tcBorders>
                  <w:vAlign w:val="center"/>
                </w:tcPr>
                <w:p>
                  <w:pPr>
                    <w:spacing w:line="30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方位和距离</w:t>
                  </w:r>
                </w:p>
              </w:tc>
              <w:tc>
                <w:tcPr>
                  <w:tcW w:w="2073" w:type="dxa"/>
                  <w:tcBorders>
                    <w:tl2br w:val="nil"/>
                    <w:tr2bl w:val="nil"/>
                  </w:tcBorders>
                  <w:vAlign w:val="center"/>
                </w:tcPr>
                <w:p>
                  <w:pPr>
                    <w:spacing w:line="30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保护</w:t>
                  </w:r>
                  <w:r>
                    <w:rPr>
                      <w:rFonts w:hint="default" w:ascii="Times New Roman" w:hAnsi="Times New Roman" w:cs="Times New Roman"/>
                      <w:b/>
                      <w:bCs/>
                      <w:color w:val="000000" w:themeColor="text1"/>
                      <w:sz w:val="21"/>
                      <w:szCs w:val="21"/>
                      <w:lang w:eastAsia="zh-CN"/>
                      <w14:textFill>
                        <w14:solidFill>
                          <w14:schemeClr w14:val="tx1"/>
                        </w14:solidFill>
                      </w14:textFill>
                    </w:rPr>
                    <w:t>要求</w:t>
                  </w:r>
                </w:p>
              </w:tc>
              <w:tc>
                <w:tcPr>
                  <w:tcW w:w="1376" w:type="dxa"/>
                  <w:tcBorders>
                    <w:tl2br w:val="nil"/>
                    <w:tr2bl w:val="nil"/>
                  </w:tcBorders>
                  <w:vAlign w:val="center"/>
                </w:tcPr>
                <w:p>
                  <w:pPr>
                    <w:spacing w:line="30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保护时期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restar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1342" w:type="dxa"/>
                  <w:tcBorders>
                    <w:tl2br w:val="nil"/>
                    <w:tr2bl w:val="nil"/>
                  </w:tcBorders>
                  <w:vAlign w:val="center"/>
                </w:tcPr>
                <w:p>
                  <w:pPr>
                    <w:shd w:val="solid" w:color="FFFFFF" w:fill="auto"/>
                    <w:autoSpaceDN w:val="0"/>
                    <w:spacing w:line="300" w:lineRule="exact"/>
                    <w:jc w:val="center"/>
                    <w:textAlignment w:val="center"/>
                    <w:rPr>
                      <w:rFonts w:hint="default" w:ascii="Times New Roman" w:hAnsi="Times New Roman" w:eastAsia="宋体"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王村</w:t>
                  </w:r>
                </w:p>
              </w:tc>
              <w:tc>
                <w:tcPr>
                  <w:tcW w:w="2796" w:type="dxa"/>
                  <w:gridSpan w:val="2"/>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宁探</w:t>
                  </w:r>
                  <w:r>
                    <w:rPr>
                      <w:rFonts w:hint="default" w:ascii="Times New Roman" w:hAnsi="Times New Roman" w:cs="Times New Roman"/>
                      <w:color w:val="000000" w:themeColor="text1"/>
                      <w:sz w:val="21"/>
                      <w:szCs w:val="21"/>
                      <w:lang w:val="en-US" w:eastAsia="zh-CN"/>
                      <w14:textFill>
                        <w14:solidFill>
                          <w14:schemeClr w14:val="tx1"/>
                        </w14:solidFill>
                      </w14:textFill>
                    </w:rPr>
                    <w:t>1井边界西南521m处</w:t>
                  </w:r>
                </w:p>
              </w:tc>
              <w:tc>
                <w:tcPr>
                  <w:tcW w:w="2073" w:type="dxa"/>
                  <w:vMerge w:val="restart"/>
                  <w:tcBorders>
                    <w:tl2br w:val="nil"/>
                    <w:tr2bl w:val="nil"/>
                  </w:tcBorders>
                  <w:vAlign w:val="center"/>
                </w:tcPr>
                <w:p>
                  <w:pPr>
                    <w:pStyle w:val="273"/>
                    <w:autoSpaceDE/>
                    <w:autoSpaceDN/>
                    <w:adjustRightInd/>
                    <w:spacing w:line="300" w:lineRule="exact"/>
                    <w:ind w:firstLine="0"/>
                    <w:rPr>
                      <w:rFonts w:hint="default" w:ascii="Times New Roman" w:hAnsi="Times New Roman" w:cs="Times New Roman"/>
                      <w:color w:val="000000" w:themeColor="text1"/>
                      <w:kern w:val="2"/>
                      <w:sz w:val="21"/>
                      <w:szCs w:val="21"/>
                      <w:lang w:eastAsia="zh-CN" w:bidi="ar-SA"/>
                      <w14:textFill>
                        <w14:solidFill>
                          <w14:schemeClr w14:val="tx1"/>
                        </w14:solidFill>
                      </w14:textFill>
                    </w:rPr>
                  </w:pPr>
                  <w:r>
                    <w:rPr>
                      <w:rFonts w:hint="default" w:ascii="Times New Roman" w:hAnsi="Times New Roman" w:cs="Times New Roman"/>
                      <w:color w:val="000000" w:themeColor="text1"/>
                      <w:kern w:val="2"/>
                      <w:sz w:val="21"/>
                      <w:szCs w:val="21"/>
                      <w:lang w:eastAsia="zh-CN" w:bidi="ar-SA"/>
                      <w14:textFill>
                        <w14:solidFill>
                          <w14:schemeClr w14:val="tx1"/>
                        </w14:solidFill>
                      </w14:textFill>
                    </w:rPr>
                    <w:t>《环境空气质量标准》(GB3095-2012)的二级标准</w:t>
                  </w:r>
                </w:p>
              </w:tc>
              <w:tc>
                <w:tcPr>
                  <w:tcW w:w="1376" w:type="dxa"/>
                  <w:vMerge w:val="restart"/>
                  <w:tcBorders>
                    <w:tl2br w:val="nil"/>
                    <w:tr2bl w:val="nil"/>
                  </w:tcBorders>
                  <w:vAlign w:val="center"/>
                </w:tcPr>
                <w:p>
                  <w:pPr>
                    <w:pStyle w:val="273"/>
                    <w:autoSpaceDE/>
                    <w:autoSpaceDN/>
                    <w:adjustRightInd/>
                    <w:spacing w:line="300" w:lineRule="exact"/>
                    <w:ind w:firstLine="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ascii="Times New Roman" w:hAnsi="Times New Roman"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935"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42" w:type="dxa"/>
                  <w:tcBorders>
                    <w:tl2br w:val="nil"/>
                    <w:tr2bl w:val="nil"/>
                  </w:tcBorders>
                  <w:vAlign w:val="center"/>
                </w:tcPr>
                <w:p>
                  <w:pPr>
                    <w:shd w:val="solid" w:color="FFFFFF" w:fill="auto"/>
                    <w:autoSpaceDN w:val="0"/>
                    <w:spacing w:line="300" w:lineRule="exact"/>
                    <w:jc w:val="center"/>
                    <w:textAlignment w:val="center"/>
                    <w:rPr>
                      <w:rFonts w:hint="default" w:ascii="Times New Roman" w:hAnsi="Times New Roman" w:eastAsia="宋体"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上王村</w:t>
                  </w:r>
                </w:p>
              </w:tc>
              <w:tc>
                <w:tcPr>
                  <w:tcW w:w="2796" w:type="dxa"/>
                  <w:gridSpan w:val="2"/>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宁探</w:t>
                  </w:r>
                  <w:r>
                    <w:rPr>
                      <w:rFonts w:hint="default" w:ascii="Times New Roman" w:hAnsi="Times New Roman" w:cs="Times New Roman"/>
                      <w:color w:val="000000" w:themeColor="text1"/>
                      <w:sz w:val="21"/>
                      <w:szCs w:val="21"/>
                      <w:lang w:val="en-US" w:eastAsia="zh-CN"/>
                      <w14:textFill>
                        <w14:solidFill>
                          <w14:schemeClr w14:val="tx1"/>
                        </w14:solidFill>
                      </w14:textFill>
                    </w:rPr>
                    <w:t>1井边界西北1254m处</w:t>
                  </w:r>
                </w:p>
              </w:tc>
              <w:tc>
                <w:tcPr>
                  <w:tcW w:w="2073"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76"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935"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42" w:type="dxa"/>
                  <w:tcBorders>
                    <w:tl2br w:val="nil"/>
                    <w:tr2bl w:val="nil"/>
                  </w:tcBorders>
                  <w:vAlign w:val="center"/>
                </w:tcPr>
                <w:p>
                  <w:pPr>
                    <w:shd w:val="solid" w:color="FFFFFF" w:fill="auto"/>
                    <w:autoSpaceDN w:val="0"/>
                    <w:spacing w:line="300" w:lineRule="exact"/>
                    <w:jc w:val="center"/>
                    <w:textAlignment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牛兰村</w:t>
                  </w:r>
                </w:p>
              </w:tc>
              <w:tc>
                <w:tcPr>
                  <w:tcW w:w="2796" w:type="dxa"/>
                  <w:gridSpan w:val="2"/>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宁探</w:t>
                  </w:r>
                  <w:r>
                    <w:rPr>
                      <w:rFonts w:hint="default" w:ascii="Times New Roman" w:hAnsi="Times New Roman" w:cs="Times New Roman"/>
                      <w:color w:val="000000" w:themeColor="text1"/>
                      <w:sz w:val="21"/>
                      <w:szCs w:val="21"/>
                      <w:lang w:val="en-US" w:eastAsia="zh-CN"/>
                      <w14:textFill>
                        <w14:solidFill>
                          <w14:schemeClr w14:val="tx1"/>
                        </w14:solidFill>
                      </w14:textFill>
                    </w:rPr>
                    <w:t>1井边界东南1241m处</w:t>
                  </w:r>
                </w:p>
              </w:tc>
              <w:tc>
                <w:tcPr>
                  <w:tcW w:w="2073"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76"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w:t>
                  </w:r>
                </w:p>
              </w:tc>
              <w:tc>
                <w:tcPr>
                  <w:tcW w:w="1342" w:type="dxa"/>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西碾河</w:t>
                  </w:r>
                </w:p>
              </w:tc>
              <w:tc>
                <w:tcPr>
                  <w:tcW w:w="2796" w:type="dxa"/>
                  <w:gridSpan w:val="2"/>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宁探1井</w:t>
                  </w:r>
                  <w:r>
                    <w:rPr>
                      <w:rFonts w:hint="default" w:ascii="Times New Roman" w:hAnsi="Times New Roman" w:cs="Times New Roman"/>
                      <w:color w:val="000000" w:themeColor="text1"/>
                      <w:sz w:val="21"/>
                      <w:szCs w:val="21"/>
                      <w:lang w:eastAsia="zh-CN"/>
                      <w14:textFill>
                        <w14:solidFill>
                          <w14:schemeClr w14:val="tx1"/>
                        </w14:solidFill>
                      </w14:textFill>
                    </w:rPr>
                    <w:t>边界西南</w:t>
                  </w:r>
                  <w:r>
                    <w:rPr>
                      <w:rFonts w:hint="default" w:ascii="Times New Roman" w:hAnsi="Times New Roman" w:cs="Times New Roman"/>
                      <w:color w:val="000000" w:themeColor="text1"/>
                      <w:sz w:val="21"/>
                      <w:szCs w:val="21"/>
                      <w:lang w:val="en-US" w:eastAsia="zh-CN"/>
                      <w14:textFill>
                        <w14:solidFill>
                          <w14:schemeClr w14:val="tx1"/>
                        </w14:solidFill>
                      </w14:textFill>
                    </w:rPr>
                    <w:t>653m</w:t>
                  </w:r>
                </w:p>
              </w:tc>
              <w:tc>
                <w:tcPr>
                  <w:tcW w:w="2073" w:type="dxa"/>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w:t>
                  </w:r>
                </w:p>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II</w:t>
                  </w:r>
                  <w:r>
                    <w:rPr>
                      <w:rFonts w:hint="default" w:ascii="Times New Roman" w:hAnsi="Times New Roman" w:cs="Times New Roman"/>
                      <w:color w:val="000000" w:themeColor="text1"/>
                      <w:sz w:val="21"/>
                      <w:szCs w:val="21"/>
                      <w14:textFill>
                        <w14:solidFill>
                          <w14:schemeClr w14:val="tx1"/>
                        </w14:solidFill>
                      </w14:textFill>
                    </w:rPr>
                    <w:t>类水质标准</w:t>
                  </w:r>
                </w:p>
              </w:tc>
              <w:tc>
                <w:tcPr>
                  <w:tcW w:w="1376" w:type="dxa"/>
                  <w:tcBorders>
                    <w:tl2br w:val="nil"/>
                    <w:tr2bl w:val="nil"/>
                  </w:tcBorders>
                  <w:vAlign w:val="center"/>
                </w:tcPr>
                <w:p>
                  <w:pPr>
                    <w:spacing w:line="30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40" w:hRule="atLeast"/>
                <w:jc w:val="center"/>
              </w:trPr>
              <w:tc>
                <w:tcPr>
                  <w:tcW w:w="935" w:type="dxa"/>
                  <w:vMerge w:val="restar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w:t>
                  </w:r>
                </w:p>
              </w:tc>
              <w:tc>
                <w:tcPr>
                  <w:tcW w:w="1342" w:type="dxa"/>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王村乡</w:t>
                  </w:r>
                  <w:r>
                    <w:rPr>
                      <w:rFonts w:hint="default" w:ascii="Times New Roman" w:hAnsi="Times New Roman" w:cs="Times New Roman"/>
                      <w:color w:val="000000" w:themeColor="text1"/>
                      <w:sz w:val="21"/>
                      <w:szCs w:val="21"/>
                      <w14:textFill>
                        <w14:solidFill>
                          <w14:schemeClr w14:val="tx1"/>
                        </w14:solidFill>
                      </w14:textFill>
                    </w:rPr>
                    <w:t>集中供水水源地</w:t>
                  </w:r>
                </w:p>
              </w:tc>
              <w:tc>
                <w:tcPr>
                  <w:tcW w:w="2796" w:type="dxa"/>
                  <w:gridSpan w:val="2"/>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宁探1井</w:t>
                  </w: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default" w:ascii="Times New Roman" w:hAnsi="Times New Roman" w:cs="Times New Roman"/>
                      <w:color w:val="000000" w:themeColor="text1"/>
                      <w:sz w:val="21"/>
                      <w:szCs w:val="21"/>
                      <w14:textFill>
                        <w14:solidFill>
                          <w14:schemeClr w14:val="tx1"/>
                        </w14:solidFill>
                      </w14:textFill>
                    </w:rPr>
                    <w:t>该水源地</w:t>
                  </w:r>
                  <w:r>
                    <w:rPr>
                      <w:rFonts w:hint="eastAsia" w:cs="Times New Roman"/>
                      <w:color w:val="000000" w:themeColor="text1"/>
                      <w:sz w:val="21"/>
                      <w:szCs w:val="21"/>
                      <w:lang w:eastAsia="zh-CN"/>
                      <w14:textFill>
                        <w14:solidFill>
                          <w14:schemeClr w14:val="tx1"/>
                        </w14:solidFill>
                      </w14:textFill>
                    </w:rPr>
                    <w:t>二</w:t>
                  </w:r>
                  <w:r>
                    <w:rPr>
                      <w:rFonts w:hint="default" w:ascii="Times New Roman" w:hAnsi="Times New Roman" w:cs="Times New Roman"/>
                      <w:color w:val="000000" w:themeColor="text1"/>
                      <w:sz w:val="21"/>
                      <w:szCs w:val="21"/>
                      <w14:textFill>
                        <w14:solidFill>
                          <w14:schemeClr w14:val="tx1"/>
                        </w14:solidFill>
                      </w14:textFill>
                    </w:rPr>
                    <w:t>级保护区</w:t>
                  </w:r>
                  <w:r>
                    <w:rPr>
                      <w:rFonts w:hint="default" w:ascii="Times New Roman" w:hAnsi="Times New Roman" w:cs="Times New Roman"/>
                      <w:color w:val="000000" w:themeColor="text1"/>
                      <w:sz w:val="21"/>
                      <w:szCs w:val="21"/>
                      <w:lang w:eastAsia="zh-CN"/>
                      <w14:textFill>
                        <w14:solidFill>
                          <w14:schemeClr w14:val="tx1"/>
                        </w14:solidFill>
                      </w14:textFill>
                    </w:rPr>
                    <w:t>西北</w:t>
                  </w:r>
                  <w:r>
                    <w:rPr>
                      <w:rFonts w:hint="eastAsia" w:cs="Times New Roman"/>
                      <w:color w:val="000000" w:themeColor="text1"/>
                      <w:sz w:val="21"/>
                      <w:szCs w:val="21"/>
                      <w:lang w:val="en-US" w:eastAsia="zh-CN"/>
                      <w14:textFill>
                        <w14:solidFill>
                          <w14:schemeClr w14:val="tx1"/>
                        </w14:solidFill>
                      </w14:textFill>
                    </w:rPr>
                    <w:t>535m</w:t>
                  </w:r>
                  <w:r>
                    <w:rPr>
                      <w:rFonts w:hint="default" w:ascii="Times New Roman" w:hAnsi="Times New Roman" w:cs="Times New Roman"/>
                      <w:color w:val="000000" w:themeColor="text1"/>
                      <w:sz w:val="21"/>
                      <w:szCs w:val="21"/>
                      <w:lang w:val="en-US" w:eastAsia="zh-CN"/>
                      <w14:textFill>
                        <w14:solidFill>
                          <w14:schemeClr w14:val="tx1"/>
                        </w14:solidFill>
                      </w14:textFill>
                    </w:rPr>
                    <w:t>处</w:t>
                  </w:r>
                </w:p>
              </w:tc>
              <w:tc>
                <w:tcPr>
                  <w:tcW w:w="2073" w:type="dxa"/>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《地下水质量标准》</w:t>
                  </w:r>
                </w:p>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（GB/T14848-2017）</w:t>
                  </w:r>
                </w:p>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Ⅲ类标准</w:t>
                  </w:r>
                </w:p>
              </w:tc>
              <w:tc>
                <w:tcPr>
                  <w:tcW w:w="1376" w:type="dxa"/>
                  <w:vMerge w:val="restart"/>
                  <w:tcBorders>
                    <w:tl2br w:val="nil"/>
                    <w:tr2bl w:val="nil"/>
                  </w:tcBorders>
                  <w:vAlign w:val="center"/>
                </w:tcPr>
                <w:p>
                  <w:pPr>
                    <w:spacing w:line="30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restar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4137" w:type="dxa"/>
                  <w:gridSpan w:val="2"/>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宁探</w:t>
                  </w:r>
                  <w:r>
                    <w:rPr>
                      <w:rFonts w:hint="default" w:ascii="Times New Roman" w:hAnsi="Times New Roman" w:cs="Times New Roman"/>
                      <w:color w:val="000000" w:themeColor="text1"/>
                      <w:sz w:val="21"/>
                      <w:szCs w:val="21"/>
                      <w:lang w:val="en-US" w:eastAsia="zh-CN"/>
                      <w14:textFill>
                        <w14:solidFill>
                          <w14:schemeClr w14:val="tx1"/>
                        </w14:solidFill>
                      </w14:textFill>
                    </w:rPr>
                    <w:t>1井边界西南521m处</w:t>
                  </w:r>
                </w:p>
              </w:tc>
              <w:tc>
                <w:tcPr>
                  <w:tcW w:w="2074" w:type="dxa"/>
                  <w:gridSpan w:val="2"/>
                  <w:vMerge w:val="restart"/>
                  <w:tcBorders>
                    <w:tl2br w:val="nil"/>
                    <w:tr2bl w:val="nil"/>
                  </w:tcBorders>
                  <w:vAlign w:val="center"/>
                </w:tcPr>
                <w:p>
                  <w:pPr>
                    <w:spacing w:line="300" w:lineRule="exact"/>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《声环境质量标准》（GB3096-2008）中1类</w:t>
                  </w:r>
                </w:p>
              </w:tc>
              <w:tc>
                <w:tcPr>
                  <w:tcW w:w="1376" w:type="dxa"/>
                  <w:vMerge w:val="restart"/>
                  <w:tcBorders>
                    <w:tl2br w:val="nil"/>
                    <w:tr2bl w:val="nil"/>
                  </w:tcBorders>
                  <w:vAlign w:val="center"/>
                </w:tcPr>
                <w:p>
                  <w:pPr>
                    <w:spacing w:line="300" w:lineRule="exact"/>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14:textFill>
                        <w14:solidFill>
                          <w14:schemeClr w14:val="tx1"/>
                        </w14:solidFill>
                      </w14:textFill>
                    </w:rPr>
                  </w:pPr>
                </w:p>
              </w:tc>
              <w:tc>
                <w:tcPr>
                  <w:tcW w:w="4137" w:type="dxa"/>
                  <w:gridSpan w:val="2"/>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宁探</w:t>
                  </w:r>
                  <w:r>
                    <w:rPr>
                      <w:rFonts w:hint="default" w:ascii="Times New Roman" w:hAnsi="Times New Roman" w:cs="Times New Roman"/>
                      <w:color w:val="000000" w:themeColor="text1"/>
                      <w:sz w:val="21"/>
                      <w:szCs w:val="21"/>
                      <w:lang w:val="en-US" w:eastAsia="zh-CN"/>
                      <w14:textFill>
                        <w14:solidFill>
                          <w14:schemeClr w14:val="tx1"/>
                        </w14:solidFill>
                      </w14:textFill>
                    </w:rPr>
                    <w:t>1井边界西北1254m处</w:t>
                  </w:r>
                </w:p>
              </w:tc>
              <w:tc>
                <w:tcPr>
                  <w:tcW w:w="2074" w:type="dxa"/>
                  <w:gridSpan w:val="2"/>
                  <w:vMerge w:val="continue"/>
                  <w:tcBorders>
                    <w:tl2br w:val="nil"/>
                    <w:tr2bl w:val="nil"/>
                  </w:tcBorders>
                  <w:vAlign w:val="center"/>
                </w:tcPr>
                <w:p>
                  <w:pPr>
                    <w:spacing w:line="300" w:lineRule="exact"/>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1376"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4137" w:type="dxa"/>
                  <w:gridSpan w:val="2"/>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宁探</w:t>
                  </w:r>
                  <w:r>
                    <w:rPr>
                      <w:rFonts w:hint="default" w:ascii="Times New Roman" w:hAnsi="Times New Roman" w:cs="Times New Roman"/>
                      <w:color w:val="000000" w:themeColor="text1"/>
                      <w:sz w:val="21"/>
                      <w:szCs w:val="21"/>
                      <w:lang w:val="en-US" w:eastAsia="zh-CN"/>
                      <w14:textFill>
                        <w14:solidFill>
                          <w14:schemeClr w14:val="tx1"/>
                        </w14:solidFill>
                      </w14:textFill>
                    </w:rPr>
                    <w:t>1井边界东南1241m处</w:t>
                  </w:r>
                </w:p>
              </w:tc>
              <w:tc>
                <w:tcPr>
                  <w:tcW w:w="2074" w:type="dxa"/>
                  <w:gridSpan w:val="2"/>
                  <w:vMerge w:val="continue"/>
                  <w:tcBorders>
                    <w:tl2br w:val="nil"/>
                    <w:tr2bl w:val="nil"/>
                  </w:tcBorders>
                  <w:vAlign w:val="center"/>
                </w:tcPr>
                <w:p>
                  <w:pPr>
                    <w:spacing w:line="300" w:lineRule="exact"/>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1376" w:type="dxa"/>
                  <w:vMerge w:val="continue"/>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生态环境</w:t>
                  </w:r>
                </w:p>
              </w:tc>
              <w:tc>
                <w:tcPr>
                  <w:tcW w:w="1342"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地表植被</w:t>
                  </w:r>
                </w:p>
              </w:tc>
              <w:tc>
                <w:tcPr>
                  <w:tcW w:w="486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项目施工建设时地表植被主要受到的影响</w:t>
                  </w:r>
                </w:p>
              </w:tc>
              <w:tc>
                <w:tcPr>
                  <w:tcW w:w="1376"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封井期</w:t>
                  </w:r>
                  <w:r>
                    <w:rPr>
                      <w:rFonts w:hint="default" w:ascii="Times New Roman" w:hAnsi="Times New Roman" w:cs="Times New Roman"/>
                      <w:color w:val="000000" w:themeColor="text1"/>
                      <w:sz w:val="21"/>
                      <w:szCs w:val="21"/>
                      <w14:textFill>
                        <w14:solidFill>
                          <w14:schemeClr w14:val="tx1"/>
                        </w14:solidFill>
                      </w14:textFill>
                    </w:rPr>
                    <w:t xml:space="preserve">及时恢复到原来状态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1342"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水土流失</w:t>
                  </w:r>
                </w:p>
              </w:tc>
              <w:tc>
                <w:tcPr>
                  <w:tcW w:w="486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项目施工建设时工程扰动影响</w:t>
                  </w:r>
                </w:p>
              </w:tc>
              <w:tc>
                <w:tcPr>
                  <w:tcW w:w="13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采取</w:t>
                  </w:r>
                  <w:r>
                    <w:rPr>
                      <w:rFonts w:hint="default" w:ascii="Times New Roman" w:hAnsi="Times New Roman" w:cs="Times New Roman"/>
                      <w:color w:val="000000" w:themeColor="text1"/>
                      <w:sz w:val="21"/>
                      <w:szCs w:val="21"/>
                      <w:lang w:eastAsia="zh-CN"/>
                      <w14:textFill>
                        <w14:solidFill>
                          <w14:schemeClr w14:val="tx1"/>
                        </w14:solidFill>
                      </w14:textFill>
                    </w:rPr>
                    <w:t>水土保持</w:t>
                  </w:r>
                  <w:r>
                    <w:rPr>
                      <w:rFonts w:hint="default" w:ascii="Times New Roman" w:hAnsi="Times New Roman" w:cs="Times New Roman"/>
                      <w:color w:val="000000" w:themeColor="text1"/>
                      <w:sz w:val="21"/>
                      <w:szCs w:val="21"/>
                      <w14:textFill>
                        <w14:solidFill>
                          <w14:schemeClr w14:val="tx1"/>
                        </w14:solidFill>
                      </w14:textFill>
                    </w:rPr>
                    <w:t xml:space="preserve">措施，防止水土流失加重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1342"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周边村庄</w:t>
                  </w:r>
                </w:p>
              </w:tc>
              <w:tc>
                <w:tcPr>
                  <w:tcW w:w="486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项目施工建设时导致周边村庄收到扬尘、噪声方面的影响 </w:t>
                  </w:r>
                </w:p>
              </w:tc>
              <w:tc>
                <w:tcPr>
                  <w:tcW w:w="1376"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附近村庄不受影响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1342"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井场及进站道路两侧范围内的农田、植被等</w:t>
                  </w:r>
                </w:p>
              </w:tc>
              <w:tc>
                <w:tcPr>
                  <w:tcW w:w="4869" w:type="dxa"/>
                  <w:gridSpan w:val="3"/>
                  <w:tcBorders>
                    <w:tl2br w:val="nil"/>
                    <w:tr2bl w:val="nil"/>
                  </w:tcBorders>
                  <w:vAlign w:val="center"/>
                </w:tcPr>
                <w:p>
                  <w:pPr>
                    <w:pStyle w:val="74"/>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对临时占地，在施工结束后及时进行生态恢复</w:t>
                  </w:r>
                </w:p>
              </w:tc>
              <w:tc>
                <w:tcPr>
                  <w:tcW w:w="1376"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w:t>
                  </w:r>
                  <w:r>
                    <w:rPr>
                      <w:rFonts w:hint="eastAsia" w:cs="Times New Roman"/>
                      <w:color w:val="000000" w:themeColor="text1"/>
                      <w:sz w:val="21"/>
                      <w:szCs w:val="21"/>
                      <w:lang w:eastAsia="zh-CN"/>
                      <w14:textFill>
                        <w14:solidFill>
                          <w14:schemeClr w14:val="tx1"/>
                        </w14:solidFill>
                      </w14:textFill>
                    </w:rPr>
                    <w:t>排采期</w:t>
                  </w:r>
                </w:p>
              </w:tc>
            </w:tr>
          </w:tbl>
          <w:p>
            <w:pPr>
              <w:pStyle w:val="22"/>
              <w:adjustRightInd w:val="0"/>
              <w:snapToGrid w:val="0"/>
              <w:spacing w:line="300" w:lineRule="auto"/>
              <w:rPr>
                <w:rFonts w:hint="default" w:ascii="Times New Roman" w:hAnsi="Times New Roman" w:cs="Times New Roman" w:eastAsiaTheme="minorEastAsia"/>
                <w:b/>
                <w:color w:val="000000" w:themeColor="text1"/>
                <w:sz w:val="30"/>
                <w:szCs w:val="30"/>
                <w:lang w:val="en-US" w:eastAsia="zh-CN"/>
                <w14:textFill>
                  <w14:solidFill>
                    <w14:schemeClr w14:val="tx1"/>
                  </w14:solidFill>
                </w14:textFill>
              </w:rPr>
            </w:pPr>
          </w:p>
        </w:tc>
      </w:tr>
    </w:tbl>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sz w:val="30"/>
          <w:szCs w:val="30"/>
          <w14:textFill>
            <w14:solidFill>
              <w14:schemeClr w14:val="tx1"/>
            </w14:solidFill>
          </w14:textFill>
        </w:rPr>
      </w:pPr>
      <w:bookmarkStart w:id="8" w:name="_Toc738"/>
      <w:r>
        <w:rPr>
          <w:rFonts w:hint="default" w:ascii="Times New Roman" w:hAnsi="Times New Roman" w:cs="Times New Roman"/>
          <w:color w:val="000000" w:themeColor="text1"/>
          <w14:textFill>
            <w14:solidFill>
              <w14:schemeClr w14:val="tx1"/>
            </w14:solidFill>
          </w14:textFill>
        </w:rPr>
        <w:t>评价适用标准</w:t>
      </w:r>
      <w:bookmarkEnd w:id="8"/>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9"/>
        <w:gridCol w:w="8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1" w:hRule="atLeast"/>
          <w:jc w:val="center"/>
        </w:trPr>
        <w:tc>
          <w:tcPr>
            <w:tcW w:w="669" w:type="dxa"/>
            <w:vAlign w:val="center"/>
          </w:tcPr>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环</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境</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质</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量</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标</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准</w:t>
            </w:r>
          </w:p>
        </w:tc>
        <w:tc>
          <w:tcPr>
            <w:tcW w:w="8371" w:type="dxa"/>
          </w:tcPr>
          <w:p>
            <w:pPr>
              <w:keepNext w:val="0"/>
              <w:keepLines w:val="0"/>
              <w:pageBreakBefore w:val="0"/>
              <w:widowControl w:val="0"/>
              <w:tabs>
                <w:tab w:val="left" w:pos="7500"/>
              </w:tabs>
              <w:kinsoku/>
              <w:overflowPunct/>
              <w:autoSpaceDE/>
              <w:autoSpaceDN/>
              <w:bidi w:val="0"/>
              <w:adjustRightInd w:val="0"/>
              <w:snapToGrid w:val="0"/>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 环境空气</w:t>
            </w:r>
          </w:p>
          <w:p>
            <w:pPr>
              <w:keepNext w:val="0"/>
              <w:keepLines w:val="0"/>
              <w:pageBreakBefore w:val="0"/>
              <w:widowControl w:val="0"/>
              <w:kinsoku/>
              <w:wordWrap w:val="0"/>
              <w:overflowPunct/>
              <w:topLinePunct/>
              <w:autoSpaceDE/>
              <w:autoSpaceDN/>
              <w:bidi w:val="0"/>
              <w:adjustRightInd/>
              <w:snapToGrid/>
              <w:spacing w:line="300" w:lineRule="auto"/>
              <w:ind w:right="0" w:rightChars="0" w:firstLine="480" w:firstLineChars="20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项目所处区域属环境空气质量功能区中的二类区，PM</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val="0"/>
              <w:overflowPunct/>
              <w:topLinePunct/>
              <w:autoSpaceDE/>
              <w:autoSpaceDN/>
              <w:bidi w:val="0"/>
              <w:adjustRightInd/>
              <w:snapToGrid/>
              <w:spacing w:line="300" w:lineRule="auto"/>
              <w:ind w:right="0" w:rightChars="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CO、O</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评价执行《环境空气质量标准》（GB3095-2012）二级标准，非甲烷总烃参照</w:t>
            </w:r>
            <w:r>
              <w:rPr>
                <w:rFonts w:hint="default" w:ascii="Times New Roman" w:hAnsi="Times New Roman" w:cs="Times New Roman"/>
                <w:color w:val="000000" w:themeColor="text1"/>
                <w:sz w:val="24"/>
                <w:szCs w:val="24"/>
                <w:lang w:val="en-US" w:eastAsia="zh-CN"/>
                <w14:textFill>
                  <w14:solidFill>
                    <w14:schemeClr w14:val="tx1"/>
                  </w14:solidFill>
                </w14:textFill>
              </w:rPr>
              <w:t>执行</w:t>
            </w:r>
            <w:r>
              <w:rPr>
                <w:rFonts w:hint="default" w:ascii="Times New Roman" w:hAnsi="Times New Roman" w:cs="Times New Roman"/>
                <w:color w:val="000000" w:themeColor="text1"/>
                <w:sz w:val="24"/>
                <w:szCs w:val="24"/>
                <w14:textFill>
                  <w14:solidFill>
                    <w14:schemeClr w14:val="tx1"/>
                  </w14:solidFill>
                </w14:textFill>
              </w:rPr>
              <w:t>河北省地方标准《环境空气质量 非甲烷总烃限值》（DB13/1577-2012）。</w:t>
            </w:r>
          </w:p>
          <w:tbl>
            <w:tblPr>
              <w:tblStyle w:val="4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72"/>
              <w:gridCol w:w="1343"/>
              <w:gridCol w:w="1501"/>
              <w:gridCol w:w="2560"/>
              <w:gridCol w:w="1318"/>
              <w:gridCol w:w="10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1小时平均</w:t>
                  </w: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24小时平均</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年平均</w:t>
                  </w:r>
                </w:p>
              </w:tc>
              <w:tc>
                <w:tcPr>
                  <w:tcW w:w="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6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w:t>
                  </w:r>
                  <w:r>
                    <w:rPr>
                      <w:rFonts w:hint="default" w:ascii="Times New Roman" w:hAnsi="Times New Roman" w:cs="Times New Roman"/>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6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6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6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6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160（日最大8小时平均）</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6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7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8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15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6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bl>
          <w:p>
            <w:pPr>
              <w:keepNext w:val="0"/>
              <w:keepLines w:val="0"/>
              <w:pageBreakBefore w:val="0"/>
              <w:widowControl w:val="0"/>
              <w:numPr>
                <w:ilvl w:val="0"/>
                <w:numId w:val="7"/>
              </w:numPr>
              <w:tabs>
                <w:tab w:val="left" w:pos="7500"/>
              </w:tabs>
              <w:kinsoku/>
              <w:overflowPunct/>
              <w:autoSpaceDE/>
              <w:autoSpaceDN/>
              <w:bidi w:val="0"/>
              <w:adjustRightInd w:val="0"/>
              <w:snapToGrid w:val="0"/>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地表水</w:t>
            </w:r>
          </w:p>
          <w:p>
            <w:pPr>
              <w:keepNext w:val="0"/>
              <w:keepLines w:val="0"/>
              <w:pageBreakBefore w:val="0"/>
              <w:widowControl w:val="0"/>
              <w:kinsoku/>
              <w:wordWrap w:val="0"/>
              <w:overflowPunct/>
              <w:topLinePunct/>
              <w:autoSpaceDE/>
              <w:autoSpaceDN/>
              <w:bidi w:val="0"/>
              <w:adjustRightInd/>
              <w:snapToGrid/>
              <w:spacing w:line="300" w:lineRule="auto"/>
              <w:ind w:right="0" w:rightChars="0" w:firstLine="480" w:firstLineChars="200"/>
              <w:jc w:val="both"/>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本项目附近最近的地表水体是西碾河，西碾河为汾河支流。</w:t>
            </w:r>
          </w:p>
          <w:p>
            <w:pPr>
              <w:keepNext w:val="0"/>
              <w:keepLines w:val="0"/>
              <w:pageBreakBefore w:val="0"/>
              <w:widowControl w:val="0"/>
              <w:kinsoku/>
              <w:wordWrap w:val="0"/>
              <w:overflowPunct/>
              <w:topLinePunct/>
              <w:autoSpaceDE/>
              <w:autoSpaceDN/>
              <w:bidi w:val="0"/>
              <w:adjustRightInd/>
              <w:snapToGrid/>
              <w:spacing w:line="300" w:lineRule="auto"/>
              <w:ind w:right="0" w:rightChars="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根据《山西省地表水环境功能区划》（</w:t>
            </w:r>
            <w:r>
              <w:rPr>
                <w:rFonts w:hint="default" w:ascii="Times New Roman" w:hAnsi="Times New Roman" w:cs="Times New Roman"/>
                <w:color w:val="000000" w:themeColor="text1"/>
                <w:sz w:val="24"/>
                <w:szCs w:val="24"/>
                <w:lang w:eastAsia="zh-CN"/>
                <w14:textFill>
                  <w14:solidFill>
                    <w14:schemeClr w14:val="tx1"/>
                  </w14:solidFill>
                </w14:textFill>
              </w:rPr>
              <w:t>DB14/67-2019</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可知</w:t>
            </w:r>
            <w:r>
              <w:rPr>
                <w:rFonts w:hint="default" w:ascii="Times New Roman" w:hAnsi="Times New Roman" w:cs="Times New Roman"/>
                <w:color w:val="000000" w:themeColor="text1"/>
                <w:sz w:val="24"/>
                <w:szCs w:val="24"/>
                <w14:textFill>
                  <w14:solidFill>
                    <w14:schemeClr w14:val="tx1"/>
                  </w14:solidFill>
                </w14:textFill>
              </w:rPr>
              <w:t>，本项目所在区域地表水体</w:t>
            </w:r>
            <w:r>
              <w:rPr>
                <w:rFonts w:hint="default" w:ascii="Times New Roman" w:hAnsi="Times New Roman" w:cs="Times New Roman"/>
                <w:color w:val="000000" w:themeColor="text1"/>
                <w:sz w:val="24"/>
                <w:szCs w:val="24"/>
                <w:lang w:eastAsia="zh-CN"/>
                <w14:textFill>
                  <w14:solidFill>
                    <w14:schemeClr w14:val="tx1"/>
                  </w14:solidFill>
                </w14:textFill>
              </w:rPr>
              <w:t>西碾河</w:t>
            </w:r>
            <w:r>
              <w:rPr>
                <w:rFonts w:hint="default" w:ascii="Times New Roman" w:hAnsi="Times New Roman" w:cs="Times New Roman"/>
                <w:color w:val="000000" w:themeColor="text1"/>
                <w:sz w:val="24"/>
                <w:szCs w:val="24"/>
                <w14:textFill>
                  <w14:solidFill>
                    <w14:schemeClr w14:val="tx1"/>
                  </w14:solidFill>
                </w14:textFill>
              </w:rPr>
              <w:t>未进行水环境功能区划，按照汇入的上级河流</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汾河</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区划的水质要求保护，</w:t>
            </w:r>
            <w:r>
              <w:rPr>
                <w:rFonts w:hint="default" w:ascii="Times New Roman" w:hAnsi="Times New Roman" w:cs="Times New Roman"/>
                <w:color w:val="000000" w:themeColor="text1"/>
                <w:sz w:val="24"/>
                <w:szCs w:val="24"/>
                <w:lang w:eastAsia="zh-CN"/>
                <w14:textFill>
                  <w14:solidFill>
                    <w14:schemeClr w14:val="tx1"/>
                  </w14:solidFill>
                </w14:textFill>
              </w:rPr>
              <w:t>属于汾河</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雷鸣寺</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汾河干流河岔</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段</w:t>
            </w:r>
            <w:r>
              <w:rPr>
                <w:rFonts w:hint="default" w:ascii="Times New Roman" w:hAnsi="Times New Roman" w:cs="Times New Roman"/>
                <w:color w:val="000000" w:themeColor="text1"/>
                <w:sz w:val="24"/>
                <w:szCs w:val="24"/>
                <w14:textFill>
                  <w14:solidFill>
                    <w14:schemeClr w14:val="tx1"/>
                  </w14:solidFill>
                </w14:textFill>
              </w:rPr>
              <w:t>，水环境功能为</w:t>
            </w:r>
            <w:r>
              <w:rPr>
                <w:rFonts w:hint="default" w:ascii="Times New Roman" w:hAnsi="Times New Roman" w:cs="Times New Roman"/>
                <w:color w:val="000000" w:themeColor="text1"/>
                <w:sz w:val="24"/>
                <w:szCs w:val="24"/>
                <w:lang w:eastAsia="zh-CN"/>
                <w14:textFill>
                  <w14:solidFill>
                    <w14:schemeClr w14:val="tx1"/>
                  </w14:solidFill>
                </w14:textFill>
              </w:rPr>
              <w:t>地表</w:t>
            </w:r>
            <w:r>
              <w:rPr>
                <w:rFonts w:hint="default" w:ascii="Times New Roman" w:hAnsi="Times New Roman" w:cs="Times New Roman"/>
                <w:color w:val="000000" w:themeColor="text1"/>
                <w:sz w:val="24"/>
                <w:szCs w:val="24"/>
                <w:lang w:val="en-US" w:eastAsia="zh-CN"/>
                <w14:textFill>
                  <w14:solidFill>
                    <w14:schemeClr w14:val="tx1"/>
                  </w14:solidFill>
                </w14:textFill>
              </w:rPr>
              <w:t>水</w:t>
            </w:r>
            <w:r>
              <w:rPr>
                <w:rFonts w:hint="default" w:ascii="Times New Roman" w:hAnsi="Times New Roman" w:cs="Times New Roman"/>
                <w:color w:val="000000" w:themeColor="text1"/>
                <w:sz w:val="24"/>
                <w:szCs w:val="24"/>
                <w:lang w:eastAsia="zh-CN"/>
                <w14:textFill>
                  <w14:solidFill>
                    <w14:schemeClr w14:val="tx1"/>
                  </w14:solidFill>
                </w14:textFill>
              </w:rPr>
              <w:t>饮用水源补给区水源保护</w:t>
            </w:r>
            <w:r>
              <w:rPr>
                <w:rFonts w:hint="default" w:ascii="Times New Roman" w:hAnsi="Times New Roman" w:cs="Times New Roman"/>
                <w:color w:val="000000" w:themeColor="text1"/>
                <w:sz w:val="24"/>
                <w:szCs w:val="24"/>
                <w14:textFill>
                  <w14:solidFill>
                    <w14:schemeClr w14:val="tx1"/>
                  </w14:solidFill>
                </w14:textFill>
              </w:rPr>
              <w:t>，执行《地表水环境质量标准》（GB3838-2002）中</w:t>
            </w:r>
            <w:r>
              <w:rPr>
                <w:rFonts w:hint="default" w:ascii="Times New Roman" w:hAnsi="Times New Roman" w:cs="Times New Roman"/>
                <w:color w:val="000000" w:themeColor="text1"/>
                <w:sz w:val="24"/>
                <w:szCs w:val="24"/>
                <w:lang w:val="en-US" w:eastAsia="zh-CN"/>
                <w14:textFill>
                  <w14:solidFill>
                    <w14:schemeClr w14:val="tx1"/>
                  </w14:solidFill>
                </w14:textFill>
              </w:rPr>
              <w:t>II</w:t>
            </w:r>
            <w:r>
              <w:rPr>
                <w:rFonts w:hint="default" w:ascii="Times New Roman" w:hAnsi="Times New Roman" w:cs="Times New Roman"/>
                <w:color w:val="000000" w:themeColor="text1"/>
                <w:sz w:val="24"/>
                <w:szCs w:val="24"/>
                <w14:textFill>
                  <w14:solidFill>
                    <w14:schemeClr w14:val="tx1"/>
                  </w14:solidFill>
                </w14:textFill>
              </w:rPr>
              <w:t>类水体的标准限值。</w:t>
            </w:r>
          </w:p>
          <w:tbl>
            <w:tblPr>
              <w:tblStyle w:val="44"/>
              <w:tblW w:w="4998"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885"/>
              <w:gridCol w:w="950"/>
              <w:gridCol w:w="952"/>
              <w:gridCol w:w="949"/>
              <w:gridCol w:w="950"/>
              <w:gridCol w:w="949"/>
              <w:gridCol w:w="949"/>
              <w:gridCol w:w="947"/>
              <w:gridCol w:w="9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22" w:type="pct"/>
                  <w:tcBorders>
                    <w:tl2br w:val="nil"/>
                    <w:tr2bl w:val="nil"/>
                  </w:tcBorders>
                  <w:vAlign w:val="center"/>
                </w:tcPr>
                <w:p>
                  <w:pPr>
                    <w:pStyle w:val="267"/>
                    <w:spacing w:before="7"/>
                    <w:ind w:left="97"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560" w:type="pct"/>
                  <w:tcBorders>
                    <w:tl2br w:val="nil"/>
                    <w:tr2bl w:val="nil"/>
                  </w:tcBorders>
                  <w:vAlign w:val="center"/>
                </w:tcPr>
                <w:p>
                  <w:pPr>
                    <w:pStyle w:val="267"/>
                    <w:spacing w:before="7"/>
                    <w:ind w:left="234"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p</w:t>
                  </w:r>
                  <w:r>
                    <w:rPr>
                      <w:rFonts w:hint="default" w:ascii="Times New Roman" w:hAnsi="Times New Roman" w:cs="Times New Roman"/>
                      <w:b w:val="0"/>
                      <w:bCs w:val="0"/>
                      <w:color w:val="000000" w:themeColor="text1"/>
                      <w14:textFill>
                        <w14:solidFill>
                          <w14:schemeClr w14:val="tx1"/>
                        </w14:solidFill>
                      </w14:textFill>
                    </w:rPr>
                    <w:t>H</w:t>
                  </w:r>
                </w:p>
              </w:tc>
              <w:tc>
                <w:tcPr>
                  <w:tcW w:w="561" w:type="pct"/>
                  <w:tcBorders>
                    <w:tl2br w:val="nil"/>
                    <w:tr2bl w:val="nil"/>
                  </w:tcBorders>
                  <w:vAlign w:val="center"/>
                </w:tcPr>
                <w:p>
                  <w:pPr>
                    <w:pStyle w:val="267"/>
                    <w:spacing w:before="7"/>
                    <w:ind w:left="234"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COD</w:t>
                  </w:r>
                </w:p>
              </w:tc>
              <w:tc>
                <w:tcPr>
                  <w:tcW w:w="559" w:type="pct"/>
                  <w:tcBorders>
                    <w:tl2br w:val="nil"/>
                    <w:tr2bl w:val="nil"/>
                  </w:tcBorders>
                  <w:vAlign w:val="center"/>
                </w:tcPr>
                <w:p>
                  <w:pPr>
                    <w:pStyle w:val="267"/>
                    <w:spacing w:before="7"/>
                    <w:ind w:left="234"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BOD</w:t>
                  </w:r>
                  <w:r>
                    <w:rPr>
                      <w:rFonts w:hint="default" w:ascii="Times New Roman" w:hAnsi="Times New Roman" w:eastAsia="宋体" w:cs="Times New Roman"/>
                      <w:b w:val="0"/>
                      <w:bCs w:val="0"/>
                      <w:color w:val="000000" w:themeColor="text1"/>
                      <w:kern w:val="2"/>
                      <w:sz w:val="21"/>
                      <w:szCs w:val="24"/>
                      <w:vertAlign w:val="subscript"/>
                      <w:lang w:val="en-US" w:eastAsia="zh-CN" w:bidi="ar-SA"/>
                      <w14:textFill>
                        <w14:solidFill>
                          <w14:schemeClr w14:val="tx1"/>
                        </w14:solidFill>
                      </w14:textFill>
                    </w:rPr>
                    <w:t>5</w:t>
                  </w:r>
                </w:p>
              </w:tc>
              <w:tc>
                <w:tcPr>
                  <w:tcW w:w="560" w:type="pct"/>
                  <w:tcBorders>
                    <w:tl2br w:val="nil"/>
                    <w:tr2bl w:val="nil"/>
                  </w:tcBorders>
                  <w:vAlign w:val="center"/>
                </w:tcPr>
                <w:p>
                  <w:pPr>
                    <w:pStyle w:val="267"/>
                    <w:spacing w:before="7"/>
                    <w:ind w:left="234"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氨氮</w:t>
                  </w:r>
                </w:p>
              </w:tc>
              <w:tc>
                <w:tcPr>
                  <w:tcW w:w="559" w:type="pct"/>
                  <w:tcBorders>
                    <w:tl2br w:val="nil"/>
                    <w:tr2bl w:val="nil"/>
                  </w:tcBorders>
                  <w:vAlign w:val="center"/>
                </w:tcPr>
                <w:p>
                  <w:pPr>
                    <w:pStyle w:val="267"/>
                    <w:spacing w:before="7"/>
                    <w:ind w:left="128"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氟化物</w:t>
                  </w:r>
                </w:p>
              </w:tc>
              <w:tc>
                <w:tcPr>
                  <w:tcW w:w="559" w:type="pct"/>
                  <w:tcBorders>
                    <w:tl2br w:val="nil"/>
                    <w:tr2bl w:val="nil"/>
                  </w:tcBorders>
                  <w:vAlign w:val="center"/>
                </w:tcPr>
                <w:p>
                  <w:pPr>
                    <w:pStyle w:val="267"/>
                    <w:spacing w:before="7"/>
                    <w:ind w:left="128"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石油类</w:t>
                  </w:r>
                </w:p>
              </w:tc>
              <w:tc>
                <w:tcPr>
                  <w:tcW w:w="558" w:type="pct"/>
                  <w:tcBorders>
                    <w:tl2br w:val="nil"/>
                    <w:tr2bl w:val="nil"/>
                  </w:tcBorders>
                  <w:vAlign w:val="center"/>
                </w:tcPr>
                <w:p>
                  <w:pPr>
                    <w:pStyle w:val="267"/>
                    <w:spacing w:before="7"/>
                    <w:ind w:left="126"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硫化物</w:t>
                  </w:r>
                </w:p>
              </w:tc>
              <w:tc>
                <w:tcPr>
                  <w:tcW w:w="558" w:type="pct"/>
                  <w:tcBorders>
                    <w:tl2br w:val="nil"/>
                    <w:tr2bl w:val="nil"/>
                  </w:tcBorders>
                  <w:vAlign w:val="center"/>
                </w:tcPr>
                <w:p>
                  <w:pPr>
                    <w:pStyle w:val="267"/>
                    <w:spacing w:before="7"/>
                    <w:ind w:left="231"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总磷</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22" w:type="pct"/>
                  <w:tcBorders>
                    <w:tl2br w:val="nil"/>
                    <w:tr2bl w:val="nil"/>
                  </w:tcBorders>
                  <w:vAlign w:val="top"/>
                </w:tcPr>
                <w:p>
                  <w:pPr>
                    <w:pStyle w:val="267"/>
                    <w:spacing w:before="9"/>
                    <w:ind w:left="203" w:right="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II类</w:t>
                  </w:r>
                </w:p>
              </w:tc>
              <w:tc>
                <w:tcPr>
                  <w:tcW w:w="560" w:type="pct"/>
                  <w:tcBorders>
                    <w:tl2br w:val="nil"/>
                    <w:tr2bl w:val="nil"/>
                  </w:tcBorders>
                  <w:vAlign w:val="top"/>
                </w:tcPr>
                <w:p>
                  <w:pPr>
                    <w:pStyle w:val="267"/>
                    <w:spacing w:before="93"/>
                    <w:ind w:left="283" w:right="293"/>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w:t>
                  </w:r>
                </w:p>
              </w:tc>
              <w:tc>
                <w:tcPr>
                  <w:tcW w:w="561" w:type="pct"/>
                  <w:tcBorders>
                    <w:tl2br w:val="nil"/>
                    <w:tr2bl w:val="nil"/>
                  </w:tcBorders>
                  <w:vAlign w:val="top"/>
                </w:tcPr>
                <w:p>
                  <w:pPr>
                    <w:pStyle w:val="267"/>
                    <w:spacing w:before="93"/>
                    <w:ind w:left="282" w:right="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p>
              </w:tc>
              <w:tc>
                <w:tcPr>
                  <w:tcW w:w="559" w:type="pct"/>
                  <w:tcBorders>
                    <w:tl2br w:val="nil"/>
                    <w:tr2bl w:val="nil"/>
                  </w:tcBorders>
                  <w:vAlign w:val="top"/>
                </w:tcPr>
                <w:p>
                  <w:pPr>
                    <w:pStyle w:val="267"/>
                    <w:spacing w:before="93"/>
                    <w:ind w:right="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p>
              </w:tc>
              <w:tc>
                <w:tcPr>
                  <w:tcW w:w="560" w:type="pct"/>
                  <w:tcBorders>
                    <w:tl2br w:val="nil"/>
                    <w:tr2bl w:val="nil"/>
                  </w:tcBorders>
                  <w:vAlign w:val="top"/>
                </w:tcPr>
                <w:p>
                  <w:pPr>
                    <w:pStyle w:val="267"/>
                    <w:spacing w:before="93"/>
                    <w:ind w:left="255" w:right="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0.5</w:t>
                  </w:r>
                </w:p>
              </w:tc>
              <w:tc>
                <w:tcPr>
                  <w:tcW w:w="559" w:type="pct"/>
                  <w:tcBorders>
                    <w:tl2br w:val="nil"/>
                    <w:tr2bl w:val="nil"/>
                  </w:tcBorders>
                  <w:vAlign w:val="top"/>
                </w:tcPr>
                <w:p>
                  <w:pPr>
                    <w:pStyle w:val="267"/>
                    <w:spacing w:before="93"/>
                    <w:ind w:left="255"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559" w:type="pct"/>
                  <w:tcBorders>
                    <w:tl2br w:val="nil"/>
                    <w:tr2bl w:val="nil"/>
                  </w:tcBorders>
                  <w:vAlign w:val="top"/>
                </w:tcPr>
                <w:p>
                  <w:pPr>
                    <w:pStyle w:val="267"/>
                    <w:spacing w:before="93"/>
                    <w:ind w:left="203"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558" w:type="pct"/>
                  <w:tcBorders>
                    <w:tl2br w:val="nil"/>
                    <w:tr2bl w:val="nil"/>
                  </w:tcBorders>
                  <w:vAlign w:val="top"/>
                </w:tcPr>
                <w:p>
                  <w:pPr>
                    <w:pStyle w:val="267"/>
                    <w:spacing w:before="93"/>
                    <w:ind w:left="253" w:right="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p>
              </w:tc>
              <w:tc>
                <w:tcPr>
                  <w:tcW w:w="558" w:type="pct"/>
                  <w:tcBorders>
                    <w:tl2br w:val="nil"/>
                    <w:tr2bl w:val="nil"/>
                  </w:tcBorders>
                  <w:vAlign w:val="top"/>
                </w:tcPr>
                <w:p>
                  <w:pPr>
                    <w:pStyle w:val="267"/>
                    <w:spacing w:before="93"/>
                    <w:ind w:left="253" w:right="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p>
              </w:tc>
            </w:tr>
          </w:tbl>
          <w:p>
            <w:pPr>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 地下水</w:t>
            </w:r>
          </w:p>
          <w:p>
            <w:pPr>
              <w:pStyle w:val="233"/>
              <w:keepNext w:val="0"/>
              <w:keepLines w:val="0"/>
              <w:pageBreakBefore w:val="0"/>
              <w:widowControl w:val="0"/>
              <w:kinsoku/>
              <w:wordWrap/>
              <w:overflowPunct/>
              <w:topLinePunct w:val="0"/>
              <w:autoSpaceDE/>
              <w:autoSpaceDN/>
              <w:bidi w:val="0"/>
              <w:spacing w:line="300" w:lineRule="auto"/>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执行《地下水质量标准》（GB/T14848-2017）中</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3 \* ROMAN</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III</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类水质量标准。（单位：mg/L pH除外）</w:t>
            </w:r>
            <w:r>
              <w:rPr>
                <w:rFonts w:hint="default" w:ascii="Times New Roman" w:hAnsi="Times New Roman" w:cs="Times New Roman"/>
                <w:color w:val="000000" w:themeColor="text1"/>
                <w:sz w:val="24"/>
                <w:szCs w:val="24"/>
                <w:lang w:eastAsia="zh-CN"/>
                <w14:textFill>
                  <w14:solidFill>
                    <w14:schemeClr w14:val="tx1"/>
                  </w14:solidFill>
                </w14:textFill>
              </w:rPr>
              <w:t>。</w:t>
            </w:r>
          </w:p>
          <w:tbl>
            <w:tblPr>
              <w:tblStyle w:val="4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1028"/>
              <w:gridCol w:w="1928"/>
              <w:gridCol w:w="1472"/>
              <w:gridCol w:w="1338"/>
              <w:gridCol w:w="1201"/>
              <w:gridCol w:w="151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pH</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氨氮</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硝酸盐</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亚硝酸盐</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zh-CN"/>
                      <w14:textFill>
                        <w14:solidFill>
                          <w14:schemeClr w14:val="tx1"/>
                        </w14:solidFill>
                      </w14:textFill>
                    </w:rPr>
                    <w:t>挥发性酚类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6.5～8.5</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氰化物</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砷</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汞</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六价铬</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总硬度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≤0.001</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铅</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氟</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镉</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铁</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溶解性总固体</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耗氧量</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硫酸盐</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氯化物</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8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菌落总数（CFU</w:t>
                  </w:r>
                  <w:r>
                    <w:rPr>
                      <w:rFonts w:hint="default" w:ascii="Times New Roman" w:hAnsi="Times New Roman" w:cs="Times New Roman"/>
                      <w:color w:val="000000" w:themeColor="text1"/>
                      <w14:textFill>
                        <w14:solidFill>
                          <w14:schemeClr w14:val="tx1"/>
                        </w14:solidFill>
                      </w14:textFill>
                    </w:rPr>
                    <w:t>/mL</w:t>
                  </w:r>
                  <w:r>
                    <w:rPr>
                      <w:rFonts w:hint="default" w:ascii="Times New Roman" w:hAnsi="Times New Roman" w:cs="Times New Roman"/>
                      <w:color w:val="000000" w:themeColor="text1"/>
                      <w:lang w:val="zh-CN"/>
                      <w14:textFill>
                        <w14:solidFill>
                          <w14:schemeClr w14:val="tx1"/>
                        </w14:solidFill>
                      </w14:textFill>
                    </w:rPr>
                    <w:t>）</w:t>
                  </w:r>
                </w:p>
              </w:tc>
              <w:tc>
                <w:tcPr>
                  <w:tcW w:w="165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总大肠菌群（CFU</w:t>
                  </w:r>
                  <w:r>
                    <w:rPr>
                      <w:rFonts w:hint="default" w:ascii="Times New Roman" w:hAnsi="Times New Roman" w:cs="Times New Roman"/>
                      <w:color w:val="000000" w:themeColor="text1"/>
                      <w14:textFill>
                        <w14:solidFill>
                          <w14:schemeClr w14:val="tx1"/>
                        </w14:solidFill>
                      </w14:textFill>
                    </w:rPr>
                    <w:t>/100mL</w:t>
                  </w:r>
                  <w:r>
                    <w:rPr>
                      <w:rFonts w:hint="default" w:ascii="Times New Roman" w:hAnsi="Times New Roman" w:cs="Times New Roman"/>
                      <w:color w:val="000000" w:themeColor="text1"/>
                      <w:lang w:val="zh-CN"/>
                      <w14:textFill>
                        <w14:solidFill>
                          <w14:schemeClr w14:val="tx1"/>
                        </w14:solidFill>
                      </w14:textFill>
                    </w:rPr>
                    <w:t>）</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65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bl>
          <w:p>
            <w:pPr>
              <w:pStyle w:val="233"/>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 声环境</w:t>
            </w:r>
          </w:p>
          <w:p>
            <w:pPr>
              <w:pageBreakBefore w:val="0"/>
              <w:tabs>
                <w:tab w:val="left" w:pos="2397"/>
                <w:tab w:val="left" w:pos="7500"/>
              </w:tabs>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项目位于农村地区，</w:t>
            </w:r>
            <w:r>
              <w:rPr>
                <w:rFonts w:hint="default" w:ascii="Times New Roman" w:hAnsi="Times New Roman" w:cs="Times New Roman"/>
                <w:color w:val="000000" w:themeColor="text1"/>
                <w:sz w:val="24"/>
                <w:szCs w:val="24"/>
                <w14:textFill>
                  <w14:solidFill>
                    <w14:schemeClr w14:val="tx1"/>
                  </w14:solidFill>
                </w14:textFill>
              </w:rPr>
              <w:t>执行《声环境质量标准》(GB3096-2008)中1类标准。</w:t>
            </w:r>
          </w:p>
          <w:tbl>
            <w:tblPr>
              <w:tblStyle w:val="44"/>
              <w:tblW w:w="499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971"/>
              <w:gridCol w:w="2753"/>
              <w:gridCol w:w="275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1752" w:type="pct"/>
                  <w:vMerge w:val="restart"/>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标准类别</w:t>
                  </w:r>
                </w:p>
              </w:tc>
              <w:tc>
                <w:tcPr>
                  <w:tcW w:w="3247" w:type="pct"/>
                  <w:gridSpan w:val="2"/>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等效声级Leq</w:t>
                  </w:r>
                  <w:r>
                    <w:rPr>
                      <w:rFonts w:hint="default" w:ascii="Times New Roman" w:hAnsi="Times New Roman" w:cs="Times New Roman"/>
                      <w:b/>
                      <w:bCs/>
                      <w:color w:val="000000" w:themeColor="text1"/>
                      <w:lang w:val="en-US" w:eastAsia="zh-CN"/>
                      <w14:textFill>
                        <w14:solidFill>
                          <w14:schemeClr w14:val="tx1"/>
                        </w14:solidFill>
                      </w14:textFill>
                    </w:rPr>
                    <w:t xml:space="preserve">   dB(A)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1752" w:type="pct"/>
                  <w:vMerge w:val="continue"/>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b/>
                      <w:bCs/>
                      <w:color w:val="000000" w:themeColor="text1"/>
                      <w14:textFill>
                        <w14:solidFill>
                          <w14:schemeClr w14:val="tx1"/>
                        </w14:solidFill>
                      </w14:textFill>
                    </w:rPr>
                  </w:pPr>
                </w:p>
              </w:tc>
              <w:tc>
                <w:tcPr>
                  <w:tcW w:w="1623" w:type="pct"/>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昼间</w:t>
                  </w:r>
                </w:p>
              </w:tc>
              <w:tc>
                <w:tcPr>
                  <w:tcW w:w="1623" w:type="pct"/>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1752" w:type="pct"/>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1类</w:t>
                  </w:r>
                </w:p>
              </w:tc>
              <w:tc>
                <w:tcPr>
                  <w:tcW w:w="1623" w:type="pct"/>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1623" w:type="pct"/>
                  <w:tcBorders>
                    <w:tl2br w:val="nil"/>
                    <w:tr2bl w:val="nil"/>
                  </w:tcBorders>
                  <w:vAlign w:val="center"/>
                </w:tcPr>
                <w:p>
                  <w:pPr>
                    <w:adjustRightInd w:val="0"/>
                    <w:snapToGrid w:val="0"/>
                    <w:spacing w:line="300" w:lineRule="auto"/>
                    <w:ind w:firstLine="420" w:firstLineChars="20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w:t>
                  </w:r>
                </w:p>
              </w:tc>
            </w:tr>
          </w:tbl>
          <w:p>
            <w:pPr>
              <w:tabs>
                <w:tab w:val="left" w:pos="7500"/>
              </w:tabs>
              <w:adjustRightInd w:val="0"/>
              <w:snapToGrid w:val="0"/>
              <w:spacing w:line="300" w:lineRule="auto"/>
              <w:jc w:val="left"/>
              <w:rPr>
                <w:rFonts w:hint="default" w:ascii="Times New Roman" w:hAnsi="Times New Roman" w:cs="Times New Roman"/>
                <w:color w:val="000000" w:themeColor="text1"/>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tabs>
                <w:tab w:val="left" w:pos="610"/>
              </w:tabs>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b/>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6" w:hRule="atLeast"/>
          <w:jc w:val="center"/>
        </w:trPr>
        <w:tc>
          <w:tcPr>
            <w:tcW w:w="669" w:type="dxa"/>
          </w:tcPr>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ind w:firstLine="120" w:firstLineChars="50"/>
              <w:jc w:val="left"/>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污</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染</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物</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排</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放</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标</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准</w:t>
            </w:r>
          </w:p>
        </w:tc>
        <w:tc>
          <w:tcPr>
            <w:tcW w:w="8371" w:type="dxa"/>
          </w:tcPr>
          <w:p>
            <w:pPr>
              <w:pStyle w:val="180"/>
              <w:ind w:firstLine="482"/>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1. 大气污染物排放标准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b w:val="0"/>
                <w:bCs w:val="0"/>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（1）本项目钻井期和排采期共设2台功率882KW、2台功率395KW的柴油机、1台300KW发电机和1台400KW发电机，</w:t>
            </w:r>
            <w:r>
              <w:rPr>
                <w:rFonts w:hint="default" w:ascii="Times New Roman" w:hAnsi="Times New Roman" w:cs="Times New Roman"/>
                <w:color w:val="000000" w:themeColor="text1"/>
                <w:sz w:val="24"/>
                <w14:textFill>
                  <w14:solidFill>
                    <w14:schemeClr w14:val="tx1"/>
                  </w14:solidFill>
                </w14:textFill>
              </w:rPr>
              <w:t>柴油机</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发电机</w:t>
            </w:r>
            <w:r>
              <w:rPr>
                <w:rFonts w:hint="default" w:ascii="Times New Roman" w:hAnsi="Times New Roman" w:cs="Times New Roman"/>
                <w:color w:val="000000" w:themeColor="text1"/>
                <w:sz w:val="24"/>
                <w14:textFill>
                  <w14:solidFill>
                    <w14:schemeClr w14:val="tx1"/>
                  </w14:solidFill>
                </w14:textFill>
              </w:rPr>
              <w:t>产生</w:t>
            </w:r>
            <w:r>
              <w:rPr>
                <w:rFonts w:hint="default" w:ascii="Times New Roman" w:hAnsi="Times New Roman" w:cs="Times New Roman"/>
                <w:color w:val="000000" w:themeColor="text1"/>
                <w:sz w:val="24"/>
                <w:lang w:val="en-US" w:eastAsia="zh-CN"/>
                <w14:textFill>
                  <w14:solidFill>
                    <w14:schemeClr w14:val="tx1"/>
                  </w14:solidFill>
                </w14:textFill>
              </w:rPr>
              <w:t>的</w:t>
            </w:r>
            <w:r>
              <w:rPr>
                <w:rFonts w:hint="default" w:ascii="Times New Roman" w:hAnsi="Times New Roman" w:cs="Times New Roman"/>
                <w:color w:val="000000" w:themeColor="text1"/>
                <w:sz w:val="24"/>
                <w14:textFill>
                  <w14:solidFill>
                    <w14:schemeClr w14:val="tx1"/>
                  </w14:solidFill>
                </w14:textFill>
              </w:rPr>
              <w:t>废气污染物执行《非道路移动机械用柴油机排气污染物排放限值及测量方法（中国第三、四阶段）》（GB20891-2014）表2规定限值</w:t>
            </w:r>
            <w:r>
              <w:rPr>
                <w:rFonts w:hint="default" w:ascii="Times New Roman" w:hAnsi="Times New Roman" w:cs="Times New Roman"/>
                <w:color w:val="000000" w:themeColor="text1"/>
                <w:sz w:val="24"/>
                <w:lang w:eastAsia="zh-CN"/>
                <w14:textFill>
                  <w14:solidFill>
                    <w14:schemeClr w14:val="tx1"/>
                  </w14:solidFill>
                </w14:textFill>
              </w:rPr>
              <w:t>。</w:t>
            </w:r>
          </w:p>
          <w:tbl>
            <w:tblPr>
              <w:tblStyle w:val="44"/>
              <w:tblW w:w="8155" w:type="dxa"/>
              <w:tblInd w:w="-1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42"/>
              <w:gridCol w:w="1964"/>
              <w:gridCol w:w="1135"/>
              <w:gridCol w:w="1135"/>
              <w:gridCol w:w="1135"/>
              <w:gridCol w:w="1135"/>
              <w:gridCol w:w="113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4"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 阶段</w:t>
                  </w:r>
                </w:p>
              </w:tc>
              <w:tc>
                <w:tcPr>
                  <w:tcW w:w="1902"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额定净功率</w:t>
                  </w:r>
                </w:p>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（Pmax</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（kW）</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CO</w:t>
                  </w:r>
                </w:p>
                <w:p>
                  <w:pPr>
                    <w:keepNext w:val="0"/>
                    <w:keepLines w:val="0"/>
                    <w:pageBreakBefore w:val="0"/>
                    <w:widowControl w:val="0"/>
                    <w:kinsoku/>
                    <w:wordWrap/>
                    <w:overflowPunct/>
                    <w:topLinePunct w:val="0"/>
                    <w:autoSpaceDE/>
                    <w:autoSpaceDN/>
                    <w:bidi w:val="0"/>
                    <w:adjustRightInd w:val="0"/>
                    <w:snapToGrid w:val="0"/>
                    <w:ind w:right="-105" w:rightChars="-50"/>
                    <w:jc w:val="both"/>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HC（g/kWh）</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NOx</w:t>
                  </w:r>
                </w:p>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HC+NOx</w:t>
                  </w:r>
                </w:p>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c>
                <w:tcPr>
                  <w:tcW w:w="104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   PM</w:t>
                  </w:r>
                </w:p>
                <w:p>
                  <w:pPr>
                    <w:pStyle w:val="31"/>
                    <w:keepNext w:val="0"/>
                    <w:keepLines w:val="0"/>
                    <w:pageBreakBefore w:val="0"/>
                    <w:widowControl w:val="0"/>
                    <w:kinsoku/>
                    <w:wordWrap/>
                    <w:overflowPunct/>
                    <w:topLinePunct w:val="0"/>
                    <w:autoSpaceDE/>
                    <w:autoSpaceDN/>
                    <w:bidi w:val="0"/>
                    <w:adjustRightInd w:val="0"/>
                    <w:snapToGrid w:val="0"/>
                    <w:spacing w:line="240" w:lineRule="auto"/>
                    <w:ind w:left="0" w:leftChars="0" w:right="-105" w:rightChars="-50"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4" w:type="dxa"/>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b w:val="0"/>
                      <w:bCs w:val="0"/>
                      <w:color w:val="000000" w:themeColor="text1"/>
                      <w:sz w:val="21"/>
                      <w:szCs w:val="21"/>
                      <w14:textFill>
                        <w14:solidFill>
                          <w14:schemeClr w14:val="tx1"/>
                        </w14:solidFill>
                      </w14:textFill>
                    </w:rPr>
                    <w:t>第三</w:t>
                  </w:r>
                </w:p>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 xml:space="preserve"> 阶段</w:t>
                  </w:r>
                </w:p>
              </w:tc>
              <w:tc>
                <w:tcPr>
                  <w:tcW w:w="1902"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Pmax&gt;560</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w:t>
                  </w:r>
                </w:p>
              </w:tc>
              <w:tc>
                <w:tcPr>
                  <w:tcW w:w="104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0.20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4" w:type="dxa"/>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902"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30≤Pmax≤560</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04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0.20</w:t>
                  </w:r>
                </w:p>
              </w:tc>
            </w:tr>
          </w:tbl>
          <w:p>
            <w:pPr>
              <w:pStyle w:val="2"/>
              <w:keepNext/>
              <w:keepLines/>
              <w:pageBreakBefore w:val="0"/>
              <w:widowControl/>
              <w:numPr>
                <w:ilvl w:val="0"/>
                <w:numId w:val="0"/>
              </w:numPr>
              <w:kinsoku/>
              <w:wordWrap/>
              <w:overflowPunct/>
              <w:topLinePunct w:val="0"/>
              <w:autoSpaceDE/>
              <w:autoSpaceDN/>
              <w:bidi w:val="0"/>
              <w:adjustRightInd/>
              <w:snapToGrid/>
              <w:spacing w:beforeLines="0" w:line="300" w:lineRule="auto"/>
              <w:ind w:firstLine="480" w:firstLineChars="200"/>
              <w:textAlignment w:val="auto"/>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柴油发电机排气烟度执行《非道路柴油移动机械排气烟度限值及测量方法》（GB36886-2018）。</w:t>
            </w:r>
          </w:p>
          <w:tbl>
            <w:tblPr>
              <w:tblStyle w:val="44"/>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99"/>
              <w:gridCol w:w="3321"/>
              <w:gridCol w:w="2080"/>
              <w:gridCol w:w="207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89"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958"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额定净功率</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(Pmax)(KW)</w:t>
                  </w:r>
                </w:p>
              </w:tc>
              <w:tc>
                <w:tcPr>
                  <w:tcW w:w="1226"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光吸收系数（m</w:t>
                  </w:r>
                  <w:r>
                    <w:rPr>
                      <w:rFonts w:hint="default" w:ascii="Times New Roman" w:hAnsi="Times New Roman" w:cs="Times New Roman"/>
                      <w:b/>
                      <w:bCs/>
                      <w:color w:val="000000" w:themeColor="text1"/>
                      <w:sz w:val="21"/>
                      <w:szCs w:val="21"/>
                      <w:vertAlign w:val="superscript"/>
                      <w14:textFill>
                        <w14:solidFill>
                          <w14:schemeClr w14:val="tx1"/>
                        </w14:solidFill>
                      </w14:textFill>
                    </w:rPr>
                    <w:t>-1</w:t>
                  </w:r>
                  <w:r>
                    <w:rPr>
                      <w:rFonts w:hint="default" w:ascii="Times New Roman" w:hAnsi="Times New Roman" w:cs="Times New Roman"/>
                      <w:b/>
                      <w:bCs/>
                      <w:color w:val="000000" w:themeColor="text1"/>
                      <w:sz w:val="21"/>
                      <w:szCs w:val="21"/>
                      <w14:textFill>
                        <w14:solidFill>
                          <w14:schemeClr w14:val="tx1"/>
                        </w14:solidFill>
                      </w14:textFill>
                    </w:rPr>
                    <w:t>）</w:t>
                  </w:r>
                </w:p>
              </w:tc>
              <w:tc>
                <w:tcPr>
                  <w:tcW w:w="1225"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林格曼黑度级数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89"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Ⅱ类</w:t>
                  </w:r>
                </w:p>
              </w:tc>
              <w:tc>
                <w:tcPr>
                  <w:tcW w:w="1958"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Pmax≥37</w:t>
                  </w:r>
                </w:p>
              </w:tc>
              <w:tc>
                <w:tcPr>
                  <w:tcW w:w="1226"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0.80</w:t>
                  </w:r>
                </w:p>
              </w:tc>
              <w:tc>
                <w:tcPr>
                  <w:tcW w:w="1225"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1（不能有可见烟）</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）施工扬尘、表土堆放扬尘污染物</w:t>
            </w:r>
            <w:r>
              <w:rPr>
                <w:rFonts w:hint="default" w:ascii="Times New Roman" w:hAnsi="Times New Roman" w:cs="Times New Roman"/>
                <w:color w:val="000000" w:themeColor="text1"/>
                <w:sz w:val="24"/>
                <w:lang w:val="en-US" w:eastAsia="zh-CN"/>
                <w14:textFill>
                  <w14:solidFill>
                    <w14:schemeClr w14:val="tx1"/>
                  </w14:solidFill>
                </w14:textFill>
              </w:rPr>
              <w:t>以及</w:t>
            </w:r>
            <w:r>
              <w:rPr>
                <w:rFonts w:hint="default" w:ascii="Times New Roman" w:hAnsi="Times New Roman" w:cs="Times New Roman"/>
                <w:color w:val="000000" w:themeColor="text1"/>
                <w:sz w:val="24"/>
                <w14:textFill>
                  <w14:solidFill>
                    <w14:schemeClr w14:val="tx1"/>
                  </w14:solidFill>
                </w14:textFill>
              </w:rPr>
              <w:t>柴油机</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发电机产生的废气污染物无组织排放监控浓度</w:t>
            </w:r>
            <w:r>
              <w:rPr>
                <w:rFonts w:hint="default" w:ascii="Times New Roman" w:hAnsi="Times New Roman" w:cs="Times New Roman"/>
                <w:snapToGrid w:val="0"/>
                <w:color w:val="000000" w:themeColor="text1"/>
                <w:sz w:val="24"/>
                <w14:textFill>
                  <w14:solidFill>
                    <w14:schemeClr w14:val="tx1"/>
                  </w14:solidFill>
                </w14:textFill>
              </w:rPr>
              <w:t>执行《大气污染物综合排放标准》（GB16297-1996）表2中无组织排放标准。</w:t>
            </w:r>
          </w:p>
          <w:tbl>
            <w:tblPr>
              <w:tblStyle w:val="44"/>
              <w:tblW w:w="4999"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2797"/>
              <w:gridCol w:w="568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污染物</w:t>
                  </w:r>
                </w:p>
              </w:tc>
              <w:tc>
                <w:tcPr>
                  <w:tcW w:w="3350" w:type="pct"/>
                  <w:tcBorders>
                    <w:tl2br w:val="nil"/>
                    <w:tr2bl w:val="nil"/>
                  </w:tcBorders>
                  <w:vAlign w:val="center"/>
                </w:tcPr>
                <w:p>
                  <w:pPr>
                    <w:adjustRightInd w:val="0"/>
                    <w:snapToGrid w:val="0"/>
                    <w:spacing w:line="300" w:lineRule="exact"/>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无组织排放监控浓度限值</w:t>
                  </w:r>
                  <w:r>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snapToGrid w:val="0"/>
                      <w:color w:val="000000" w:themeColor="text1"/>
                      <w:sz w:val="21"/>
                      <w:szCs w:val="21"/>
                      <w14:textFill>
                        <w14:solidFill>
                          <w14:schemeClr w14:val="tx1"/>
                        </w14:solidFill>
                      </w14:textFill>
                    </w:rPr>
                    <w:t>单位mg/Nm</w:t>
                  </w:r>
                  <w:r>
                    <w:rPr>
                      <w:rFonts w:hint="default" w:ascii="Times New Roman" w:hAnsi="Times New Roman" w:cs="Times New Roman"/>
                      <w:b/>
                      <w:bCs/>
                      <w:snapToGrid w:val="0"/>
                      <w:color w:val="000000" w:themeColor="text1"/>
                      <w:sz w:val="21"/>
                      <w:szCs w:val="21"/>
                      <w:vertAlign w:val="super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b w:val="0"/>
                      <w:bCs w:val="0"/>
                      <w:snapToGrid w:val="0"/>
                      <w:color w:val="000000" w:themeColor="text1"/>
                      <w:sz w:val="21"/>
                      <w:szCs w:val="21"/>
                      <w14:textFill>
                        <w14:solidFill>
                          <w14:schemeClr w14:val="tx1"/>
                        </w14:solidFill>
                      </w14:textFill>
                    </w:rPr>
                  </w:pPr>
                  <w:r>
                    <w:rPr>
                      <w:rFonts w:hint="default" w:ascii="Times New Roman" w:hAnsi="Times New Roman" w:cs="Times New Roman"/>
                      <w:b w:val="0"/>
                      <w:bCs w:val="0"/>
                      <w:snapToGrid w:val="0"/>
                      <w:color w:val="000000" w:themeColor="text1"/>
                      <w:sz w:val="21"/>
                      <w:szCs w:val="21"/>
                      <w14:textFill>
                        <w14:solidFill>
                          <w14:schemeClr w14:val="tx1"/>
                        </w14:solidFill>
                      </w14:textFill>
                    </w:rPr>
                    <w:t>SO</w:t>
                  </w:r>
                  <w:r>
                    <w:rPr>
                      <w:rFonts w:hint="default" w:ascii="Times New Roman" w:hAnsi="Times New Roman" w:cs="Times New Roman"/>
                      <w:b w:val="0"/>
                      <w:bCs w:val="0"/>
                      <w:snapToGrid w:val="0"/>
                      <w:color w:val="000000" w:themeColor="text1"/>
                      <w:sz w:val="21"/>
                      <w:szCs w:val="21"/>
                      <w:vertAlign w:val="subscript"/>
                      <w14:textFill>
                        <w14:solidFill>
                          <w14:schemeClr w14:val="tx1"/>
                        </w14:solidFill>
                      </w14:textFill>
                    </w:rPr>
                    <w:t>2</w:t>
                  </w:r>
                </w:p>
              </w:tc>
              <w:tc>
                <w:tcPr>
                  <w:tcW w:w="3350" w:type="pct"/>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b w:val="0"/>
                      <w:bCs w:val="0"/>
                      <w:snapToGrid w:val="0"/>
                      <w:color w:val="000000" w:themeColor="text1"/>
                      <w:sz w:val="21"/>
                      <w:szCs w:val="21"/>
                      <w14:textFill>
                        <w14:solidFill>
                          <w14:schemeClr w14:val="tx1"/>
                        </w14:solidFill>
                      </w14:textFill>
                    </w:rPr>
                  </w:pPr>
                  <w:r>
                    <w:rPr>
                      <w:rFonts w:hint="default" w:ascii="Times New Roman" w:hAnsi="Times New Roman" w:cs="Times New Roman"/>
                      <w:b w:val="0"/>
                      <w:bCs w:val="0"/>
                      <w:snapToGrid w:val="0"/>
                      <w:color w:val="000000" w:themeColor="text1"/>
                      <w:sz w:val="21"/>
                      <w:szCs w:val="21"/>
                      <w14:textFill>
                        <w14:solidFill>
                          <w14:schemeClr w14:val="tx1"/>
                        </w14:solidFill>
                      </w14:textFill>
                    </w:rPr>
                    <w:t>NO</w:t>
                  </w:r>
                  <w:r>
                    <w:rPr>
                      <w:rFonts w:hint="default" w:ascii="Times New Roman" w:hAnsi="Times New Roman" w:cs="Times New Roman"/>
                      <w:b w:val="0"/>
                      <w:bCs w:val="0"/>
                      <w:snapToGrid w:val="0"/>
                      <w:color w:val="000000" w:themeColor="text1"/>
                      <w:sz w:val="21"/>
                      <w:szCs w:val="21"/>
                      <w:vertAlign w:val="subscript"/>
                      <w14:textFill>
                        <w14:solidFill>
                          <w14:schemeClr w14:val="tx1"/>
                        </w14:solidFill>
                      </w14:textFill>
                    </w:rPr>
                    <w:t>x</w:t>
                  </w:r>
                </w:p>
              </w:tc>
              <w:tc>
                <w:tcPr>
                  <w:tcW w:w="3350" w:type="pct"/>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b w:val="0"/>
                      <w:bCs w:val="0"/>
                      <w:snapToGrid w:val="0"/>
                      <w:color w:val="000000" w:themeColor="text1"/>
                      <w:sz w:val="21"/>
                      <w:szCs w:val="21"/>
                      <w14:textFill>
                        <w14:solidFill>
                          <w14:schemeClr w14:val="tx1"/>
                        </w14:solidFill>
                      </w14:textFill>
                    </w:rPr>
                  </w:pPr>
                  <w:r>
                    <w:rPr>
                      <w:rFonts w:hint="default" w:ascii="Times New Roman" w:hAnsi="Times New Roman" w:cs="Times New Roman"/>
                      <w:b w:val="0"/>
                      <w:bCs w:val="0"/>
                      <w:snapToGrid w:val="0"/>
                      <w:color w:val="000000" w:themeColor="text1"/>
                      <w:sz w:val="21"/>
                      <w:szCs w:val="21"/>
                      <w14:textFill>
                        <w14:solidFill>
                          <w14:schemeClr w14:val="tx1"/>
                        </w14:solidFill>
                      </w14:textFill>
                    </w:rPr>
                    <w:t>颗粒物</w:t>
                  </w:r>
                </w:p>
              </w:tc>
              <w:tc>
                <w:tcPr>
                  <w:tcW w:w="3350" w:type="pct"/>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b w:val="0"/>
                      <w:bCs w:val="0"/>
                      <w:snapToGrid w:val="0"/>
                      <w:color w:val="000000" w:themeColor="text1"/>
                      <w:sz w:val="21"/>
                      <w:szCs w:val="21"/>
                      <w14:textFill>
                        <w14:solidFill>
                          <w14:schemeClr w14:val="tx1"/>
                        </w14:solidFill>
                      </w14:textFill>
                    </w:rPr>
                  </w:pPr>
                  <w:r>
                    <w:rPr>
                      <w:rFonts w:hint="default" w:ascii="Times New Roman" w:hAnsi="Times New Roman" w:cs="Times New Roman"/>
                      <w:b w:val="0"/>
                      <w:bCs w:val="0"/>
                      <w:snapToGrid w:val="0"/>
                      <w:color w:val="000000" w:themeColor="text1"/>
                      <w:sz w:val="21"/>
                      <w:szCs w:val="21"/>
                      <w14:textFill>
                        <w14:solidFill>
                          <w14:schemeClr w14:val="tx1"/>
                        </w14:solidFill>
                      </w14:textFill>
                    </w:rPr>
                    <w:t>非甲烷总烃</w:t>
                  </w:r>
                </w:p>
              </w:tc>
              <w:tc>
                <w:tcPr>
                  <w:tcW w:w="3350" w:type="pct"/>
                  <w:tcBorders>
                    <w:tl2br w:val="nil"/>
                    <w:tr2bl w:val="nil"/>
                  </w:tcBorders>
                  <w:vAlign w:val="center"/>
                </w:tcPr>
                <w:p>
                  <w:pPr>
                    <w:adjustRightInd w:val="0"/>
                    <w:snapToGrid w:val="0"/>
                    <w:spacing w:line="300" w:lineRule="exact"/>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4.0</w:t>
                  </w:r>
                </w:p>
              </w:tc>
            </w:tr>
          </w:tbl>
          <w:p>
            <w:pPr>
              <w:pStyle w:val="180"/>
              <w:ind w:firstLine="482"/>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2. 废水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排采期排采水进入厂区排采水收集池暂存，定期运至静乐县污水净化中心进行处理，执行</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污水排入城镇下水道水质标准</w:t>
            </w:r>
            <w:r>
              <w:rPr>
                <w:rFonts w:hint="default" w:ascii="Times New Roman" w:hAnsi="Times New Roman" w:cs="Times New Roman"/>
                <w:color w:val="000000" w:themeColor="text1"/>
                <w:sz w:val="24"/>
                <w:szCs w:val="24"/>
                <w14:textFill>
                  <w14:solidFill>
                    <w14:schemeClr w14:val="tx1"/>
                  </w14:solidFill>
                </w14:textFill>
              </w:rPr>
              <w:t>》（GB</w:t>
            </w:r>
            <w:r>
              <w:rPr>
                <w:rFonts w:hint="default" w:ascii="Times New Roman" w:hAnsi="Times New Roman" w:cs="Times New Roman"/>
                <w:color w:val="000000" w:themeColor="text1"/>
                <w:sz w:val="24"/>
                <w:szCs w:val="24"/>
                <w:lang w:val="en-US" w:eastAsia="zh-CN"/>
                <w14:textFill>
                  <w14:solidFill>
                    <w14:schemeClr w14:val="tx1"/>
                  </w14:solidFill>
                </w14:textFill>
              </w:rPr>
              <w:t>/T31962-2015</w:t>
            </w:r>
            <w:r>
              <w:rPr>
                <w:rFonts w:hint="default" w:ascii="Times New Roman" w:hAnsi="Times New Roman" w:cs="Times New Roman"/>
                <w:color w:val="000000" w:themeColor="text1"/>
                <w:sz w:val="24"/>
                <w:szCs w:val="24"/>
                <w14:textFill>
                  <w14:solidFill>
                    <w14:schemeClr w14:val="tx1"/>
                  </w14:solidFill>
                </w14:textFill>
              </w:rPr>
              <w:t>）A等级标准</w:t>
            </w:r>
            <w:r>
              <w:rPr>
                <w:rFonts w:hint="default" w:ascii="Times New Roman" w:hAnsi="Times New Roman" w:cs="Times New Roman"/>
                <w:color w:val="000000" w:themeColor="text1"/>
                <w:sz w:val="24"/>
                <w:szCs w:val="24"/>
                <w:lang w:eastAsia="zh-CN"/>
                <w14:textFill>
                  <w14:solidFill>
                    <w14:schemeClr w14:val="tx1"/>
                  </w14:solidFill>
                </w14:textFill>
              </w:rPr>
              <w:t>。</w:t>
            </w:r>
          </w:p>
          <w:tbl>
            <w:tblPr>
              <w:tblStyle w:val="44"/>
              <w:tblW w:w="4999"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35"/>
              <w:gridCol w:w="2251"/>
              <w:gridCol w:w="49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序号</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基本控制项目</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水质（mg/L）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化学需氧量（COD）</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生化需氧量（BOD</w:t>
                  </w:r>
                  <w:r>
                    <w:rPr>
                      <w:rFonts w:hint="default" w:ascii="Times New Roman" w:hAnsi="Times New Roman" w:cs="Times New Roman"/>
                      <w:b w:val="0"/>
                      <w:bCs/>
                      <w:color w:val="000000" w:themeColor="text1"/>
                      <w:sz w:val="21"/>
                      <w:szCs w:val="21"/>
                      <w:vertAlign w:val="subscript"/>
                      <w14:textFill>
                        <w14:solidFill>
                          <w14:schemeClr w14:val="tx1"/>
                        </w14:solidFill>
                      </w14:textFill>
                    </w:rPr>
                    <w:t>5</w:t>
                  </w:r>
                  <w:r>
                    <w:rPr>
                      <w:rFonts w:hint="default" w:ascii="Times New Roman" w:hAnsi="Times New Roman" w:cs="Times New Roman"/>
                      <w:b w:val="0"/>
                      <w:bCs/>
                      <w:color w:val="000000" w:themeColor="text1"/>
                      <w:sz w:val="21"/>
                      <w:szCs w:val="21"/>
                      <w14:textFill>
                        <w14:solidFill>
                          <w14:schemeClr w14:val="tx1"/>
                        </w14:solidFill>
                      </w14:textFill>
                    </w:rPr>
                    <w:t>）</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悬浮物（SS）</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总氮（以N计）</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氨氮（以N计）</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6</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总磷（以P计）</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7</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pH</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6.5-9.5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8</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 xml:space="preserve">石油类 </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9</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氯化物</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500</w:t>
                  </w:r>
                </w:p>
              </w:tc>
            </w:tr>
          </w:tbl>
          <w:p>
            <w:pPr>
              <w:pStyle w:val="180"/>
              <w:ind w:firstLine="482"/>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 噪声排放标准</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w:t>
            </w:r>
            <w:r>
              <w:rPr>
                <w:rFonts w:hint="default" w:ascii="Times New Roman" w:hAnsi="Times New Roman" w:cs="Times New Roman"/>
                <w:color w:val="000000" w:themeColor="text1"/>
                <w14:textFill>
                  <w14:solidFill>
                    <w14:schemeClr w14:val="tx1"/>
                  </w14:solidFill>
                </w14:textFill>
              </w:rPr>
              <w:t>施工场地执行《建筑施工场界环境噪声排放标准》（GB12523-2011）。</w:t>
            </w:r>
          </w:p>
          <w:tbl>
            <w:tblPr>
              <w:tblStyle w:val="44"/>
              <w:tblW w:w="4998"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825"/>
              <w:gridCol w:w="2829"/>
              <w:gridCol w:w="282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8" w:hRule="atLeast"/>
              </w:trPr>
              <w:tc>
                <w:tcPr>
                  <w:tcW w:w="3334" w:type="pct"/>
                  <w:gridSpan w:val="2"/>
                  <w:tcBorders>
                    <w:tl2br w:val="nil"/>
                    <w:tr2bl w:val="nil"/>
                  </w:tcBorders>
                  <w:vAlign w:val="center"/>
                </w:tcPr>
                <w:p>
                  <w:pPr>
                    <w:pStyle w:val="17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噪声限值</w:t>
                  </w:r>
                </w:p>
              </w:tc>
              <w:tc>
                <w:tcPr>
                  <w:tcW w:w="1665" w:type="pct"/>
                  <w:tcBorders>
                    <w:tl2br w:val="nil"/>
                    <w:tr2bl w:val="nil"/>
                  </w:tcBorders>
                  <w:vAlign w:val="center"/>
                </w:tcPr>
                <w:p>
                  <w:pPr>
                    <w:pStyle w:val="17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53" w:hRule="atLeast"/>
              </w:trPr>
              <w:tc>
                <w:tcPr>
                  <w:tcW w:w="1666" w:type="pct"/>
                  <w:tcBorders>
                    <w:tl2br w:val="nil"/>
                    <w:tr2bl w:val="nil"/>
                  </w:tcBorders>
                  <w:vAlign w:val="center"/>
                </w:tcPr>
                <w:p>
                  <w:pPr>
                    <w:pStyle w:val="179"/>
                    <w:rPr>
                      <w:rFonts w:hint="default" w:ascii="Times New Roman" w:hAnsi="Times New Roman" w:cs="Times New Roman" w:eastAsiaTheme="minorEastAsia"/>
                      <w:b/>
                      <w:color w:val="000000" w:themeColor="text1"/>
                      <w:szCs w:val="2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昼间</w:t>
                  </w:r>
                </w:p>
              </w:tc>
              <w:tc>
                <w:tcPr>
                  <w:tcW w:w="1668" w:type="pct"/>
                  <w:tcBorders>
                    <w:tl2br w:val="nil"/>
                    <w:tr2bl w:val="nil"/>
                  </w:tcBorders>
                  <w:vAlign w:val="center"/>
                </w:tcPr>
                <w:p>
                  <w:pPr>
                    <w:pStyle w:val="17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夜间</w:t>
                  </w:r>
                </w:p>
              </w:tc>
              <w:tc>
                <w:tcPr>
                  <w:tcW w:w="1665" w:type="pct"/>
                  <w:vMerge w:val="restart"/>
                  <w:tcBorders>
                    <w:tl2br w:val="nil"/>
                    <w:tr2bl w:val="nil"/>
                  </w:tcBorders>
                  <w:vAlign w:val="center"/>
                </w:tcPr>
                <w:p>
                  <w:pPr>
                    <w:pStyle w:val="17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dB(A)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1666" w:type="pct"/>
                  <w:tcBorders>
                    <w:tl2br w:val="nil"/>
                    <w:tr2bl w:val="nil"/>
                  </w:tcBorders>
                  <w:vAlign w:val="center"/>
                </w:tcPr>
                <w:p>
                  <w:pPr>
                    <w:pStyle w:val="17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1668" w:type="pct"/>
                  <w:tcBorders>
                    <w:tl2br w:val="nil"/>
                    <w:tr2bl w:val="nil"/>
                  </w:tcBorders>
                  <w:vAlign w:val="center"/>
                </w:tcPr>
                <w:p>
                  <w:pPr>
                    <w:pStyle w:val="17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1665" w:type="pct"/>
                  <w:vMerge w:val="continue"/>
                  <w:tcBorders>
                    <w:tl2br w:val="nil"/>
                    <w:tr2bl w:val="nil"/>
                  </w:tcBorders>
                  <w:vAlign w:val="center"/>
                </w:tcPr>
                <w:p>
                  <w:pPr>
                    <w:pStyle w:val="179"/>
                    <w:rPr>
                      <w:rFonts w:hint="default" w:ascii="Times New Roman" w:hAnsi="Times New Roman" w:cs="Times New Roman"/>
                      <w:color w:val="000000" w:themeColor="text1"/>
                      <w14:textFill>
                        <w14:solidFill>
                          <w14:schemeClr w14:val="tx1"/>
                        </w14:solidFill>
                      </w14:textFill>
                    </w:rPr>
                  </w:pPr>
                </w:p>
              </w:tc>
            </w:tr>
          </w:tbl>
          <w:p>
            <w:pPr>
              <w:pStyle w:val="180"/>
              <w:ind w:firstLine="496"/>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4"/>
                <w:lang w:val="en-US" w:eastAsia="zh-CN"/>
                <w14:textFill>
                  <w14:solidFill>
                    <w14:schemeClr w14:val="tx1"/>
                  </w14:solidFill>
                </w14:textFill>
              </w:rPr>
              <w:t>排采</w:t>
            </w:r>
            <w:r>
              <w:rPr>
                <w:rFonts w:hint="default" w:ascii="Times New Roman" w:hAnsi="Times New Roman" w:cs="Times New Roman"/>
                <w:color w:val="000000" w:themeColor="text1"/>
                <w:spacing w:val="4"/>
                <w14:textFill>
                  <w14:solidFill>
                    <w14:schemeClr w14:val="tx1"/>
                  </w14:solidFill>
                </w14:textFill>
              </w:rPr>
              <w:t>期执行</w:t>
            </w:r>
            <w:r>
              <w:rPr>
                <w:rFonts w:hint="default" w:ascii="Times New Roman" w:hAnsi="Times New Roman" w:cs="Times New Roman"/>
                <w:color w:val="000000" w:themeColor="text1"/>
                <w:szCs w:val="28"/>
                <w14:textFill>
                  <w14:solidFill>
                    <w14:schemeClr w14:val="tx1"/>
                  </w14:solidFill>
                </w14:textFill>
              </w:rPr>
              <w:t>《工业企业厂界环境噪声排放标准》（GB12348-2008）中2类标准。</w:t>
            </w:r>
          </w:p>
          <w:tbl>
            <w:tblPr>
              <w:tblStyle w:val="44"/>
              <w:tblW w:w="4998"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120"/>
              <w:gridCol w:w="2120"/>
              <w:gridCol w:w="2124"/>
              <w:gridCol w:w="211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2" w:hRule="atLeast"/>
              </w:trPr>
              <w:tc>
                <w:tcPr>
                  <w:tcW w:w="1250" w:type="pct"/>
                  <w:tcBorders>
                    <w:tl2br w:val="nil"/>
                    <w:tr2bl w:val="nil"/>
                  </w:tcBorders>
                  <w:vAlign w:val="center"/>
                </w:tcPr>
                <w:p>
                  <w:pPr>
                    <w:pStyle w:val="17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功能区类别</w:t>
                  </w:r>
                </w:p>
              </w:tc>
              <w:tc>
                <w:tcPr>
                  <w:tcW w:w="1250" w:type="pct"/>
                  <w:tcBorders>
                    <w:tl2br w:val="nil"/>
                    <w:tr2bl w:val="nil"/>
                  </w:tcBorders>
                  <w:vAlign w:val="center"/>
                </w:tcPr>
                <w:p>
                  <w:pPr>
                    <w:pStyle w:val="17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昼间</w:t>
                  </w:r>
                </w:p>
              </w:tc>
              <w:tc>
                <w:tcPr>
                  <w:tcW w:w="1252" w:type="pct"/>
                  <w:tcBorders>
                    <w:tl2br w:val="nil"/>
                    <w:tr2bl w:val="nil"/>
                  </w:tcBorders>
                  <w:vAlign w:val="center"/>
                </w:tcPr>
                <w:p>
                  <w:pPr>
                    <w:pStyle w:val="17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夜间</w:t>
                  </w:r>
                </w:p>
              </w:tc>
              <w:tc>
                <w:tcPr>
                  <w:tcW w:w="1246" w:type="pct"/>
                  <w:tcBorders>
                    <w:tl2br w:val="nil"/>
                    <w:tr2bl w:val="nil"/>
                  </w:tcBorders>
                  <w:vAlign w:val="center"/>
                </w:tcPr>
                <w:p>
                  <w:pPr>
                    <w:pStyle w:val="179"/>
                    <w:rPr>
                      <w:rFonts w:hint="default"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1250" w:type="pct"/>
                  <w:tcBorders>
                    <w:tl2br w:val="nil"/>
                    <w:tr2bl w:val="nil"/>
                  </w:tcBorders>
                  <w:vAlign w:val="center"/>
                </w:tcPr>
                <w:p>
                  <w:pPr>
                    <w:pStyle w:val="17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2类</w:t>
                  </w:r>
                </w:p>
              </w:tc>
              <w:tc>
                <w:tcPr>
                  <w:tcW w:w="1250" w:type="pct"/>
                  <w:tcBorders>
                    <w:tl2br w:val="nil"/>
                    <w:tr2bl w:val="nil"/>
                  </w:tcBorders>
                  <w:vAlign w:val="center"/>
                </w:tcPr>
                <w:p>
                  <w:pPr>
                    <w:pStyle w:val="17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1252" w:type="pct"/>
                  <w:tcBorders>
                    <w:tl2br w:val="nil"/>
                    <w:tr2bl w:val="nil"/>
                  </w:tcBorders>
                  <w:vAlign w:val="center"/>
                </w:tcPr>
                <w:p>
                  <w:pPr>
                    <w:pStyle w:val="17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1246" w:type="pct"/>
                  <w:tcBorders>
                    <w:tl2br w:val="nil"/>
                    <w:tr2bl w:val="nil"/>
                  </w:tcBorders>
                  <w:vAlign w:val="center"/>
                </w:tcPr>
                <w:p>
                  <w:pPr>
                    <w:pStyle w:val="17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dB(A)</w:t>
                  </w:r>
                </w:p>
              </w:tc>
            </w:tr>
          </w:tbl>
          <w:p>
            <w:pPr>
              <w:tabs>
                <w:tab w:val="left" w:pos="7500"/>
              </w:tabs>
              <w:adjustRightInd w:val="0"/>
              <w:snapToGrid w:val="0"/>
              <w:spacing w:line="440" w:lineRule="exact"/>
              <w:ind w:firstLine="480" w:firstLineChars="20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4</w:t>
            </w:r>
            <w:r>
              <w:rPr>
                <w:rFonts w:hint="default" w:ascii="Times New Roman" w:hAnsi="Times New Roman" w:cs="Times New Roman" w:eastAsiaTheme="minorEastAsia"/>
                <w:b w:val="0"/>
                <w:bCs/>
                <w:color w:val="000000" w:themeColor="text1"/>
                <w:sz w:val="24"/>
                <w14:textFill>
                  <w14:solidFill>
                    <w14:schemeClr w14:val="tx1"/>
                  </w14:solidFill>
                </w14:textFill>
              </w:rPr>
              <w:t>. 固体废物</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钻井岩屑、钻井泥浆处置执行《一般工业固体废物贮存、处置场污染控制标准》（GB18599-2001）及其 2013</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default" w:ascii="Times New Roman" w:hAnsi="Times New Roman" w:cs="Times New Roman"/>
                <w:color w:val="000000" w:themeColor="text1"/>
                <w:sz w:val="24"/>
                <w14:textFill>
                  <w14:solidFill>
                    <w14:schemeClr w14:val="tx1"/>
                  </w14:solidFill>
                </w14:textFill>
              </w:rPr>
              <w:t>修改单的规定；废机油属于危险废物，其贮存、管理执行《危险废物贮存污染控制标准》（GB18597-2001）及其 2013</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default" w:ascii="Times New Roman" w:hAnsi="Times New Roman" w:cs="Times New Roman"/>
                <w:color w:val="000000" w:themeColor="text1"/>
                <w:sz w:val="24"/>
                <w14:textFill>
                  <w14:solidFill>
                    <w14:schemeClr w14:val="tx1"/>
                  </w14:solidFill>
                </w14:textFill>
              </w:rPr>
              <w:t>修改单中的规定。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4" w:hRule="atLeast"/>
          <w:jc w:val="center"/>
        </w:trPr>
        <w:tc>
          <w:tcPr>
            <w:tcW w:w="669" w:type="dxa"/>
            <w:vAlign w:val="center"/>
          </w:tcPr>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总</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量</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控</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制指</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标</w:t>
            </w:r>
          </w:p>
        </w:tc>
        <w:tc>
          <w:tcPr>
            <w:tcW w:w="8371" w:type="dxa"/>
          </w:tcPr>
          <w:p>
            <w:pPr>
              <w:pStyle w:val="180"/>
              <w:ind w:firstLine="480"/>
              <w:rPr>
                <w:rFonts w:hint="default" w:ascii="Times New Roman" w:hAnsi="Times New Roman" w:cs="Times New Roman"/>
                <w:color w:val="000000" w:themeColor="text1"/>
                <w14:textFill>
                  <w14:solidFill>
                    <w14:schemeClr w14:val="tx1"/>
                  </w14:solidFill>
                </w14:textFill>
              </w:rPr>
            </w:pPr>
          </w:p>
          <w:p>
            <w:pPr>
              <w:pStyle w:val="180"/>
              <w:keepNext w:val="0"/>
              <w:keepLines w:val="0"/>
              <w:pageBreakBefore w:val="0"/>
              <w:widowControl w:val="0"/>
              <w:kinsoku/>
              <w:wordWrap/>
              <w:overflowPunct/>
              <w:topLinePunct w:val="0"/>
              <w:autoSpaceDE/>
              <w:autoSpaceDN/>
              <w:bidi w:val="0"/>
              <w:snapToGrid/>
              <w:spacing w:line="300" w:lineRule="auto"/>
              <w:ind w:firstLine="480"/>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480" w:firstLineChars="200"/>
              <w:jc w:val="both"/>
              <w:textAlignment w:val="baseline"/>
              <w:outlineLvl w:val="9"/>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根据山西省环保厅晋环发</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201</w:t>
            </w:r>
            <w:r>
              <w:rPr>
                <w:rFonts w:hint="default" w:ascii="Times New Roman" w:hAnsi="Times New Roman"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25</w:t>
            </w:r>
            <w:r>
              <w:rPr>
                <w:rFonts w:hint="default" w:ascii="Times New Roman" w:hAnsi="Times New Roman" w:cs="Times New Roman"/>
                <w:bCs/>
                <w:color w:val="000000" w:themeColor="text1"/>
                <w:sz w:val="24"/>
                <w:highlight w:val="none"/>
                <w14:textFill>
                  <w14:solidFill>
                    <w14:schemeClr w14:val="tx1"/>
                  </w14:solidFill>
                </w14:textFill>
              </w:rPr>
              <w:t>号文，属于环境统计重点工业源调查行业范围内（《国民经济行业分类》（GB/T4754）中采矿业、制造业，电力、燃气及水的生产和供应业，3个门类39个行业）新增主要污染物排放总量的建设项目，在环境影响评价文件审批前，建设单位需按本办法规定取得主要污染物排放总量指标。</w:t>
            </w:r>
          </w:p>
          <w:p>
            <w:pPr>
              <w:pStyle w:val="262"/>
              <w:keepNext w:val="0"/>
              <w:keepLines w:val="0"/>
              <w:pageBreakBefore w:val="0"/>
              <w:widowControl w:val="0"/>
              <w:kinsoku/>
              <w:wordWrap/>
              <w:overflowPunct/>
              <w:topLinePunct w:val="0"/>
              <w:autoSpaceDE/>
              <w:autoSpaceDN/>
              <w:bidi w:val="0"/>
              <w:adjustRightInd/>
              <w:snapToGrid/>
              <w:spacing w:beforeLines="0" w:afterLines="0" w:line="30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本项目勘查</w:t>
            </w:r>
            <w:r>
              <w:rPr>
                <w:rStyle w:val="264"/>
                <w:rFonts w:hint="default" w:ascii="Times New Roman" w:hAnsi="Times New Roman" w:cs="Times New Roman"/>
                <w:color w:val="000000" w:themeColor="text1"/>
                <w:sz w:val="24"/>
                <w:szCs w:val="24"/>
                <w:highlight w:val="none"/>
                <w:lang w:val="en-US" w:eastAsia="zh-CN"/>
                <w14:textFill>
                  <w14:solidFill>
                    <w14:schemeClr w14:val="tx1"/>
                  </w14:solidFill>
                </w14:textFill>
              </w:rPr>
              <w:t>试气</w:t>
            </w: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阶段属于临时施工，</w:t>
            </w:r>
            <w:r>
              <w:rPr>
                <w:rStyle w:val="264"/>
                <w:rFonts w:hint="eastAsia" w:ascii="Times New Roman" w:hAnsi="Times New Roman" w:cs="Times New Roman"/>
                <w:color w:val="000000" w:themeColor="text1"/>
                <w:sz w:val="24"/>
                <w:szCs w:val="24"/>
                <w:highlight w:val="none"/>
                <w:lang w:val="en-US" w:eastAsia="zh-CN"/>
                <w14:textFill>
                  <w14:solidFill>
                    <w14:schemeClr w14:val="tx1"/>
                  </w14:solidFill>
                </w14:textFill>
              </w:rPr>
              <w:t>排采期</w:t>
            </w:r>
            <w:r>
              <w:rPr>
                <w:rStyle w:val="264"/>
                <w:rFonts w:hint="default" w:ascii="Times New Roman" w:hAnsi="Times New Roman" w:cs="Times New Roman"/>
                <w:color w:val="000000" w:themeColor="text1"/>
                <w:sz w:val="24"/>
                <w:szCs w:val="24"/>
                <w:highlight w:val="none"/>
                <w:lang w:val="en-US" w:eastAsia="zh-CN"/>
                <w14:textFill>
                  <w14:solidFill>
                    <w14:schemeClr w14:val="tx1"/>
                  </w14:solidFill>
                </w14:textFill>
              </w:rPr>
              <w:t>结束后，将对勘探井进行临时关井或永久关井，关井后井场无污染物产生，</w:t>
            </w: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故本次评价不申请污染物排放总量。</w:t>
            </w:r>
          </w:p>
          <w:p>
            <w:pPr>
              <w:pStyle w:val="180"/>
              <w:keepNext w:val="0"/>
              <w:keepLines w:val="0"/>
              <w:pageBreakBefore w:val="0"/>
              <w:widowControl w:val="0"/>
              <w:kinsoku/>
              <w:wordWrap/>
              <w:overflowPunct/>
              <w:topLinePunct w:val="0"/>
              <w:autoSpaceDE/>
              <w:autoSpaceDN/>
              <w:bidi w:val="0"/>
              <w:snapToGrid/>
              <w:spacing w:line="300" w:lineRule="auto"/>
              <w:ind w:firstLine="480"/>
              <w:outlineLvl w:val="9"/>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firstLine="0" w:firstLineChars="0"/>
              <w:rPr>
                <w:rFonts w:hint="default" w:ascii="Times New Roman" w:hAnsi="Times New Roman" w:cs="Times New Roman"/>
                <w:color w:val="000000" w:themeColor="text1"/>
                <w14:textFill>
                  <w14:solidFill>
                    <w14:schemeClr w14:val="tx1"/>
                  </w14:solidFill>
                </w14:textFill>
              </w:rPr>
            </w:pPr>
          </w:p>
        </w:tc>
      </w:tr>
    </w:tbl>
    <w:p>
      <w:pPr>
        <w:adjustRightInd w:val="0"/>
        <w:snapToGrid w:val="0"/>
        <w:spacing w:line="300" w:lineRule="auto"/>
        <w:ind w:firstLine="600" w:firstLineChars="200"/>
        <w:outlineLvl w:val="0"/>
        <w:rPr>
          <w:rFonts w:hint="default" w:ascii="Times New Roman" w:hAnsi="Times New Roman" w:cs="Times New Roman" w:eastAsiaTheme="minorEastAsia"/>
          <w:color w:val="000000" w:themeColor="text1"/>
          <w:sz w:val="30"/>
          <w:szCs w:val="30"/>
          <w14:textFill>
            <w14:solidFill>
              <w14:schemeClr w14:val="tx1"/>
            </w14:solidFill>
          </w14:textFill>
        </w:rPr>
        <w:sectPr>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AndChar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9" w:name="_Toc13195"/>
      <w:r>
        <w:rPr>
          <w:rFonts w:hint="default" w:ascii="Times New Roman" w:hAnsi="Times New Roman" w:cs="Times New Roman"/>
          <w:color w:val="000000" w:themeColor="text1"/>
          <w14:textFill>
            <w14:solidFill>
              <w14:schemeClr w14:val="tx1"/>
            </w14:solidFill>
          </w14:textFill>
        </w:rPr>
        <w:t>建设项目工程分析</w:t>
      </w:r>
      <w:bookmarkEnd w:id="9"/>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08" w:hRule="atLeast"/>
          <w:jc w:val="center"/>
        </w:trPr>
        <w:tc>
          <w:tcPr>
            <w:tcW w:w="9040" w:type="dxa"/>
            <w:vAlign w:val="center"/>
          </w:tcPr>
          <w:p>
            <w:pPr>
              <w:spacing w:after="156" w:afterLines="50" w:line="300" w:lineRule="auto"/>
              <w:rPr>
                <w:rFonts w:hint="default" w:ascii="Times New Roman" w:hAnsi="Times New Roman" w:cs="Times New Roman"/>
                <w:b/>
                <w:bCs/>
                <w:color w:val="000000" w:themeColor="text1"/>
                <w:sz w:val="28"/>
                <w14:textFill>
                  <w14:solidFill>
                    <w14:schemeClr w14:val="tx1"/>
                  </w14:solidFill>
                </w14:textFill>
              </w:rPr>
            </w:pPr>
            <w:r>
              <w:rPr>
                <w:rFonts w:hint="default" w:ascii="Times New Roman" w:hAnsi="Times New Roman" w:cs="Times New Roman"/>
                <w:b/>
                <w:bCs/>
                <w:color w:val="000000" w:themeColor="text1"/>
                <w:sz w:val="28"/>
                <w14:textFill>
                  <w14:solidFill>
                    <w14:schemeClr w14:val="tx1"/>
                  </w14:solidFill>
                </w14:textFill>
              </w:rPr>
              <w:t>工艺流程简述（图示）：</w:t>
            </w:r>
          </w:p>
          <w:p>
            <w:pPr>
              <w:pStyle w:val="180"/>
              <w:ind w:left="482" w:firstLine="0" w:firstLineChars="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1．</w:t>
            </w:r>
            <w:r>
              <w:rPr>
                <w:rFonts w:hint="default" w:ascii="Times New Roman" w:hAnsi="Times New Roman" w:cs="Times New Roman"/>
                <w:b/>
                <w:color w:val="000000" w:themeColor="text1"/>
                <w:lang w:val="en-US" w:eastAsia="zh-CN"/>
                <w14:textFill>
                  <w14:solidFill>
                    <w14:schemeClr w14:val="tx1"/>
                  </w14:solidFill>
                </w14:textFill>
              </w:rPr>
              <w:t>生产</w:t>
            </w:r>
            <w:r>
              <w:rPr>
                <w:rFonts w:hint="default" w:ascii="Times New Roman" w:hAnsi="Times New Roman" w:cs="Times New Roman"/>
                <w:b/>
                <w:color w:val="000000" w:themeColor="text1"/>
                <w14:textFill>
                  <w14:solidFill>
                    <w14:schemeClr w14:val="tx1"/>
                  </w14:solidFill>
                </w14:textFill>
              </w:rPr>
              <w:t>工艺流程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w:t>
            </w:r>
            <w:r>
              <w:rPr>
                <w:rFonts w:hint="eastAsia"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勘探井为竖直井，采用小孔钻井技术。</w:t>
            </w:r>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1443990</wp:posOffset>
                      </wp:positionH>
                      <wp:positionV relativeFrom="paragraph">
                        <wp:posOffset>492125</wp:posOffset>
                      </wp:positionV>
                      <wp:extent cx="2014855" cy="420370"/>
                      <wp:effectExtent l="4445" t="5080" r="19050" b="12700"/>
                      <wp:wrapNone/>
                      <wp:docPr id="10" name="文本框 10"/>
                      <wp:cNvGraphicFramePr/>
                      <a:graphic xmlns:a="http://schemas.openxmlformats.org/drawingml/2006/main">
                        <a:graphicData uri="http://schemas.microsoft.com/office/word/2010/wordprocessingShape">
                          <wps:wsp>
                            <wps:cNvSpPr txBox="1"/>
                            <wps:spPr>
                              <a:xfrm>
                                <a:off x="2422525" y="3236595"/>
                                <a:ext cx="2014855" cy="420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钻前井场施工(施工便道、井场平整、泥浆池及营房的安装等)</w:t>
                                  </w:r>
                                </w:p>
                              </w:txbxContent>
                            </wps:txbx>
                            <wps:bodyPr lIns="0" tIns="0" rIns="0" bIns="0" upright="1"/>
                          </wps:wsp>
                        </a:graphicData>
                      </a:graphic>
                    </wp:anchor>
                  </w:drawing>
                </mc:Choice>
                <mc:Fallback>
                  <w:pict>
                    <v:shape id="_x0000_s1026" o:spid="_x0000_s1026" o:spt="202" type="#_x0000_t202" style="position:absolute;left:0pt;margin-left:113.7pt;margin-top:38.75pt;height:33.1pt;width:158.65pt;z-index:252043264;mso-width-relative:page;mso-height-relative:page;" fillcolor="#FFFFFF" filled="t" stroked="t" coordsize="21600,21600" o:gfxdata="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uOT+2QAAAAoBAAAPAAAAAAAAAAEAIAAA&#10;ACIAAABkcnMvZG93bnJldi54bWxQSwECFAAUAAAACACHTuJAmhAR7gsCAAAaBAAADgAAAAAAAAAB&#10;ACAAAAAoAQAAZHJzL2Uyb0RvYy54bWxQSwUGAAAAAAYABgBZAQAApQUAAAAA&#10;">
                      <v:fill on="t" focussize="0,0"/>
                      <v:stroke color="#000000" joinstyle="miter"/>
                      <v:imagedata o:title=""/>
                      <o:lock v:ext="edit" aspectratio="f"/>
                      <v:textbox inset="0mm,0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钻前井场施工(施工便道、井场平整、泥浆池及营房的安装等)</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w:t>整个勘探活动包括：钻前井场施工、钻井、固井、取岩芯、射孔、压裂、地面设备安装等。勘探工艺流程及产污环节示意图见</w:t>
            </w:r>
            <w:r>
              <w:rPr>
                <w:rFonts w:hint="default" w:ascii="Times New Roman" w:hAnsi="Times New Roman" w:cs="Times New Roman"/>
                <w:color w:val="000000" w:themeColor="text1"/>
                <w:sz w:val="24"/>
                <w:lang w:val="en-US" w:eastAsia="zh-CN"/>
                <w14:textFill>
                  <w14:solidFill>
                    <w14:schemeClr w14:val="tx1"/>
                  </w14:solidFill>
                </w14:textFill>
              </w:rPr>
              <w:t>插图</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，井身结构示意图见插图</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w:t>
            </w:r>
          </w:p>
          <w:p>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4037330</wp:posOffset>
                      </wp:positionH>
                      <wp:positionV relativeFrom="paragraph">
                        <wp:posOffset>31750</wp:posOffset>
                      </wp:positionV>
                      <wp:extent cx="1101725" cy="340360"/>
                      <wp:effectExtent l="0" t="0" r="0" b="0"/>
                      <wp:wrapNone/>
                      <wp:docPr id="11" name="文本框 11"/>
                      <wp:cNvGraphicFramePr/>
                      <a:graphic xmlns:a="http://schemas.openxmlformats.org/drawingml/2006/main">
                        <a:graphicData uri="http://schemas.microsoft.com/office/word/2010/wordprocessingShape">
                          <wps:wsp>
                            <wps:cNvSpPr txBox="1"/>
                            <wps:spPr>
                              <a:xfrm>
                                <a:off x="5015865" y="3271520"/>
                                <a:ext cx="1101725" cy="340360"/>
                              </a:xfrm>
                              <a:prstGeom prst="rect">
                                <a:avLst/>
                              </a:prstGeom>
                              <a:noFill/>
                              <a:ln>
                                <a:noFill/>
                              </a:ln>
                            </wps:spPr>
                            <wps:txbx>
                              <w:txbxContent>
                                <w:p>
                                  <w:pPr>
                                    <w:spacing w:line="240" w:lineRule="exact"/>
                                    <w:rPr>
                                      <w:rFonts w:ascii="仿宋_GB2312" w:eastAsia="仿宋_GB2312"/>
                                      <w:spacing w:val="-20"/>
                                      <w:sz w:val="24"/>
                                    </w:rPr>
                                  </w:pPr>
                                </w:p>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a:graphicData>
                      </a:graphic>
                    </wp:anchor>
                  </w:drawing>
                </mc:Choice>
                <mc:Fallback>
                  <w:pict>
                    <v:shape id="_x0000_s1026" o:spid="_x0000_s1026" o:spt="202" type="#_x0000_t202" style="position:absolute;left:0pt;margin-left:317.9pt;margin-top:2.5pt;height:26.8pt;width:86.75pt;z-index:252044288;mso-width-relative:page;mso-height-relative:page;" filled="f" stroked="f" coordsize="21600,21600" o:gfxdata="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YhoXWAAAACAEA&#10;AA8AAAAAAAAAAQAgAAAAIgAAAGRycy9kb3ducmV2LnhtbFBLAQIUABQAAAAIAIdO4kA4Kc+jqgEA&#10;ADIDAAAOAAAAAAAAAAEAIAAAACUBAABkcnMvZTJvRG9jLnhtbFBLBQYAAAAABgAGAFkBAABBBQAA&#10;AAA=&#10;">
                      <v:fill on="f" focussize="0,0"/>
                      <v:stroke on="f"/>
                      <v:imagedata o:title=""/>
                      <o:lock v:ext="edit" aspectratio="f"/>
                      <v:textbox inset="0mm,0mm,0mm,0mm">
                        <w:txbxContent>
                          <w:p>
                            <w:pPr>
                              <w:spacing w:line="240" w:lineRule="exact"/>
                              <w:rPr>
                                <w:rFonts w:ascii="仿宋_GB2312" w:eastAsia="仿宋_GB2312"/>
                                <w:spacing w:val="-20"/>
                                <w:sz w:val="24"/>
                              </w:rPr>
                            </w:pPr>
                          </w:p>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3373755</wp:posOffset>
                      </wp:positionH>
                      <wp:positionV relativeFrom="paragraph">
                        <wp:posOffset>231775</wp:posOffset>
                      </wp:positionV>
                      <wp:extent cx="615315" cy="635"/>
                      <wp:effectExtent l="0" t="38100" r="13335" b="37465"/>
                      <wp:wrapNone/>
                      <wp:docPr id="163" name="直接连接符 163"/>
                      <wp:cNvGraphicFramePr/>
                      <a:graphic xmlns:a="http://schemas.openxmlformats.org/drawingml/2006/main">
                        <a:graphicData uri="http://schemas.microsoft.com/office/word/2010/wordprocessingShape">
                          <wps:wsp>
                            <wps:cNvCnPr/>
                            <wps:spPr>
                              <a:xfrm flipH="1">
                                <a:off x="0" y="0"/>
                                <a:ext cx="615315" cy="63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margin-left:265.65pt;margin-top:18.25pt;height:0.05pt;width:48.45pt;z-index:252020736;mso-width-relative:page;mso-height-relative:page;" filled="f" stroked="t" coordsize="21600,21600" o:gfxdata="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p5Z12AAAAAkBAAAPAAAAAAAAAAEAIAAAACIAAABkcnMvZG93bnJldi54bWxQSwECFAAUAAAACACH&#10;TuJA9nOQwesBAACoAwAADgAAAAAAAAABACAAAAAnAQAAZHJzL2Uyb0RvYy54bWxQSwUGAAAAAAYA&#10;BgBZAQAAhAUAAAAA&#10;">
                      <v:fill on="f" focussize="0,0"/>
                      <v:stroke color="#000000" joinstyle="round" dashstyle="dash" startarrow="block"/>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mc:AlternateContent>
                <mc:Choice Requires="wps">
                  <w:drawing>
                    <wp:anchor distT="0" distB="0" distL="114300" distR="114300" simplePos="0" relativeHeight="2640021504" behindDoc="0" locked="0" layoutInCell="1" allowOverlap="1">
                      <wp:simplePos x="0" y="0"/>
                      <wp:positionH relativeFrom="column">
                        <wp:posOffset>4535170</wp:posOffset>
                      </wp:positionH>
                      <wp:positionV relativeFrom="paragraph">
                        <wp:posOffset>128270</wp:posOffset>
                      </wp:positionV>
                      <wp:extent cx="979170" cy="32702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979170" cy="327025"/>
                              </a:xfrm>
                              <a:prstGeom prst="rect">
                                <a:avLst/>
                              </a:prstGeom>
                              <a:noFill/>
                              <a:ln>
                                <a:noFill/>
                              </a:ln>
                            </wps:spPr>
                            <wps:txbx>
                              <w:txbxContent>
                                <w:p>
                                  <w:pPr>
                                    <w:spacing w:line="240" w:lineRule="exact"/>
                                    <w:rPr>
                                      <w:rFonts w:hint="default" w:ascii="Times New Roman" w:hAnsi="Times New Roman" w:eastAsia="仿宋_GB2312" w:cs="Times New Roman"/>
                                      <w:spacing w:val="-20"/>
                                      <w:sz w:val="21"/>
                                      <w:szCs w:val="21"/>
                                    </w:rPr>
                                  </w:pPr>
                                </w:p>
                                <w:p>
                                  <w:pPr>
                                    <w:spacing w:line="240" w:lineRule="exact"/>
                                    <w:rPr>
                                      <w:rFonts w:hint="default" w:ascii="Times New Roman" w:hAnsi="Times New Roman" w:cs="Times New Roman" w:eastAsiaTheme="minorEastAsia"/>
                                      <w:spacing w:val="-20"/>
                                      <w:sz w:val="21"/>
                                      <w:szCs w:val="21"/>
                                      <w:lang w:val="en-US" w:eastAsia="zh-CN"/>
                                    </w:rPr>
                                  </w:pPr>
                                  <w:r>
                                    <w:rPr>
                                      <w:rFonts w:hint="default" w:ascii="Times New Roman" w:hAnsi="Times New Roman" w:cs="Times New Roman" w:eastAsiaTheme="minorEastAsia"/>
                                      <w:spacing w:val="-20"/>
                                      <w:sz w:val="21"/>
                                      <w:szCs w:val="21"/>
                                      <w:lang w:val="en-US" w:eastAsia="zh-CN"/>
                                    </w:rPr>
                                    <w:t>SO</w:t>
                                  </w:r>
                                  <w:r>
                                    <w:rPr>
                                      <w:rFonts w:hint="default" w:ascii="Times New Roman" w:hAnsi="Times New Roman" w:cs="Times New Roman" w:eastAsiaTheme="minorEastAsia"/>
                                      <w:spacing w:val="-20"/>
                                      <w:sz w:val="21"/>
                                      <w:szCs w:val="21"/>
                                      <w:vertAlign w:val="subscript"/>
                                      <w:lang w:val="en-US" w:eastAsia="zh-CN"/>
                                    </w:rPr>
                                    <w:t>2</w:t>
                                  </w:r>
                                  <w:r>
                                    <w:rPr>
                                      <w:rFonts w:hint="default" w:ascii="Times New Roman" w:hAnsi="Times New Roman" w:cs="Times New Roman" w:eastAsiaTheme="minorEastAsia"/>
                                      <w:spacing w:val="-20"/>
                                      <w:sz w:val="21"/>
                                      <w:szCs w:val="21"/>
                                      <w:lang w:val="en-US" w:eastAsia="zh-CN"/>
                                    </w:rPr>
                                    <w:t>、NOx、总烃</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a:graphicData>
                      </a:graphic>
                    </wp:anchor>
                  </w:drawing>
                </mc:Choice>
                <mc:Fallback>
                  <w:pict>
                    <v:shape id="_x0000_s1026" o:spid="_x0000_s1026" o:spt="202" type="#_x0000_t202" style="position:absolute;left:0pt;margin-left:357.1pt;margin-top:10.1pt;height:25.75pt;width:77.1pt;z-index:-1654945792;mso-width-relative:page;mso-height-relative:page;" filled="f" stroked="f" coordsize="21600,21600" o:gfxdata="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6Yzv2AAAAAkBAAAPAAAAAAAA&#10;AAEAIAAAACIAAABkcnMvZG93bnJldi54bWxQSwECFAAUAAAACACHTuJAWXBu8aABAAAnAwAADgAA&#10;AAAAAAABACAAAAAnAQAAZHJzL2Uyb0RvYy54bWxQSwUGAAAAAAYABgBZAQAAOQUAAAAA&#10;">
                      <v:fill on="f" focussize="0,0"/>
                      <v:stroke on="f"/>
                      <v:imagedata o:title=""/>
                      <o:lock v:ext="edit" aspectratio="f"/>
                      <v:textbox inset="0mm,0mm,0mm,0mm">
                        <w:txbxContent>
                          <w:p>
                            <w:pPr>
                              <w:spacing w:line="240" w:lineRule="exact"/>
                              <w:rPr>
                                <w:rFonts w:hint="default" w:ascii="Times New Roman" w:hAnsi="Times New Roman" w:eastAsia="仿宋_GB2312" w:cs="Times New Roman"/>
                                <w:spacing w:val="-20"/>
                                <w:sz w:val="21"/>
                                <w:szCs w:val="21"/>
                              </w:rPr>
                            </w:pPr>
                          </w:p>
                          <w:p>
                            <w:pPr>
                              <w:spacing w:line="240" w:lineRule="exact"/>
                              <w:rPr>
                                <w:rFonts w:hint="default" w:ascii="Times New Roman" w:hAnsi="Times New Roman" w:cs="Times New Roman" w:eastAsiaTheme="minorEastAsia"/>
                                <w:spacing w:val="-20"/>
                                <w:sz w:val="21"/>
                                <w:szCs w:val="21"/>
                                <w:lang w:val="en-US" w:eastAsia="zh-CN"/>
                              </w:rPr>
                            </w:pPr>
                            <w:r>
                              <w:rPr>
                                <w:rFonts w:hint="default" w:ascii="Times New Roman" w:hAnsi="Times New Roman" w:cs="Times New Roman" w:eastAsiaTheme="minorEastAsia"/>
                                <w:spacing w:val="-20"/>
                                <w:sz w:val="21"/>
                                <w:szCs w:val="21"/>
                                <w:lang w:val="en-US" w:eastAsia="zh-CN"/>
                              </w:rPr>
                              <w:t>SO</w:t>
                            </w:r>
                            <w:r>
                              <w:rPr>
                                <w:rFonts w:hint="default" w:ascii="Times New Roman" w:hAnsi="Times New Roman" w:cs="Times New Roman" w:eastAsiaTheme="minorEastAsia"/>
                                <w:spacing w:val="-20"/>
                                <w:sz w:val="21"/>
                                <w:szCs w:val="21"/>
                                <w:vertAlign w:val="subscript"/>
                                <w:lang w:val="en-US" w:eastAsia="zh-CN"/>
                              </w:rPr>
                              <w:t>2</w:t>
                            </w:r>
                            <w:r>
                              <w:rPr>
                                <w:rFonts w:hint="default" w:ascii="Times New Roman" w:hAnsi="Times New Roman" w:cs="Times New Roman" w:eastAsiaTheme="minorEastAsia"/>
                                <w:spacing w:val="-20"/>
                                <w:sz w:val="21"/>
                                <w:szCs w:val="21"/>
                                <w:lang w:val="en-US" w:eastAsia="zh-CN"/>
                              </w:rPr>
                              <w:t>、NOx、总烃</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3657600</wp:posOffset>
                      </wp:positionH>
                      <wp:positionV relativeFrom="paragraph">
                        <wp:posOffset>241300</wp:posOffset>
                      </wp:positionV>
                      <wp:extent cx="450215" cy="232410"/>
                      <wp:effectExtent l="5080" t="4445" r="20955" b="10795"/>
                      <wp:wrapNone/>
                      <wp:docPr id="57" name="文本框 57"/>
                      <wp:cNvGraphicFramePr/>
                      <a:graphic xmlns:a="http://schemas.openxmlformats.org/drawingml/2006/main">
                        <a:graphicData uri="http://schemas.microsoft.com/office/word/2010/wordprocessingShape">
                          <wps:wsp>
                            <wps:cNvSpPr txBox="1"/>
                            <wps:spPr>
                              <a:xfrm>
                                <a:off x="4662805" y="4090035"/>
                                <a:ext cx="450215" cy="232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柴油机</w:t>
                                  </w:r>
                                </w:p>
                              </w:txbxContent>
                            </wps:txbx>
                            <wps:bodyPr lIns="0" tIns="0" rIns="0" bIns="0" upright="1"/>
                          </wps:wsp>
                        </a:graphicData>
                      </a:graphic>
                    </wp:anchor>
                  </w:drawing>
                </mc:Choice>
                <mc:Fallback>
                  <w:pict>
                    <v:shape id="_x0000_s1026" o:spid="_x0000_s1026" o:spt="202" type="#_x0000_t202" style="position:absolute;left:0pt;margin-left:288pt;margin-top:19pt;height:18.3pt;width:35.45pt;z-index:252063744;mso-width-relative:page;mso-height-relative:page;" fillcolor="#FFFFFF" filled="t" stroked="t" coordsize="21600,21600" o:gfxdata="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O4sQ9oAAAAJAQAADwAAAAAAAAABACAA&#10;AAAiAAAAZHJzL2Rvd25yZXYueG1sUEsBAhQAFAAAAAgAh07iQMLExUkLAgAAGQQAAA4AAAAAAAAA&#10;AQAgAAAAKQEAAGRycy9lMm9Eb2MueG1sUEsFBgAAAAAGAAYAWQEAAKYFAAAAAA==&#10;">
                      <v:fill on="t" focussize="0,0"/>
                      <v:stroke color="#000000" joinstyle="miter"/>
                      <v:imagedata o:title=""/>
                      <o:lock v:ext="edit" aspectratio="f"/>
                      <v:textbox inset="0mm,0mm,0mm,0mm">
                        <w:txbxContent>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柴油机</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1605280</wp:posOffset>
                      </wp:positionH>
                      <wp:positionV relativeFrom="paragraph">
                        <wp:posOffset>235585</wp:posOffset>
                      </wp:positionV>
                      <wp:extent cx="1673225" cy="235585"/>
                      <wp:effectExtent l="4445" t="4445" r="17780" b="7620"/>
                      <wp:wrapNone/>
                      <wp:docPr id="4" name="文本框 4"/>
                      <wp:cNvGraphicFramePr/>
                      <a:graphic xmlns:a="http://schemas.openxmlformats.org/drawingml/2006/main">
                        <a:graphicData uri="http://schemas.microsoft.com/office/word/2010/wordprocessingShape">
                          <wps:wsp>
                            <wps:cNvSpPr txBox="1"/>
                            <wps:spPr>
                              <a:xfrm>
                                <a:off x="2583815" y="4090035"/>
                                <a:ext cx="1673225" cy="235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Theme="minorEastAsia" w:hAnsiTheme="minorEastAsia" w:eastAsiaTheme="minorEastAsia" w:cstheme="minorEastAsia"/>
                                      <w:sz w:val="21"/>
                                      <w:szCs w:val="21"/>
                                    </w:rPr>
                                    <w:t>钻井(固井、测井、录井)</w:t>
                                  </w:r>
                                </w:p>
                              </w:txbxContent>
                            </wps:txbx>
                            <wps:bodyPr lIns="0" tIns="0" rIns="0" bIns="0" upright="1"/>
                          </wps:wsp>
                        </a:graphicData>
                      </a:graphic>
                    </wp:anchor>
                  </w:drawing>
                </mc:Choice>
                <mc:Fallback>
                  <w:pict>
                    <v:shape id="_x0000_s1026" o:spid="_x0000_s1026" o:spt="202" type="#_x0000_t202" style="position:absolute;left:0pt;margin-left:126.4pt;margin-top:18.55pt;height:18.55pt;width:131.75pt;z-index:252025856;mso-width-relative:page;mso-height-relative:page;" fillcolor="#FFFFFF" filled="t" stroked="t" coordsize="21600,21600" o:gfxdata="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eKE69kAAAAJAQAADwAAAAAAAAABACAAAAAi&#10;AAAAZHJzL2Rvd25yZXYueG1sUEsBAhQAFAAAAAgAh07iQNxsx/kJAgAAGAQAAA4AAAAAAAAAAQAg&#10;AAAAKAEAAGRycy9lMm9Eb2MueG1sUEsFBgAAAAAGAAYAWQEAAKMFAAAAAA==&#10;">
                      <v:fill on="t" focussize="0,0"/>
                      <v:stroke color="#000000" joinstyle="miter"/>
                      <v:imagedata o:title=""/>
                      <o:lock v:ext="edit" aspectratio="f"/>
                      <v:textbox inset="0mm,0mm,0mm,0mm">
                        <w:txbxContent>
                          <w:p>
                            <w:pPr>
                              <w:jc w:val="center"/>
                              <w:rPr>
                                <w:rFonts w:ascii="仿宋_GB2312" w:eastAsia="仿宋_GB2312"/>
                                <w:sz w:val="24"/>
                              </w:rPr>
                            </w:pPr>
                            <w:r>
                              <w:rPr>
                                <w:rFonts w:hint="eastAsia" w:asciiTheme="minorEastAsia" w:hAnsiTheme="minorEastAsia" w:eastAsiaTheme="minorEastAsia" w:cstheme="minorEastAsia"/>
                                <w:sz w:val="21"/>
                                <w:szCs w:val="21"/>
                              </w:rPr>
                              <w:t>钻井(固井、测井、录井)</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2451100</wp:posOffset>
                      </wp:positionH>
                      <wp:positionV relativeFrom="paragraph">
                        <wp:posOffset>40005</wp:posOffset>
                      </wp:positionV>
                      <wp:extent cx="1905" cy="202565"/>
                      <wp:effectExtent l="24130" t="0" r="31115" b="6985"/>
                      <wp:wrapNone/>
                      <wp:docPr id="12" name="直接连接符 12"/>
                      <wp:cNvGraphicFramePr/>
                      <a:graphic xmlns:a="http://schemas.openxmlformats.org/drawingml/2006/main">
                        <a:graphicData uri="http://schemas.microsoft.com/office/word/2010/wordprocessingShape">
                          <wps:wsp>
                            <wps:cNvCnPr/>
                            <wps:spPr>
                              <a:xfrm flipH="1">
                                <a:off x="3423285" y="3887470"/>
                                <a:ext cx="1905" cy="20256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193pt;margin-top:3.15pt;height:15.95pt;width:0.15pt;z-index:252045312;mso-width-relative:page;mso-height-relative:page;" filled="f" stroked="t" coordsize="21600,21600" o:gfxdata="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2RI19AAAAAIAQAADwAAAAAAAAABACAAAAAiAAAAZHJzL2Rvd25yZXYueG1sUEsBAhQA&#10;FAAAAAgAh07iQB2hBGf6AQAAsgMAAA4AAAAAAAAAAQAgAAAAHwEAAGRycy9lMm9Eb2MueG1sUEsF&#10;BgAAAAAGAAYAWQEAAIsFA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97536" behindDoc="0" locked="0" layoutInCell="1" allowOverlap="1">
                      <wp:simplePos x="0" y="0"/>
                      <wp:positionH relativeFrom="column">
                        <wp:posOffset>4111625</wp:posOffset>
                      </wp:positionH>
                      <wp:positionV relativeFrom="paragraph">
                        <wp:posOffset>114300</wp:posOffset>
                      </wp:positionV>
                      <wp:extent cx="407670" cy="1905"/>
                      <wp:effectExtent l="0" t="36830" r="11430" b="37465"/>
                      <wp:wrapNone/>
                      <wp:docPr id="168" name="直接连接符 168"/>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323.75pt;margin-top:9pt;height:0.15pt;width:32.1pt;z-index:252097536;mso-width-relative:page;mso-height-relative:page;" filled="f" stroked="t" coordsize="21600,21600" o:gfxdata="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omDFD2QAAAAkBAAAPAAAAAAAAAAEAIAAAACIAAABkcnMvZG93bnJldi54bWxQSwECFAAU&#10;AAAACACHTuJA8XirOvABAACzAwAADgAAAAAAAAABACAAAAAoAQAAZHJzL2Uyb0RvYy54bWxQSwUG&#10;AAAAAAYABgBZAQAAigU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3263900</wp:posOffset>
                      </wp:positionH>
                      <wp:positionV relativeFrom="paragraph">
                        <wp:posOffset>102870</wp:posOffset>
                      </wp:positionV>
                      <wp:extent cx="394970" cy="635"/>
                      <wp:effectExtent l="0" t="24765" r="5080" b="31750"/>
                      <wp:wrapNone/>
                      <wp:docPr id="65" name="直接连接符 65"/>
                      <wp:cNvGraphicFramePr/>
                      <a:graphic xmlns:a="http://schemas.openxmlformats.org/drawingml/2006/main">
                        <a:graphicData uri="http://schemas.microsoft.com/office/word/2010/wordprocessingShape">
                          <wps:wsp>
                            <wps:cNvCnPr/>
                            <wps:spPr>
                              <a:xfrm flipH="1">
                                <a:off x="4262755" y="4290060"/>
                                <a:ext cx="394970" cy="63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257pt;margin-top:8.1pt;height:0.05pt;width:31.1pt;z-index:252064768;mso-width-relative:page;mso-height-relative:page;" filled="f" stroked="t" coordsize="21600,21600" o:gfxdata="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HuhzjSAAAACQEAAA8AAAAAAAAAAQAgAAAAIgAAAGRycy9kb3ducmV2LnhtbFBL&#10;AQIUABQAAAAIAIdO4kCHXaQ9/AEAALEDAAAOAAAAAAAAAAEAIAAAACEBAABkcnMvZTJvRG9jLnht&#10;bFBLBQYAAAAABgAGAFkBAACPBQAAAAA=&#10;">
                      <v:fill on="f" focussize="0,0"/>
                      <v:stroke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2458720</wp:posOffset>
                      </wp:positionH>
                      <wp:positionV relativeFrom="paragraph">
                        <wp:posOffset>233045</wp:posOffset>
                      </wp:positionV>
                      <wp:extent cx="5715" cy="266065"/>
                      <wp:effectExtent l="22225" t="0" r="29210" b="635"/>
                      <wp:wrapNone/>
                      <wp:docPr id="13" name="直接连接符 13"/>
                      <wp:cNvGraphicFramePr/>
                      <a:graphic xmlns:a="http://schemas.openxmlformats.org/drawingml/2006/main">
                        <a:graphicData uri="http://schemas.microsoft.com/office/word/2010/wordprocessingShape">
                          <wps:wsp>
                            <wps:cNvCnPr/>
                            <wps:spPr>
                              <a:xfrm>
                                <a:off x="3422650" y="4368800"/>
                                <a:ext cx="5715" cy="26606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93.6pt;margin-top:18.35pt;height:20.95pt;width:0.45pt;z-index:252046336;mso-width-relative:page;mso-height-relative:page;" filled="f" stroked="t" coordsize="21600,21600" o:gfxdata="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YozFbbAAAACQEAAA8AAAAAAAAAAQAgAAAAIgAAAGRycy9kb3ducmV2LnhtbFBL&#10;AQIUABQAAAAIAIdO4kAyX8Wz8wEAAKgDAAAOAAAAAAAAAAEAIAAAACoBAABkcnMvZTJvRG9jLnht&#10;bFBLBQYAAAAABgAGAFkBAACPBQ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3490595</wp:posOffset>
                      </wp:positionH>
                      <wp:positionV relativeFrom="paragraph">
                        <wp:posOffset>134620</wp:posOffset>
                      </wp:positionV>
                      <wp:extent cx="1188720" cy="334010"/>
                      <wp:effectExtent l="0" t="0" r="0" b="0"/>
                      <wp:wrapNone/>
                      <wp:docPr id="8" name="文本框 8"/>
                      <wp:cNvGraphicFramePr/>
                      <a:graphic xmlns:a="http://schemas.openxmlformats.org/drawingml/2006/main">
                        <a:graphicData uri="http://schemas.microsoft.com/office/word/2010/wordprocessingShape">
                          <wps:wsp>
                            <wps:cNvSpPr txBox="1"/>
                            <wps:spPr>
                              <a:xfrm>
                                <a:off x="3992880" y="4539615"/>
                                <a:ext cx="1188720" cy="334010"/>
                              </a:xfrm>
                              <a:prstGeom prst="rect">
                                <a:avLst/>
                              </a:prstGeom>
                              <a:noFill/>
                              <a:ln>
                                <a:noFill/>
                              </a:ln>
                            </wps:spPr>
                            <wps:txbx>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泥浆、岩屑、噪声</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a:graphicData>
                      </a:graphic>
                    </wp:anchor>
                  </w:drawing>
                </mc:Choice>
                <mc:Fallback>
                  <w:pict>
                    <v:shape id="_x0000_s1026" o:spid="_x0000_s1026" o:spt="202" type="#_x0000_t202" style="position:absolute;left:0pt;margin-left:274.85pt;margin-top:10.6pt;height:26.3pt;width:93.6pt;z-index:252041216;mso-width-relative:page;mso-height-relative:page;" filled="f" stroked="f" coordsize="21600,21600" o:gfxdata="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q8E83ZAAAA&#10;CQEAAA8AAAAAAAAAAQAgAAAAIgAAAGRycy9kb3ducmV2LnhtbFBLAQIUABQAAAAIAIdO4kC7gJ2O&#10;qgEAADADAAAOAAAAAAAAAAEAIAAAACgBAABkcnMvZTJvRG9jLnhtbFBLBQYAAAAABgAGAFkBAABE&#10;BQAAAAA=&#10;">
                      <v:fill on="f" focussize="0,0"/>
                      <v:stroke on="f"/>
                      <v:imagedata o:title=""/>
                      <o:lock v:ext="edit" aspectratio="f"/>
                      <v:textbox inset="0mm,0mm,0mm,0mm">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泥浆、岩屑、噪声</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3005455</wp:posOffset>
                      </wp:positionH>
                      <wp:positionV relativeFrom="paragraph">
                        <wp:posOffset>118745</wp:posOffset>
                      </wp:positionV>
                      <wp:extent cx="407670" cy="1905"/>
                      <wp:effectExtent l="0" t="36830" r="11430" b="37465"/>
                      <wp:wrapNone/>
                      <wp:docPr id="170" name="直接连接符 170"/>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236.65pt;margin-top:9.35pt;height:0.15pt;width:32.1pt;z-index:252019712;mso-width-relative:page;mso-height-relative:page;" filled="f" stroked="t" coordsize="21600,21600" o:gfxdata="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ykny2gAAAAkBAAAPAAAAAAAAAAEAIAAAACIAAABkcnMvZG93bnJldi54bWxQSwECFAAU&#10;AAAACACHTuJAQCpZVO8BAACzAwAADgAAAAAAAAABACAAAAApAQAAZHJzL2Uyb0RvYy54bWxQSwUG&#10;AAAAAAYABgBZAQAAigU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1186180</wp:posOffset>
                      </wp:positionH>
                      <wp:positionV relativeFrom="paragraph">
                        <wp:posOffset>153035</wp:posOffset>
                      </wp:positionV>
                      <wp:extent cx="25400" cy="1499235"/>
                      <wp:effectExtent l="24130" t="0" r="7620" b="5715"/>
                      <wp:wrapNone/>
                      <wp:docPr id="94" name="直接连接符 94"/>
                      <wp:cNvGraphicFramePr/>
                      <a:graphic xmlns:a="http://schemas.openxmlformats.org/drawingml/2006/main">
                        <a:graphicData uri="http://schemas.microsoft.com/office/word/2010/wordprocessingShape">
                          <wps:wsp>
                            <wps:cNvCnPr/>
                            <wps:spPr>
                              <a:xfrm flipV="1">
                                <a:off x="2162810" y="4791075"/>
                                <a:ext cx="25400" cy="1499235"/>
                              </a:xfrm>
                              <a:prstGeom prst="line">
                                <a:avLst/>
                              </a:prstGeom>
                              <a:ln w="9525" cap="flat" cmpd="sng">
                                <a:solidFill>
                                  <a:srgbClr val="000000"/>
                                </a:solidFill>
                                <a:prstDash val="dash"/>
                                <a:headEnd type="triangle" w="sm" len="med"/>
                                <a:tailEnd type="none" w="med" len="med"/>
                              </a:ln>
                            </wps:spPr>
                            <wps:bodyPr upright="1"/>
                          </wps:wsp>
                        </a:graphicData>
                      </a:graphic>
                    </wp:anchor>
                  </w:drawing>
                </mc:Choice>
                <mc:Fallback>
                  <w:pict>
                    <v:line id="_x0000_s1026" o:spid="_x0000_s1026" o:spt="20" style="position:absolute;left:0pt;flip:y;margin-left:93.4pt;margin-top:12.05pt;height:118.05pt;width:2pt;z-index:252069888;mso-width-relative:page;mso-height-relative:page;" filled="f" stroked="t" coordsize="21600,21600" o:gfxdata="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rxU/TXAAAACgEAAA8AAAAAAAAAAQAgAAAAIgAAAGRycy9kb3ducmV2&#10;LnhtbFBLAQIUABQAAAAIAIdO4kDV37fR/QEAALQDAAAOAAAAAAAAAAEAIAAAACYBAABkcnMvZTJv&#10;RG9jLnhtbFBLBQYAAAAABgAGAFkBAACVBQAAAAA=&#10;">
                      <v:fill on="f" focussize="0,0"/>
                      <v:stroke color="#000000" joinstyle="round" dashstyle="dash" startarrow="block" startarrowwidth="narrow"/>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1060450</wp:posOffset>
                      </wp:positionH>
                      <wp:positionV relativeFrom="paragraph">
                        <wp:posOffset>71755</wp:posOffset>
                      </wp:positionV>
                      <wp:extent cx="8255" cy="1570990"/>
                      <wp:effectExtent l="4445" t="0" r="6350" b="10160"/>
                      <wp:wrapNone/>
                      <wp:docPr id="113" name="直接连接符 113"/>
                      <wp:cNvGraphicFramePr/>
                      <a:graphic xmlns:a="http://schemas.openxmlformats.org/drawingml/2006/main">
                        <a:graphicData uri="http://schemas.microsoft.com/office/word/2010/wordprocessingShape">
                          <wps:wsp>
                            <wps:cNvCnPr/>
                            <wps:spPr>
                              <a:xfrm flipV="1">
                                <a:off x="1999615" y="4690110"/>
                                <a:ext cx="8255" cy="1570990"/>
                              </a:xfrm>
                              <a:prstGeom prst="line">
                                <a:avLst/>
                              </a:prstGeom>
                              <a:ln w="9525" cap="flat" cmpd="sng">
                                <a:solidFill>
                                  <a:srgbClr val="FF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83.5pt;margin-top:5.65pt;height:123.7pt;width:0.65pt;z-index:252077056;mso-width-relative:page;mso-height-relative:page;" filled="f" stroked="t" coordsize="21600,21600" o:gfxdata="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vcW0NcAAAAKAQAADwAAAAAAAAABACAAAAAiAAAAZHJzL2Rvd25yZXYueG1sUEsB&#10;AhQAFAAAAAgAh07iQM0rxU72AQAAsgMAAA4AAAAAAAAAAQAgAAAAJgEAAGRycy9lMm9Eb2MueG1s&#10;UEsFBgAAAAAGAAYAWQEAAI4FAAAAAA==&#10;">
                      <v:fill on="f" focussize="0,0"/>
                      <v:stroke color="#FF0000" joinstyle="round" dashstyle="dash"/>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1201420</wp:posOffset>
                      </wp:positionH>
                      <wp:positionV relativeFrom="paragraph">
                        <wp:posOffset>172720</wp:posOffset>
                      </wp:positionV>
                      <wp:extent cx="695960" cy="635"/>
                      <wp:effectExtent l="0" t="0" r="0" b="0"/>
                      <wp:wrapNone/>
                      <wp:docPr id="82" name="直接连接符 82"/>
                      <wp:cNvGraphicFramePr/>
                      <a:graphic xmlns:a="http://schemas.openxmlformats.org/drawingml/2006/main">
                        <a:graphicData uri="http://schemas.microsoft.com/office/word/2010/wordprocessingShape">
                          <wps:wsp>
                            <wps:cNvCnPr/>
                            <wps:spPr>
                              <a:xfrm flipH="1">
                                <a:off x="2179955" y="4790440"/>
                                <a:ext cx="695960" cy="6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94.6pt;margin-top:13.6pt;height:0.05pt;width:54.8pt;z-index:252066816;mso-width-relative:page;mso-height-relative:page;" filled="f" stroked="t" coordsize="21600,21600" o:gfxdata="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NZQ9QAAAAJAQAADwAAAAAAAAABACAAAAAiAAAAZHJzL2Rvd25yZXYueG1sUEsBAhQAFAAA&#10;AAgAh07iQFrW7JfzAQAArgMAAA4AAAAAAAAAAQAgAAAAIwEAAGRycy9lMm9Eb2MueG1sUEsFBgAA&#10;AAAGAAYAWQEAAIgFAAAAAA==&#10;">
                      <v:fill on="f" focussize="0,0"/>
                      <v:stroke color="#000000" joinstyle="round" dashstyle="dash"/>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1071880</wp:posOffset>
                      </wp:positionH>
                      <wp:positionV relativeFrom="paragraph">
                        <wp:posOffset>65405</wp:posOffset>
                      </wp:positionV>
                      <wp:extent cx="838835" cy="635"/>
                      <wp:effectExtent l="0" t="37465" r="18415" b="38100"/>
                      <wp:wrapNone/>
                      <wp:docPr id="114" name="直接连接符 114"/>
                      <wp:cNvGraphicFramePr/>
                      <a:graphic xmlns:a="http://schemas.openxmlformats.org/drawingml/2006/main">
                        <a:graphicData uri="http://schemas.microsoft.com/office/word/2010/wordprocessingShape">
                          <wps:wsp>
                            <wps:cNvCnPr/>
                            <wps:spPr>
                              <a:xfrm flipH="1" flipV="1">
                                <a:off x="2002790" y="4690110"/>
                                <a:ext cx="838835" cy="635"/>
                              </a:xfrm>
                              <a:prstGeom prst="line">
                                <a:avLst/>
                              </a:prstGeom>
                              <a:ln w="9525" cap="flat" cmpd="sng">
                                <a:solidFill>
                                  <a:srgbClr val="FF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84.4pt;margin-top:5.15pt;height:0.05pt;width:66.05pt;z-index:252078080;mso-width-relative:page;mso-height-relative:page;" filled="f" stroked="t" coordsize="21600,21600" o:gfxdata="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OP+GnWAAAACQEAAA8AAAAAAAAAAQAgAAAAIgAAAGRycy9kb3ducmV2&#10;LnhtbFBLAQIUABQAAAAIAIdO4kAma1IF/gEAAL4DAAAOAAAAAAAAAAEAIAAAACUBAABkcnMvZTJv&#10;RG9jLnhtbFBLBQYAAAAABgAGAFkBAACVBQAAAAA=&#10;">
                      <v:fill on="f" focussize="0,0"/>
                      <v:stroke color="#FF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1890395</wp:posOffset>
                      </wp:positionH>
                      <wp:positionV relativeFrom="paragraph">
                        <wp:posOffset>3175</wp:posOffset>
                      </wp:positionV>
                      <wp:extent cx="1114425" cy="225425"/>
                      <wp:effectExtent l="4445" t="5080" r="5080" b="17145"/>
                      <wp:wrapNone/>
                      <wp:docPr id="5" name="文本框 5"/>
                      <wp:cNvGraphicFramePr/>
                      <a:graphic xmlns:a="http://schemas.openxmlformats.org/drawingml/2006/main">
                        <a:graphicData uri="http://schemas.microsoft.com/office/word/2010/wordprocessingShape">
                          <wps:wsp>
                            <wps:cNvSpPr txBox="1"/>
                            <wps:spPr>
                              <a:xfrm>
                                <a:off x="2861945" y="4539615"/>
                                <a:ext cx="1114425" cy="225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一开钻进取岩心</w:t>
                                  </w:r>
                                </w:p>
                              </w:txbxContent>
                            </wps:txbx>
                            <wps:bodyPr lIns="0" tIns="0" rIns="0" bIns="0" upright="1"/>
                          </wps:wsp>
                        </a:graphicData>
                      </a:graphic>
                    </wp:anchor>
                  </w:drawing>
                </mc:Choice>
                <mc:Fallback>
                  <w:pict>
                    <v:shape id="_x0000_s1026" o:spid="_x0000_s1026" o:spt="202" type="#_x0000_t202" style="position:absolute;left:0pt;margin-left:148.85pt;margin-top:0.25pt;height:17.75pt;width:87.75pt;z-index:252026880;mso-width-relative:page;mso-height-relative:page;" fillcolor="#FFFFFF" filled="t" stroked="t" coordsize="21600,21600" o:gfxdata="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&#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vNgK1wAAAAcBAAAPAAAAAAAAAAEAIAAAACIAAABk&#10;cnMvZG93bnJldi54bWxQSwECFAAUAAAACACHTuJAeX1WCwcCAAAYBAAADgAAAAAAAAABACAAAAAm&#10;AQAAZHJzL2Uyb0RvYy54bWxQSwUGAAAAAAYABgBZAQAAnwUAAAAA&#10;">
                      <v:fill on="t" focussize="0,0"/>
                      <v:stroke color="#000000" joinstyle="miter"/>
                      <v:imagedata o:title=""/>
                      <o:lock v:ext="edit" aspectratio="f"/>
                      <v:textbox inset="0mm,0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一开钻进取岩心</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2451100</wp:posOffset>
                      </wp:positionH>
                      <wp:positionV relativeFrom="paragraph">
                        <wp:posOffset>12065</wp:posOffset>
                      </wp:positionV>
                      <wp:extent cx="635" cy="270510"/>
                      <wp:effectExtent l="24765" t="0" r="31750" b="15240"/>
                      <wp:wrapNone/>
                      <wp:docPr id="14" name="直接连接符 14"/>
                      <wp:cNvGraphicFramePr/>
                      <a:graphic xmlns:a="http://schemas.openxmlformats.org/drawingml/2006/main">
                        <a:graphicData uri="http://schemas.microsoft.com/office/word/2010/wordprocessingShape">
                          <wps:wsp>
                            <wps:cNvCnPr/>
                            <wps:spPr>
                              <a:xfrm>
                                <a:off x="3429635" y="4830445"/>
                                <a:ext cx="635" cy="27051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93pt;margin-top:0.95pt;height:21.3pt;width:0.05pt;z-index:252047360;mso-width-relative:page;mso-height-relative:page;" filled="f" stroked="t" coordsize="21600,21600" o:gfxdata="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m3shtgAAAAIAQAADwAAAAAAAAABACAAAAAiAAAAZHJzL2Rvd25yZXYueG1sUEsB&#10;AhQAFAAAAAgAh07iQO1RJgz1AQAApwMAAA4AAAAAAAAAAQAgAAAAJwEAAGRycy9lMm9Eb2MueG1s&#10;UEsFBgAAAAAGAAYAWQEAAI4FAAAAAA==&#10;">
                      <v:fill on="f" focussize="0,0"/>
                      <v:stroke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1236345</wp:posOffset>
                      </wp:positionH>
                      <wp:positionV relativeFrom="paragraph">
                        <wp:posOffset>22860</wp:posOffset>
                      </wp:positionV>
                      <wp:extent cx="571500" cy="287020"/>
                      <wp:effectExtent l="0" t="0" r="0" b="17780"/>
                      <wp:wrapNone/>
                      <wp:docPr id="102" name="文本框 102"/>
                      <wp:cNvGraphicFramePr/>
                      <a:graphic xmlns:a="http://schemas.openxmlformats.org/drawingml/2006/main">
                        <a:graphicData uri="http://schemas.microsoft.com/office/word/2010/wordprocessingShape">
                          <wps:wsp>
                            <wps:cNvSpPr txBox="1"/>
                            <wps:spPr>
                              <a:xfrm>
                                <a:off x="2221865" y="4813935"/>
                                <a:ext cx="571500" cy="287020"/>
                              </a:xfrm>
                              <a:prstGeom prst="rect">
                                <a:avLst/>
                              </a:prstGeom>
                              <a:noFill/>
                              <a:ln>
                                <a:noFill/>
                              </a:ln>
                            </wps:spPr>
                            <wps:txbx>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wps:txbx>
                            <wps:bodyPr lIns="0" tIns="14400" rIns="0" bIns="0" upright="1"/>
                          </wps:wsp>
                        </a:graphicData>
                      </a:graphic>
                    </wp:anchor>
                  </w:drawing>
                </mc:Choice>
                <mc:Fallback>
                  <w:pict>
                    <v:shape id="_x0000_s1026" o:spid="_x0000_s1026" o:spt="202" type="#_x0000_t202" style="position:absolute;left:0pt;margin-left:97.35pt;margin-top:1.8pt;height:22.6pt;width:45pt;z-index:252073984;mso-width-relative:page;mso-height-relative:page;" filled="f" stroked="f" coordsize="21600,21600" o:gfxdata="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Hr9&#10;/9cAAAAIAQAADwAAAAAAAAABACAAAAAiAAAAZHJzL2Rvd25yZXYueG1sUEsBAhQAFAAAAAgAh07i&#10;QGCmeMSxAQAANwMAAA4AAAAAAAAAAQAgAAAAJgEAAGRycy9lMm9Eb2MueG1sUEsFBgAAAAAGAAYA&#10;WQEAAEkFAAAAAA==&#10;">
                      <v:fill on="f" focussize="0,0"/>
                      <v:stroke on="f"/>
                      <v:imagedata o:title=""/>
                      <o:lock v:ext="edit" aspectratio="f"/>
                      <v:textbox inset="0mm,0.4mm,0mm,0mm">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439399424" behindDoc="0" locked="0" layoutInCell="1" allowOverlap="1">
                      <wp:simplePos x="0" y="0"/>
                      <wp:positionH relativeFrom="column">
                        <wp:posOffset>3121025</wp:posOffset>
                      </wp:positionH>
                      <wp:positionV relativeFrom="paragraph">
                        <wp:posOffset>174625</wp:posOffset>
                      </wp:positionV>
                      <wp:extent cx="407670" cy="1905"/>
                      <wp:effectExtent l="0" t="36830" r="11430" b="37465"/>
                      <wp:wrapNone/>
                      <wp:docPr id="171" name="直接连接符 171"/>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245.75pt;margin-top:13.75pt;height:0.15pt;width:32.1pt;z-index:-1855567872;mso-width-relative:page;mso-height-relative:page;" filled="f" stroked="t" coordsize="21600,21600" o:gfxdata="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yE3cdoAAAAJAQAADwAAAAAAAAABACAAAAAiAAAAZHJzL2Rvd25yZXYueG1sUEsBAhQA&#10;FAAAAAgAh07iQNk1ydPwAQAAswMAAA4AAAAAAAAAAQAgAAAAKQEAAGRycy9lMm9Eb2MueG1sUEsF&#10;BgAAAAAGAAYAWQEAAIsFA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3588385</wp:posOffset>
                      </wp:positionH>
                      <wp:positionV relativeFrom="paragraph">
                        <wp:posOffset>81280</wp:posOffset>
                      </wp:positionV>
                      <wp:extent cx="520065" cy="267970"/>
                      <wp:effectExtent l="0" t="0" r="0" b="0"/>
                      <wp:wrapNone/>
                      <wp:docPr id="6" name="文本框 6"/>
                      <wp:cNvGraphicFramePr/>
                      <a:graphic xmlns:a="http://schemas.openxmlformats.org/drawingml/2006/main">
                        <a:graphicData uri="http://schemas.microsoft.com/office/word/2010/wordprocessingShape">
                          <wps:wsp>
                            <wps:cNvSpPr txBox="1"/>
                            <wps:spPr>
                              <a:xfrm>
                                <a:off x="4090670" y="5071745"/>
                                <a:ext cx="520065" cy="267970"/>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82.55pt;margin-top:6.4pt;height:21.1pt;width:40.95pt;z-index:252027904;mso-width-relative:page;mso-height-relative:page;" filled="f" stroked="f" coordsize="21600,21600" o:gfxdata="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Aopr1gAA&#10;AAkBAAAPAAAAAAAAAAEAIAAAACIAAABkcnMvZG93bnJldi54bWxQSwECFAAUAAAACACHTuJA8IcH&#10;3a4BAAAzAwAADgAAAAAAAAABACAAAAAlAQAAZHJzL2Uyb0RvYy54bWxQSwUGAAAAAAYABgBZAQAA&#10;RQU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1812925</wp:posOffset>
                      </wp:positionH>
                      <wp:positionV relativeFrom="paragraph">
                        <wp:posOffset>57150</wp:posOffset>
                      </wp:positionV>
                      <wp:extent cx="1296670" cy="255270"/>
                      <wp:effectExtent l="4445" t="5080" r="13335" b="6350"/>
                      <wp:wrapNone/>
                      <wp:docPr id="16" name="文本框 16"/>
                      <wp:cNvGraphicFramePr/>
                      <a:graphic xmlns:a="http://schemas.openxmlformats.org/drawingml/2006/main">
                        <a:graphicData uri="http://schemas.microsoft.com/office/word/2010/wordprocessingShape">
                          <wps:wsp>
                            <wps:cNvSpPr txBox="1"/>
                            <wps:spPr>
                              <a:xfrm>
                                <a:off x="2791460" y="5034280"/>
                                <a:ext cx="1296670" cy="255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Theme="minorEastAsia" w:hAnsiTheme="minorEastAsia" w:eastAsiaTheme="minorEastAsia" w:cstheme="minorEastAsia"/>
                                      <w:sz w:val="21"/>
                                      <w:szCs w:val="21"/>
                                    </w:rPr>
                                    <w:t>下表层套管及固井</w:t>
                                  </w:r>
                                </w:p>
                              </w:txbxContent>
                            </wps:txbx>
                            <wps:bodyPr lIns="0" tIns="0" rIns="0" bIns="0" upright="1"/>
                          </wps:wsp>
                        </a:graphicData>
                      </a:graphic>
                    </wp:anchor>
                  </w:drawing>
                </mc:Choice>
                <mc:Fallback>
                  <w:pict>
                    <v:shape id="_x0000_s1026" o:spid="_x0000_s1026" o:spt="202" type="#_x0000_t202" style="position:absolute;left:0pt;margin-left:142.75pt;margin-top:4.5pt;height:20.1pt;width:102.1pt;z-index:252048384;mso-width-relative:page;mso-height-relative:page;" fillcolor="#FFFFFF" filled="t" stroked="t" coordsize="21600,21600" o:gfxdata="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tHEJ2AAAAAgBAAAPAAAAAAAAAAEAIAAAACIA&#10;AABkcnMvZG93bnJldi54bWxQSwECFAAUAAAACACHTuJAnc8OXQkCAAAaBAAADgAAAAAAAAABACAA&#10;AAAnAQAAZHJzL2Uyb0RvYy54bWxQSwUGAAAAAAYABgBZAQAAogUAAAAA&#10;">
                      <v:fill on="t" focussize="0,0"/>
                      <v:stroke color="#000000" joinstyle="miter"/>
                      <v:imagedata o:title=""/>
                      <o:lock v:ext="edit" aspectratio="f"/>
                      <v:textbox inset="0mm,0mm,0mm,0mm">
                        <w:txbxContent>
                          <w:p>
                            <w:pPr>
                              <w:jc w:val="center"/>
                              <w:rPr>
                                <w:rFonts w:ascii="仿宋_GB2312" w:eastAsia="仿宋_GB2312"/>
                                <w:sz w:val="24"/>
                              </w:rPr>
                            </w:pPr>
                            <w:r>
                              <w:rPr>
                                <w:rFonts w:hint="eastAsia" w:asciiTheme="minorEastAsia" w:hAnsiTheme="minorEastAsia" w:eastAsiaTheme="minorEastAsia" w:cstheme="minorEastAsia"/>
                                <w:sz w:val="21"/>
                                <w:szCs w:val="21"/>
                              </w:rPr>
                              <w:t>下表层套管及固井</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90368" behindDoc="0" locked="0" layoutInCell="1" allowOverlap="1">
                      <wp:simplePos x="0" y="0"/>
                      <wp:positionH relativeFrom="column">
                        <wp:posOffset>1225550</wp:posOffset>
                      </wp:positionH>
                      <wp:positionV relativeFrom="paragraph">
                        <wp:posOffset>203835</wp:posOffset>
                      </wp:positionV>
                      <wp:extent cx="571500" cy="28702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571500" cy="287020"/>
                              </a:xfrm>
                              <a:prstGeom prst="rect">
                                <a:avLst/>
                              </a:prstGeom>
                              <a:noFill/>
                              <a:ln>
                                <a:noFill/>
                              </a:ln>
                            </wps:spPr>
                            <wps:txbx>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wps:txbx>
                            <wps:bodyPr lIns="0" tIns="14400" rIns="0" bIns="0" upright="1"/>
                          </wps:wsp>
                        </a:graphicData>
                      </a:graphic>
                    </wp:anchor>
                  </w:drawing>
                </mc:Choice>
                <mc:Fallback>
                  <w:pict>
                    <v:shape id="_x0000_s1026" o:spid="_x0000_s1026" o:spt="202" type="#_x0000_t202" style="position:absolute;left:0pt;margin-left:96.5pt;margin-top:16.05pt;height:22.6pt;width:45pt;z-index:252090368;mso-width-relative:page;mso-height-relative:page;" filled="f" stroked="f" coordsize="21600,21600" o:gfxdata="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3xA3dgAAAAJAQAADwAA&#10;AAAAAAABACAAAAAiAAAAZHJzL2Rvd25yZXYueG1sUEsBAhQAFAAAAAgAh07iQKHvOAekAQAAKwMA&#10;AA4AAAAAAAAAAQAgAAAAJwEAAGRycy9lMm9Eb2MueG1sUEsFBgAAAAAGAAYAWQEAAD0FAAAAAA==&#10;">
                      <v:fill on="f" focussize="0,0"/>
                      <v:stroke on="f"/>
                      <v:imagedata o:title=""/>
                      <o:lock v:ext="edit" aspectratio="f"/>
                      <v:textbox inset="0mm,0.4mm,0mm,0mm">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2460625</wp:posOffset>
                      </wp:positionH>
                      <wp:positionV relativeFrom="paragraph">
                        <wp:posOffset>62230</wp:posOffset>
                      </wp:positionV>
                      <wp:extent cx="635" cy="262890"/>
                      <wp:effectExtent l="24765" t="0" r="31750" b="3810"/>
                      <wp:wrapNone/>
                      <wp:docPr id="17" name="直接连接符 17"/>
                      <wp:cNvGraphicFramePr/>
                      <a:graphic xmlns:a="http://schemas.openxmlformats.org/drawingml/2006/main">
                        <a:graphicData uri="http://schemas.microsoft.com/office/word/2010/wordprocessingShape">
                          <wps:wsp>
                            <wps:cNvCnPr/>
                            <wps:spPr>
                              <a:xfrm>
                                <a:off x="3432175" y="5294630"/>
                                <a:ext cx="635" cy="26289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93.75pt;margin-top:4.9pt;height:20.7pt;width:0.05pt;z-index:252049408;mso-width-relative:page;mso-height-relative:page;" filled="f" stroked="t" coordsize="21600,21600" o:gfxdata="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hkMUjZAAAACAEAAA8AAAAAAAAAAQAgAAAAIgAAAGRycy9kb3ducmV2LnhtbFBL&#10;AQIUABQAAAAIAIdO4kAmhkCD9QEAAKcDAAAOAAAAAAAAAAEAIAAAACgBAABkcnMvZTJvRG9jLnht&#10;bFBLBQYAAAAABgAGAFkBAACPBQ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191604736" behindDoc="0" locked="0" layoutInCell="1" allowOverlap="1">
                      <wp:simplePos x="0" y="0"/>
                      <wp:positionH relativeFrom="column">
                        <wp:posOffset>3229610</wp:posOffset>
                      </wp:positionH>
                      <wp:positionV relativeFrom="paragraph">
                        <wp:posOffset>202565</wp:posOffset>
                      </wp:positionV>
                      <wp:extent cx="407670" cy="1905"/>
                      <wp:effectExtent l="0" t="36830" r="11430" b="37465"/>
                      <wp:wrapNone/>
                      <wp:docPr id="172" name="直接连接符 172"/>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254.3pt;margin-top:15.95pt;height:0.15pt;width:32.1pt;z-index:191604736;mso-width-relative:page;mso-height-relative:page;" filled="f" stroked="t" coordsize="21600,21600" o:gfxdata="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ujj4TaAAAACQEAAA8AAAAAAAAAAQAgAAAAIgAAAGRycy9kb3ducmV2LnhtbFBLAQIU&#10;ABQAAAAIAIdO4kAzEwiA8QEAALMDAAAOAAAAAAAAAAEAIAAAACkBAABkcnMvZTJvRG9jLnhtbFBL&#10;BQYAAAAABgAGAFkBAACMBQ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1183005</wp:posOffset>
                      </wp:positionH>
                      <wp:positionV relativeFrom="paragraph">
                        <wp:posOffset>182880</wp:posOffset>
                      </wp:positionV>
                      <wp:extent cx="517525" cy="635"/>
                      <wp:effectExtent l="0" t="0" r="0" b="0"/>
                      <wp:wrapNone/>
                      <wp:docPr id="90" name="直接连接符 90"/>
                      <wp:cNvGraphicFramePr/>
                      <a:graphic xmlns:a="http://schemas.openxmlformats.org/drawingml/2006/main">
                        <a:graphicData uri="http://schemas.microsoft.com/office/word/2010/wordprocessingShape">
                          <wps:wsp>
                            <wps:cNvCnPr/>
                            <wps:spPr>
                              <a:xfrm flipH="1">
                                <a:off x="2161540" y="5634990"/>
                                <a:ext cx="517525" cy="6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93.15pt;margin-top:14.4pt;height:0.05pt;width:40.75pt;z-index:252067840;mso-width-relative:page;mso-height-relative:page;" filled="f" stroked="t" coordsize="21600,21600" o:gfxdata="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OaWU1AAAAAkBAAAPAAAAAAAAAAEAIAAAACIAAABkcnMvZG93bnJldi54bWxQSwECFAAUAAAACACH&#10;TuJA526MQ+8BAACuAwAADgAAAAAAAAABACAAAAAjAQAAZHJzL2Uyb0RvYy54bWxQSwUGAAAAAAYA&#10;BgBZAQAAhAUAAAAA&#10;">
                      <v:fill on="f" focussize="0,0"/>
                      <v:stroke color="#000000" joinstyle="round" dashstyle="dash"/>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3536315</wp:posOffset>
                      </wp:positionH>
                      <wp:positionV relativeFrom="paragraph">
                        <wp:posOffset>113665</wp:posOffset>
                      </wp:positionV>
                      <wp:extent cx="520065" cy="267970"/>
                      <wp:effectExtent l="0" t="0" r="0" b="0"/>
                      <wp:wrapNone/>
                      <wp:docPr id="7" name="文本框 7"/>
                      <wp:cNvGraphicFramePr/>
                      <a:graphic xmlns:a="http://schemas.openxmlformats.org/drawingml/2006/main">
                        <a:graphicData uri="http://schemas.microsoft.com/office/word/2010/wordprocessingShape">
                          <wps:wsp>
                            <wps:cNvSpPr txBox="1"/>
                            <wps:spPr>
                              <a:xfrm>
                                <a:off x="4201795" y="5518150"/>
                                <a:ext cx="520065" cy="267970"/>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岩屑</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78.45pt;margin-top:8.95pt;height:21.1pt;width:40.95pt;z-index:252030976;mso-width-relative:page;mso-height-relative:page;" filled="f" stroked="f" coordsize="21600,21600" o:gfxdata="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5bMm9cA&#10;AAAJAQAADwAAAAAAAAABACAAAAAiAAAAZHJzL2Rvd25yZXYueG1sUEsBAhQAFAAAAAgAh07iQLrY&#10;h8SuAQAAMwMAAA4AAAAAAAAAAQAgAAAAJgEAAGRycy9lMm9Eb2MueG1sUEsFBgAAAAAGAAYAWQEA&#10;AEYFA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岩屑</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1710690</wp:posOffset>
                      </wp:positionH>
                      <wp:positionV relativeFrom="paragraph">
                        <wp:posOffset>73025</wp:posOffset>
                      </wp:positionV>
                      <wp:extent cx="1510030" cy="267970"/>
                      <wp:effectExtent l="4445" t="4445" r="9525" b="13335"/>
                      <wp:wrapNone/>
                      <wp:docPr id="18" name="文本框 18"/>
                      <wp:cNvGraphicFramePr/>
                      <a:graphic xmlns:a="http://schemas.openxmlformats.org/drawingml/2006/main">
                        <a:graphicData uri="http://schemas.microsoft.com/office/word/2010/wordprocessingShape">
                          <wps:wsp>
                            <wps:cNvSpPr txBox="1"/>
                            <wps:spPr>
                              <a:xfrm>
                                <a:off x="2675890" y="5518150"/>
                                <a:ext cx="151003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二开钻进和辅助测试</w:t>
                                  </w:r>
                                </w:p>
                              </w:txbxContent>
                            </wps:txbx>
                            <wps:bodyPr lIns="0" tIns="18000" rIns="0" bIns="0" upright="1"/>
                          </wps:wsp>
                        </a:graphicData>
                      </a:graphic>
                    </wp:anchor>
                  </w:drawing>
                </mc:Choice>
                <mc:Fallback>
                  <w:pict>
                    <v:shape id="_x0000_s1026" o:spid="_x0000_s1026" o:spt="202" type="#_x0000_t202" style="position:absolute;left:0pt;margin-left:134.7pt;margin-top:5.75pt;height:21.1pt;width:118.9pt;z-index:252050432;mso-width-relative:page;mso-height-relative:page;" fillcolor="#FFFFFF" filled="t" stroked="t" coordsize="21600,21600" o:gfxdata="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88tSTYAAAACQEAAA8AAAAAAAAAAQAg&#10;AAAAIgAAAGRycy9kb3ducmV2LnhtbFBLAQIUABQAAAAIAIdO4kAaeTiuDgIAAB4EAAAOAAAAAAAA&#10;AAEAIAAAACcBAABkcnMvZTJvRG9jLnhtbFBLBQYAAAAABgAGAFkBAACnBQAAAAA=&#10;">
                      <v:fill on="t" focussize="0,0"/>
                      <v:stroke color="#000000" joinstyle="miter"/>
                      <v:imagedata o:title=""/>
                      <o:lock v:ext="edit" aspectratio="f"/>
                      <v:textbox inset="0mm,0.5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二开钻进和辅助测试</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2471420</wp:posOffset>
                      </wp:positionH>
                      <wp:positionV relativeFrom="paragraph">
                        <wp:posOffset>106680</wp:posOffset>
                      </wp:positionV>
                      <wp:extent cx="10160" cy="219075"/>
                      <wp:effectExtent l="20955" t="0" r="26035" b="9525"/>
                      <wp:wrapNone/>
                      <wp:docPr id="19" name="直接连接符 19"/>
                      <wp:cNvGraphicFramePr/>
                      <a:graphic xmlns:a="http://schemas.openxmlformats.org/drawingml/2006/main">
                        <a:graphicData uri="http://schemas.microsoft.com/office/word/2010/wordprocessingShape">
                          <wps:wsp>
                            <wps:cNvCnPr/>
                            <wps:spPr>
                              <a:xfrm>
                                <a:off x="3422650" y="5786120"/>
                                <a:ext cx="10160" cy="21907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94.6pt;margin-top:8.4pt;height:17.25pt;width:0.8pt;z-index:252051456;mso-width-relative:page;mso-height-relative:page;" filled="f" stroked="t" coordsize="21600,21600" o:gfxdata="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aYOdoAAAAJAQAADwAAAAAAAAABACAAAAAiAAAAZHJzL2Rvd25yZXYueG1sUEsB&#10;AhQAFAAAAAgAh07iQGyS/S/zAQAAqQMAAA4AAAAAAAAAAQAgAAAAKQEAAGRycy9lMm9Eb2MueG1s&#10;UEsFBgAAAAAGAAYAWQEAAI4FAAAAAA==&#10;">
                      <v:fill on="f" focussize="0,0"/>
                      <v:stroke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1278890</wp:posOffset>
                      </wp:positionH>
                      <wp:positionV relativeFrom="paragraph">
                        <wp:posOffset>37465</wp:posOffset>
                      </wp:positionV>
                      <wp:extent cx="12065" cy="384175"/>
                      <wp:effectExtent l="0" t="0" r="0" b="0"/>
                      <wp:wrapNone/>
                      <wp:docPr id="112" name="直接连接符 112"/>
                      <wp:cNvGraphicFramePr/>
                      <a:graphic xmlns:a="http://schemas.openxmlformats.org/drawingml/2006/main">
                        <a:graphicData uri="http://schemas.microsoft.com/office/word/2010/wordprocessingShape">
                          <wps:wsp>
                            <wps:cNvCnPr/>
                            <wps:spPr>
                              <a:xfrm flipH="1" flipV="1">
                                <a:off x="2263140" y="5723255"/>
                                <a:ext cx="12065" cy="384175"/>
                              </a:xfrm>
                              <a:prstGeom prst="line">
                                <a:avLst/>
                              </a:prstGeom>
                              <a:ln w="9525" cap="flat" cmpd="sng">
                                <a:solidFill>
                                  <a:srgbClr val="FF0000"/>
                                </a:solidFill>
                                <a:prstDash val="dash"/>
                                <a:headEnd type="none" w="med" len="med"/>
                                <a:tailEnd type="none" w="med" len="med"/>
                              </a:ln>
                            </wps:spPr>
                            <wps:bodyPr upright="1"/>
                          </wps:wsp>
                        </a:graphicData>
                      </a:graphic>
                    </wp:anchor>
                  </w:drawing>
                </mc:Choice>
                <mc:Fallback>
                  <w:pict>
                    <v:line id="_x0000_s1026" o:spid="_x0000_s1026" o:spt="20" style="position:absolute;left:0pt;flip:x y;margin-left:100.7pt;margin-top:2.95pt;height:30.25pt;width:0.95pt;z-index:252076032;mso-width-relative:page;mso-height-relative:page;" filled="f" stroked="t" coordsize="21600,21600" o:gfxdata="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WL9J2QAAAAgBAAAPAAAAAAAAAAEAIAAAACIAAABkcnMvZG93bnJl&#10;di54bWxQSwECFAAUAAAACACHTuJAtUYeufwBAAC8AwAADgAAAAAAAAABACAAAAAoAQAAZHJzL2Uy&#10;b0RvYy54bWxQSwUGAAAAAAYABgBZAQAAlgUAAAAA&#10;">
                      <v:fill on="f" focussize="0,0"/>
                      <v:stroke color="#FF0000" joinstyle="round" dashstyle="dash"/>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1292860</wp:posOffset>
                      </wp:positionH>
                      <wp:positionV relativeFrom="paragraph">
                        <wp:posOffset>29210</wp:posOffset>
                      </wp:positionV>
                      <wp:extent cx="394335" cy="635"/>
                      <wp:effectExtent l="0" t="38100" r="5715" b="37465"/>
                      <wp:wrapNone/>
                      <wp:docPr id="111" name="直接连接符 111"/>
                      <wp:cNvGraphicFramePr/>
                      <a:graphic xmlns:a="http://schemas.openxmlformats.org/drawingml/2006/main">
                        <a:graphicData uri="http://schemas.microsoft.com/office/word/2010/wordprocessingShape">
                          <wps:wsp>
                            <wps:cNvCnPr/>
                            <wps:spPr>
                              <a:xfrm flipH="1">
                                <a:off x="2278380" y="5728970"/>
                                <a:ext cx="394335" cy="635"/>
                              </a:xfrm>
                              <a:prstGeom prst="line">
                                <a:avLst/>
                              </a:prstGeom>
                              <a:ln w="9525" cap="flat" cmpd="sng">
                                <a:solidFill>
                                  <a:srgbClr val="FF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margin-left:101.8pt;margin-top:2.3pt;height:0.05pt;width:31.05pt;z-index:252075008;mso-width-relative:page;mso-height-relative:page;" filled="f" stroked="t" coordsize="21600,21600" o:gfxdata="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3JZh1gAAAAcBAAAPAAAAAAAAAAEAIAAAACIAAABkcnMvZG93bnJldi54bWxQ&#10;SwECFAAUAAAACACHTuJAOVSlqfkBAAC0AwAADgAAAAAAAAABACAAAAAlAQAAZHJzL2Uyb0RvYy54&#10;bWxQSwUGAAAAAAYABgBZAQAAkAUAAAAA&#10;">
                      <v:fill on="f" focussize="0,0"/>
                      <v:stroke color="#FF0000" joinstyle="round" dashstyle="dash" startarrow="block"/>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3527425</wp:posOffset>
                      </wp:positionH>
                      <wp:positionV relativeFrom="paragraph">
                        <wp:posOffset>72390</wp:posOffset>
                      </wp:positionV>
                      <wp:extent cx="520065" cy="267970"/>
                      <wp:effectExtent l="0" t="0" r="0" b="0"/>
                      <wp:wrapNone/>
                      <wp:docPr id="23" name="文本框 23"/>
                      <wp:cNvGraphicFramePr/>
                      <a:graphic xmlns:a="http://schemas.openxmlformats.org/drawingml/2006/main">
                        <a:graphicData uri="http://schemas.microsoft.com/office/word/2010/wordprocessingShape">
                          <wps:wsp>
                            <wps:cNvSpPr txBox="1"/>
                            <wps:spPr>
                              <a:xfrm>
                                <a:off x="4097655" y="5965190"/>
                                <a:ext cx="520065" cy="267970"/>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77.75pt;margin-top:5.7pt;height:21.1pt;width:40.95pt;z-index:252053504;mso-width-relative:page;mso-height-relative:page;" filled="f" stroked="f" coordsize="21600,21600" o:gfxdata="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W0529YA&#10;AAAJAQAADwAAAAAAAAABACAAAAAiAAAAZHJzL2Rvd25yZXYueG1sUEsBAhQAFAAAAAgAh07iQGme&#10;A8yvAQAANQMAAA4AAAAAAAAAAQAgAAAAJQEAAGRycy9lMm9Eb2MueG1sUEsFBgAAAAAGAAYAWQEA&#10;AEYFA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95488" behindDoc="0" locked="0" layoutInCell="1" allowOverlap="1">
                      <wp:simplePos x="0" y="0"/>
                      <wp:positionH relativeFrom="column">
                        <wp:posOffset>3148330</wp:posOffset>
                      </wp:positionH>
                      <wp:positionV relativeFrom="paragraph">
                        <wp:posOffset>183515</wp:posOffset>
                      </wp:positionV>
                      <wp:extent cx="407670" cy="1905"/>
                      <wp:effectExtent l="0" t="36830" r="11430" b="37465"/>
                      <wp:wrapNone/>
                      <wp:docPr id="173" name="直接连接符 173"/>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247.9pt;margin-top:14.45pt;height:0.15pt;width:32.1pt;z-index:252095488;mso-width-relative:page;mso-height-relative:page;" filled="f" stroked="t" coordsize="21600,21600" o:gfxdata="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PPci7aAAAACQEAAA8AAAAAAAAAAQAgAAAAIgAAAGRycy9kb3ducmV2LnhtbFBLAQIU&#10;ABQAAAAIAIdO4kCqDJgH8QEAALMDAAAOAAAAAAAAAAEAIAAAACkBAABkcnMvZTJvRG9jLnhtbFBL&#10;BQYAAAAABgAGAFkBAACMBQ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1829435</wp:posOffset>
                      </wp:positionH>
                      <wp:positionV relativeFrom="paragraph">
                        <wp:posOffset>65405</wp:posOffset>
                      </wp:positionV>
                      <wp:extent cx="1296670" cy="252095"/>
                      <wp:effectExtent l="5080" t="4445" r="12700" b="10160"/>
                      <wp:wrapNone/>
                      <wp:docPr id="20" name="文本框 20"/>
                      <wp:cNvGraphicFramePr/>
                      <a:graphic xmlns:a="http://schemas.openxmlformats.org/drawingml/2006/main">
                        <a:graphicData uri="http://schemas.microsoft.com/office/word/2010/wordprocessingShape">
                          <wps:wsp>
                            <wps:cNvSpPr txBox="1"/>
                            <wps:spPr>
                              <a:xfrm>
                                <a:off x="2800985" y="5965190"/>
                                <a:ext cx="129667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下表层套管及固井</w:t>
                                  </w:r>
                                </w:p>
                              </w:txbxContent>
                            </wps:txbx>
                            <wps:bodyPr lIns="0" tIns="14400" rIns="0" bIns="0" upright="1"/>
                          </wps:wsp>
                        </a:graphicData>
                      </a:graphic>
                    </wp:anchor>
                  </w:drawing>
                </mc:Choice>
                <mc:Fallback>
                  <w:pict>
                    <v:shape id="_x0000_s1026" o:spid="_x0000_s1026" o:spt="202" type="#_x0000_t202" style="position:absolute;left:0pt;margin-left:144.05pt;margin-top:5.15pt;height:19.85pt;width:102.1pt;z-index:252052480;mso-width-relative:page;mso-height-relative:page;" fillcolor="#FFFFFF" filled="t" stroked="t" coordsize="21600,21600" o:gfxdata="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aFnU1gAAAAkBAAAPAAAAAAAAAAEAIAAA&#10;ACIAAABkcnMvZG93bnJldi54bWxQSwECFAAUAAAACACHTuJAci1OjA4CAAAeBAAADgAAAAAAAAAB&#10;ACAAAAAlAQAAZHJzL2Uyb0RvYy54bWxQSwUGAAAAAAYABgBZAQAApQU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下表层套管及固井</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81280</wp:posOffset>
                      </wp:positionH>
                      <wp:positionV relativeFrom="paragraph">
                        <wp:posOffset>101600</wp:posOffset>
                      </wp:positionV>
                      <wp:extent cx="513080" cy="454660"/>
                      <wp:effectExtent l="4445" t="5080" r="15875" b="16510"/>
                      <wp:wrapNone/>
                      <wp:docPr id="99" name="文本框 99"/>
                      <wp:cNvGraphicFramePr/>
                      <a:graphic xmlns:a="http://schemas.openxmlformats.org/drawingml/2006/main">
                        <a:graphicData uri="http://schemas.microsoft.com/office/word/2010/wordprocessingShape">
                          <wps:wsp>
                            <wps:cNvSpPr txBox="1"/>
                            <wps:spPr>
                              <a:xfrm>
                                <a:off x="1059815" y="6055995"/>
                                <a:ext cx="513080" cy="454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固化</w:t>
                                  </w:r>
                                </w:p>
                              </w:txbxContent>
                            </wps:txbx>
                            <wps:bodyPr lIns="0" tIns="14400" rIns="0" bIns="0" upright="1"/>
                          </wps:wsp>
                        </a:graphicData>
                      </a:graphic>
                    </wp:anchor>
                  </w:drawing>
                </mc:Choice>
                <mc:Fallback>
                  <w:pict>
                    <v:shape id="_x0000_s1026" o:spid="_x0000_s1026" o:spt="202" type="#_x0000_t202" style="position:absolute;left:0pt;margin-left:6.4pt;margin-top:8pt;height:35.8pt;width:40.4pt;z-index:252071936;mso-width-relative:page;mso-height-relative:page;" fillcolor="#FFFFFF" filled="t" stroked="t" coordsize="21600,21600" o:gfxdata="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AbaMNUAAAAHAQAADwAAAAAAAAABACAA&#10;AAAiAAAAZHJzL2Rvd25yZXYueG1sUEsBAhQAFAAAAAgAh07iQOct5mEQAgAAHQQAAA4AAAAAAAAA&#10;AQAgAAAAJAEAAGRycy9lMm9Eb2MueG1sUEsFBgAAAAAGAAYAWQEAAKYF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固化</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908050</wp:posOffset>
                      </wp:positionH>
                      <wp:positionV relativeFrom="paragraph">
                        <wp:posOffset>183515</wp:posOffset>
                      </wp:positionV>
                      <wp:extent cx="571500" cy="291465"/>
                      <wp:effectExtent l="4445" t="4445" r="14605" b="8890"/>
                      <wp:wrapNone/>
                      <wp:docPr id="74" name="文本框 74"/>
                      <wp:cNvGraphicFramePr/>
                      <a:graphic xmlns:a="http://schemas.openxmlformats.org/drawingml/2006/main">
                        <a:graphicData uri="http://schemas.microsoft.com/office/word/2010/wordprocessingShape">
                          <wps:wsp>
                            <wps:cNvSpPr txBox="1"/>
                            <wps:spPr>
                              <a:xfrm>
                                <a:off x="1886585" y="6055995"/>
                                <a:ext cx="57150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txbxContent>
                            </wps:txbx>
                            <wps:bodyPr lIns="0" tIns="14400" rIns="0" bIns="0" upright="1"/>
                          </wps:wsp>
                        </a:graphicData>
                      </a:graphic>
                    </wp:anchor>
                  </w:drawing>
                </mc:Choice>
                <mc:Fallback>
                  <w:pict>
                    <v:shape id="_x0000_s1026" o:spid="_x0000_s1026" o:spt="202" type="#_x0000_t202" style="position:absolute;left:0pt;margin-left:71.5pt;margin-top:14.45pt;height:22.95pt;width:45pt;z-index:252065792;mso-width-relative:page;mso-height-relative:page;" fillcolor="#FFFFFF" filled="t" stroked="t" coordsize="21600,21600" o:gfxdata="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HNo6tYAAAAJAQAADwAAAAAAAAAB&#10;ACAAAAAiAAAAZHJzL2Rvd25yZXYueG1sUEsBAhQAFAAAAAgAh07iQKq2jAoSAgAAHQQAAA4AAAAA&#10;AAAAAQAgAAAAJQEAAGRycy9lMm9Eb2MueG1sUEsFBgAAAAAGAAYAWQEAAKkF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544000" behindDoc="0" locked="0" layoutInCell="1" allowOverlap="1">
                      <wp:simplePos x="0" y="0"/>
                      <wp:positionH relativeFrom="column">
                        <wp:posOffset>1193800</wp:posOffset>
                      </wp:positionH>
                      <wp:positionV relativeFrom="paragraph">
                        <wp:posOffset>227330</wp:posOffset>
                      </wp:positionV>
                      <wp:extent cx="5715" cy="254635"/>
                      <wp:effectExtent l="46990" t="0" r="61595" b="12065"/>
                      <wp:wrapNone/>
                      <wp:docPr id="104" name="直接箭头连接符 104"/>
                      <wp:cNvGraphicFramePr/>
                      <a:graphic xmlns:a="http://schemas.openxmlformats.org/drawingml/2006/main">
                        <a:graphicData uri="http://schemas.microsoft.com/office/word/2010/wordprocessingShape">
                          <wps:wsp>
                            <wps:cNvCnPr>
                              <a:endCxn id="74" idx="2"/>
                            </wps:cNvCnPr>
                            <wps:spPr>
                              <a:xfrm flipH="1" flipV="1">
                                <a:off x="2172335" y="6156960"/>
                                <a:ext cx="5715" cy="254635"/>
                              </a:xfrm>
                              <a:prstGeom prst="straightConnector1">
                                <a:avLst/>
                              </a:prstGeom>
                              <a:ln w="635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pt;margin-top:17.9pt;height:20.05pt;width:0.45pt;z-index:252544000;mso-width-relative:page;mso-height-relative:page;" filled="f" stroked="t" coordsize="21600,21600" o:gfxdata="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yv+V2AAAAAkBAAAPAAAAAAAAAAEAIAAA&#10;ACIAAABkcnMvZG93bnJldi54bWxQSwECFAAUAAAACACHTuJAaDcKxQwCAADJAwAADgAAAAAAAAAB&#10;ACAAAAAnAQAAZHJzL2Uyb0RvYy54bWxQSwUGAAAAAAYABgBZAQAApQUAAAAA&#10;">
                      <v:fill on="f" focussize="0,0"/>
                      <v:stroke weight="0.5pt" color="#000000 [3213]" joinstyle="round" dashstyle="3 1" endarrow="open"/>
                      <v:imagedata o:title=""/>
                      <o:lock v:ext="edit" aspectratio="f"/>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2486660</wp:posOffset>
                      </wp:positionH>
                      <wp:positionV relativeFrom="paragraph">
                        <wp:posOffset>71755</wp:posOffset>
                      </wp:positionV>
                      <wp:extent cx="635" cy="254000"/>
                      <wp:effectExtent l="24765" t="0" r="31750" b="12700"/>
                      <wp:wrapNone/>
                      <wp:docPr id="24" name="直接连接符 24"/>
                      <wp:cNvGraphicFramePr/>
                      <a:graphic xmlns:a="http://schemas.openxmlformats.org/drawingml/2006/main">
                        <a:graphicData uri="http://schemas.microsoft.com/office/word/2010/wordprocessingShape">
                          <wps:wsp>
                            <wps:cNvCnPr/>
                            <wps:spPr>
                              <a:xfrm>
                                <a:off x="3465195" y="6210935"/>
                                <a:ext cx="635" cy="25400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95.8pt;margin-top:5.65pt;height:20pt;width:0.05pt;z-index:252054528;mso-width-relative:page;mso-height-relative:page;" filled="f" stroked="t" coordsize="21600,21600" o:gfxdata="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Th8PZAAAACQEAAA8AAAAAAAAAAQAgAAAAIgAAAGRycy9kb3ducmV2LnhtbFBL&#10;AQIUABQAAAAIAIdO4kA5yEUZ9QEAAKcDAAAOAAAAAAAAAAEAIAAAACgBAABkcnMvZTJvRG9jLnht&#10;bFBLBQYAAAAABgAGAFkBAACPBQAAAAA=&#10;">
                      <v:fill on="f" focussize="0,0"/>
                      <v:stroke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596265</wp:posOffset>
                      </wp:positionH>
                      <wp:positionV relativeFrom="paragraph">
                        <wp:posOffset>89535</wp:posOffset>
                      </wp:positionV>
                      <wp:extent cx="267335" cy="635"/>
                      <wp:effectExtent l="0" t="38100" r="18415" b="37465"/>
                      <wp:wrapNone/>
                      <wp:docPr id="101" name="直接连接符 101"/>
                      <wp:cNvGraphicFramePr/>
                      <a:graphic xmlns:a="http://schemas.openxmlformats.org/drawingml/2006/main">
                        <a:graphicData uri="http://schemas.microsoft.com/office/word/2010/wordprocessingShape">
                          <wps:wsp>
                            <wps:cNvCnPr/>
                            <wps:spPr>
                              <a:xfrm>
                                <a:off x="1636395" y="6243955"/>
                                <a:ext cx="267335" cy="63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margin-left:46.95pt;margin-top:7.05pt;height:0.05pt;width:21.05pt;z-index:252072960;mso-width-relative:page;mso-height-relative:page;" filled="f" stroked="t" coordsize="21600,21600" o:gfxdata="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4bwOrYAAAACAEAAA8AAAAAAAAAAQAgAAAAIgAAAGRycy9kb3ducmV2LnhtbFBLAQIUABQAAAAI&#10;AIdO4kCyBZdW7QEAAKoDAAAOAAAAAAAAAAEAIAAAACcBAABkcnMvZTJvRG9jLnhtbFBLBQYAAAAA&#10;BgAGAFkBAACGBQ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1152" behindDoc="0" locked="0" layoutInCell="1" allowOverlap="1">
                      <wp:simplePos x="0" y="0"/>
                      <wp:positionH relativeFrom="column">
                        <wp:posOffset>1290955</wp:posOffset>
                      </wp:positionH>
                      <wp:positionV relativeFrom="paragraph">
                        <wp:posOffset>206375</wp:posOffset>
                      </wp:positionV>
                      <wp:extent cx="5080" cy="176530"/>
                      <wp:effectExtent l="0" t="0" r="0" b="0"/>
                      <wp:wrapNone/>
                      <wp:docPr id="119" name="直接连接符 119"/>
                      <wp:cNvGraphicFramePr/>
                      <a:graphic xmlns:a="http://schemas.openxmlformats.org/drawingml/2006/main">
                        <a:graphicData uri="http://schemas.microsoft.com/office/word/2010/wordprocessingShape">
                          <wps:wsp>
                            <wps:cNvCnPr/>
                            <wps:spPr>
                              <a:xfrm flipH="1" flipV="1">
                                <a:off x="2269490" y="6326505"/>
                                <a:ext cx="5080" cy="176530"/>
                              </a:xfrm>
                              <a:prstGeom prst="line">
                                <a:avLst/>
                              </a:prstGeom>
                              <a:ln w="9525" cap="flat" cmpd="sng">
                                <a:solidFill>
                                  <a:srgbClr val="FF0000"/>
                                </a:solidFill>
                                <a:prstDash val="dash"/>
                                <a:headEnd type="none" w="med" len="med"/>
                                <a:tailEnd type="none" w="med" len="med"/>
                              </a:ln>
                            </wps:spPr>
                            <wps:bodyPr upright="1"/>
                          </wps:wsp>
                        </a:graphicData>
                      </a:graphic>
                    </wp:anchor>
                  </w:drawing>
                </mc:Choice>
                <mc:Fallback>
                  <w:pict>
                    <v:line id="_x0000_s1026" o:spid="_x0000_s1026" o:spt="20" style="position:absolute;left:0pt;flip:x y;margin-left:101.65pt;margin-top:16.25pt;height:13.9pt;width:0.4pt;z-index:252081152;mso-width-relative:page;mso-height-relative:page;" filled="f" stroked="t" coordsize="21600,21600" o:gfxdata="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Msjf2QAAAAkBAAAPAAAAAAAAAAEAIAAAACIAAABkcnMvZG93bnJl&#10;di54bWxQSwECFAAUAAAACACHTuJAgMilIPwBAAC7AwAADgAAAAAAAAABACAAAAAoAQAAZHJzL2Uy&#10;b0RvYy54bWxQSwUGAAAAAAYABgBZAQAAlgUAAAAA&#10;">
                      <v:fill on="f" focussize="0,0"/>
                      <v:stroke color="#FF0000" joinstyle="round" dashstyle="dash"/>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1644650</wp:posOffset>
                      </wp:positionH>
                      <wp:positionV relativeFrom="paragraph">
                        <wp:posOffset>236220</wp:posOffset>
                      </wp:positionV>
                      <wp:extent cx="2857500" cy="944880"/>
                      <wp:effectExtent l="4445" t="4445" r="14605" b="22225"/>
                      <wp:wrapNone/>
                      <wp:docPr id="2" name="圆角矩形 2"/>
                      <wp:cNvGraphicFramePr/>
                      <a:graphic xmlns:a="http://schemas.openxmlformats.org/drawingml/2006/main">
                        <a:graphicData uri="http://schemas.microsoft.com/office/word/2010/wordprocessingShape">
                          <wps:wsp>
                            <wps:cNvSpPr/>
                            <wps:spPr>
                              <a:xfrm>
                                <a:off x="2623185" y="6356350"/>
                                <a:ext cx="2857500" cy="944880"/>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pPr>
                                    <w:jc w:val="right"/>
                                    <w:rPr>
                                      <w:rFonts w:ascii="仿宋" w:hAnsi="仿宋" w:eastAsia="仿宋" w:cs="仿宋"/>
                                      <w:sz w:val="24"/>
                                    </w:rPr>
                                  </w:pPr>
                                </w:p>
                              </w:txbxContent>
                            </wps:txbx>
                            <wps:bodyPr lIns="0" tIns="45720" rIns="0" bIns="45720" upright="1"/>
                          </wps:wsp>
                        </a:graphicData>
                      </a:graphic>
                    </wp:anchor>
                  </w:drawing>
                </mc:Choice>
                <mc:Fallback>
                  <w:pict>
                    <v:roundrect id="_x0000_s1026" o:spid="_x0000_s1026" o:spt="2" style="position:absolute;left:0pt;margin-left:129.5pt;margin-top:18.6pt;height:74.4pt;width:225pt;z-index:252023808;mso-width-relative:page;mso-height-relative:page;" fillcolor="#FFFFFF" filled="t" stroked="t" coordsize="21600,21600" arcsize="0.166666666666667" o:gfxdata="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MoJvtoAAAAKAQAADwAAAAAAAAABACAAAAAiAAAAZHJzL2Rvd25yZXYueG1sUEsBAhQAFAAA&#10;AAgAh07iQO7LqZsmAgAAPwQAAA4AAAAAAAAAAQAgAAAAKQEAAGRycy9lMm9Eb2MueG1sUEsFBgAA&#10;AAAGAAYAWQEAAMEFAAAAAA==&#10;">
                      <v:fill on="t" focussize="0,0"/>
                      <v:stroke color="#000000" joinstyle="round" dashstyle="dash"/>
                      <v:imagedata o:title=""/>
                      <o:lock v:ext="edit" aspectratio="f"/>
                      <v:textbox inset="0mm,1.27mm,0mm,1.27mm">
                        <w:txbxContent>
                          <w:p>
                            <w:pPr>
                              <w:jc w:val="right"/>
                              <w:rPr>
                                <w:rFonts w:ascii="仿宋" w:hAnsi="仿宋" w:eastAsia="仿宋" w:cs="仿宋"/>
                                <w:sz w:val="24"/>
                              </w:rPr>
                            </w:pPr>
                          </w:p>
                        </w:txbxContent>
                      </v:textbox>
                    </v:roundrect>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1082675</wp:posOffset>
                      </wp:positionH>
                      <wp:positionV relativeFrom="paragraph">
                        <wp:posOffset>235585</wp:posOffset>
                      </wp:positionV>
                      <wp:extent cx="680720" cy="278130"/>
                      <wp:effectExtent l="0" t="0" r="5080" b="7620"/>
                      <wp:wrapNone/>
                      <wp:docPr id="1" name="文本框 1"/>
                      <wp:cNvGraphicFramePr/>
                      <a:graphic xmlns:a="http://schemas.openxmlformats.org/drawingml/2006/main">
                        <a:graphicData uri="http://schemas.microsoft.com/office/word/2010/wordprocessingShape">
                          <wps:wsp>
                            <wps:cNvSpPr txBox="1"/>
                            <wps:spPr>
                              <a:xfrm>
                                <a:off x="2181225" y="6576060"/>
                                <a:ext cx="680720" cy="278130"/>
                              </a:xfrm>
                              <a:prstGeom prst="rect">
                                <a:avLst/>
                              </a:prstGeom>
                              <a:solidFill>
                                <a:srgbClr val="FFFFFF"/>
                              </a:solid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wps:txbx>
                            <wps:bodyPr lIns="0" tIns="14400" rIns="0" bIns="0" upright="1"/>
                          </wps:wsp>
                        </a:graphicData>
                      </a:graphic>
                    </wp:anchor>
                  </w:drawing>
                </mc:Choice>
                <mc:Fallback>
                  <w:pict>
                    <v:shape id="_x0000_s1026" o:spid="_x0000_s1026" o:spt="202" type="#_x0000_t202" style="position:absolute;left:0pt;margin-left:85.25pt;margin-top:18.55pt;height:21.9pt;width:53.6pt;z-index:252021760;mso-width-relative:page;mso-height-relative:page;" fillcolor="#FFFFFF" filled="t" stroked="f" coordsize="21600,21600" o:gfxdata="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01xQtYAAAAJAQAADwAAAAAAAAABACAAAAAiAAAAZHJzL2Rvd25yZXYu&#10;eG1sUEsBAhQAFAAAAAgAh07iQAfVLFDEAQAAXAMAAA4AAAAAAAAAAQAgAAAAJQEAAGRycy9lMm9E&#10;b2MueG1sUEsFBgAAAAAGAAYAWQEAAFsFAAAAAA==&#10;">
                      <v:fill on="t" focussize="0,0"/>
                      <v:stroke on="f"/>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96512" behindDoc="0" locked="0" layoutInCell="1" allowOverlap="1">
                      <wp:simplePos x="0" y="0"/>
                      <wp:positionH relativeFrom="column">
                        <wp:posOffset>3191510</wp:posOffset>
                      </wp:positionH>
                      <wp:positionV relativeFrom="paragraph">
                        <wp:posOffset>189865</wp:posOffset>
                      </wp:positionV>
                      <wp:extent cx="407670" cy="1905"/>
                      <wp:effectExtent l="0" t="36830" r="11430" b="37465"/>
                      <wp:wrapNone/>
                      <wp:docPr id="29" name="直接连接符 29"/>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251.3pt;margin-top:14.95pt;height:0.15pt;width:32.1pt;z-index:252096512;mso-width-relative:page;mso-height-relative:page;" filled="f" stroked="t" coordsize="21600,21600" o:gfxdata="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WvBPrbAAAACQEAAA8AAAAAAAAAAQAgAAAAIgAAAGRycy9kb3ducmV2LnhtbFBLAQIU&#10;ABQAAAAIAIdO4kAWeVDV8AEAALEDAAAOAAAAAAAAAAEAIAAAACoBAABkcnMvZTJvRG9jLnhtbFBL&#10;BQYAAAAABgAGAFkBAACMBQ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3554095</wp:posOffset>
                      </wp:positionH>
                      <wp:positionV relativeFrom="paragraph">
                        <wp:posOffset>45720</wp:posOffset>
                      </wp:positionV>
                      <wp:extent cx="520065" cy="267970"/>
                      <wp:effectExtent l="0" t="0" r="0" b="0"/>
                      <wp:wrapNone/>
                      <wp:docPr id="25" name="文本框 25"/>
                      <wp:cNvGraphicFramePr/>
                      <a:graphic xmlns:a="http://schemas.openxmlformats.org/drawingml/2006/main">
                        <a:graphicData uri="http://schemas.microsoft.com/office/word/2010/wordprocessingShape">
                          <wps:wsp>
                            <wps:cNvSpPr txBox="1"/>
                            <wps:spPr>
                              <a:xfrm>
                                <a:off x="4178300" y="6433820"/>
                                <a:ext cx="520065" cy="267970"/>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岩屑</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79.85pt;margin-top:3.6pt;height:21.1pt;width:40.95pt;z-index:252055552;mso-width-relative:page;mso-height-relative:page;" filled="f" stroked="f" coordsize="21600,21600" o:gfxdata="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lK3b&#10;2AAAAAgBAAAPAAAAAAAAAAEAIAAAACIAAABkcnMvZG93bnJldi54bWxQSwECFAAUAAAACACHTuJA&#10;UdNEe68BAAA1AwAADgAAAAAAAAABACAAAAAnAQAAZHJzL2Uyb0RvYy54bWxQSwUGAAAAAAYABgBZ&#10;AQAASAU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岩屑</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4285949952" behindDoc="0" locked="0" layoutInCell="1" allowOverlap="1">
                      <wp:simplePos x="0" y="0"/>
                      <wp:positionH relativeFrom="column">
                        <wp:posOffset>3202305</wp:posOffset>
                      </wp:positionH>
                      <wp:positionV relativeFrom="paragraph">
                        <wp:posOffset>164465</wp:posOffset>
                      </wp:positionV>
                      <wp:extent cx="407670" cy="1905"/>
                      <wp:effectExtent l="0" t="36830" r="11430" b="37465"/>
                      <wp:wrapNone/>
                      <wp:docPr id="174" name="直接连接符 174"/>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252.15pt;margin-top:12.95pt;height:0.15pt;width:32.1pt;z-index:-9017344;mso-width-relative:page;mso-height-relative:page;" filled="f" stroked="t" coordsize="21600,21600" o:gfxdata="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cuSmvaAAAACQEAAA8AAAAAAAAAAQAgAAAAIgAAAGRycy9kb3ducmV2LnhtbFBLAQIU&#10;ABQAAAAIAIdO4kDnXoon8QEAALMDAAAOAAAAAAAAAAEAIAAAACkBAABkcnMvZTJvRG9jLnhtbFBL&#10;BQYAAAAABgAGAFkBAACMBQ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1754505</wp:posOffset>
                      </wp:positionH>
                      <wp:positionV relativeFrom="paragraph">
                        <wp:posOffset>73025</wp:posOffset>
                      </wp:positionV>
                      <wp:extent cx="1443355" cy="222250"/>
                      <wp:effectExtent l="4445" t="4445" r="19050" b="20955"/>
                      <wp:wrapNone/>
                      <wp:docPr id="9" name="文本框 9"/>
                      <wp:cNvGraphicFramePr/>
                      <a:graphic xmlns:a="http://schemas.openxmlformats.org/drawingml/2006/main">
                        <a:graphicData uri="http://schemas.microsoft.com/office/word/2010/wordprocessingShape">
                          <wps:wsp>
                            <wps:cNvSpPr txBox="1"/>
                            <wps:spPr>
                              <a:xfrm>
                                <a:off x="2733040" y="6459855"/>
                                <a:ext cx="1443355" cy="222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三开钻进和辅助测试</w:t>
                                  </w:r>
                                </w:p>
                                <w:p>
                                  <w:pPr>
                                    <w:rPr>
                                      <w:rFonts w:hint="eastAsia" w:ascii="仿宋_GB2312" w:eastAsia="仿宋_GB2312"/>
                                      <w:sz w:val="24"/>
                                    </w:rPr>
                                  </w:pPr>
                                </w:p>
                              </w:txbxContent>
                            </wps:txbx>
                            <wps:bodyPr lIns="0" tIns="0" rIns="0" bIns="0" upright="1"/>
                          </wps:wsp>
                        </a:graphicData>
                      </a:graphic>
                    </wp:anchor>
                  </w:drawing>
                </mc:Choice>
                <mc:Fallback>
                  <w:pict>
                    <v:shape id="_x0000_s1026" o:spid="_x0000_s1026" o:spt="202" type="#_x0000_t202" style="position:absolute;left:0pt;margin-left:138.15pt;margin-top:5.75pt;height:17.5pt;width:113.65pt;z-index:252042240;mso-width-relative:page;mso-height-relative:page;" fillcolor="#FFFFFF" filled="t" stroked="t" coordsize="21600,21600" o:gfxdata="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9yDf2AAAAAkBAAAPAAAAAAAAAAEAIAAAACIA&#10;AABkcnMvZG93bnJldi54bWxQSwECFAAUAAAACACHTuJA9ieOlQkCAAAYBAAADgAAAAAAAAABACAA&#10;AAAnAQAAZHJzL2Uyb0RvYy54bWxQSwUGAAAAAAYABgBZAQAAogUAAAAA&#10;">
                      <v:fill on="t" focussize="0,0"/>
                      <v:stroke color="#000000" joinstyle="miter"/>
                      <v:imagedata o:title=""/>
                      <o:lock v:ext="edit" aspectratio="f"/>
                      <v:textbox inset="0mm,0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三开钻进和辅助测试</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1305560</wp:posOffset>
                      </wp:positionH>
                      <wp:positionV relativeFrom="paragraph">
                        <wp:posOffset>134620</wp:posOffset>
                      </wp:positionV>
                      <wp:extent cx="332740" cy="6350"/>
                      <wp:effectExtent l="0" t="36830" r="10160" b="33020"/>
                      <wp:wrapNone/>
                      <wp:docPr id="118" name="直接连接符 118"/>
                      <wp:cNvGraphicFramePr/>
                      <a:graphic xmlns:a="http://schemas.openxmlformats.org/drawingml/2006/main">
                        <a:graphicData uri="http://schemas.microsoft.com/office/word/2010/wordprocessingShape">
                          <wps:wsp>
                            <wps:cNvCnPr/>
                            <wps:spPr>
                              <a:xfrm flipH="1">
                                <a:off x="2284095" y="6502400"/>
                                <a:ext cx="332740" cy="6350"/>
                              </a:xfrm>
                              <a:prstGeom prst="line">
                                <a:avLst/>
                              </a:prstGeom>
                              <a:ln w="9525" cap="flat" cmpd="sng">
                                <a:solidFill>
                                  <a:srgbClr val="FF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margin-left:102.8pt;margin-top:10.6pt;height:0.5pt;width:26.2pt;z-index:252080128;mso-width-relative:page;mso-height-relative:page;" filled="f" stroked="t" coordsize="21600,21600" o:gfxdata="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7ZxY1wAAAAkBAAAPAAAAAAAAAAEAIAAAACIAAABkcnMvZG93bnJl&#10;di54bWxQSwECFAAUAAAACACHTuJAWvxvsP4BAAC1AwAADgAAAAAAAAABACAAAAAmAQAAZHJzL2Uy&#10;b0RvYy54bWxQSwUGAAAAAAYABgBZAQAAlgUAAAAA&#10;">
                      <v:fill on="f" focussize="0,0"/>
                      <v:stroke color="#FF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1184910</wp:posOffset>
                      </wp:positionH>
                      <wp:positionV relativeFrom="paragraph">
                        <wp:posOffset>210185</wp:posOffset>
                      </wp:positionV>
                      <wp:extent cx="568960" cy="635"/>
                      <wp:effectExtent l="0" t="0" r="0" b="0"/>
                      <wp:wrapNone/>
                      <wp:docPr id="92" name="直接连接符 92"/>
                      <wp:cNvGraphicFramePr/>
                      <a:graphic xmlns:a="http://schemas.openxmlformats.org/drawingml/2006/main">
                        <a:graphicData uri="http://schemas.microsoft.com/office/word/2010/wordprocessingShape">
                          <wps:wsp>
                            <wps:cNvCnPr/>
                            <wps:spPr>
                              <a:xfrm flipH="1">
                                <a:off x="2163445" y="6577965"/>
                                <a:ext cx="568960" cy="6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93.3pt;margin-top:16.55pt;height:0.05pt;width:44.8pt;z-index:252068864;mso-width-relative:page;mso-height-relative:page;" filled="f" stroked="t" coordsize="21600,21600" o:gfxdata="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txYLUAAAACQEAAA8AAAAAAAAAAQAgAAAAIgAAAGRycy9kb3ducmV2LnhtbFBLAQIUABQA&#10;AAAIAIdO4kD9UQaA9AEAAK4DAAAOAAAAAAAAAAEAIAAAACMBAABkcnMvZTJvRG9jLnhtbFBLBQYA&#10;AAAABgAGAFkBAACJBQAAAAA=&#10;">
                      <v:fill on="f" focussize="0,0"/>
                      <v:stroke color="#000000" joinstyle="round" dashstyle="dash"/>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3560445</wp:posOffset>
                      </wp:positionH>
                      <wp:positionV relativeFrom="paragraph">
                        <wp:posOffset>240665</wp:posOffset>
                      </wp:positionV>
                      <wp:extent cx="520065" cy="267970"/>
                      <wp:effectExtent l="0" t="0" r="0" b="0"/>
                      <wp:wrapNone/>
                      <wp:docPr id="28" name="文本框 28"/>
                      <wp:cNvGraphicFramePr/>
                      <a:graphic xmlns:a="http://schemas.openxmlformats.org/drawingml/2006/main">
                        <a:graphicData uri="http://schemas.microsoft.com/office/word/2010/wordprocessingShape">
                          <wps:wsp>
                            <wps:cNvSpPr txBox="1"/>
                            <wps:spPr>
                              <a:xfrm>
                                <a:off x="4137660" y="6917690"/>
                                <a:ext cx="520065" cy="267970"/>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80.35pt;margin-top:18.95pt;height:21.1pt;width:40.95pt;z-index:252058624;mso-width-relative:page;mso-height-relative:page;" filled="f" stroked="f" coordsize="21600,21600" o:gfxdata="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W8haD&#10;2AAAAAkBAAAPAAAAAAAAAAEAIAAAACIAAABkcnMvZG93bnJldi54bWxQSwECFAAUAAAACACHTuJA&#10;XO7N0q8BAAA1AwAADgAAAAAAAAABACAAAAAnAQAAZHJzL2Uyb0RvYy54bWxQSwUGAAAAAAYABgBZ&#10;AQAASAU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1854835</wp:posOffset>
                      </wp:positionH>
                      <wp:positionV relativeFrom="paragraph">
                        <wp:posOffset>238760</wp:posOffset>
                      </wp:positionV>
                      <wp:extent cx="1296670" cy="233045"/>
                      <wp:effectExtent l="4445" t="4445" r="13335" b="10160"/>
                      <wp:wrapNone/>
                      <wp:docPr id="27" name="文本框 27"/>
                      <wp:cNvGraphicFramePr/>
                      <a:graphic xmlns:a="http://schemas.openxmlformats.org/drawingml/2006/main">
                        <a:graphicData uri="http://schemas.microsoft.com/office/word/2010/wordprocessingShape">
                          <wps:wsp>
                            <wps:cNvSpPr txBox="1"/>
                            <wps:spPr>
                              <a:xfrm>
                                <a:off x="2833370" y="6854190"/>
                                <a:ext cx="1296670" cy="233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下表层套管及固井</w:t>
                                  </w:r>
                                </w:p>
                              </w:txbxContent>
                            </wps:txbx>
                            <wps:bodyPr lIns="0" tIns="14400" rIns="0" bIns="0" upright="1"/>
                          </wps:wsp>
                        </a:graphicData>
                      </a:graphic>
                    </wp:anchor>
                  </w:drawing>
                </mc:Choice>
                <mc:Fallback>
                  <w:pict>
                    <v:shape id="_x0000_s1026" o:spid="_x0000_s1026" o:spt="202" type="#_x0000_t202" style="position:absolute;left:0pt;margin-left:146.05pt;margin-top:18.8pt;height:18.35pt;width:102.1pt;z-index:252057600;mso-width-relative:page;mso-height-relative:page;" fillcolor="#FFFFFF" filled="t" stroked="t" coordsize="21600,21600" o:gfxdata="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dPF92AAAAAkBAAAPAAAAAAAAAAEA&#10;IAAAACIAAABkcnMvZG93bnJldi54bWxQSwECFAAUAAAACACHTuJAy30uXQ8CAAAeBAAADgAAAAAA&#10;AAABACAAAAAnAQAAZHJzL2Uyb0RvYy54bWxQSwUGAAAAAAYABgBZAQAAqAU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下表层套管及固井</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2481580</wp:posOffset>
                      </wp:positionH>
                      <wp:positionV relativeFrom="paragraph">
                        <wp:posOffset>34290</wp:posOffset>
                      </wp:positionV>
                      <wp:extent cx="635" cy="262890"/>
                      <wp:effectExtent l="25400" t="0" r="31115" b="3810"/>
                      <wp:wrapNone/>
                      <wp:docPr id="26" name="直接连接符 26"/>
                      <wp:cNvGraphicFramePr/>
                      <a:graphic xmlns:a="http://schemas.openxmlformats.org/drawingml/2006/main">
                        <a:graphicData uri="http://schemas.microsoft.com/office/word/2010/wordprocessingShape">
                          <wps:wsp>
                            <wps:cNvCnPr/>
                            <wps:spPr>
                              <a:xfrm flipH="1">
                                <a:off x="3460115" y="6649720"/>
                                <a:ext cx="635" cy="26289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195.4pt;margin-top:2.7pt;height:20.7pt;width:0.05pt;z-index:252056576;mso-width-relative:page;mso-height-relative:page;" filled="f" stroked="t" coordsize="21600,21600" o:gfxdata="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yd2K/UAAAACAEAAA8AAAAAAAAAAQAgAAAAIgAAAGRycy9kb3ducmV2Lnht&#10;bFBLAQIUABQAAAAIAIdO4kAjScI3/QEAALEDAAAOAAAAAAAAAAEAIAAAACMBAABkcnMvZTJvRG9j&#10;LnhtbFBLBQYAAAAABgAGAFkBAACSBQ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94464" behindDoc="0" locked="0" layoutInCell="1" allowOverlap="1">
                      <wp:simplePos x="0" y="0"/>
                      <wp:positionH relativeFrom="column">
                        <wp:posOffset>3161665</wp:posOffset>
                      </wp:positionH>
                      <wp:positionV relativeFrom="paragraph">
                        <wp:posOffset>111125</wp:posOffset>
                      </wp:positionV>
                      <wp:extent cx="407670" cy="1905"/>
                      <wp:effectExtent l="0" t="36830" r="11430" b="37465"/>
                      <wp:wrapNone/>
                      <wp:docPr id="175" name="直接连接符 175"/>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248.95pt;margin-top:8.75pt;height:0.15pt;width:32.1pt;z-index:252094464;mso-width-relative:page;mso-height-relative:page;" filled="f" stroked="t" coordsize="21600,21600" o:gfxdata="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L+fB9oAAAAJAQAADwAAAAAAAAABACAAAAAiAAAAZHJzL2Rvd25yZXYueG1sUEsB&#10;AhQAFAAAAAgAh07iQH5BGqDzAQAAswMAAA4AAAAAAAAAAQAgAAAAKQEAAGRycy9lMm9Eb2MueG1s&#10;UEsFBgAAAAAGAAYAWQEAAI4FA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2486660</wp:posOffset>
                      </wp:positionH>
                      <wp:positionV relativeFrom="paragraph">
                        <wp:posOffset>218440</wp:posOffset>
                      </wp:positionV>
                      <wp:extent cx="635" cy="273685"/>
                      <wp:effectExtent l="24765" t="0" r="31750" b="12065"/>
                      <wp:wrapNone/>
                      <wp:docPr id="31" name="直接连接符 31"/>
                      <wp:cNvGraphicFramePr/>
                      <a:graphic xmlns:a="http://schemas.openxmlformats.org/drawingml/2006/main">
                        <a:graphicData uri="http://schemas.microsoft.com/office/word/2010/wordprocessingShape">
                          <wps:wsp>
                            <wps:cNvCnPr/>
                            <wps:spPr>
                              <a:xfrm>
                                <a:off x="3968115" y="7142480"/>
                                <a:ext cx="635" cy="27368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95.8pt;margin-top:17.2pt;height:21.55pt;width:0.05pt;z-index:252059648;mso-width-relative:page;mso-height-relative:page;" filled="f" stroked="t" coordsize="21600,21600" o:gfxdata="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ibz0zZAAAACQEAAA8AAAAAAAAAAQAgAAAAIgAAAGRycy9kb3ducmV2LnhtbFBLAQIU&#10;ABQAAAAIAIdO4kCgvlt18gEAAKcDAAAOAAAAAAAAAAEAIAAAACgBAABkcnMvZTJvRG9jLnhtbFBL&#10;BQYAAAAABgAGAFkBAACMBQ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2174875</wp:posOffset>
                      </wp:positionH>
                      <wp:positionV relativeFrom="paragraph">
                        <wp:posOffset>238125</wp:posOffset>
                      </wp:positionV>
                      <wp:extent cx="669925" cy="237490"/>
                      <wp:effectExtent l="4445" t="4445" r="11430" b="5715"/>
                      <wp:wrapNone/>
                      <wp:docPr id="35" name="文本框 35"/>
                      <wp:cNvGraphicFramePr/>
                      <a:graphic xmlns:a="http://schemas.openxmlformats.org/drawingml/2006/main">
                        <a:graphicData uri="http://schemas.microsoft.com/office/word/2010/wordprocessingShape">
                          <wps:wsp>
                            <wps:cNvSpPr txBox="1"/>
                            <wps:spPr>
                              <a:xfrm>
                                <a:off x="3643630" y="7410450"/>
                                <a:ext cx="669925" cy="237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射孔</w:t>
                                  </w:r>
                                </w:p>
                              </w:txbxContent>
                            </wps:txbx>
                            <wps:bodyPr lIns="0" tIns="14400" rIns="0" bIns="0" upright="1"/>
                          </wps:wsp>
                        </a:graphicData>
                      </a:graphic>
                    </wp:anchor>
                  </w:drawing>
                </mc:Choice>
                <mc:Fallback>
                  <w:pict>
                    <v:shape id="_x0000_s1026" o:spid="_x0000_s1026" o:spt="202" type="#_x0000_t202" style="position:absolute;left:0pt;margin-left:171.25pt;margin-top:18.75pt;height:18.7pt;width:52.75pt;z-index:252060672;mso-width-relative:page;mso-height-relative:page;" fillcolor="#FFFFFF" filled="t" stroked="t" coordsize="21600,21600" o:gfxdata="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Gjfl9gAAAAJAQAADwAAAAAAAAAB&#10;ACAAAAAiAAAAZHJzL2Rvd25yZXYueG1sUEsBAhQAFAAAAAgAh07iQJoPt2MQAgAAHQQAAA4AAAAA&#10;AAAAAQAgAAAAJwEAAGRycy9lMm9Eb2MueG1sUEsFBgAAAAAGAAYAWQEAAKkF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射孔</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797995008" behindDoc="0" locked="0" layoutInCell="1" allowOverlap="1">
                      <wp:simplePos x="0" y="0"/>
                      <wp:positionH relativeFrom="column">
                        <wp:posOffset>2886710</wp:posOffset>
                      </wp:positionH>
                      <wp:positionV relativeFrom="paragraph">
                        <wp:posOffset>226060</wp:posOffset>
                      </wp:positionV>
                      <wp:extent cx="520065" cy="26797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520065" cy="267970"/>
                              </a:xfrm>
                              <a:prstGeom prst="rect">
                                <a:avLst/>
                              </a:prstGeom>
                              <a:noFill/>
                              <a:ln>
                                <a:noFill/>
                              </a:ln>
                            </wps:spPr>
                            <wps:txbx>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返排液</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27.3pt;margin-top:17.8pt;height:21.1pt;width:40.95pt;z-index:797995008;mso-width-relative:page;mso-height-relative:page;" filled="f" stroked="f" coordsize="21600,21600" o:gfxdata="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09wSXYAAAACQEAAA8A&#10;AAAAAAAAAQAgAAAAIgAAAGRycy9kb3ducmV2LnhtbFBLAQIUABQAAAAIAIdO4kD7z604pQEAACsD&#10;AAAOAAAAAAAAAAEAIAAAACcBAABkcnMvZTJvRG9jLnhtbFBLBQYAAAAABgAGAFkBAAA+BQAAAAA=&#10;">
                      <v:fill on="f" focussize="0,0"/>
                      <v:stroke on="f"/>
                      <v:imagedata o:title=""/>
                      <o:lock v:ext="edit" aspectratio="f"/>
                      <v:textbox inset="0mm,1mm,0mm,0mm">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返排液</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2493010</wp:posOffset>
                      </wp:positionH>
                      <wp:positionV relativeFrom="paragraph">
                        <wp:posOffset>227330</wp:posOffset>
                      </wp:positionV>
                      <wp:extent cx="0" cy="175895"/>
                      <wp:effectExtent l="25400" t="0" r="31750" b="14605"/>
                      <wp:wrapNone/>
                      <wp:docPr id="39" name="直接连接符 39"/>
                      <wp:cNvGraphicFramePr/>
                      <a:graphic xmlns:a="http://schemas.openxmlformats.org/drawingml/2006/main">
                        <a:graphicData uri="http://schemas.microsoft.com/office/word/2010/wordprocessingShape">
                          <wps:wsp>
                            <wps:cNvCnPr/>
                            <wps:spPr>
                              <a:xfrm>
                                <a:off x="3982085" y="7701915"/>
                                <a:ext cx="0" cy="175895"/>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96.3pt;margin-top:17.9pt;height:13.85pt;width:0pt;z-index:252061696;mso-width-relative:page;mso-height-relative:page;" filled="f" stroked="t" coordsize="21600,21600" o:gfxdata="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6b2EG2gAAAAkBAAAPAAAAAAAAAAEAIAAAACIAAABkcnMvZG93bnJldi54bWxQSwEC&#10;FAAUAAAACACHTuJAIzh41PIBAAClAwAADgAAAAAAAAABACAAAAApAQAAZHJzL2Uyb0RvYy54bWxQ&#10;SwUGAAAAAAYABgBZAQAAjQU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978976768" behindDoc="0" locked="0" layoutInCell="1" allowOverlap="1">
                      <wp:simplePos x="0" y="0"/>
                      <wp:positionH relativeFrom="column">
                        <wp:posOffset>4483735</wp:posOffset>
                      </wp:positionH>
                      <wp:positionV relativeFrom="paragraph">
                        <wp:posOffset>136525</wp:posOffset>
                      </wp:positionV>
                      <wp:extent cx="520065" cy="26797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520065" cy="267970"/>
                              </a:xfrm>
                              <a:prstGeom prst="rect">
                                <a:avLst/>
                              </a:prstGeom>
                              <a:noFill/>
                              <a:ln>
                                <a:noFill/>
                              </a:ln>
                            </wps:spPr>
                            <wps:txbx>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泥浆池</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353.05pt;margin-top:10.75pt;height:21.1pt;width:40.95pt;z-index:-1315990528;mso-width-relative:page;mso-height-relative:page;" filled="f" stroked="f" coordsize="21600,21600" o:gfxdata="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N/Anu1wAAAAkBAAAPAAAA&#10;AAAAAAEAIAAAACIAAABkcnMvZG93bnJldi54bWxQSwECFAAUAAAACACHTuJA797TIaQBAAArAwAA&#10;DgAAAAAAAAABACAAAAAmAQAAZHJzL2Uyb0RvYy54bWxQSwUGAAAAAAYABgBZAQAAPAU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泥浆池</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92416" behindDoc="0" locked="0" layoutInCell="1" allowOverlap="1">
                      <wp:simplePos x="0" y="0"/>
                      <wp:positionH relativeFrom="column">
                        <wp:posOffset>2844800</wp:posOffset>
                      </wp:positionH>
                      <wp:positionV relativeFrom="paragraph">
                        <wp:posOffset>215265</wp:posOffset>
                      </wp:positionV>
                      <wp:extent cx="539750" cy="635"/>
                      <wp:effectExtent l="0" t="38100" r="12700" b="37465"/>
                      <wp:wrapNone/>
                      <wp:docPr id="166" name="直接连接符 166"/>
                      <wp:cNvGraphicFramePr/>
                      <a:graphic xmlns:a="http://schemas.openxmlformats.org/drawingml/2006/main">
                        <a:graphicData uri="http://schemas.microsoft.com/office/word/2010/wordprocessingShape">
                          <wps:wsp>
                            <wps:cNvCnPr/>
                            <wps:spPr>
                              <a:xfrm flipH="1">
                                <a:off x="0" y="0"/>
                                <a:ext cx="539750" cy="63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margin-left:224pt;margin-top:16.95pt;height:0.05pt;width:42.5pt;z-index:252092416;mso-width-relative:page;mso-height-relative:page;" filled="f" stroked="t" coordsize="21600,21600" o:gfxdata="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V&#10;qWR91wAAAAkBAAAPAAAAAAAAAAEAIAAAACIAAABkcnMvZG93bnJldi54bWxQSwECFAAUAAAACACH&#10;TuJAJ6Q0xuwBAACoAwAADgAAAAAAAAABACAAAAAmAQAAZHJzL2Uyb0RvYy54bWxQSwUGAAAAAAYA&#10;BgBZAQAAhAU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5248" behindDoc="0" locked="0" layoutInCell="1" allowOverlap="1">
                      <wp:simplePos x="0" y="0"/>
                      <wp:positionH relativeFrom="column">
                        <wp:posOffset>3382645</wp:posOffset>
                      </wp:positionH>
                      <wp:positionV relativeFrom="paragraph">
                        <wp:posOffset>149860</wp:posOffset>
                      </wp:positionV>
                      <wp:extent cx="694690" cy="241935"/>
                      <wp:effectExtent l="4445" t="4445" r="5715" b="20320"/>
                      <wp:wrapNone/>
                      <wp:docPr id="143" name="文本框 143"/>
                      <wp:cNvGraphicFramePr/>
                      <a:graphic xmlns:a="http://schemas.openxmlformats.org/drawingml/2006/main">
                        <a:graphicData uri="http://schemas.microsoft.com/office/word/2010/wordprocessingShape">
                          <wps:wsp>
                            <wps:cNvSpPr txBox="1"/>
                            <wps:spPr>
                              <a:xfrm>
                                <a:off x="4605655" y="7874000"/>
                                <a:ext cx="694690" cy="241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压裂液罐</w:t>
                                  </w:r>
                                </w:p>
                              </w:txbxContent>
                            </wps:txbx>
                            <wps:bodyPr lIns="0" tIns="14400" rIns="0" bIns="0" upright="1"/>
                          </wps:wsp>
                        </a:graphicData>
                      </a:graphic>
                    </wp:anchor>
                  </w:drawing>
                </mc:Choice>
                <mc:Fallback>
                  <w:pict>
                    <v:shape id="_x0000_s1026" o:spid="_x0000_s1026" o:spt="202" type="#_x0000_t202" style="position:absolute;left:0pt;margin-left:266.35pt;margin-top:11.8pt;height:19.05pt;width:54.7pt;z-index:252085248;mso-width-relative:page;mso-height-relative:page;" fillcolor="#FFFFFF" filled="t" stroked="t" coordsize="21600,21600" o:gfxdata="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Lt6dNgAAAAJAQAADwAAAAAA&#10;AAABACAAAAAiAAAAZHJzL2Rvd25yZXYueG1sUEsBAhQAFAAAAAgAh07iQBf4RGgTAgAAHwQAAA4A&#10;AAAAAAAAAQAgAAAAJwEAAGRycy9lMm9Eb2MueG1sUEsFBgAAAAAGAAYAWQEAAKwF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压裂液罐</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2150110</wp:posOffset>
                      </wp:positionH>
                      <wp:positionV relativeFrom="paragraph">
                        <wp:posOffset>152400</wp:posOffset>
                      </wp:positionV>
                      <wp:extent cx="694690" cy="241935"/>
                      <wp:effectExtent l="4445" t="4445" r="5715" b="20320"/>
                      <wp:wrapNone/>
                      <wp:docPr id="46" name="文本框 46"/>
                      <wp:cNvGraphicFramePr/>
                      <a:graphic xmlns:a="http://schemas.openxmlformats.org/drawingml/2006/main">
                        <a:graphicData uri="http://schemas.microsoft.com/office/word/2010/wordprocessingShape">
                          <wps:wsp>
                            <wps:cNvSpPr txBox="1"/>
                            <wps:spPr>
                              <a:xfrm>
                                <a:off x="3646170" y="7874000"/>
                                <a:ext cx="694690" cy="241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压裂</w:t>
                                  </w:r>
                                </w:p>
                              </w:txbxContent>
                            </wps:txbx>
                            <wps:bodyPr lIns="0" tIns="14400" rIns="0" bIns="0" upright="1"/>
                          </wps:wsp>
                        </a:graphicData>
                      </a:graphic>
                    </wp:anchor>
                  </w:drawing>
                </mc:Choice>
                <mc:Fallback>
                  <w:pict>
                    <v:shape id="_x0000_s1026" o:spid="_x0000_s1026" o:spt="202" type="#_x0000_t202" style="position:absolute;left:0pt;margin-left:169.3pt;margin-top:12pt;height:19.05pt;width:54.7pt;z-index:252062720;mso-width-relative:page;mso-height-relative:page;" fillcolor="#FFFFFF" filled="t" stroked="t" coordsize="21600,21600" o:gfxdata="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roCl1wAAAAkBAAAPAAAAAAAA&#10;AAEAIAAAACIAAABkcnMvZG93bnJldi54bWxQSwECFAAUAAAACACHTuJA/fCpdBMCAAAdBAAADgAA&#10;AAAAAAABACAAAAAmAQAAZHJzL2Uyb0RvYy54bWxQSwUGAAAAAAYABgBZAQAAqwU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压裂</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433731584" behindDoc="0" locked="0" layoutInCell="1" allowOverlap="1">
                      <wp:simplePos x="0" y="0"/>
                      <wp:positionH relativeFrom="column">
                        <wp:posOffset>4073525</wp:posOffset>
                      </wp:positionH>
                      <wp:positionV relativeFrom="paragraph">
                        <wp:posOffset>19685</wp:posOffset>
                      </wp:positionV>
                      <wp:extent cx="407670" cy="1905"/>
                      <wp:effectExtent l="0" t="36830" r="11430" b="37465"/>
                      <wp:wrapNone/>
                      <wp:docPr id="224" name="直接连接符 224"/>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320.75pt;margin-top:1.55pt;height:0.15pt;width:32.1pt;z-index:-1861235712;mso-width-relative:page;mso-height-relative:page;" filled="f" stroked="t" coordsize="21600,21600" o:gfxdata="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OBNJdgAAAAHAQAADwAAAAAAAAABACAAAAAiAAAAZHJzL2Rvd25yZXYueG1sUEsBAhQA&#10;FAAAAAgAh07iQH3Ng5DyAQAAswMAAA4AAAAAAAAAAQAgAAAAJwEAAGRycy9lMm9Eb2MueG1sUEsF&#10;BgAAAAAGAAYAWQEAAIsFAAAAAA==&#10;">
                      <v:fill on="f" focussize="0,0"/>
                      <v:stroke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1888487424" behindDoc="0" locked="0" layoutInCell="1" allowOverlap="1">
                      <wp:simplePos x="0" y="0"/>
                      <wp:positionH relativeFrom="column">
                        <wp:posOffset>2870835</wp:posOffset>
                      </wp:positionH>
                      <wp:positionV relativeFrom="paragraph">
                        <wp:posOffset>9525</wp:posOffset>
                      </wp:positionV>
                      <wp:extent cx="520065" cy="26797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520065" cy="267970"/>
                              </a:xfrm>
                              <a:prstGeom prst="rect">
                                <a:avLst/>
                              </a:prstGeom>
                              <a:noFill/>
                              <a:ln>
                                <a:noFill/>
                              </a:ln>
                            </wps:spPr>
                            <wps:txbx>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压裂液</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26.05pt;margin-top:0.75pt;height:21.1pt;width:40.95pt;z-index:1888487424;mso-width-relative:page;mso-height-relative:page;" filled="f" stroked="f" coordsize="21600,21600" o:gfxdata="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sfgI1gAAAAgBAAAPAAAA&#10;AAAAAAEAIAAAACIAAABkcnMvZG93bnJldi54bWxQSwECFAAUAAAACACHTuJAyMKohqUBAAArAwAA&#10;DgAAAAAAAAABACAAAAAlAQAAZHJzL2Uyb0RvYy54bWxQSwUGAAAAAAYABgBZAQAAPAUAAAAA&#10;">
                      <v:fill on="f" focussize="0,0"/>
                      <v:stroke on="f"/>
                      <v:imagedata o:title=""/>
                      <o:lock v:ext="edit" aspectratio="f"/>
                      <v:textbox inset="0mm,1mm,0mm,0mm">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压裂液</w:t>
                            </w:r>
                          </w:p>
                          <w:p>
                            <w:pPr>
                              <w:rPr>
                                <w:rFonts w:hint="eastAsia" w:ascii="仿宋_GB2312" w:eastAsia="仿宋_GB2312"/>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6272" behindDoc="0" locked="0" layoutInCell="1" allowOverlap="1">
                      <wp:simplePos x="0" y="0"/>
                      <wp:positionH relativeFrom="column">
                        <wp:posOffset>2848610</wp:posOffset>
                      </wp:positionH>
                      <wp:positionV relativeFrom="paragraph">
                        <wp:posOffset>65405</wp:posOffset>
                      </wp:positionV>
                      <wp:extent cx="497840" cy="6350"/>
                      <wp:effectExtent l="0" t="33020" r="16510" b="36830"/>
                      <wp:wrapNone/>
                      <wp:docPr id="144" name="直接连接符 144"/>
                      <wp:cNvGraphicFramePr/>
                      <a:graphic xmlns:a="http://schemas.openxmlformats.org/drawingml/2006/main">
                        <a:graphicData uri="http://schemas.microsoft.com/office/word/2010/wordprocessingShape">
                          <wps:wsp>
                            <wps:cNvCnPr/>
                            <wps:spPr>
                              <a:xfrm flipV="1">
                                <a:off x="4350385" y="8000365"/>
                                <a:ext cx="497840" cy="63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y;margin-left:224.3pt;margin-top:5.15pt;height:0.5pt;width:39.2pt;z-index:252086272;mso-width-relative:page;mso-height-relative:page;" filled="f" stroked="t" coordsize="21600,21600" o:gfxdata="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4GsSPXAAAACQEAAA8AAAAAAAAAAQAgAAAAIgAAAGRycy9kb3ducmV2LnhtbFBL&#10;AQIUABQAAAAIAIdO4kBVrY9C9wEAALYDAAAOAAAAAAAAAAEAIAAAACYBAABkcnMvZTJvRG9jLnht&#10;bFBLBQYAAAAABgAGAFkBAACPBQAAAAA=&#10;">
                      <v:fill on="f" focussize="0,0"/>
                      <v:stroke color="#000000" joinstyle="round"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2176" behindDoc="0" locked="0" layoutInCell="1" allowOverlap="1">
                      <wp:simplePos x="0" y="0"/>
                      <wp:positionH relativeFrom="column">
                        <wp:posOffset>2501265</wp:posOffset>
                      </wp:positionH>
                      <wp:positionV relativeFrom="paragraph">
                        <wp:posOffset>144780</wp:posOffset>
                      </wp:positionV>
                      <wp:extent cx="635" cy="251460"/>
                      <wp:effectExtent l="24765" t="0" r="31750" b="15240"/>
                      <wp:wrapNone/>
                      <wp:docPr id="123" name="直接连接符 123"/>
                      <wp:cNvGraphicFramePr/>
                      <a:graphic xmlns:a="http://schemas.openxmlformats.org/drawingml/2006/main">
                        <a:graphicData uri="http://schemas.microsoft.com/office/word/2010/wordprocessingShape">
                          <wps:wsp>
                            <wps:cNvCnPr/>
                            <wps:spPr>
                              <a:xfrm flipH="1">
                                <a:off x="3976370" y="8176260"/>
                                <a:ext cx="635" cy="25146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196.95pt;margin-top:11.4pt;height:19.8pt;width:0.05pt;z-index:252082176;mso-width-relative:page;mso-height-relative:page;" filled="f" stroked="t" coordsize="21600,21600" o:gfxdata="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ZlB9UAAAAJAQAADwAAAAAAAAABACAAAAAiAAAAZHJzL2Rvd25yZXYu&#10;eG1sUEsBAhQAFAAAAAgAh07iQGSDF2/+AQAAswMAAA4AAAAAAAAAAQAgAAAAJAEAAGRycy9lMm9E&#10;b2MueG1sUEsFBgAAAAAGAAYAWQEAAJQFA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9344" behindDoc="0" locked="0" layoutInCell="1" allowOverlap="1">
                      <wp:simplePos x="0" y="0"/>
                      <wp:positionH relativeFrom="column">
                        <wp:posOffset>3307080</wp:posOffset>
                      </wp:positionH>
                      <wp:positionV relativeFrom="paragraph">
                        <wp:posOffset>12700</wp:posOffset>
                      </wp:positionV>
                      <wp:extent cx="1074420" cy="339090"/>
                      <wp:effectExtent l="0" t="0" r="0" b="0"/>
                      <wp:wrapNone/>
                      <wp:docPr id="159" name="文本框 159"/>
                      <wp:cNvGraphicFramePr/>
                      <a:graphic xmlns:a="http://schemas.openxmlformats.org/drawingml/2006/main">
                        <a:graphicData uri="http://schemas.microsoft.com/office/word/2010/wordprocessingShape">
                          <wps:wsp>
                            <wps:cNvSpPr txBox="1"/>
                            <wps:spPr>
                              <a:xfrm>
                                <a:off x="4965700" y="9018270"/>
                                <a:ext cx="1074420" cy="339090"/>
                              </a:xfrm>
                              <a:prstGeom prst="rect">
                                <a:avLst/>
                              </a:prstGeom>
                              <a:noFill/>
                              <a:ln>
                                <a:noFill/>
                              </a:ln>
                            </wps:spPr>
                            <wps:txbx>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污水处理站</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a:graphicData>
                      </a:graphic>
                    </wp:anchor>
                  </w:drawing>
                </mc:Choice>
                <mc:Fallback>
                  <w:pict>
                    <v:shape id="_x0000_s1026" o:spid="_x0000_s1026" o:spt="202" type="#_x0000_t202" style="position:absolute;left:0pt;margin-left:260.4pt;margin-top:1pt;height:26.7pt;width:84.6pt;z-index:252089344;mso-width-relative:page;mso-height-relative:page;" filled="f" stroked="f" coordsize="21600,21600" o:gfxdata="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tx0EdYAAAAI&#10;AQAADwAAAAAAAAABACAAAAAiAAAAZHJzL2Rvd25yZXYueG1sUEsBAhQAFAAAAAgAh07iQFsEBtOs&#10;AQAANAMAAA4AAAAAAAAAAQAgAAAAJQEAAGRycy9lMm9Eb2MueG1sUEsFBgAAAAAGAAYAWQEAAEMF&#10;AAAAAA==&#10;">
                      <v:fill on="f" focussize="0,0"/>
                      <v:stroke on="f"/>
                      <v:imagedata o:title=""/>
                      <o:lock v:ext="edit" aspectratio="f"/>
                      <v:textbox inset="0mm,0mm,0mm,0mm">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污水处理站</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93440" behindDoc="0" locked="0" layoutInCell="1" allowOverlap="1">
                      <wp:simplePos x="0" y="0"/>
                      <wp:positionH relativeFrom="column">
                        <wp:posOffset>2893695</wp:posOffset>
                      </wp:positionH>
                      <wp:positionV relativeFrom="paragraph">
                        <wp:posOffset>4445</wp:posOffset>
                      </wp:positionV>
                      <wp:extent cx="571500" cy="35179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571500" cy="351790"/>
                              </a:xfrm>
                              <a:prstGeom prst="rect">
                                <a:avLst/>
                              </a:prstGeom>
                              <a:noFill/>
                              <a:ln>
                                <a:noFill/>
                              </a:ln>
                            </wps:spPr>
                            <wps:txbx>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采出水</w:t>
                                  </w:r>
                                </w:p>
                              </w:txbxContent>
                            </wps:txbx>
                            <wps:bodyPr lIns="0" tIns="14400" rIns="0" bIns="0" upright="1"/>
                          </wps:wsp>
                        </a:graphicData>
                      </a:graphic>
                    </wp:anchor>
                  </w:drawing>
                </mc:Choice>
                <mc:Fallback>
                  <w:pict>
                    <v:shape id="_x0000_s1026" o:spid="_x0000_s1026" o:spt="202" type="#_x0000_t202" style="position:absolute;left:0pt;margin-left:227.85pt;margin-top:0.35pt;height:27.7pt;width:45pt;z-index:252093440;mso-width-relative:page;mso-height-relative:page;" filled="f" stroked="f" coordsize="21600,21600" o:gfxdata="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44G7DVAAAABwEAAA8AAAAA&#10;AAAAAQAgAAAAIgAAAGRycy9kb3ducmV2LnhtbFBLAQIUABQAAAAIAIdO4kCU5iZ5pQEAACsDAAAO&#10;AAAAAAAAAAEAIAAAACQBAABkcnMvZTJvRG9jLnhtbFBLBQYAAAAABgAGAFkBAAA7BQAAAAA=&#10;">
                      <v:fill on="f" focussize="0,0"/>
                      <v:stroke on="f"/>
                      <v:imagedata o:title=""/>
                      <o:lock v:ext="edit" aspectratio="f"/>
                      <v:textbox inset="0mm,0.4mm,0mm,0mm">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采出水</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8320" behindDoc="0" locked="0" layoutInCell="1" allowOverlap="1">
                      <wp:simplePos x="0" y="0"/>
                      <wp:positionH relativeFrom="column">
                        <wp:posOffset>2841625</wp:posOffset>
                      </wp:positionH>
                      <wp:positionV relativeFrom="paragraph">
                        <wp:posOffset>239395</wp:posOffset>
                      </wp:positionV>
                      <wp:extent cx="615315" cy="635"/>
                      <wp:effectExtent l="0" t="38100" r="13335" b="37465"/>
                      <wp:wrapNone/>
                      <wp:docPr id="149" name="直接连接符 149"/>
                      <wp:cNvGraphicFramePr/>
                      <a:graphic xmlns:a="http://schemas.openxmlformats.org/drawingml/2006/main">
                        <a:graphicData uri="http://schemas.microsoft.com/office/word/2010/wordprocessingShape">
                          <wps:wsp>
                            <wps:cNvCnPr/>
                            <wps:spPr>
                              <a:xfrm flipH="1">
                                <a:off x="4350385" y="9211310"/>
                                <a:ext cx="615315" cy="63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margin-left:223.75pt;margin-top:18.85pt;height:0.05pt;width:48.45pt;z-index:252088320;mso-width-relative:page;mso-height-relative:page;" filled="f" stroked="t" coordsize="21600,21600" o:gfxdata="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JR/Z2AAAAAkBAAAPAAAAAAAAAAEAIAAAACIAAABkcnMvZG93bnJldi54bWxQ&#10;SwECFAAUAAAACACHTuJArEi0TfcBAAC0AwAADgAAAAAAAAABACAAAAAnAQAAZHJzL2Uyb0RvYy54&#10;bWxQSwUGAAAAAAYABgBZAQAAkAU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7296" behindDoc="0" locked="0" layoutInCell="1" allowOverlap="1">
                      <wp:simplePos x="0" y="0"/>
                      <wp:positionH relativeFrom="column">
                        <wp:posOffset>2143125</wp:posOffset>
                      </wp:positionH>
                      <wp:positionV relativeFrom="paragraph">
                        <wp:posOffset>127635</wp:posOffset>
                      </wp:positionV>
                      <wp:extent cx="694690" cy="241935"/>
                      <wp:effectExtent l="4445" t="4445" r="5715" b="20320"/>
                      <wp:wrapNone/>
                      <wp:docPr id="148" name="文本框 148"/>
                      <wp:cNvGraphicFramePr/>
                      <a:graphic xmlns:a="http://schemas.openxmlformats.org/drawingml/2006/main">
                        <a:graphicData uri="http://schemas.microsoft.com/office/word/2010/wordprocessingShape">
                          <wps:wsp>
                            <wps:cNvSpPr txBox="1"/>
                            <wps:spPr>
                              <a:xfrm>
                                <a:off x="3618865" y="9018270"/>
                                <a:ext cx="694690" cy="241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排采试气</w:t>
                                  </w:r>
                                </w:p>
                              </w:txbxContent>
                            </wps:txbx>
                            <wps:bodyPr lIns="0" tIns="14400" rIns="0" bIns="0" upright="1"/>
                          </wps:wsp>
                        </a:graphicData>
                      </a:graphic>
                    </wp:anchor>
                  </w:drawing>
                </mc:Choice>
                <mc:Fallback>
                  <w:pict>
                    <v:shape id="_x0000_s1026" o:spid="_x0000_s1026" o:spt="202" type="#_x0000_t202" style="position:absolute;left:0pt;margin-left:168.75pt;margin-top:10.05pt;height:19.05pt;width:54.7pt;z-index:252087296;mso-width-relative:page;mso-height-relative:page;" fillcolor="#FFFFFF" filled="t" stroked="t" coordsize="21600,21600" o:gfxdata="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b33L2AAAAAkBAAAPAAAAAAAAAAEA&#10;IAAAACIAAABkcnMvZG93bnJldi54bWxQSwECFAAUAAAACACHTuJAVbrnfg8CAAAfBAAADgAAAAAA&#10;AAABACAAAAAnAQAAZHJzL2Uyb0RvYy54bWxQSwUGAAAAAAYABgBZAQAAqAU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排采试气</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91392" behindDoc="0" locked="0" layoutInCell="1" allowOverlap="1">
                      <wp:simplePos x="0" y="0"/>
                      <wp:positionH relativeFrom="column">
                        <wp:posOffset>2503805</wp:posOffset>
                      </wp:positionH>
                      <wp:positionV relativeFrom="paragraph">
                        <wp:posOffset>114935</wp:posOffset>
                      </wp:positionV>
                      <wp:extent cx="635" cy="251460"/>
                      <wp:effectExtent l="24765" t="0" r="31750" b="15240"/>
                      <wp:wrapNone/>
                      <wp:docPr id="165" name="直接连接符 165"/>
                      <wp:cNvGraphicFramePr/>
                      <a:graphic xmlns:a="http://schemas.openxmlformats.org/drawingml/2006/main">
                        <a:graphicData uri="http://schemas.microsoft.com/office/word/2010/wordprocessingShape">
                          <wps:wsp>
                            <wps:cNvCnPr/>
                            <wps:spPr>
                              <a:xfrm flipH="1">
                                <a:off x="0" y="0"/>
                                <a:ext cx="635" cy="251460"/>
                              </a:xfrm>
                              <a:prstGeom prst="line">
                                <a:avLst/>
                              </a:prstGeom>
                              <a:ln w="9525"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flip:x;margin-left:197.15pt;margin-top:9.05pt;height:19.8pt;width:0.05pt;z-index:252091392;mso-width-relative:page;mso-height-relative:page;" filled="f" stroked="t" coordsize="21600,21600" o:gfxdata="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ymJOdQAAAAJAQAADwAAAAAAAAABACAAAAAiAAAAZHJzL2Rvd25yZXYueG1sUEsBAhQAFAAAAAgA&#10;h07iQPskDz3wAQAApwMAAA4AAAAAAAAAAQAgAAAAIwEAAGRycy9lMm9Eb2MueG1sUEsFBgAAAAAG&#10;AAYAWQEAAIUFAAAAAA==&#10;">
                      <v:fill on="f" focussize="0,0"/>
                      <v:stroke color="#000000" joinstyle="round" endarrow="block" endarrowwidth="narrow" endarrowlength="long"/>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3402969088" behindDoc="0" locked="0" layoutInCell="1" allowOverlap="1">
                      <wp:simplePos x="0" y="0"/>
                      <wp:positionH relativeFrom="column">
                        <wp:posOffset>2881630</wp:posOffset>
                      </wp:positionH>
                      <wp:positionV relativeFrom="paragraph">
                        <wp:posOffset>227965</wp:posOffset>
                      </wp:positionV>
                      <wp:extent cx="539750" cy="635"/>
                      <wp:effectExtent l="0" t="38100" r="12700" b="37465"/>
                      <wp:wrapNone/>
                      <wp:docPr id="176" name="直接连接符 176"/>
                      <wp:cNvGraphicFramePr/>
                      <a:graphic xmlns:a="http://schemas.openxmlformats.org/drawingml/2006/main">
                        <a:graphicData uri="http://schemas.microsoft.com/office/word/2010/wordprocessingShape">
                          <wps:wsp>
                            <wps:cNvCnPr/>
                            <wps:spPr>
                              <a:xfrm flipH="1">
                                <a:off x="0" y="0"/>
                                <a:ext cx="539750" cy="63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margin-left:226.9pt;margin-top:17.95pt;height:0.05pt;width:42.5pt;z-index:-891998208;mso-width-relative:page;mso-height-relative:page;" filled="f" stroked="t" coordsize="21600,21600" o:gfxdata="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zp&#10;TxjWAAAACQEAAA8AAAAAAAAAAQAgAAAAIgAAAGRycy9kb3ducmV2LnhtbFBLAQIUABQAAAAIAIdO&#10;4kBd++Ut7AEAAKgDAAAOAAAAAAAAAAEAIAAAACUBAABkcnMvZTJvRG9jLnhtbFBLBQYAAAAABgAG&#10;AFkBAACDBQAAAAA=&#10;">
                      <v:fill on="f" focussize="0,0"/>
                      <v:stroke color="#000000" joinstyle="round" dashstyle="dash" startarrow="block"/>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4224" behindDoc="0" locked="0" layoutInCell="1" allowOverlap="1">
                      <wp:simplePos x="0" y="0"/>
                      <wp:positionH relativeFrom="column">
                        <wp:posOffset>3246120</wp:posOffset>
                      </wp:positionH>
                      <wp:positionV relativeFrom="paragraph">
                        <wp:posOffset>11430</wp:posOffset>
                      </wp:positionV>
                      <wp:extent cx="1598295" cy="326390"/>
                      <wp:effectExtent l="0" t="0" r="0" b="0"/>
                      <wp:wrapNone/>
                      <wp:docPr id="131" name="文本框 131"/>
                      <wp:cNvGraphicFramePr/>
                      <a:graphic xmlns:a="http://schemas.openxmlformats.org/drawingml/2006/main">
                        <a:graphicData uri="http://schemas.microsoft.com/office/word/2010/wordprocessingShape">
                          <wps:wsp>
                            <wps:cNvSpPr txBox="1"/>
                            <wps:spPr>
                              <a:xfrm>
                                <a:off x="4367530" y="9641840"/>
                                <a:ext cx="1598295" cy="326390"/>
                              </a:xfrm>
                              <a:prstGeom prst="rect">
                                <a:avLst/>
                              </a:prstGeom>
                              <a:noFill/>
                              <a:ln>
                                <a:noFill/>
                              </a:ln>
                            </wps:spPr>
                            <wps:txbx>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a:graphicData>
                      </a:graphic>
                    </wp:anchor>
                  </w:drawing>
                </mc:Choice>
                <mc:Fallback>
                  <w:pict>
                    <v:shape id="_x0000_s1026" o:spid="_x0000_s1026" o:spt="202" type="#_x0000_t202" style="position:absolute;left:0pt;margin-left:255.6pt;margin-top:0.9pt;height:25.7pt;width:125.85pt;z-index:252084224;mso-width-relative:page;mso-height-relative:page;" filled="f" stroked="f" coordsize="21600,21600" o:gfxdata="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rKPSPWAAAA&#10;CAEAAA8AAAAAAAAAAQAgAAAAIgAAAGRycy9kb3ducmV2LnhtbFBLAQIUABQAAAAIAIdO4kBcS/Y0&#10;rQEAADQDAAAOAAAAAAAAAAEAIAAAACUBAABkcnMvZTJvRG9jLnhtbFBLBQYAAAAABgAGAFkBAABE&#10;BQAAAAA=&#10;">
                      <v:fill on="f" focussize="0,0"/>
                      <v:stroke on="f"/>
                      <v:imagedata o:title=""/>
                      <o:lock v:ext="edit" aspectratio="f"/>
                      <v:textbox inset="0mm,0mm,0mm,0mm">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83200" behindDoc="0" locked="0" layoutInCell="1" allowOverlap="1">
                      <wp:simplePos x="0" y="0"/>
                      <wp:positionH relativeFrom="column">
                        <wp:posOffset>2161540</wp:posOffset>
                      </wp:positionH>
                      <wp:positionV relativeFrom="paragraph">
                        <wp:posOffset>99695</wp:posOffset>
                      </wp:positionV>
                      <wp:extent cx="694690" cy="236220"/>
                      <wp:effectExtent l="4445" t="5080" r="5715" b="6350"/>
                      <wp:wrapNone/>
                      <wp:docPr id="124" name="文本框 124"/>
                      <wp:cNvGraphicFramePr/>
                      <a:graphic xmlns:a="http://schemas.openxmlformats.org/drawingml/2006/main">
                        <a:graphicData uri="http://schemas.microsoft.com/office/word/2010/wordprocessingShape">
                          <wps:wsp>
                            <wps:cNvSpPr txBox="1"/>
                            <wps:spPr>
                              <a:xfrm>
                                <a:off x="3643630" y="9641840"/>
                                <a:ext cx="694690" cy="236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封场</w:t>
                                  </w:r>
                                </w:p>
                              </w:txbxContent>
                            </wps:txbx>
                            <wps:bodyPr lIns="0" tIns="14400" rIns="0" bIns="0" upright="1"/>
                          </wps:wsp>
                        </a:graphicData>
                      </a:graphic>
                    </wp:anchor>
                  </w:drawing>
                </mc:Choice>
                <mc:Fallback>
                  <w:pict>
                    <v:shape id="_x0000_s1026" o:spid="_x0000_s1026" o:spt="202" type="#_x0000_t202" style="position:absolute;left:0pt;margin-left:170.2pt;margin-top:7.85pt;height:18.6pt;width:54.7pt;z-index:252083200;mso-width-relative:page;mso-height-relative:page;" fillcolor="#FFFFFF" filled="t" stroked="t" coordsize="21600,21600" o:gfxdata="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csbadcAAAAJAQAADwAAAAAAAAAB&#10;ACAAAAAiAAAAZHJzL2Rvd25yZXYueG1sUEsBAhQAFAAAAAgAh07iQEopC9URAgAAHwQAAA4AAAAA&#10;AAAAAQAgAAAAJgEAAGRycy9lMm9Eb2MueG1sUEsFBgAAAAAGAAYAWQEAAKkF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封场</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1218565</wp:posOffset>
                      </wp:positionH>
                      <wp:positionV relativeFrom="paragraph">
                        <wp:posOffset>3175</wp:posOffset>
                      </wp:positionV>
                      <wp:extent cx="2600325" cy="258445"/>
                      <wp:effectExtent l="0" t="0" r="0" b="0"/>
                      <wp:wrapNone/>
                      <wp:docPr id="3" name="文本框 3"/>
                      <wp:cNvGraphicFramePr/>
                      <a:graphic xmlns:a="http://schemas.openxmlformats.org/drawingml/2006/main">
                        <a:graphicData uri="http://schemas.microsoft.com/office/word/2010/wordprocessingShape">
                          <wps:wsp>
                            <wps:cNvSpPr txBox="1"/>
                            <wps:spPr>
                              <a:xfrm>
                                <a:off x="2700020" y="10196830"/>
                                <a:ext cx="2600325" cy="258445"/>
                              </a:xfrm>
                              <a:prstGeom prst="rect">
                                <a:avLst/>
                              </a:prstGeom>
                              <a:noFill/>
                              <a:ln>
                                <a:noFill/>
                              </a:ln>
                            </wps:spPr>
                            <wps:txbx>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插图7</w:t>
                                  </w:r>
                                  <w:r>
                                    <w:rPr>
                                      <w:rFonts w:hint="eastAsia" w:asciiTheme="minorEastAsia" w:hAnsiTheme="minorEastAsia" w:eastAsiaTheme="minorEastAsia" w:cstheme="minorEastAsia"/>
                                      <w:b/>
                                      <w:bCs/>
                                      <w:sz w:val="21"/>
                                      <w:szCs w:val="21"/>
                                    </w:rPr>
                                    <w:t xml:space="preserve">  工艺流程及产污环节图</w:t>
                                  </w:r>
                                </w:p>
                              </w:txbxContent>
                            </wps:txbx>
                            <wps:bodyPr lIns="91440" tIns="0" rIns="91440" bIns="0" upright="1"/>
                          </wps:wsp>
                        </a:graphicData>
                      </a:graphic>
                    </wp:anchor>
                  </w:drawing>
                </mc:Choice>
                <mc:Fallback>
                  <w:pict>
                    <v:shape id="_x0000_s1026" o:spid="_x0000_s1026" o:spt="202" type="#_x0000_t202" style="position:absolute;left:0pt;margin-left:95.95pt;margin-top:0.25pt;height:20.35pt;width:204.75pt;z-index:252024832;mso-width-relative:page;mso-height-relative:page;" filled="f" stroked="f" coordsize="21600,21600" o:gfxdata="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RwTvvUAAAA&#10;BwEAAA8AAAAAAAAAAQAgAAAAIgAAAGRycy9kb3ducmV2LnhtbFBLAQIUABQAAAAIAIdO4kCDMpPV&#10;rwEAADkDAAAOAAAAAAAAAAEAIAAAACMBAABkcnMvZTJvRG9jLnhtbFBLBQYAAAAABgAGAFkBAABE&#10;BQAAAAA=&#10;">
                      <v:fill on="f" focussize="0,0"/>
                      <v:stroke on="f"/>
                      <v:imagedata o:title=""/>
                      <o:lock v:ext="edit" aspectratio="f"/>
                      <v:textbox inset="2.54mm,0mm,2.54mm,0mm">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插图7</w:t>
                            </w:r>
                            <w:r>
                              <w:rPr>
                                <w:rFonts w:hint="eastAsia" w:asciiTheme="minorEastAsia" w:hAnsiTheme="minorEastAsia" w:eastAsiaTheme="minorEastAsia" w:cstheme="minorEastAsia"/>
                                <w:b/>
                                <w:bCs/>
                                <w:sz w:val="21"/>
                                <w:szCs w:val="21"/>
                              </w:rPr>
                              <w:t xml:space="preserve">  工艺流程及产污环节图</w:t>
                            </w: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744287744" behindDoc="0" locked="0" layoutInCell="1" allowOverlap="1">
                      <wp:simplePos x="0" y="0"/>
                      <wp:positionH relativeFrom="column">
                        <wp:posOffset>1443355</wp:posOffset>
                      </wp:positionH>
                      <wp:positionV relativeFrom="paragraph">
                        <wp:posOffset>155575</wp:posOffset>
                      </wp:positionV>
                      <wp:extent cx="2600325" cy="258445"/>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2600325" cy="258445"/>
                              </a:xfrm>
                              <a:prstGeom prst="rect">
                                <a:avLst/>
                              </a:prstGeom>
                              <a:noFill/>
                              <a:ln>
                                <a:noFill/>
                              </a:ln>
                            </wps:spPr>
                            <wps:txbx>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插图8</w:t>
                                  </w: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井身结构示意</w:t>
                                  </w:r>
                                  <w:r>
                                    <w:rPr>
                                      <w:rFonts w:hint="eastAsia" w:asciiTheme="minorEastAsia" w:hAnsiTheme="minorEastAsia" w:eastAsiaTheme="minorEastAsia" w:cstheme="minorEastAsia"/>
                                      <w:b/>
                                      <w:bCs/>
                                      <w:sz w:val="21"/>
                                      <w:szCs w:val="21"/>
                                    </w:rPr>
                                    <w:t>图</w:t>
                                  </w:r>
                                </w:p>
                              </w:txbxContent>
                            </wps:txbx>
                            <wps:bodyPr lIns="91440" tIns="0" rIns="91440" bIns="0" upright="1"/>
                          </wps:wsp>
                        </a:graphicData>
                      </a:graphic>
                    </wp:anchor>
                  </w:drawing>
                </mc:Choice>
                <mc:Fallback>
                  <w:pict>
                    <v:shape id="_x0000_s1026" o:spid="_x0000_s1026" o:spt="202" type="#_x0000_t202" style="position:absolute;left:0pt;margin-left:113.65pt;margin-top:12.25pt;height:20.35pt;width:204.75pt;z-index:-550679552;mso-width-relative:page;mso-height-relative:page;" filled="f" stroked="f" coordsize="21600,21600" o:gfxdata="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3pO+TWAAAACQEAAA8A&#10;AAAAAAAAAQAgAAAAIgAAAGRycy9kb3ducmV2LnhtbFBLAQIUABQAAAAIAIdO4kC7Zg2fpwEAADAD&#10;AAAOAAAAAAAAAAEAIAAAACUBAABkcnMvZTJvRG9jLnhtbFBLBQYAAAAABgAGAFkBAAA+BQAAAAA=&#10;">
                      <v:fill on="f" focussize="0,0"/>
                      <v:stroke on="f"/>
                      <v:imagedata o:title=""/>
                      <o:lock v:ext="edit" aspectratio="f"/>
                      <v:textbox inset="2.54mm,0mm,2.54mm,0mm">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插图8</w:t>
                            </w: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井身结构示意</w:t>
                            </w:r>
                            <w:r>
                              <w:rPr>
                                <w:rFonts w:hint="eastAsia" w:asciiTheme="minorEastAsia" w:hAnsiTheme="minorEastAsia" w:eastAsiaTheme="minorEastAsia" w:cstheme="minorEastAsia"/>
                                <w:b/>
                                <w:bCs/>
                                <w:sz w:val="21"/>
                                <w:szCs w:val="21"/>
                              </w:rPr>
                              <w:t>图</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勘探工艺流程</w:t>
            </w:r>
            <w:r>
              <w:rPr>
                <w:rFonts w:hint="default" w:ascii="Times New Roman" w:hAnsi="Times New Roman" w:cs="Times New Roman"/>
                <w:b/>
                <w:bCs/>
                <w:color w:val="000000" w:themeColor="text1"/>
                <w:sz w:val="24"/>
                <w:lang w:val="en-US" w:eastAsia="zh-CN"/>
                <w14:textFill>
                  <w14:solidFill>
                    <w14:schemeClr w14:val="tx1"/>
                  </w14:solidFill>
                </w14:textFill>
              </w:rPr>
              <w:t>简介：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w:t>
            </w:r>
            <w:r>
              <w:rPr>
                <w:rFonts w:hint="default" w:ascii="Times New Roman" w:hAnsi="Times New Roman" w:cs="Times New Roman"/>
                <w:b/>
                <w:bCs/>
                <w:color w:val="000000" w:themeColor="text1"/>
                <w:sz w:val="24"/>
                <w14:textFill>
                  <w14:solidFill>
                    <w14:schemeClr w14:val="tx1"/>
                  </w14:solidFill>
                </w14:textFill>
              </w:rPr>
              <w:t>钻前井场施工和设备安装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井场施工前的平整及设备安装，包括井场电气的设计、选型与安装，井场设配电控制中心。</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钻井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钻井：本项目在钻井过程中，一开井段(0～</w:t>
            </w:r>
            <w:r>
              <w:rPr>
                <w:rFonts w:hint="default" w:ascii="Times New Roman" w:hAnsi="Times New Roman" w:cs="Times New Roman"/>
                <w:color w:val="000000" w:themeColor="text1"/>
                <w:sz w:val="24"/>
                <w:lang w:val="en-US" w:eastAsia="zh-CN"/>
                <w14:textFill>
                  <w14:solidFill>
                    <w14:schemeClr w14:val="tx1"/>
                  </w14:solidFill>
                </w14:textFill>
              </w:rPr>
              <w:t>115</w:t>
            </w:r>
            <w:r>
              <w:rPr>
                <w:rFonts w:hint="default" w:ascii="Times New Roman" w:hAnsi="Times New Roman" w:cs="Times New Roman"/>
                <w:color w:val="000000" w:themeColor="text1"/>
                <w:sz w:val="24"/>
                <w14:textFill>
                  <w14:solidFill>
                    <w14:schemeClr w14:val="tx1"/>
                  </w14:solidFill>
                </w14:textFill>
              </w:rPr>
              <w:t>m)；二开井段(</w:t>
            </w:r>
            <w:r>
              <w:rPr>
                <w:rFonts w:hint="default" w:ascii="Times New Roman" w:hAnsi="Times New Roman" w:cs="Times New Roman"/>
                <w:color w:val="000000" w:themeColor="text1"/>
                <w:sz w:val="24"/>
                <w:lang w:val="en-US" w:eastAsia="zh-CN"/>
                <w14:textFill>
                  <w14:solidFill>
                    <w14:schemeClr w14:val="tx1"/>
                  </w14:solidFill>
                </w14:textFill>
              </w:rPr>
              <w:t>115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2000</w:t>
            </w:r>
            <w:r>
              <w:rPr>
                <w:rFonts w:hint="default" w:ascii="Times New Roman" w:hAnsi="Times New Roman" w:cs="Times New Roman"/>
                <w:color w:val="000000" w:themeColor="text1"/>
                <w:sz w:val="24"/>
                <w14:textFill>
                  <w14:solidFill>
                    <w14:schemeClr w14:val="tx1"/>
                  </w14:solidFill>
                </w14:textFill>
              </w:rPr>
              <w:t>m)；三开井段(</w:t>
            </w:r>
            <w:r>
              <w:rPr>
                <w:rFonts w:hint="default" w:ascii="Times New Roman" w:hAnsi="Times New Roman" w:cs="Times New Roman"/>
                <w:color w:val="000000" w:themeColor="text1"/>
                <w:sz w:val="24"/>
                <w:lang w:val="en-US" w:eastAsia="zh-CN"/>
                <w14:textFill>
                  <w14:solidFill>
                    <w14:schemeClr w14:val="tx1"/>
                  </w14:solidFill>
                </w14:textFill>
              </w:rPr>
              <w:t>2000</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2095</w:t>
            </w:r>
            <w:r>
              <w:rPr>
                <w:rFonts w:hint="default" w:ascii="Times New Roman" w:hAnsi="Times New Roman" w:cs="Times New Roman"/>
                <w:color w:val="000000" w:themeColor="text1"/>
                <w:sz w:val="24"/>
                <w14:textFill>
                  <w14:solidFill>
                    <w14:schemeClr w14:val="tx1"/>
                  </w14:solidFill>
                </w14:textFill>
              </w:rPr>
              <w:t>m)。</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14:textFill>
                  <w14:solidFill>
                    <w14:schemeClr w14:val="tx1"/>
                  </w14:solidFill>
                </w14:textFill>
              </w:rPr>
              <w:t>钻井和录井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山西组地层砂岩、泥岩造浆严重，尤其是钻头切削造成的岩屑在不能被及时携带到地面后造成二次或者多次破碎，有些岩屑颗粒极小，使用振动筛也不能及时清除，通过换浆解决问题。为保证钻井液密度符合要求，从二开一开始便要使用振动筛除砂，根据钻井液的消耗情况及时补充；并根据钻井进尺快慢来调整钻井液性能，在钻遇煤层前要彻底换浆，排掉地面上的钻井液后，还有通过循环，将井筒内的钻井液彻底换掉。在钻进中，对于循环槽和沉淀坑内的岩屑要及时清理。要求非煤系地层钻进每一小班测定钻井液常规性能(密度、粘度、</w:t>
            </w:r>
            <w:r>
              <w:rPr>
                <w:rFonts w:hint="default" w:ascii="Times New Roman" w:hAnsi="Times New Roman" w:cs="Times New Roman"/>
                <w:color w:val="000000" w:themeColor="text1"/>
                <w:sz w:val="24"/>
                <w:lang w:val="en-US" w:eastAsia="zh-CN"/>
                <w14:textFill>
                  <w14:solidFill>
                    <w14:schemeClr w14:val="tx1"/>
                  </w14:solidFill>
                </w14:textFill>
              </w:rPr>
              <w:t>p</w:t>
            </w:r>
            <w:r>
              <w:rPr>
                <w:rFonts w:hint="default" w:ascii="Times New Roman" w:hAnsi="Times New Roman" w:cs="Times New Roman"/>
                <w:color w:val="000000" w:themeColor="text1"/>
                <w:sz w:val="24"/>
                <w14:textFill>
                  <w14:solidFill>
                    <w14:schemeClr w14:val="tx1"/>
                  </w14:solidFill>
                </w14:textFill>
              </w:rPr>
              <w:t>H值等)4次，煤系地层钻进每一小时测定一次。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录井：为了达到钻探目的和完成录井任务，要求录井队与钻井工程、泥浆人员密切配合，按探井资料录取规范，在录井工作中一定要坚持高标准、严要求、认真负责的取全取准各项录井资料。</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岩、煤心录井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煤心描述的内容，要求顺序统一、定名准确、重点突出；岩心描述的顺序为：颜色、成分、结构、构造、胶结状况、裂隙发育情况、充填物及定名；煤心描述的顺序为：宏观煤岩类型、成分、物理性质、结构、构造、内外生裂隙、夹矸，煤层、泥页岩含气显示等。</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岩屑录井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屑录井是在钻进中捞取循环介质携带的岩屑、煤屑，进行分层鉴定、描述，达到地质录井目的一种方法。岩屑录井要注意岩屑迟到时间的测定，捞取岩屑时间的确定及确定捞屑间距。要认真把握捞屑、洗屑、观察、晾干、描述、采样、装袋、保管等环节；描述方法要统一，抓住重点，注意夹层、标志层、煤层的鉴定与描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坚持循环洗井的原则，即提钻前、下钻到底及钻遇目的煤层上的标志层时应进行循环洗井，以减少砂样混杂，保证判层准确。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迟到时间采用理论计算法和实测法，非目的层可采用理论计算，目的层50m进行一次实测校正。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砂样捞取后就先观察湿样，重点是砂样含气、特殊成份描述，真假岩屑的判定，砂样应洗净，不同岩层采用不同的洗砂方法，洗完后要烘干或晾干。</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采用大段摊开，远观颜色，近察变化。描述内容为：孔深、岩石名称、颜色、成份、结构、构造、孔隙、胶结物、滴定显示、含气显示等。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原始录井表填写要做到重点突出，定名准确，文字简洁，条理分明，术语统一。深度连续的同一岩性，岩性特征一样时可以简述。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岩屑录井表要现场整理、汇总，填写内容不得用简略语，并绘制录井剖面草图(非煤系段1:500、煤系段1:200)，对地层做出初步的判定和划分，标志层和特殊层要做重点描述。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上述工作完成后要及时、采够样品，装袋保存，并附上标签标采样孔深等，标签要用碳素笔统一填写。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采样后的砂样未经现场地质人员同意不得随意处理。</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钻时录井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时录井间距要求是非煤系地层每2m记录1个点；煤系地层每1m记录1个点；目的煤层(段)每0.5m记录1个点，以便判断煤层埋深、厚度及夹矸位置；要随时记录钻时突变点，以便及时发现煤层确定煤层深度、厚度等；全井漏取钻时点数不超过全井钻时总数的1%，目的煤层(段)钻时点不允许漏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在煤层气井地质编录时，对煤层顶底板、涌漏水层段、火成岩与围岩接触带、煤层与岩石裂隙等应进行详细描述和统计，涌水段要采样分析化验。</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钻井液录井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液录井是发现气层的手段之一。在非煤系段，每班作一次全套性能(钻井液类型、测点井深、密度、粘度、含砂、pH值等)测定；每2小时测定一次密度、粘度，在煤系段或非煤系段发现异常(如粘度加大，钻时变快，钻井液有气侵，槽面见气泡等)应连续测定钻井液密度、粘度，并加密全套性能的测定，做好记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取煤心前，对钻井液作一次全套性能测定。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准确记录测点井深的钻井液性能资料，如钻井液类型、密度、粘度、失水量、泥饼、pH值、含砂量。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处理钻井液时，应记录时间、井深、处理剂名称及用量，更换钻井液时注明类型。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当钻井液中出现气显示时，应记录井深、层位、气显示特征等。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发生涌水或井漏时，应记录井深、层位、钻头位置、工作状态、涌水或井漏起止时间、涌或漏失量。</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气测录井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录井井段为二开至完钻，一般每1m记录一个点，取心层段、气测异常显示砂岩层段每0.1m记录一个点，录取项目包括井深、时间，全烃等。全烃为连续记录曲线，每1m选一最高数记录到原始记录表上；无异常时，组分分析每4小时至少进行一次，如发现异常或钻时明显变低时，必须连续分析，目的煤层及气测异常显示砂岩层段进行钻井液热真空蒸馏气分析。在目的煤层段及气测异常砂岩层段起下钻进行后效测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投入气相色谱仪，经常校验仪器，每次下钻到底注入1%浓度甲烷气(或标定天然气)检查保留时间、重复误差和分离度；每班要在井口气管线入口处注入1%浓度甲烷气(或标定天然气)检查管线封闭性；校验记录要作为一项随钻气测资料保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气测大要及时整理所测资料，绘制随钻气测曲线图，对异常井段应及时做出初步解释。</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简易水文观测录井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煤层气预探井在钻探过程中应进行简易水文观测。每次起钻后、下钻前测量一次水位(泥浆池液面、井筒液面)，每班记录一次钻井液消耗量，钻井过程中注意记录漏(涌)水层位、深度及水位变化情况，如遇涌水，记录涌高、涌出物和涌出量。</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工程参数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录井井段为一开至完钻，每1m记录1个点，连续监测(包括起下钻等)，录井内容包括：钻压、泵压、排量、返出流量、扭矩、大钩负荷、泵冲和钻头位置等。</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特殊作业时地质录井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下套管、固井作业时，地质录井工作必须准确、详细地收集、整理套管及固井数据。套管数据包括：套管钢级、壁厚、内径、外径、产地，打压情况等，各单根长度及入井顺序、套管下深、联入，套管鞋位置、阻流环位置、磁定位短节位置，扶正器位置等；固井数据包括：水泥标号、产地、用量，水泥浆密度原始记录和统计，替浆量及碰压情况，水泥环返高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测井作业时，地质录井技术人员应与测井解释人员配合，向其提供本井实钻地质数据和井内情况，检查并记录实际测井项目、测量井段等；测井队必须向录井队提供现场曲线及目的煤层初步解释数据。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地层测试作业时，甲方现场管理人员应与测试解释人员配合，向其提供本井实钻地质数据和井内情况。</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含气量采样及测定作业时，地质录井技术人员要帮助测定作业组做好时间记录，并提供本井实钻地质数据和井内情况，收集必要的解吸数据。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取岩芯</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采集煤芯、岩芯及煤层气样品进行测试分析是煤层气参数井的重要任务，采样的基本原则为：</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原则上按计划本井目标煤层每0.50m采集1个煤芯解吸样品，均为自然解吸标准样，获取解吸气、损失气、残余气、气含量及吸附时间等参数；</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煤芯煤样自然解吸结束后立即送样进行工业分析、元素分析、煤岩鉴定和等温吸附试验等相关测试；</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解吸过程中每个煤芯解吸样品采集3个煤层气样用于测定气成分；</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每层煤采集顶、底板岩石物理力学性质岩芯样品各1组。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color w:val="000000" w:themeColor="text1"/>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勘探井在</w:t>
            </w:r>
            <w:r>
              <w:rPr>
                <w:rFonts w:hint="default" w:ascii="Times New Roman" w:hAnsi="Times New Roman" w:cs="Times New Roman"/>
                <w:color w:val="000000" w:themeColor="text1"/>
                <w:sz w:val="24"/>
                <w14:textFill>
                  <w14:solidFill>
                    <w14:schemeClr w14:val="tx1"/>
                  </w14:solidFill>
                </w14:textFill>
              </w:rPr>
              <w:t>钻进时采用多层套管，封隔含水层，多层套管固定</w:t>
            </w:r>
            <w:r>
              <w:rPr>
                <w:rFonts w:hint="default" w:ascii="Times New Roman" w:hAnsi="Times New Roman" w:cs="Times New Roman"/>
                <w:color w:val="000000" w:themeColor="text1"/>
                <w:sz w:val="24"/>
                <w:lang w:eastAsia="zh-CN"/>
                <w14:textFill>
                  <w14:solidFill>
                    <w14:schemeClr w14:val="tx1"/>
                  </w14:solidFill>
                </w14:textFill>
              </w:rPr>
              <w:t>均匀</w:t>
            </w:r>
            <w:r>
              <w:rPr>
                <w:rFonts w:hint="default" w:ascii="Times New Roman" w:hAnsi="Times New Roman" w:cs="Times New Roman"/>
                <w:color w:val="000000" w:themeColor="text1"/>
                <w:sz w:val="24"/>
                <w14:textFill>
                  <w14:solidFill>
                    <w14:schemeClr w14:val="tx1"/>
                  </w14:solidFill>
                </w14:textFill>
              </w:rPr>
              <w:t>水泥返高至地面。完井后下套管进行了固井，封固了含水层之间的水力联系</w:t>
            </w:r>
            <w:r>
              <w:rPr>
                <w:rFonts w:hint="eastAsia"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下套管和固井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14:textFill>
                  <w14:solidFill>
                    <w14:schemeClr w14:val="tx1"/>
                  </w14:solidFill>
                </w14:textFill>
              </w:rPr>
              <w:t>下套管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开后，随着压力降低，甲烷开始从煤的表面解析扩散，通过割理和裂隙流到井底，如果煤层的孔隙和裂缝受到损害，会影响甲烷气的解析效果。下套管是将套管进入到产气煤层中，然后用射孔或割裂实现地层进入的一种方式，保持井筒稳定，降低煤层污染，防止井壁坍塌，也有利于隔离煤层和后续的强化作业。在下套管完井之前，首先要预测气、产出水量、选用抽水设备，再决定套管尺寸。下套管固井使煤层被套管封住，再在煤层部位射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下套管前将套管逐一用通径规进行通径，用柴油将套管丝扣清洗干净。下套管时用干抹布擦净后在公扣上涂抹丝扣油，保证丝扣连接紧密，既要上紧套管，又不能因为用力过大上坏丝扣。同时，下套管前，技术员按清单所列数量、规格，逐项检查验收。浮箍、正反接头、循环接头、试压接头、升高短节和联顶节等，事先与相应的套管合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下套管中途要分两次向套管柱内注入钻井液，保证液柱压力。下完套管后要连接主动钻杆，开泵循环，保证循环通畅。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固井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固井前准备好施工车辆、设备、高压管汇和水泥头、足量的清水，还有足够排浆的地方。同时检查发电机是否正常工作，明确人员分工。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固井中先注入前置液</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左右洗井，洗井完成后开始注入水泥浆，要求平均密度在1.60g/cm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，采用开始密度小，中间大，最后小的办法，要连续注入，中间不能停止。注水泥完成后开始顶替，顶替量就是阻流环以上套管柱的内容积。最后碰压15Mpa,如果5Min压力不降便碰压成功。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由于固井车和钻机现场的泥浆泵相比泵量很大，洗井、注水泥、顶替过程中，井内都会有大量钻井液流出，要及时排走，不得溢出井场造成污染。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固井结束后，固井候凝48h后开始测固，严格按固井工程设计的时间和取样的实际凝固情况候凝。</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固井后由于套管和井壁之间有胶结良好的水泥浆，防止了含水层水和套管接触，阻止了套管锈蚀和含水层相互串通。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压裂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压裂技术是一项增产改造技术，它是用高压泵将压裂液以超过地层吸收能力的排量注入井中，在目的层中形成裂缝，并用压裂液携带支撑剂（陶粒）进入形成的裂缝，支撑剂支撑裂缝起来，保证压裂结束后裂缝不闭，形成一条高渗透能力的流动通道，以此来提高地层的导流能力，促进远端的水和气通过裂缝流至井底，提高气井的产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项目区块</w:t>
            </w:r>
            <w:r>
              <w:rPr>
                <w:rFonts w:hint="eastAsia"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需经压裂改造才可能实现工业气流。压后返排是水力压裂作业的重要环节，采用压后排液采用强制地层闭合、快速返排工艺，压裂结束后，1 小时内开井放喷。放喷期间采用（Ф3mm 或Ф5mm)-（Ф8mm 或Ф10mm）-双Ф10mm-敞放的顺序控制；放喷不出砂，油压下降缓慢时或上升时更换大油嘴放喷。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压裂液和射孔液返排率50%以上，油压和套压基本平衡后转求产，根据压裂液及射孔液用量，压裂液及射孔也返排量约为300m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/口井。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5）试气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井通过套管与螺杆之间的环形空间排出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。气体一旦到达地面，通过排气管线经计量后通过15m高火炬点火燃烧。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封井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项目在封井时，勘查井全部下了生产套管并进行了固井，固井就是向井内下入一定尺寸的套管串，并在其中注入水泥浆，从套管</w:t>
            </w:r>
            <w:r>
              <w:rPr>
                <w:rFonts w:hint="default" w:ascii="Times New Roman" w:hAnsi="Times New Roman" w:cs="Times New Roman"/>
                <w:color w:val="000000" w:themeColor="text1"/>
                <w:sz w:val="24"/>
                <w:lang w:eastAsia="zh-CN"/>
                <w14:textFill>
                  <w14:solidFill>
                    <w14:schemeClr w14:val="tx1"/>
                  </w14:solidFill>
                </w14:textFill>
              </w:rPr>
              <w:t>斜</w:t>
            </w:r>
            <w:r>
              <w:rPr>
                <w:rFonts w:hint="default" w:ascii="Times New Roman" w:hAnsi="Times New Roman" w:cs="Times New Roman"/>
                <w:color w:val="000000" w:themeColor="text1"/>
                <w:sz w:val="24"/>
                <w14:textFill>
                  <w14:solidFill>
                    <w14:schemeClr w14:val="tx1"/>
                  </w14:solidFill>
                </w14:textFill>
              </w:rPr>
              <w:t>返至套管和井壁环空内，把套管固定在井壁上，避免了井壁坍塌，封隔了疏松、易塌、易漏等复杂地层及封隔了气、水层，防止互相窜漏。项目固井工艺符合规范，起到了封闭含水层的作用，防止了含水层的水力联系，不会对水源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勘探工作完成后，经过经济评价，如果钻井有经济利用价值，则作为开发井之一，进行下一步开发；如果钻井没有经济利用价值，则作为废弃井，按照中国石油工业行规和国际惯例，采用套管+水泥砂浆予以恰当封孔并留地面标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将排采设备进行拆卸和搬迁后，将建井初期推土机推出的表土回填场地，恢复原状或进行生态恢复。</w:t>
            </w:r>
          </w:p>
          <w:p>
            <w:pPr>
              <w:pStyle w:val="2"/>
              <w:rPr>
                <w:rFonts w:hint="default"/>
                <w:color w:val="000000" w:themeColor="text1"/>
                <w14:textFill>
                  <w14:solidFill>
                    <w14:schemeClr w14:val="tx1"/>
                  </w14:solidFill>
                </w14:textFill>
              </w:rPr>
            </w:pPr>
          </w:p>
          <w:p>
            <w:pPr>
              <w:pStyle w:val="22"/>
              <w:adjustRightInd w:val="0"/>
              <w:snapToGrid w:val="0"/>
              <w:spacing w:line="440" w:lineRule="exact"/>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主要污染工序及污染物：</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本项目主要污染工序可分为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钻井期和排采期</w:t>
            </w:r>
            <w:r>
              <w:rPr>
                <w:rFonts w:hint="default" w:ascii="Times New Roman" w:hAnsi="Times New Roman" w:cs="Times New Roman" w:eastAsiaTheme="minorEastAsia"/>
                <w:color w:val="000000" w:themeColor="text1"/>
                <w:sz w:val="24"/>
                <w14:textFill>
                  <w14:solidFill>
                    <w14:schemeClr w14:val="tx1"/>
                  </w14:solidFill>
                </w14:textFill>
              </w:rPr>
              <w:t>两个阶段：</w:t>
            </w:r>
          </w:p>
          <w:p>
            <w:pPr>
              <w:keepNext w:val="0"/>
              <w:keepLines w:val="0"/>
              <w:pageBreakBefore w:val="0"/>
              <w:widowControl w:val="0"/>
              <w:numPr>
                <w:ilvl w:val="0"/>
                <w:numId w:val="10"/>
              </w:numPr>
              <w:kinsoku/>
              <w:wordWrap/>
              <w:overflowPunct/>
              <w:topLinePunct w:val="0"/>
              <w:autoSpaceDE/>
              <w:autoSpaceDN/>
              <w:bidi w:val="0"/>
              <w:spacing w:line="300" w:lineRule="auto"/>
              <w:ind w:firstLine="504" w:firstLineChars="200"/>
              <w:textAlignment w:val="auto"/>
              <w:rPr>
                <w:rFonts w:hint="default" w:ascii="Times New Roman" w:hAnsi="Times New Roman" w:cs="Times New Roman"/>
                <w:b/>
                <w:bCs w:val="0"/>
                <w:color w:val="000000" w:themeColor="text1"/>
                <w:spacing w:val="6"/>
                <w:sz w:val="24"/>
                <w14:textFill>
                  <w14:solidFill>
                    <w14:schemeClr w14:val="tx1"/>
                  </w14:solidFill>
                </w14:textFill>
              </w:rPr>
            </w:pPr>
            <w:r>
              <w:rPr>
                <w:rFonts w:hint="default" w:ascii="Times New Roman" w:hAnsi="Times New Roman" w:cs="Times New Roman"/>
                <w:b/>
                <w:bCs w:val="0"/>
                <w:color w:val="000000" w:themeColor="text1"/>
                <w:spacing w:val="6"/>
                <w:sz w:val="24"/>
                <w14:textFill>
                  <w14:solidFill>
                    <w14:schemeClr w14:val="tx1"/>
                  </w14:solidFill>
                </w14:textFill>
              </w:rPr>
              <w:t>大气</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b/>
                <w:color w:val="000000" w:themeColor="text1"/>
                <w:spacing w:val="6"/>
                <w:sz w:val="24"/>
                <w:lang w:val="en-US" w:eastAsia="zh-CN"/>
                <w14:textFill>
                  <w14:solidFill>
                    <w14:schemeClr w14:val="tx1"/>
                  </w14:solidFill>
                </w14:textFill>
              </w:rPr>
              <w:t>（1）</w:t>
            </w:r>
            <w:r>
              <w:rPr>
                <w:rFonts w:hint="default" w:ascii="Times New Roman" w:hAnsi="Times New Roman" w:cs="Times New Roman"/>
                <w:b/>
                <w:color w:val="000000" w:themeColor="text1"/>
                <w:spacing w:val="6"/>
                <w:sz w:val="24"/>
                <w14:textFill>
                  <w14:solidFill>
                    <w14:schemeClr w14:val="tx1"/>
                  </w14:solidFill>
                </w14:textFill>
              </w:rPr>
              <w:t>钻井期</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1</w:t>
            </w:r>
            <w:r>
              <w:rPr>
                <w:rFonts w:hint="default" w:ascii="Times New Roman" w:hAnsi="Times New Roman" w:cs="Times New Roman"/>
                <w:color w:val="000000" w:themeColor="text1"/>
                <w:spacing w:val="6"/>
                <w:sz w:val="24"/>
                <w:lang w:val="en-US" w:eastAsia="zh-CN"/>
                <w14:textFill>
                  <w14:solidFill>
                    <w14:schemeClr w14:val="tx1"/>
                  </w14:solidFill>
                </w14:textFill>
              </w:rPr>
              <w:t>：</w:t>
            </w:r>
            <w:r>
              <w:rPr>
                <w:rFonts w:hint="default" w:ascii="Times New Roman" w:hAnsi="Times New Roman" w:cs="Times New Roman"/>
                <w:color w:val="000000" w:themeColor="text1"/>
                <w:spacing w:val="6"/>
                <w:sz w:val="24"/>
                <w14:textFill>
                  <w14:solidFill>
                    <w14:schemeClr w14:val="tx1"/>
                  </w14:solidFill>
                </w14:textFill>
              </w:rPr>
              <w:t>施工扬尘</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eastAsia="宋体" w:cs="Times New Roman"/>
                <w:color w:val="000000" w:themeColor="text1"/>
                <w:spacing w:val="6"/>
                <w:sz w:val="24"/>
                <w:lang w:eastAsia="zh-CN"/>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施工扬尘主要包括平整场地、开挖土方、细颗粒材料露天堆放及施工车辆行驶等产生扬尘</w:t>
            </w:r>
            <w:r>
              <w:rPr>
                <w:rFonts w:hint="default" w:ascii="Times New Roman" w:hAnsi="Times New Roman" w:cs="Times New Roman"/>
                <w:color w:val="000000" w:themeColor="text1"/>
                <w:spacing w:val="6"/>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4"/>
                <w:lang w:val="en-US" w:eastAsia="zh-CN"/>
                <w14:textFill>
                  <w14:solidFill>
                    <w14:schemeClr w14:val="tx1"/>
                  </w14:solidFill>
                </w14:textFill>
              </w:rPr>
              <w:t>：</w:t>
            </w:r>
            <w:r>
              <w:rPr>
                <w:rFonts w:hint="default" w:ascii="Times New Roman" w:hAnsi="Times New Roman" w:cs="Times New Roman"/>
                <w:color w:val="000000" w:themeColor="text1"/>
                <w:spacing w:val="6"/>
                <w:sz w:val="24"/>
                <w14:textFill>
                  <w14:solidFill>
                    <w14:schemeClr w14:val="tx1"/>
                  </w14:solidFill>
                </w14:textFill>
              </w:rPr>
              <w:t>钻井废气</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本项目钻井废气主要为柴油发电机、柴油机(钻机)使用柴油产生</w:t>
            </w:r>
            <w:r>
              <w:rPr>
                <w:rFonts w:hint="default" w:ascii="Times New Roman" w:hAnsi="Times New Roman" w:cs="Times New Roman"/>
                <w:color w:val="000000" w:themeColor="text1"/>
                <w:spacing w:val="6"/>
                <w:sz w:val="24"/>
                <w:lang w:val="en-US" w:eastAsia="zh-CN"/>
                <w14:textFill>
                  <w14:solidFill>
                    <w14:schemeClr w14:val="tx1"/>
                  </w14:solidFill>
                </w14:textFill>
              </w:rPr>
              <w:t>的</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、CO、NO</w:t>
            </w:r>
            <w:r>
              <w:rPr>
                <w:rFonts w:hint="default" w:ascii="Times New Roman" w:hAnsi="Times New Roman" w:cs="Times New Roman"/>
                <w:color w:val="000000" w:themeColor="text1"/>
                <w:sz w:val="24"/>
                <w:vertAlign w:val="subscript"/>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、总烃</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default" w:ascii="Times New Roman" w:hAnsi="Times New Roman" w:cs="Times New Roman"/>
                <w:b/>
                <w:bCs/>
                <w:color w:val="000000" w:themeColor="text1"/>
                <w:spacing w:val="6"/>
                <w:sz w:val="24"/>
                <w:lang w:val="en-US" w:eastAsia="zh-CN"/>
                <w14:textFill>
                  <w14:solidFill>
                    <w14:schemeClr w14:val="tx1"/>
                  </w14:solidFill>
                </w14:textFill>
              </w:rPr>
              <w:t>（2）排采期</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lang w:val="en-US" w:eastAsia="zh-CN"/>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3</w:t>
            </w:r>
            <w:r>
              <w:rPr>
                <w:rFonts w:hint="default" w:ascii="Times New Roman" w:hAnsi="Times New Roman" w:cs="Times New Roman"/>
                <w:color w:val="000000" w:themeColor="text1"/>
                <w:spacing w:val="6"/>
                <w:sz w:val="24"/>
                <w:lang w:val="en-US" w:eastAsia="zh-CN"/>
                <w14:textFill>
                  <w14:solidFill>
                    <w14:schemeClr w14:val="tx1"/>
                  </w14:solidFill>
                </w14:textFill>
              </w:rPr>
              <w:t>：柴油发电机使用柴油产生的SO</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4"/>
                <w:lang w:val="en-US" w:eastAsia="zh-CN"/>
                <w14:textFill>
                  <w14:solidFill>
                    <w14:schemeClr w14:val="tx1"/>
                  </w14:solidFill>
                </w14:textFill>
              </w:rPr>
              <w:t>、CO、NOx、总烃；</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lang w:val="en-US" w:eastAsia="zh-CN"/>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4</w:t>
            </w:r>
            <w:r>
              <w:rPr>
                <w:rFonts w:hint="default" w:ascii="Times New Roman" w:hAnsi="Times New Roman" w:cs="Times New Roman"/>
                <w:color w:val="000000" w:themeColor="text1"/>
                <w:spacing w:val="6"/>
                <w:sz w:val="24"/>
                <w:lang w:val="en-US" w:eastAsia="zh-CN"/>
                <w14:textFill>
                  <w14:solidFill>
                    <w14:schemeClr w14:val="tx1"/>
                  </w14:solidFill>
                </w14:textFill>
              </w:rPr>
              <w:t>：燃烧废气。</w:t>
            </w:r>
          </w:p>
          <w:p>
            <w:pPr>
              <w:keepNext w:val="0"/>
              <w:keepLines w:val="0"/>
              <w:pageBreakBefore w:val="0"/>
              <w:widowControl w:val="0"/>
              <w:numPr>
                <w:ilvl w:val="0"/>
                <w:numId w:val="10"/>
              </w:numPr>
              <w:kinsoku/>
              <w:wordWrap/>
              <w:overflowPunct/>
              <w:topLinePunct w:val="0"/>
              <w:autoSpaceDE/>
              <w:autoSpaceDN/>
              <w:bidi w:val="0"/>
              <w:spacing w:line="300" w:lineRule="auto"/>
              <w:ind w:left="0" w:leftChars="0" w:firstLine="504" w:firstLineChars="200"/>
              <w:textAlignment w:val="auto"/>
              <w:rPr>
                <w:rFonts w:hint="default" w:ascii="Times New Roman" w:hAnsi="Times New Roman" w:cs="Times New Roman"/>
                <w:b/>
                <w:bCs/>
                <w:color w:val="000000" w:themeColor="text1"/>
                <w:spacing w:val="6"/>
                <w:sz w:val="24"/>
                <w14:textFill>
                  <w14:solidFill>
                    <w14:schemeClr w14:val="tx1"/>
                  </w14:solidFill>
                </w14:textFill>
              </w:rPr>
            </w:pPr>
            <w:r>
              <w:rPr>
                <w:rFonts w:hint="default" w:ascii="Times New Roman" w:hAnsi="Times New Roman" w:cs="Times New Roman"/>
                <w:b/>
                <w:bCs/>
                <w:color w:val="000000" w:themeColor="text1"/>
                <w:spacing w:val="6"/>
                <w:sz w:val="24"/>
                <w14:textFill>
                  <w14:solidFill>
                    <w14:schemeClr w14:val="tx1"/>
                  </w14:solidFill>
                </w14:textFill>
              </w:rPr>
              <w:t>废水</w:t>
            </w:r>
          </w:p>
          <w:p>
            <w:pPr>
              <w:keepNext w:val="0"/>
              <w:keepLines w:val="0"/>
              <w:pageBreakBefore w:val="0"/>
              <w:kinsoku/>
              <w:wordWrap/>
              <w:overflowPunct/>
              <w:topLinePunct w:val="0"/>
              <w:autoSpaceDE w:val="0"/>
              <w:autoSpaceDN w:val="0"/>
              <w:bidi w:val="0"/>
              <w:adjustRightInd w:val="0"/>
              <w:snapToGrid w:val="0"/>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（1）钻井期</w:t>
            </w:r>
          </w:p>
          <w:p>
            <w:pPr>
              <w:keepNext w:val="0"/>
              <w:keepLines w:val="0"/>
              <w:pageBreakBefore w:val="0"/>
              <w:kinsoku/>
              <w:wordWrap/>
              <w:overflowPunct/>
              <w:topLinePunct w:val="0"/>
              <w:autoSpaceDE w:val="0"/>
              <w:autoSpaceDN w:val="0"/>
              <w:bidi w:val="0"/>
              <w:adjustRightInd w:val="0"/>
              <w:snapToGrid w:val="0"/>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W</w:t>
            </w:r>
            <w:r>
              <w:rPr>
                <w:rFonts w:hint="default" w:ascii="Times New Roman" w:hAnsi="Times New Roman" w:cs="Times New Roman"/>
                <w:color w:val="000000" w:themeColor="text1"/>
                <w:sz w:val="24"/>
                <w:vertAlign w:val="subscript"/>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：钻井废水：</w:t>
            </w:r>
            <w:r>
              <w:rPr>
                <w:rFonts w:hint="default" w:ascii="Times New Roman" w:hAnsi="Times New Roman" w:cs="Times New Roman"/>
                <w:color w:val="000000" w:themeColor="text1"/>
                <w:spacing w:val="6"/>
                <w:sz w:val="24"/>
                <w14:textFill>
                  <w14:solidFill>
                    <w14:schemeClr w14:val="tx1"/>
                  </w14:solidFill>
                </w14:textFill>
              </w:rPr>
              <w:t>由机械废水(冷却水等)和冲洗废水(冲洗钻具、钻台)构成的钻井废水</w:t>
            </w:r>
            <w:r>
              <w:rPr>
                <w:rFonts w:hint="default" w:ascii="Times New Roman" w:hAnsi="Times New Roman" w:cs="Times New Roman"/>
                <w:color w:val="000000" w:themeColor="text1"/>
                <w:spacing w:val="6"/>
                <w:sz w:val="24"/>
                <w:lang w:eastAsia="zh-CN"/>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00" w:lineRule="auto"/>
              <w:ind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W</w:t>
            </w:r>
            <w:r>
              <w:rPr>
                <w:rFonts w:hint="default" w:ascii="Times New Roman" w:hAnsi="Times New Roman"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泥浆水</w:t>
            </w:r>
            <w:r>
              <w:rPr>
                <w:rFonts w:hint="default" w:ascii="Times New Roman" w:hAnsi="Times New Roman" w:cs="Times New Roman"/>
                <w:color w:val="000000" w:themeColor="text1"/>
                <w:sz w:val="24"/>
                <w:lang w:val="en-US" w:eastAsia="zh-CN"/>
                <w14:textFill>
                  <w14:solidFill>
                    <w14:schemeClr w14:val="tx1"/>
                  </w14:solidFill>
                </w14:textFill>
              </w:rPr>
              <w:t>和洗井水</w:t>
            </w:r>
            <w:r>
              <w:rPr>
                <w:rFonts w:hint="default" w:ascii="Times New Roman" w:hAnsi="Times New Roman" w:cs="Times New Roman"/>
                <w:color w:val="000000" w:themeColor="text1"/>
                <w:sz w:val="24"/>
                <w14:textFill>
                  <w14:solidFill>
                    <w14:schemeClr w14:val="tx1"/>
                  </w14:solidFill>
                </w14:textFill>
              </w:rPr>
              <w:t>：SS等</w:t>
            </w:r>
            <w:r>
              <w:rPr>
                <w:rFonts w:hint="default" w:ascii="Times New Roman" w:hAnsi="Times New Roman" w:cs="Times New Roman"/>
                <w:color w:val="000000" w:themeColor="text1"/>
                <w:sz w:val="24"/>
                <w:lang w:eastAsia="zh-CN"/>
                <w14:textFill>
                  <w14:solidFill>
                    <w14:schemeClr w14:val="tx1"/>
                  </w14:solidFill>
                </w14:textFill>
              </w:rPr>
              <w:t>；</w:t>
            </w:r>
          </w:p>
          <w:p>
            <w:pPr>
              <w:pStyle w:val="43"/>
              <w:keepNext w:val="0"/>
              <w:keepLines w:val="0"/>
              <w:pageBreakBefore w:val="0"/>
              <w:kinsoku/>
              <w:wordWrap/>
              <w:overflowPunct/>
              <w:topLinePunct w:val="0"/>
              <w:bidi w:val="0"/>
              <w:spacing w:after="0" w:line="300" w:lineRule="auto"/>
              <w:ind w:left="0" w:leftChars="0" w:firstLine="0" w:firstLineChars="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：压裂废水；</w:t>
            </w:r>
          </w:p>
          <w:p>
            <w:pPr>
              <w:keepNext w:val="0"/>
              <w:keepLines w:val="0"/>
              <w:pageBreakBefore w:val="0"/>
              <w:kinsoku/>
              <w:wordWrap/>
              <w:overflowPunct/>
              <w:topLinePunct w:val="0"/>
              <w:autoSpaceDE w:val="0"/>
              <w:autoSpaceDN w:val="0"/>
              <w:bidi w:val="0"/>
              <w:adjustRightInd w:val="0"/>
              <w:snapToGrid w:val="0"/>
              <w:spacing w:line="30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w:t>
            </w:r>
            <w:r>
              <w:rPr>
                <w:rFonts w:hint="default" w:ascii="Times New Roman" w:hAnsi="Times New Roman" w:cs="Times New Roman"/>
                <w:color w:val="000000" w:themeColor="text1"/>
                <w:sz w:val="24"/>
                <w:vertAlign w:val="subscript"/>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生活污水：主要污染物有COD</w:t>
            </w:r>
            <w:r>
              <w:rPr>
                <w:rFonts w:hint="default" w:ascii="Times New Roman" w:hAnsi="Times New Roman" w:cs="Times New Roman"/>
                <w:color w:val="000000" w:themeColor="text1"/>
                <w:sz w:val="24"/>
                <w:vertAlign w:val="subscript"/>
                <w14:textFill>
                  <w14:solidFill>
                    <w14:schemeClr w14:val="tx1"/>
                  </w14:solidFill>
                </w14:textFill>
              </w:rPr>
              <w:t>cr</w:t>
            </w:r>
            <w:r>
              <w:rPr>
                <w:rFonts w:hint="default" w:ascii="Times New Roman" w:hAnsi="Times New Roman" w:cs="Times New Roman"/>
                <w:color w:val="000000" w:themeColor="text1"/>
                <w:sz w:val="24"/>
                <w14:textFill>
                  <w14:solidFill>
                    <w14:schemeClr w14:val="tx1"/>
                  </w14:solidFill>
                </w14:textFill>
              </w:rPr>
              <w:t>、BOD</w:t>
            </w:r>
            <w:r>
              <w:rPr>
                <w:rFonts w:hint="default" w:ascii="Times New Roman" w:hAnsi="Times New Roman" w:cs="Times New Roman"/>
                <w:color w:val="000000" w:themeColor="text1"/>
                <w:sz w:val="24"/>
                <w:vertAlign w:val="subscript"/>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、SS等</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pacing w:line="300" w:lineRule="auto"/>
              <w:ind w:firstLine="504" w:firstLineChars="2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default" w:ascii="Times New Roman" w:hAnsi="Times New Roman" w:cs="Times New Roman"/>
                <w:b/>
                <w:bCs/>
                <w:color w:val="000000" w:themeColor="text1"/>
                <w:spacing w:val="6"/>
                <w:sz w:val="24"/>
                <w:lang w:val="en-US" w:eastAsia="zh-CN"/>
                <w14:textFill>
                  <w14:solidFill>
                    <w14:schemeClr w14:val="tx1"/>
                  </w14:solidFill>
                </w14:textFill>
              </w:rPr>
              <w:t>（2）排采期</w:t>
            </w:r>
          </w:p>
          <w:p>
            <w:pPr>
              <w:pStyle w:val="43"/>
              <w:keepNext w:val="0"/>
              <w:keepLines w:val="0"/>
              <w:pageBreakBefore w:val="0"/>
              <w:kinsoku/>
              <w:wordWrap/>
              <w:overflowPunct/>
              <w:topLinePunct w:val="0"/>
              <w:bidi w:val="0"/>
              <w:spacing w:after="0" w:line="300" w:lineRule="auto"/>
              <w:ind w:left="0" w:leftChars="0" w:firstLine="0" w:firstLineChars="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 xml:space="preserve">    W</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：排采水；</w:t>
            </w:r>
          </w:p>
          <w:p>
            <w:pPr>
              <w:pStyle w:val="43"/>
              <w:keepNext w:val="0"/>
              <w:keepLines w:val="0"/>
              <w:pageBreakBefore w:val="0"/>
              <w:kinsoku/>
              <w:wordWrap/>
              <w:overflowPunct/>
              <w:topLinePunct w:val="0"/>
              <w:bidi w:val="0"/>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：生活污水。</w:t>
            </w:r>
          </w:p>
          <w:p>
            <w:pPr>
              <w:keepNext w:val="0"/>
              <w:keepLines w:val="0"/>
              <w:pageBreakBefore w:val="0"/>
              <w:widowControl w:val="0"/>
              <w:numPr>
                <w:ilvl w:val="0"/>
                <w:numId w:val="10"/>
              </w:numPr>
              <w:kinsoku/>
              <w:wordWrap/>
              <w:overflowPunct/>
              <w:topLinePunct w:val="0"/>
              <w:autoSpaceDE/>
              <w:autoSpaceDN/>
              <w:bidi w:val="0"/>
              <w:spacing w:line="300" w:lineRule="auto"/>
              <w:ind w:left="0" w:leftChars="0" w:firstLine="504" w:firstLineChars="200"/>
              <w:textAlignment w:val="auto"/>
              <w:rPr>
                <w:rFonts w:hint="default" w:ascii="Times New Roman" w:hAnsi="Times New Roman" w:cs="Times New Roman"/>
                <w:b/>
                <w:bCs/>
                <w:color w:val="000000" w:themeColor="text1"/>
                <w:spacing w:val="6"/>
                <w:sz w:val="24"/>
                <w14:textFill>
                  <w14:solidFill>
                    <w14:schemeClr w14:val="tx1"/>
                  </w14:solidFill>
                </w14:textFill>
              </w:rPr>
            </w:pPr>
            <w:r>
              <w:rPr>
                <w:rFonts w:hint="default" w:ascii="Times New Roman" w:hAnsi="Times New Roman" w:cs="Times New Roman"/>
                <w:b/>
                <w:bCs/>
                <w:color w:val="000000" w:themeColor="text1"/>
                <w:spacing w:val="6"/>
                <w:sz w:val="24"/>
                <w14:textFill>
                  <w14:solidFill>
                    <w14:schemeClr w14:val="tx1"/>
                  </w14:solidFill>
                </w14:textFill>
              </w:rPr>
              <w:t>固体废物</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eastAsia="宋体" w:cs="Times New Roman"/>
                <w:b/>
                <w:bCs/>
                <w:color w:val="000000" w:themeColor="text1"/>
                <w:spacing w:val="6"/>
                <w:sz w:val="24"/>
                <w:lang w:val="en-US" w:eastAsia="zh-CN"/>
                <w14:textFill>
                  <w14:solidFill>
                    <w14:schemeClr w14:val="tx1"/>
                  </w14:solidFill>
                </w14:textFill>
              </w:rPr>
            </w:pPr>
            <w:r>
              <w:rPr>
                <w:rFonts w:hint="default" w:ascii="Times New Roman" w:hAnsi="Times New Roman" w:cs="Times New Roman"/>
                <w:b/>
                <w:bCs/>
                <w:color w:val="000000" w:themeColor="text1"/>
                <w:spacing w:val="6"/>
                <w:sz w:val="24"/>
                <w:lang w:val="en-US" w:eastAsia="zh-CN"/>
                <w14:textFill>
                  <w14:solidFill>
                    <w14:schemeClr w14:val="tx1"/>
                  </w14:solidFill>
                </w14:textFill>
              </w:rPr>
              <w:t>（1）钻井期</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：土石方；</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：钻井废弃泥浆；</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：岩屑；</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：生活垃圾；</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：废矿物油。</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leftChars="0" w:firstLine="504" w:firstLineChars="200"/>
              <w:textAlignment w:val="auto"/>
              <w:rPr>
                <w:rFonts w:hint="default" w:ascii="Times New Roman" w:hAnsi="Times New Roman" w:cs="Times New Roman" w:eastAsiaTheme="minorEastAsia"/>
                <w:b/>
                <w:bCs/>
                <w:color w:val="000000" w:themeColor="text1"/>
                <w:spacing w:val="6"/>
                <w:sz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pacing w:val="6"/>
                <w:sz w:val="24"/>
                <w:lang w:val="en-US" w:eastAsia="zh-CN"/>
                <w14:textFill>
                  <w14:solidFill>
                    <w14:schemeClr w14:val="tx1"/>
                  </w14:solidFill>
                </w14:textFill>
              </w:rPr>
              <w:t>（2）排采期</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6</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：生活垃圾；</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：废矿物油。</w:t>
            </w:r>
          </w:p>
          <w:p>
            <w:pPr>
              <w:keepNext w:val="0"/>
              <w:keepLines w:val="0"/>
              <w:pageBreakBefore w:val="0"/>
              <w:widowControl w:val="0"/>
              <w:numPr>
                <w:ilvl w:val="0"/>
                <w:numId w:val="10"/>
              </w:numPr>
              <w:kinsoku/>
              <w:wordWrap/>
              <w:overflowPunct/>
              <w:topLinePunct w:val="0"/>
              <w:autoSpaceDE/>
              <w:autoSpaceDN/>
              <w:bidi w:val="0"/>
              <w:spacing w:line="300" w:lineRule="auto"/>
              <w:ind w:left="0" w:leftChars="0" w:firstLine="504" w:firstLineChars="200"/>
              <w:textAlignment w:val="auto"/>
              <w:rPr>
                <w:rFonts w:hint="default" w:ascii="Times New Roman" w:hAnsi="Times New Roman" w:cs="Times New Roman"/>
                <w:b/>
                <w:bCs/>
                <w:color w:val="000000" w:themeColor="text1"/>
                <w:spacing w:val="6"/>
                <w:sz w:val="24"/>
                <w14:textFill>
                  <w14:solidFill>
                    <w14:schemeClr w14:val="tx1"/>
                  </w14:solidFill>
                </w14:textFill>
              </w:rPr>
            </w:pPr>
            <w:r>
              <w:rPr>
                <w:rFonts w:hint="default" w:ascii="Times New Roman" w:hAnsi="Times New Roman" w:cs="Times New Roman"/>
                <w:b/>
                <w:bCs/>
                <w:color w:val="000000" w:themeColor="text1"/>
                <w:spacing w:val="6"/>
                <w:sz w:val="24"/>
                <w14:textFill>
                  <w14:solidFill>
                    <w14:schemeClr w14:val="tx1"/>
                  </w14:solidFill>
                </w14:textFill>
              </w:rPr>
              <w:t>噪声</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default" w:ascii="Times New Roman" w:hAnsi="Times New Roman" w:cs="Times New Roman"/>
                <w:b/>
                <w:bCs/>
                <w:color w:val="000000" w:themeColor="text1"/>
                <w:spacing w:val="6"/>
                <w:sz w:val="24"/>
                <w:lang w:val="en-US" w:eastAsia="zh-CN"/>
                <w14:textFill>
                  <w14:solidFill>
                    <w14:schemeClr w14:val="tx1"/>
                  </w14:solidFill>
                </w14:textFill>
              </w:rPr>
              <w:t>（1）钻井期</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N</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1</w:t>
            </w:r>
            <w:r>
              <w:rPr>
                <w:rFonts w:hint="default" w:ascii="Times New Roman" w:hAnsi="Times New Roman" w:cs="Times New Roman"/>
                <w:color w:val="000000" w:themeColor="text1"/>
                <w:spacing w:val="6"/>
                <w:sz w:val="24"/>
                <w:vertAlign w:val="baseline"/>
                <w:lang w:val="en-US" w:eastAsia="zh-CN"/>
                <w14:textFill>
                  <w14:solidFill>
                    <w14:schemeClr w14:val="tx1"/>
                  </w14:solidFill>
                </w14:textFill>
              </w:rPr>
              <w:t>：</w:t>
            </w:r>
            <w:r>
              <w:rPr>
                <w:rFonts w:hint="default" w:ascii="Times New Roman" w:hAnsi="Times New Roman" w:cs="Times New Roman"/>
                <w:color w:val="000000" w:themeColor="text1"/>
                <w:spacing w:val="6"/>
                <w:sz w:val="24"/>
                <w14:textFill>
                  <w14:solidFill>
                    <w14:schemeClr w14:val="tx1"/>
                  </w14:solidFill>
                </w14:textFill>
              </w:rPr>
              <w:t>噪声源有柴油发电机、钻机、泥浆泵等施工机械噪声及机动车辆噪声。</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default" w:ascii="Times New Roman" w:hAnsi="Times New Roman" w:cs="Times New Roman"/>
                <w:b/>
                <w:bCs/>
                <w:color w:val="000000" w:themeColor="text1"/>
                <w:spacing w:val="6"/>
                <w:sz w:val="24"/>
                <w:lang w:val="en-US" w:eastAsia="zh-CN"/>
                <w14:textFill>
                  <w14:solidFill>
                    <w14:schemeClr w14:val="tx1"/>
                  </w14:solidFill>
                </w14:textFill>
              </w:rPr>
              <w:t>（2）排采期</w:t>
            </w:r>
          </w:p>
          <w:p>
            <w:pPr>
              <w:pStyle w:val="43"/>
              <w:numPr>
                <w:ilvl w:val="0"/>
                <w:numId w:val="0"/>
              </w:numPr>
              <w:ind w:firstLine="504" w:firstLineChars="200"/>
              <w:rPr>
                <w:rFonts w:hint="default" w:ascii="Times New Roman" w:hAnsi="Times New Roman" w:eastAsia="宋体" w:cs="Times New Roman"/>
                <w:color w:val="000000" w:themeColor="text1"/>
                <w:spacing w:val="6"/>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lang w:val="en-US" w:eastAsia="zh-CN" w:bidi="ar-SA"/>
                <w14:textFill>
                  <w14:solidFill>
                    <w14:schemeClr w14:val="tx1"/>
                  </w14:solidFill>
                </w14:textFill>
              </w:rPr>
              <w:t>N</w:t>
            </w:r>
            <w:r>
              <w:rPr>
                <w:rFonts w:hint="default" w:ascii="Times New Roman" w:hAnsi="Times New Roman" w:eastAsia="宋体" w:cs="Times New Roman"/>
                <w:color w:val="000000" w:themeColor="text1"/>
                <w:spacing w:val="6"/>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4"/>
                <w:lang w:val="en-US" w:eastAsia="zh-CN" w:bidi="ar-SA"/>
                <w14:textFill>
                  <w14:solidFill>
                    <w14:schemeClr w14:val="tx1"/>
                  </w14:solidFill>
                </w14:textFill>
              </w:rPr>
              <w:t>：三相分离器、燃油发电机运行噪声。</w:t>
            </w:r>
          </w:p>
          <w:p>
            <w:pPr>
              <w:keepNext w:val="0"/>
              <w:keepLines w:val="0"/>
              <w:pageBreakBefore w:val="0"/>
              <w:widowControl w:val="0"/>
              <w:numPr>
                <w:ilvl w:val="0"/>
                <w:numId w:val="10"/>
              </w:numPr>
              <w:kinsoku/>
              <w:wordWrap/>
              <w:overflowPunct/>
              <w:topLinePunct w:val="0"/>
              <w:autoSpaceDE/>
              <w:autoSpaceDN/>
              <w:bidi w:val="0"/>
              <w:spacing w:line="300" w:lineRule="auto"/>
              <w:ind w:left="0" w:leftChars="0" w:firstLine="504" w:firstLineChars="2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default" w:ascii="Times New Roman" w:hAnsi="Times New Roman" w:cs="Times New Roman"/>
                <w:b/>
                <w:bCs/>
                <w:color w:val="000000" w:themeColor="text1"/>
                <w:spacing w:val="6"/>
                <w:sz w:val="24"/>
                <w:lang w:val="en-US" w:eastAsia="zh-CN"/>
                <w14:textFill>
                  <w14:solidFill>
                    <w14:schemeClr w14:val="tx1"/>
                  </w14:solidFill>
                </w14:textFill>
              </w:rPr>
              <w:t>生态</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施工期生态影响因素主要表现为井场占地等占地引起土地原有土壤结构改变和地表植被的破坏以及由此可能引发的植被破坏、水土流失。</w:t>
            </w: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tc>
      </w:tr>
    </w:tbl>
    <w:p>
      <w:pPr>
        <w:adjustRightInd w:val="0"/>
        <w:snapToGrid w:val="0"/>
        <w:spacing w:line="300" w:lineRule="auto"/>
        <w:ind w:firstLine="600" w:firstLineChars="200"/>
        <w:outlineLvl w:val="0"/>
        <w:rPr>
          <w:rFonts w:hint="default" w:ascii="Times New Roman" w:hAnsi="Times New Roman" w:cs="Times New Roman" w:eastAsiaTheme="minorEastAsia"/>
          <w:color w:val="000000" w:themeColor="text1"/>
          <w:sz w:val="30"/>
          <w:szCs w:val="30"/>
          <w14:textFill>
            <w14:solidFill>
              <w14:schemeClr w14:val="tx1"/>
            </w14:solidFill>
          </w14:textFill>
        </w:rPr>
        <w:sectPr>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AndChars" w:linePitch="312" w:charSpace="0"/>
        </w:sectPr>
      </w:pPr>
    </w:p>
    <w:p>
      <w:pPr>
        <w:rPr>
          <w:rFonts w:hint="default" w:ascii="Times New Roman" w:hAnsi="Times New Roman" w:cs="Times New Roman"/>
          <w:color w:val="000000" w:themeColor="text1"/>
          <w14:textFill>
            <w14:solidFill>
              <w14:schemeClr w14:val="tx1"/>
            </w14:solidFill>
          </w14:textFill>
        </w:rPr>
      </w:pPr>
      <w:bookmarkStart w:id="10" w:name="_Toc499127711"/>
      <w:r>
        <w:rPr>
          <w:rFonts w:hint="default" w:ascii="Times New Roman" w:hAnsi="Times New Roman" w:cs="Times New Roman"/>
          <w:color w:val="000000" w:themeColor="text1"/>
          <w14:textFill>
            <w14:solidFill>
              <w14:schemeClr w14:val="tx1"/>
            </w14:solidFill>
          </w14:textFill>
        </w:rPr>
        <w:br w:type="page"/>
      </w: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1" w:name="_Toc28078"/>
      <w:r>
        <w:rPr>
          <w:rFonts w:hint="default" w:ascii="Times New Roman" w:hAnsi="Times New Roman" w:cs="Times New Roman"/>
          <w:color w:val="000000" w:themeColor="text1"/>
          <w14:textFill>
            <w14:solidFill>
              <w14:schemeClr w14:val="tx1"/>
            </w14:solidFill>
          </w14:textFill>
        </w:rPr>
        <w:t>项目主要污染物产生及预计排放情况</w:t>
      </w:r>
      <w:bookmarkEnd w:id="10"/>
      <w:bookmarkEnd w:id="11"/>
    </w:p>
    <w:tbl>
      <w:tblPr>
        <w:tblStyle w:val="44"/>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29"/>
        <w:gridCol w:w="621"/>
        <w:gridCol w:w="868"/>
        <w:gridCol w:w="1757"/>
        <w:gridCol w:w="1061"/>
        <w:gridCol w:w="943"/>
        <w:gridCol w:w="1060"/>
        <w:gridCol w:w="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94" w:type="dxa"/>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内容</w:t>
            </w:r>
          </w:p>
          <w:p>
            <w:pP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类型</w:t>
            </w:r>
          </w:p>
        </w:tc>
        <w:tc>
          <w:tcPr>
            <w:tcW w:w="2518" w:type="dxa"/>
            <w:gridSpan w:val="3"/>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排放源</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（编号）</w:t>
            </w:r>
          </w:p>
        </w:tc>
        <w:tc>
          <w:tcPr>
            <w:tcW w:w="1757" w:type="dxa"/>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2004" w:type="dxa"/>
            <w:gridSpan w:val="2"/>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处理前产生浓度及</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产生量（单位）</w:t>
            </w:r>
          </w:p>
        </w:tc>
        <w:tc>
          <w:tcPr>
            <w:tcW w:w="1983" w:type="dxa"/>
            <w:gridSpan w:val="2"/>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排放浓度及排放量</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restart"/>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染物</w:t>
            </w:r>
          </w:p>
        </w:tc>
        <w:tc>
          <w:tcPr>
            <w:tcW w:w="1029" w:type="dxa"/>
            <w:vMerge w:val="restar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p>
        </w:tc>
        <w:tc>
          <w:tcPr>
            <w:tcW w:w="1489" w:type="dxa"/>
            <w:gridSpan w:val="2"/>
            <w:tcBorders>
              <w:tl2br w:val="nil"/>
              <w:tr2bl w:val="nil"/>
            </w:tcBorders>
            <w:vAlign w:val="center"/>
          </w:tcPr>
          <w:p>
            <w:pPr>
              <w:spacing w:line="32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w:t>
            </w:r>
            <w:r>
              <w:rPr>
                <w:rFonts w:hint="eastAsia" w:cs="Times New Roman"/>
                <w:color w:val="000000" w:themeColor="text1"/>
                <w:sz w:val="21"/>
                <w:szCs w:val="21"/>
                <w:lang w:eastAsia="zh-CN"/>
                <w14:textFill>
                  <w14:solidFill>
                    <w14:schemeClr w14:val="tx1"/>
                  </w14:solidFill>
                </w14:textFill>
              </w:rPr>
              <w:t>工序</w:t>
            </w:r>
          </w:p>
        </w:tc>
        <w:tc>
          <w:tcPr>
            <w:tcW w:w="1757" w:type="dxa"/>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扬尘</w:t>
            </w:r>
          </w:p>
        </w:tc>
        <w:tc>
          <w:tcPr>
            <w:tcW w:w="2004"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c>
          <w:tcPr>
            <w:tcW w:w="1983"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柴油机、</w:t>
            </w:r>
          </w:p>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发电机</w:t>
            </w: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48</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48</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09</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09</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NOx</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31</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31</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restart"/>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排采期</w:t>
            </w:r>
          </w:p>
        </w:tc>
        <w:tc>
          <w:tcPr>
            <w:tcW w:w="1489" w:type="dxa"/>
            <w:gridSpan w:val="2"/>
            <w:tcBorders>
              <w:tl2br w:val="nil"/>
              <w:tr2bl w:val="nil"/>
            </w:tcBorders>
            <w:vAlign w:val="center"/>
          </w:tcPr>
          <w:p>
            <w:pPr>
              <w:spacing w:line="32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w:t>
            </w:r>
            <w:r>
              <w:rPr>
                <w:rFonts w:hint="eastAsia" w:cs="Times New Roman"/>
                <w:color w:val="000000" w:themeColor="text1"/>
                <w:sz w:val="21"/>
                <w:szCs w:val="21"/>
                <w:lang w:eastAsia="zh-CN"/>
                <w14:textFill>
                  <w14:solidFill>
                    <w14:schemeClr w14:val="tx1"/>
                  </w14:solidFill>
                </w14:textFill>
              </w:rPr>
              <w:t>工序</w:t>
            </w:r>
          </w:p>
        </w:tc>
        <w:tc>
          <w:tcPr>
            <w:tcW w:w="1757" w:type="dxa"/>
            <w:tcBorders>
              <w:tl2br w:val="nil"/>
              <w:tr2bl w:val="nil"/>
            </w:tcBorders>
            <w:vAlign w:val="center"/>
          </w:tcPr>
          <w:p>
            <w:pPr>
              <w:spacing w:line="320" w:lineRule="exact"/>
              <w:ind w:right="-105"/>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004"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983"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柴油发电机</w:t>
            </w: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NOx</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2004"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94" w:type="dxa"/>
            <w:vMerge w:val="restart"/>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水污染物</w:t>
            </w:r>
          </w:p>
        </w:tc>
        <w:tc>
          <w:tcPr>
            <w:tcW w:w="1029" w:type="dxa"/>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p>
        </w:tc>
        <w:tc>
          <w:tcPr>
            <w:tcW w:w="1489"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钻井废水；设备、钻台</w:t>
            </w:r>
          </w:p>
        </w:tc>
        <w:tc>
          <w:tcPr>
            <w:tcW w:w="1757" w:type="dxa"/>
            <w:tcBorders>
              <w:tl2br w:val="nil"/>
              <w:tr2bl w:val="nil"/>
            </w:tcBorders>
            <w:vAlign w:val="center"/>
          </w:tcPr>
          <w:p>
            <w:pPr>
              <w:adjustRightInd w:val="0"/>
              <w:snapToGrid w:val="0"/>
              <w:spacing w:line="320" w:lineRule="exact"/>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石油类、</w:t>
            </w:r>
            <w:r>
              <w:rPr>
                <w:rFonts w:hint="default" w:ascii="Times New Roman" w:hAnsi="Times New Roman" w:cs="Times New Roman"/>
                <w:color w:val="000000" w:themeColor="text1"/>
                <w:sz w:val="21"/>
                <w:szCs w:val="21"/>
                <w:lang w:val="en-US" w:eastAsia="zh-CN"/>
                <w14:textFill>
                  <w14:solidFill>
                    <w14:schemeClr w14:val="tx1"/>
                  </w14:solidFill>
                </w14:textFill>
              </w:rPr>
              <w:t>SS等</w:t>
            </w:r>
          </w:p>
        </w:tc>
        <w:tc>
          <w:tcPr>
            <w:tcW w:w="2004" w:type="dxa"/>
            <w:gridSpan w:val="2"/>
            <w:tcBorders>
              <w:tl2br w:val="nil"/>
              <w:tr2bl w:val="nil"/>
            </w:tcBorders>
            <w:vAlign w:val="center"/>
          </w:tcPr>
          <w:p>
            <w:pPr>
              <w:spacing w:line="320" w:lineRule="exact"/>
              <w:ind w:right="-105"/>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983"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restart"/>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排采期</w:t>
            </w:r>
          </w:p>
        </w:tc>
        <w:tc>
          <w:tcPr>
            <w:tcW w:w="1489" w:type="dxa"/>
            <w:gridSpan w:val="2"/>
            <w:vMerge w:val="restart"/>
            <w:tcBorders>
              <w:tl2br w:val="nil"/>
              <w:tr2bl w:val="nil"/>
            </w:tcBorders>
            <w:vAlign w:val="center"/>
          </w:tcPr>
          <w:p>
            <w:pPr>
              <w:spacing w:line="32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w:t>
            </w:r>
            <w:r>
              <w:rPr>
                <w:rFonts w:hint="eastAsia" w:cs="Times New Roman"/>
                <w:color w:val="000000" w:themeColor="text1"/>
                <w:sz w:val="21"/>
                <w:szCs w:val="21"/>
                <w:lang w:eastAsia="zh-CN"/>
                <w14:textFill>
                  <w14:solidFill>
                    <w14:schemeClr w14:val="tx1"/>
                  </w14:solidFill>
                </w14:textFill>
              </w:rPr>
              <w:t>工序</w:t>
            </w:r>
          </w:p>
        </w:tc>
        <w:tc>
          <w:tcPr>
            <w:tcW w:w="1757"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1061" w:type="dxa"/>
            <w:tcBorders>
              <w:right w:val="single" w:color="auto" w:sz="4" w:space="0"/>
            </w:tcBorders>
            <w:vAlign w:val="center"/>
          </w:tcPr>
          <w:p>
            <w:pPr>
              <w:spacing w:line="320" w:lineRule="exact"/>
              <w:ind w:right="-105"/>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mg/L</w:t>
            </w:r>
          </w:p>
        </w:tc>
        <w:tc>
          <w:tcPr>
            <w:tcW w:w="943" w:type="dxa"/>
            <w:tcBorders>
              <w:left w:val="single" w:color="auto" w:sz="4" w:space="0"/>
              <w:tl2br w:val="nil"/>
              <w:tr2bl w:val="nil"/>
            </w:tcBorders>
            <w:vAlign w:val="center"/>
          </w:tcPr>
          <w:p>
            <w:pPr>
              <w:spacing w:line="320" w:lineRule="exact"/>
              <w:ind w:right="-105"/>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0.032t/a</w:t>
            </w:r>
          </w:p>
        </w:tc>
        <w:tc>
          <w:tcPr>
            <w:tcW w:w="1060"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mg/L</w:t>
            </w:r>
          </w:p>
        </w:tc>
        <w:tc>
          <w:tcPr>
            <w:tcW w:w="923"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总氮</w:t>
            </w:r>
          </w:p>
        </w:tc>
        <w:tc>
          <w:tcPr>
            <w:tcW w:w="1061" w:type="dxa"/>
            <w:tcBorders>
              <w:right w:val="single" w:color="auto" w:sz="4" w:space="0"/>
            </w:tcBorders>
            <w:vAlign w:val="center"/>
          </w:tcPr>
          <w:p>
            <w:pPr>
              <w:spacing w:line="320" w:lineRule="exact"/>
              <w:ind w:right="-105"/>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1.28</w:t>
            </w:r>
            <w:r>
              <w:rPr>
                <w:rFonts w:hint="default" w:ascii="Times New Roman" w:hAnsi="Times New Roman" w:cs="Times New Roman"/>
                <w:color w:val="000000" w:themeColor="text1"/>
                <w:sz w:val="21"/>
                <w:szCs w:val="21"/>
                <w14:textFill>
                  <w14:solidFill>
                    <w14:schemeClr w14:val="tx1"/>
                  </w14:solidFill>
                </w14:textFill>
              </w:rPr>
              <w:t>mg/L</w:t>
            </w:r>
          </w:p>
        </w:tc>
        <w:tc>
          <w:tcPr>
            <w:tcW w:w="943" w:type="dxa"/>
            <w:tcBorders>
              <w:left w:val="single" w:color="auto" w:sz="4" w:space="0"/>
              <w:tl2br w:val="nil"/>
              <w:tr2bl w:val="nil"/>
            </w:tcBorders>
            <w:vAlign w:val="center"/>
          </w:tcPr>
          <w:p>
            <w:pPr>
              <w:spacing w:line="320" w:lineRule="exact"/>
              <w:ind w:right="-105"/>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0.002t/a</w:t>
            </w:r>
          </w:p>
        </w:tc>
        <w:tc>
          <w:tcPr>
            <w:tcW w:w="1060" w:type="dxa"/>
            <w:tcBorders>
              <w:tl2br w:val="nil"/>
              <w:tr2bl w:val="nil"/>
            </w:tcBorders>
            <w:vAlign w:val="center"/>
          </w:tcPr>
          <w:p>
            <w:pPr>
              <w:spacing w:line="320" w:lineRule="exact"/>
              <w:ind w:right="-105" w:right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1.28</w:t>
            </w:r>
            <w:r>
              <w:rPr>
                <w:rFonts w:hint="default" w:ascii="Times New Roman" w:hAnsi="Times New Roman" w:cs="Times New Roman"/>
                <w:color w:val="000000" w:themeColor="text1"/>
                <w:sz w:val="21"/>
                <w:szCs w:val="21"/>
                <w14:textFill>
                  <w14:solidFill>
                    <w14:schemeClr w14:val="tx1"/>
                  </w14:solidFill>
                </w14:textFill>
              </w:rPr>
              <w:t>mg/L</w:t>
            </w:r>
          </w:p>
        </w:tc>
        <w:tc>
          <w:tcPr>
            <w:tcW w:w="923"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48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1061" w:type="dxa"/>
            <w:tcBorders>
              <w:right w:val="single" w:color="auto" w:sz="4" w:space="0"/>
            </w:tcBorders>
            <w:vAlign w:val="center"/>
          </w:tcPr>
          <w:p>
            <w:pPr>
              <w:spacing w:line="320" w:lineRule="exact"/>
              <w:ind w:right="-105"/>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0.826</w:t>
            </w:r>
            <w:r>
              <w:rPr>
                <w:rFonts w:hint="default" w:ascii="Times New Roman" w:hAnsi="Times New Roman" w:cs="Times New Roman"/>
                <w:color w:val="000000" w:themeColor="text1"/>
                <w:sz w:val="21"/>
                <w:szCs w:val="21"/>
                <w14:textFill>
                  <w14:solidFill>
                    <w14:schemeClr w14:val="tx1"/>
                  </w14:solidFill>
                </w14:textFill>
              </w:rPr>
              <w:t>mg/L</w:t>
            </w:r>
          </w:p>
        </w:tc>
        <w:tc>
          <w:tcPr>
            <w:tcW w:w="943" w:type="dxa"/>
            <w:tcBorders>
              <w:left w:val="single" w:color="auto" w:sz="4" w:space="0"/>
              <w:tl2br w:val="nil"/>
              <w:tr2bl w:val="nil"/>
            </w:tcBorders>
            <w:vAlign w:val="center"/>
          </w:tcPr>
          <w:p>
            <w:pPr>
              <w:spacing w:line="320" w:lineRule="exact"/>
              <w:ind w:right="-105"/>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0.001t/a</w:t>
            </w:r>
          </w:p>
        </w:tc>
        <w:tc>
          <w:tcPr>
            <w:tcW w:w="1060" w:type="dxa"/>
            <w:tcBorders>
              <w:tl2br w:val="nil"/>
              <w:tr2bl w:val="nil"/>
            </w:tcBorders>
            <w:vAlign w:val="center"/>
          </w:tcPr>
          <w:p>
            <w:pPr>
              <w:spacing w:line="320" w:lineRule="exact"/>
              <w:ind w:right="-105" w:right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0.826</w:t>
            </w:r>
            <w:r>
              <w:rPr>
                <w:rFonts w:hint="default" w:ascii="Times New Roman" w:hAnsi="Times New Roman" w:cs="Times New Roman"/>
                <w:color w:val="000000" w:themeColor="text1"/>
                <w:sz w:val="21"/>
                <w:szCs w:val="21"/>
                <w14:textFill>
                  <w14:solidFill>
                    <w14:schemeClr w14:val="tx1"/>
                  </w14:solidFill>
                </w14:textFill>
              </w:rPr>
              <w:t>mg/L</w:t>
            </w:r>
          </w:p>
        </w:tc>
        <w:tc>
          <w:tcPr>
            <w:tcW w:w="923"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排采期</w:t>
            </w:r>
          </w:p>
        </w:tc>
        <w:tc>
          <w:tcPr>
            <w:tcW w:w="1489" w:type="dxa"/>
            <w:gridSpan w:val="2"/>
            <w:tcBorders>
              <w:tl2br w:val="nil"/>
              <w:tr2bl w:val="nil"/>
            </w:tcBorders>
            <w:vAlign w:val="center"/>
          </w:tcPr>
          <w:p>
            <w:pPr>
              <w:spacing w:line="32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职工</w:t>
            </w:r>
          </w:p>
        </w:tc>
        <w:tc>
          <w:tcPr>
            <w:tcW w:w="17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105" w:rightChar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COD、NH</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-N等</w:t>
            </w:r>
          </w:p>
        </w:tc>
        <w:tc>
          <w:tcPr>
            <w:tcW w:w="2004" w:type="dxa"/>
            <w:gridSpan w:val="2"/>
            <w:tcBorders>
              <w:tl2br w:val="nil"/>
              <w:tr2bl w:val="nil"/>
            </w:tcBorders>
            <w:vAlign w:val="center"/>
          </w:tcPr>
          <w:p>
            <w:pPr>
              <w:spacing w:line="320" w:lineRule="exact"/>
              <w:ind w:right="-105"/>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1.41m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vertAlign w:val="baseline"/>
                <w:lang w:val="en-US" w:eastAsia="zh-CN"/>
                <w14:textFill>
                  <w14:solidFill>
                    <w14:schemeClr w14:val="tx1"/>
                  </w14:solidFill>
                </w14:textFill>
              </w:rPr>
              <w:t>/d</w:t>
            </w:r>
          </w:p>
        </w:tc>
        <w:tc>
          <w:tcPr>
            <w:tcW w:w="1983" w:type="dxa"/>
            <w:gridSpan w:val="2"/>
            <w:tcBorders>
              <w:tl2br w:val="nil"/>
              <w:tr2bl w:val="nil"/>
            </w:tcBorders>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94" w:type="dxa"/>
            <w:vMerge w:val="restart"/>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1650" w:type="dxa"/>
            <w:gridSpan w:val="2"/>
            <w:vMerge w:val="restart"/>
            <w:tcBorders>
              <w:right w:val="single" w:color="000000" w:sz="8" w:space="0"/>
              <w:tl2br w:val="nil"/>
              <w:tr2bl w:val="nil"/>
            </w:tcBorders>
            <w:vAlign w:val="center"/>
          </w:tcPr>
          <w:p>
            <w:pPr>
              <w:spacing w:line="32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钻井期</w:t>
            </w:r>
          </w:p>
        </w:tc>
        <w:tc>
          <w:tcPr>
            <w:tcW w:w="868" w:type="dxa"/>
            <w:vMerge w:val="restart"/>
            <w:tcBorders>
              <w:left w:val="single" w:color="000000" w:sz="8" w:space="0"/>
              <w:tl2br w:val="nil"/>
              <w:tr2bl w:val="nil"/>
            </w:tcBorders>
            <w:vAlign w:val="center"/>
          </w:tcPr>
          <w:p>
            <w:pPr>
              <w:spacing w:line="320" w:lineRule="exact"/>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钻井工序</w:t>
            </w:r>
          </w:p>
        </w:tc>
        <w:tc>
          <w:tcPr>
            <w:tcW w:w="1757"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钻井泥浆</w:t>
            </w:r>
          </w:p>
        </w:tc>
        <w:tc>
          <w:tcPr>
            <w:tcW w:w="2004"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00m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983"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650" w:type="dxa"/>
            <w:gridSpan w:val="2"/>
            <w:vMerge w:val="continue"/>
            <w:tcBorders>
              <w:right w:val="single" w:color="000000" w:sz="8" w:space="0"/>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868" w:type="dxa"/>
            <w:vMerge w:val="continue"/>
            <w:tcBorders>
              <w:left w:val="single" w:color="000000" w:sz="8" w:space="0"/>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757"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岩屑</w:t>
            </w:r>
          </w:p>
        </w:tc>
        <w:tc>
          <w:tcPr>
            <w:tcW w:w="2004"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111.28</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650" w:type="dxa"/>
            <w:gridSpan w:val="2"/>
            <w:tcBorders>
              <w:righ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排采期</w:t>
            </w:r>
          </w:p>
        </w:tc>
        <w:tc>
          <w:tcPr>
            <w:tcW w:w="868" w:type="dxa"/>
            <w:tcBorders>
              <w:left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生产工序</w:t>
            </w:r>
          </w:p>
        </w:tc>
        <w:tc>
          <w:tcPr>
            <w:tcW w:w="1757"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废矿物油</w:t>
            </w:r>
          </w:p>
        </w:tc>
        <w:tc>
          <w:tcPr>
            <w:tcW w:w="2004"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65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排采期</w:t>
            </w:r>
          </w:p>
        </w:tc>
        <w:tc>
          <w:tcPr>
            <w:tcW w:w="8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职工</w:t>
            </w:r>
          </w:p>
        </w:tc>
        <w:tc>
          <w:tcPr>
            <w:tcW w:w="1757"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2004"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47</w:t>
            </w:r>
            <w:r>
              <w:rPr>
                <w:rFonts w:hint="default" w:ascii="Times New Roman" w:hAnsi="Times New Roman" w:cs="Times New Roman"/>
                <w:color w:val="000000" w:themeColor="text1"/>
                <w:sz w:val="21"/>
                <w:szCs w:val="21"/>
                <w14:textFill>
                  <w14:solidFill>
                    <w14:schemeClr w14:val="tx1"/>
                  </w14:solidFill>
                </w14:textFill>
              </w:rPr>
              <w:t>t</w:t>
            </w:r>
          </w:p>
        </w:tc>
        <w:tc>
          <w:tcPr>
            <w:tcW w:w="1983"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94" w:type="dxa"/>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8262" w:type="dxa"/>
            <w:gridSpan w:val="8"/>
            <w:tcBorders>
              <w:tl2br w:val="nil"/>
              <w:tr2bl w:val="nil"/>
            </w:tcBorders>
            <w:vAlign w:val="center"/>
          </w:tcPr>
          <w:p>
            <w:pPr>
              <w:spacing w:line="30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钻井、柴油机、泥浆泵等生产设备在运行过程中产生的机械性噪声，采取噪声治理措施后，声压级值为</w:t>
            </w:r>
            <w:r>
              <w:rPr>
                <w:rFonts w:hint="default" w:ascii="Times New Roman" w:hAnsi="Times New Roman" w:cs="Times New Roman"/>
                <w:color w:val="000000" w:themeColor="text1"/>
                <w:lang w:val="en-US" w:eastAsia="zh-CN"/>
                <w14:textFill>
                  <w14:solidFill>
                    <w14:schemeClr w14:val="tx1"/>
                  </w14:solidFill>
                </w14:textFill>
              </w:rPr>
              <w:t>80</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120</w:t>
            </w:r>
            <w:r>
              <w:rPr>
                <w:rFonts w:hint="default" w:ascii="Times New Roman" w:hAnsi="Times New Roman" w:cs="Times New Roman"/>
                <w:color w:val="000000" w:themeColor="text1"/>
                <w14:textFill>
                  <w14:solidFill>
                    <w14:schemeClr w14:val="tx1"/>
                  </w14:solidFill>
                </w14:textFill>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9356" w:type="dxa"/>
            <w:gridSpan w:val="9"/>
            <w:tcBorders>
              <w:tl2br w:val="nil"/>
              <w:tr2bl w:val="nil"/>
            </w:tcBorders>
            <w:vAlign w:val="center"/>
          </w:tcPr>
          <w:p>
            <w:pPr>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主要生态影响（不够时可附另页）</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1）占地影响：本项目井场占地会改变土地利用现状，由于本项目单井场占地面积较小，进场道路</w:t>
            </w:r>
            <w:r>
              <w:rPr>
                <w:rFonts w:hint="eastAsia" w:cs="Times New Roman"/>
                <w:color w:val="000000" w:themeColor="text1"/>
                <w:sz w:val="24"/>
                <w:szCs w:val="24"/>
                <w:lang w:eastAsia="zh-CN"/>
                <w14:textFill>
                  <w14:solidFill>
                    <w14:schemeClr w14:val="tx1"/>
                  </w14:solidFill>
                </w14:textFill>
              </w:rPr>
              <w:t>利用现有道路，无改建新修道路</w:t>
            </w:r>
            <w:r>
              <w:rPr>
                <w:rFonts w:hint="default" w:ascii="Times New Roman" w:hAnsi="Times New Roman" w:cs="Times New Roman"/>
                <w:color w:val="000000" w:themeColor="text1"/>
                <w:sz w:val="24"/>
                <w:szCs w:val="24"/>
                <w14:textFill>
                  <w14:solidFill>
                    <w14:schemeClr w14:val="tx1"/>
                  </w14:solidFill>
                </w14:textFill>
              </w:rPr>
              <w:t>。临时占地占用完毕后一般可在较短时间内恢复，为此项目占地对周围生态环境影响不明显。</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植被：建设项目需对场地进行开挖、平整，施工人员及车辆碾压会对活动范围内的土壤质地、性质以及地表植被造成影响。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另外，各种地面建设活动中对土壤的扰动会影响土壤的结构、质地和物理性质。</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动物：项目施工时加强管理，严格控制占地范围，限制施工范围外的其他生态破坏和干扰后，施工对野生动物的影响并不明显</w:t>
            </w:r>
            <w:r>
              <w:rPr>
                <w:rFonts w:hint="default" w:ascii="Times New Roman" w:hAnsi="Times New Roman" w:cs="Times New Roman"/>
                <w:color w:val="000000" w:themeColor="text1"/>
                <w:sz w:val="24"/>
                <w:szCs w:val="24"/>
                <w:lang w:eastAsia="zh-CN"/>
                <w14:textFill>
                  <w14:solidFill>
                    <w14:schemeClr w14:val="tx1"/>
                  </w14:solidFill>
                </w14:textFill>
              </w:rPr>
              <w:t>。</w:t>
            </w:r>
          </w:p>
        </w:tc>
      </w:tr>
    </w:tbl>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2" w:name="_Toc19871"/>
      <w:r>
        <w:rPr>
          <w:rFonts w:hint="default" w:ascii="Times New Roman" w:hAnsi="Times New Roman" w:cs="Times New Roman"/>
          <w:color w:val="000000" w:themeColor="text1"/>
          <w14:textFill>
            <w14:solidFill>
              <w14:schemeClr w14:val="tx1"/>
            </w14:solidFill>
          </w14:textFill>
        </w:rPr>
        <w:t>环境影响分析</w:t>
      </w:r>
      <w:bookmarkEnd w:id="12"/>
    </w:p>
    <w:tbl>
      <w:tblPr>
        <w:tblStyle w:val="44"/>
        <w:tblW w:w="889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trPr>
        <w:tc>
          <w:tcPr>
            <w:tcW w:w="8896" w:type="dxa"/>
            <w:tcBorders>
              <w:top w:val="single" w:color="auto" w:sz="12" w:space="0"/>
              <w:left w:val="single" w:color="auto" w:sz="12" w:space="0"/>
              <w:bottom w:val="single" w:color="auto" w:sz="12" w:space="0"/>
              <w:right w:val="single" w:color="auto" w:sz="12" w:space="0"/>
            </w:tcBorders>
            <w:vAlign w:val="top"/>
          </w:tcPr>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一、环境空气影响分析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14:textFill>
                  <w14:solidFill>
                    <w14:schemeClr w14:val="tx1"/>
                  </w14:solidFill>
                </w14:textFill>
              </w:rPr>
              <w:t>钻井期环境影响分析及污染防治措施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1）扬尘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勘探期大气污染物主要为勘探工地扬尘，来源于各种无组织排放源。其中场地清理、土方挖掘、材料运输等工序产生量较大，原材料堆存、设备安装等扬尘产生量较小。由于污染源为间歇性源并且扬尘点低，会在近距离内形成局部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bCs/>
                <w:color w:val="000000" w:themeColor="text1"/>
                <w:sz w:val="24"/>
                <w:szCs w:val="24"/>
                <w14:textFill>
                  <w14:solidFill>
                    <w14:schemeClr w14:val="tx1"/>
                  </w14:solidFill>
                </w14:textFill>
              </w:rPr>
              <w:t>山西省</w:t>
            </w:r>
            <w:r>
              <w:rPr>
                <w:rFonts w:hint="eastAsia" w:cs="Times New Roman"/>
                <w:bCs/>
                <w:color w:val="000000" w:themeColor="text1"/>
                <w:sz w:val="24"/>
                <w:szCs w:val="24"/>
                <w:lang w:eastAsia="zh-CN"/>
                <w14:textFill>
                  <w14:solidFill>
                    <w14:schemeClr w14:val="tx1"/>
                  </w14:solidFill>
                </w14:textFill>
              </w:rPr>
              <w:t>打赢蓝天保卫战</w:t>
            </w:r>
            <w:r>
              <w:rPr>
                <w:rFonts w:hint="eastAsia" w:cs="Times New Roman"/>
                <w:bCs/>
                <w:color w:val="000000" w:themeColor="text1"/>
                <w:sz w:val="24"/>
                <w:szCs w:val="24"/>
                <w:lang w:val="en-US" w:eastAsia="zh-CN"/>
                <w14:textFill>
                  <w14:solidFill>
                    <w14:schemeClr w14:val="tx1"/>
                  </w14:solidFill>
                </w14:textFill>
              </w:rPr>
              <w:t>2020年决战计划</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和《</w:t>
            </w:r>
            <w:r>
              <w:rPr>
                <w:rFonts w:hint="eastAsia" w:cs="Times New Roman"/>
                <w:bCs/>
                <w:color w:val="000000" w:themeColor="text1"/>
                <w:sz w:val="24"/>
                <w:szCs w:val="24"/>
                <w:lang w:eastAsia="zh-CN"/>
                <w14:textFill>
                  <w14:solidFill>
                    <w14:schemeClr w14:val="tx1"/>
                  </w14:solidFill>
                </w14:textFill>
              </w:rPr>
              <w:t>打赢蓝天保卫战</w:t>
            </w:r>
            <w:r>
              <w:rPr>
                <w:rFonts w:hint="eastAsia" w:cs="Times New Roman"/>
                <w:bCs/>
                <w:color w:val="000000" w:themeColor="text1"/>
                <w:sz w:val="24"/>
                <w:szCs w:val="24"/>
                <w:lang w:val="en-US" w:eastAsia="zh-CN"/>
                <w14:textFill>
                  <w14:solidFill>
                    <w14:schemeClr w14:val="tx1"/>
                  </w14:solidFill>
                </w14:textFill>
              </w:rPr>
              <w:t>2020年决战计划</w:t>
            </w:r>
            <w:r>
              <w:rPr>
                <w:rFonts w:hint="default" w:ascii="Times New Roman" w:hAnsi="Times New Roman" w:cs="Times New Roman"/>
                <w:color w:val="000000" w:themeColor="text1"/>
                <w:sz w:val="24"/>
                <w14:textFill>
                  <w14:solidFill>
                    <w14:schemeClr w14:val="tx1"/>
                  </w14:solidFill>
                </w14:textFill>
              </w:rPr>
              <w:t>》相关要求，针对本项目产生的扬尘，提出以下防治措施：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14:textFill>
                  <w14:solidFill>
                    <w14:schemeClr w14:val="tx1"/>
                  </w14:solidFill>
                </w14:textFill>
              </w:rPr>
              <w:t>裸露地覆盖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施工期间，每一块独立裸露地面应采取覆盖措施；覆盖措施的完好率</w:t>
            </w:r>
            <w:r>
              <w:rPr>
                <w:rFonts w:hint="eastAsia"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14:textFill>
                  <w14:solidFill>
                    <w14:schemeClr w14:val="tx1"/>
                  </w14:solidFill>
                </w14:textFill>
              </w:rPr>
              <w:t>；覆盖措施包括：钢板、防尘网（布）或达到同等效率的覆盖措施。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易扬尘物料覆盖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施工期间，环评要求钻探单位将所有挖出的土方等易扬尘物料都必须以防尘布完全覆盖；防尘布或遮蔽装置的完好率</w:t>
            </w:r>
            <w:r>
              <w:rPr>
                <w:rFonts w:hint="eastAsia"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14:textFill>
                  <w14:solidFill>
                    <w14:schemeClr w14:val="tx1"/>
                  </w14:solidFill>
                </w14:textFill>
              </w:rPr>
              <w:t>；固井过程中小批量的砂石在8小时之内可全部使用，故不采取覆盖措施。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③ </w:t>
            </w:r>
            <w:r>
              <w:rPr>
                <w:rFonts w:hint="default" w:ascii="Times New Roman" w:hAnsi="Times New Roman" w:cs="Times New Roman"/>
                <w:color w:val="000000" w:themeColor="text1"/>
                <w:sz w:val="24"/>
                <w14:textFill>
                  <w14:solidFill>
                    <w14:schemeClr w14:val="tx1"/>
                  </w14:solidFill>
                </w14:textFill>
              </w:rPr>
              <w:t>持续洒水降尘措施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现场定期喷洒，保证地面湿润，不起尘；环评要求钻井单位在井场设置清洗水池用于井场冲洗机械设备及车辆轮胎。钻探单位应加强环境保护措施的监理工作，确保各项环保措施的实施。勘探阶段严格按照城市施工扬尘防治要求组织施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④ </w:t>
            </w:r>
            <w:r>
              <w:rPr>
                <w:rFonts w:hint="default" w:ascii="Times New Roman" w:hAnsi="Times New Roman" w:cs="Times New Roman"/>
                <w:color w:val="000000" w:themeColor="text1"/>
                <w:sz w:val="24"/>
                <w14:textFill>
                  <w14:solidFill>
                    <w14:schemeClr w14:val="tx1"/>
                  </w14:solidFill>
                </w14:textFill>
              </w:rPr>
              <w:t>从严控制渣土运输污染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确保做到工地周边围挡、物料堆放覆盖、土方开挖湿法作业、路面硬化、出入车辆清洗、渣土车辆密闭运输六个百分之百。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总之，只要加强管理、切实落实好这些措施，井场扬尘可以达到《大气污染物综合排放标准》（GB16297-1996）中表2 中二级标准所规定的无组织排放监控浓度限值1.0mg/Nm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的要求，对环境的不良影响将会大大降低，同时其对环境的影响也将随着勘探的结束而消失。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2）钻井废气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本项目钻井期废气主要为柴油发电机使用柴油产生的废气，废气主要污染物为NOx和烃类污染物等。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根据建设单位提供的钻井资料，钻井周期中，4台柴油机（</w:t>
            </w:r>
            <w:r>
              <w:rPr>
                <w:rFonts w:hint="default" w:ascii="Times New Roman" w:hAnsi="Times New Roman" w:cs="Times New Roman"/>
                <w:color w:val="000000" w:themeColor="text1"/>
                <w:sz w:val="24"/>
                <w:lang w:val="en-US" w:eastAsia="zh-CN"/>
                <w14:textFill>
                  <w14:solidFill>
                    <w14:schemeClr w14:val="tx1"/>
                  </w14:solidFill>
                </w14:textFill>
              </w:rPr>
              <w:t>2台功率882KW、2台功率395KW的柴油机</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w:t>
            </w:r>
            <w:r>
              <w:rPr>
                <w:rFonts w:hint="eastAsia"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三</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台同时使用，一台备用，2台发电机（</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台功率882KW、</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台功率395KW</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）一用一备，提供动力，用于环节正常钻进和起下钻杆。</w:t>
            </w:r>
            <w:r>
              <w:rPr>
                <w:rFonts w:hint="default" w:ascii="Times New Roman" w:hAnsi="Times New Roman" w:cs="Times New Roman"/>
                <w:color w:val="000000" w:themeColor="text1"/>
                <w:sz w:val="24"/>
                <w:lang w:val="en-US" w:eastAsia="zh-CN"/>
                <w14:textFill>
                  <w14:solidFill>
                    <w14:schemeClr w14:val="tx1"/>
                  </w14:solidFill>
                </w14:textFill>
              </w:rPr>
              <w:t>本项目探井</w:t>
            </w:r>
            <w:r>
              <w:rPr>
                <w:rFonts w:hint="default" w:ascii="Times New Roman" w:hAnsi="Times New Roman" w:cs="Times New Roman"/>
                <w:color w:val="000000" w:themeColor="text1"/>
                <w:sz w:val="24"/>
                <w14:textFill>
                  <w14:solidFill>
                    <w14:schemeClr w14:val="tx1"/>
                  </w14:solidFill>
                </w14:textFill>
              </w:rPr>
              <w:t>钻井期为</w:t>
            </w:r>
            <w:r>
              <w:rPr>
                <w:rFonts w:hint="default" w:ascii="Times New Roman" w:hAnsi="Times New Roman" w:cs="Times New Roman"/>
                <w:color w:val="000000" w:themeColor="text1"/>
                <w:sz w:val="24"/>
                <w:lang w:val="en-US" w:eastAsia="zh-CN"/>
                <w14:textFill>
                  <w14:solidFill>
                    <w14:schemeClr w14:val="tx1"/>
                  </w14:solidFill>
                </w14:textFill>
              </w:rPr>
              <w:t>38</w:t>
            </w:r>
            <w:r>
              <w:rPr>
                <w:rFonts w:hint="default" w:ascii="Times New Roman" w:hAnsi="Times New Roman" w:cs="Times New Roman"/>
                <w:color w:val="000000" w:themeColor="text1"/>
                <w:sz w:val="24"/>
                <w14:textFill>
                  <w14:solidFill>
                    <w14:schemeClr w14:val="tx1"/>
                  </w14:solidFill>
                </w14:textFill>
              </w:rPr>
              <w:t>天，钻井期柴油机运行时数为</w:t>
            </w:r>
            <w:r>
              <w:rPr>
                <w:rFonts w:hint="default" w:ascii="Times New Roman" w:hAnsi="Times New Roman" w:cs="Times New Roman"/>
                <w:color w:val="000000" w:themeColor="text1"/>
                <w:sz w:val="24"/>
                <w:lang w:val="en-US" w:eastAsia="zh-CN"/>
                <w14:textFill>
                  <w14:solidFill>
                    <w14:schemeClr w14:val="tx1"/>
                  </w14:solidFill>
                </w14:textFill>
              </w:rPr>
              <w:t>912</w:t>
            </w:r>
            <w:r>
              <w:rPr>
                <w:rFonts w:hint="default" w:ascii="Times New Roman" w:hAnsi="Times New Roman" w:cs="Times New Roman"/>
                <w:color w:val="000000" w:themeColor="text1"/>
                <w:sz w:val="24"/>
                <w14:textFill>
                  <w14:solidFill>
                    <w14:schemeClr w14:val="tx1"/>
                  </w14:solidFill>
                </w14:textFill>
              </w:rPr>
              <w:t>小时</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本项目1台功率882KW、2台功率395KW的柴油机、1台功率400KW发电机，同时使用功率总计2072KW</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参考环境保护部环境工程评估中心编制的注册环评工程师培训教材--《社会区域类环境影响评价》给出的计算参数，发电机、柴油机燃柴油污染物排放系数为：SO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4g/L，烟尘0.714g/L，NOx2.56g/L，CO1.52g/L，总烃1.489g/L，烟气量按</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/kg计。</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根据建设单位提供的钻井资料，本项目勘探井</w:t>
            </w:r>
            <w:r>
              <w:rPr>
                <w:rFonts w:hint="default" w:ascii="Times New Roman" w:hAnsi="Times New Roman" w:cs="Times New Roman"/>
                <w:color w:val="000000" w:themeColor="text1"/>
                <w:sz w:val="24"/>
                <w14:textFill>
                  <w14:solidFill>
                    <w14:schemeClr w14:val="tx1"/>
                  </w14:solidFill>
                </w14:textFill>
              </w:rPr>
              <w:t>钻井期柴油机、发电机组</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约需柴油100t</w:t>
            </w:r>
            <w:r>
              <w:rPr>
                <w:rFonts w:hint="default" w:ascii="Times New Roman" w:hAnsi="Times New Roman" w:cs="Times New Roman"/>
                <w:color w:val="000000" w:themeColor="text1"/>
                <w:sz w:val="24"/>
                <w14:textFill>
                  <w14:solidFill>
                    <w14:schemeClr w14:val="tx1"/>
                  </w14:solidFill>
                </w14:textFill>
              </w:rPr>
              <w:t>(密度为0.835kg/L)，污染物排放量为SO</w:t>
            </w:r>
            <w:r>
              <w:rPr>
                <w:rFonts w:hint="default" w:ascii="Times New Roman" w:hAnsi="Times New Roman" w:cs="Times New Roman"/>
                <w:color w:val="000000" w:themeColor="text1"/>
                <w:sz w:val="24"/>
                <w:vertAlign w:val="subscript"/>
                <w14:textFill>
                  <w14:solidFill>
                    <w14:schemeClr w14:val="tx1"/>
                  </w14:solidFill>
                </w14:textFill>
              </w:rPr>
              <w:t xml:space="preserve">2 </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48</w:t>
            </w:r>
            <w:r>
              <w:rPr>
                <w:rFonts w:hint="default" w:ascii="Times New Roman" w:hAnsi="Times New Roman" w:cs="Times New Roman"/>
                <w:color w:val="000000" w:themeColor="text1"/>
                <w:sz w:val="24"/>
                <w14:textFill>
                  <w14:solidFill>
                    <w14:schemeClr w14:val="tx1"/>
                  </w14:solidFill>
                </w14:textFill>
              </w:rPr>
              <w:t>t，烟尘0.</w:t>
            </w:r>
            <w:r>
              <w:rPr>
                <w:rFonts w:hint="default" w:ascii="Times New Roman" w:hAnsi="Times New Roman" w:cs="Times New Roman"/>
                <w:color w:val="000000" w:themeColor="text1"/>
                <w:sz w:val="24"/>
                <w:lang w:val="en-US" w:eastAsia="zh-CN"/>
                <w14:textFill>
                  <w14:solidFill>
                    <w14:schemeClr w14:val="tx1"/>
                  </w14:solidFill>
                </w14:textFill>
              </w:rPr>
              <w:t>09</w:t>
            </w:r>
            <w:r>
              <w:rPr>
                <w:rFonts w:hint="default" w:ascii="Times New Roman" w:hAnsi="Times New Roman" w:cs="Times New Roman"/>
                <w:color w:val="000000" w:themeColor="text1"/>
                <w:sz w:val="24"/>
                <w14:textFill>
                  <w14:solidFill>
                    <w14:schemeClr w14:val="tx1"/>
                  </w14:solidFill>
                </w14:textFill>
              </w:rPr>
              <w:t>t，NOx0.</w:t>
            </w:r>
            <w:r>
              <w:rPr>
                <w:rFonts w:hint="default" w:ascii="Times New Roman" w:hAnsi="Times New Roman" w:cs="Times New Roman"/>
                <w:color w:val="000000" w:themeColor="text1"/>
                <w:sz w:val="24"/>
                <w:lang w:val="en-US" w:eastAsia="zh-CN"/>
                <w14:textFill>
                  <w14:solidFill>
                    <w14:schemeClr w14:val="tx1"/>
                  </w14:solidFill>
                </w14:textFill>
              </w:rPr>
              <w:t>31</w:t>
            </w:r>
            <w:r>
              <w:rPr>
                <w:rFonts w:hint="default" w:ascii="Times New Roman" w:hAnsi="Times New Roman" w:cs="Times New Roman"/>
                <w:color w:val="000000" w:themeColor="text1"/>
                <w:sz w:val="24"/>
                <w14:textFill>
                  <w14:solidFill>
                    <w14:schemeClr w14:val="tx1"/>
                  </w14:solidFill>
                </w14:textFill>
              </w:rPr>
              <w:t>t，CO</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14:textFill>
                  <w14:solidFill>
                    <w14:schemeClr w14:val="tx1"/>
                  </w14:solidFill>
                </w14:textFill>
              </w:rPr>
              <w:t>t，总烃0.</w:t>
            </w:r>
            <w:r>
              <w:rPr>
                <w:rFonts w:hint="default" w:ascii="Times New Roman" w:hAnsi="Times New Roman"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14:textFill>
                  <w14:solidFill>
                    <w14:schemeClr w14:val="tx1"/>
                  </w14:solidFill>
                </w14:textFill>
              </w:rPr>
              <w:t>t，烟气量为</w:t>
            </w:r>
            <w:r>
              <w:rPr>
                <w:rFonts w:hint="default" w:ascii="Times New Roman" w:hAnsi="Times New Roman" w:cs="Times New Roman"/>
                <w:color w:val="000000" w:themeColor="text1"/>
                <w:sz w:val="24"/>
                <w:lang w:val="en-US" w:eastAsia="zh-CN"/>
                <w14:textFill>
                  <w14:solidFill>
                    <w14:schemeClr w14:val="tx1"/>
                  </w14:solidFill>
                </w14:textFill>
              </w:rPr>
              <w:t>200</w:t>
            </w:r>
            <w:r>
              <w:rPr>
                <w:rFonts w:hint="default" w:ascii="Times New Roman" w:hAnsi="Times New Roman" w:cs="Times New Roman"/>
                <w:color w:val="000000" w:themeColor="text1"/>
                <w:sz w:val="24"/>
                <w14:textFill>
                  <w14:solidFill>
                    <w14:schemeClr w14:val="tx1"/>
                  </w14:solidFill>
                </w14:textFill>
              </w:rPr>
              <w:t>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评价要求柴油机和发电机燃用低硫柴油、并加强施工机械保养提高效率降低柴油消耗量等来减少钻井废气</w:t>
            </w:r>
            <w:r>
              <w:rPr>
                <w:rFonts w:hint="default" w:ascii="Times New Roman" w:hAnsi="Times New Roman" w:cs="Times New Roman"/>
                <w:color w:val="000000" w:themeColor="text1"/>
                <w:sz w:val="24"/>
                <w:lang w:val="en-US" w:eastAsia="zh-CN"/>
                <w14:textFill>
                  <w14:solidFill>
                    <w14:schemeClr w14:val="tx1"/>
                  </w14:solidFill>
                </w14:textFill>
              </w:rPr>
              <w:t>无组织排放</w:t>
            </w:r>
            <w:r>
              <w:rPr>
                <w:rFonts w:hint="default" w:ascii="Times New Roman" w:hAnsi="Times New Roman" w:cs="Times New Roman"/>
                <w:color w:val="000000" w:themeColor="text1"/>
                <w:sz w:val="24"/>
                <w14:textFill>
                  <w14:solidFill>
                    <w14:schemeClr w14:val="tx1"/>
                  </w14:solidFill>
                </w14:textFill>
              </w:rPr>
              <w:t>污染</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采取以上污染防治措施后，本项目</w:t>
            </w:r>
            <w:r>
              <w:rPr>
                <w:rFonts w:hint="default" w:ascii="Times New Roman" w:hAnsi="Times New Roman" w:cs="Times New Roman"/>
                <w:color w:val="000000" w:themeColor="text1"/>
                <w:sz w:val="24"/>
                <w:lang w:val="en-US" w:eastAsia="zh-CN"/>
                <w14:textFill>
                  <w14:solidFill>
                    <w14:schemeClr w14:val="tx1"/>
                  </w14:solidFill>
                </w14:textFill>
              </w:rPr>
              <w:t>钻井废气</w:t>
            </w:r>
            <w:r>
              <w:rPr>
                <w:rFonts w:hint="default" w:ascii="Times New Roman" w:hAnsi="Times New Roman" w:cs="Times New Roman"/>
                <w:color w:val="000000" w:themeColor="text1"/>
                <w:sz w:val="24"/>
                <w14:textFill>
                  <w14:solidFill>
                    <w14:schemeClr w14:val="tx1"/>
                  </w14:solidFill>
                </w14:textFill>
              </w:rPr>
              <w:t>对大气环境的影响较小。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 xml:space="preserve">2. </w:t>
            </w:r>
            <w:r>
              <w:rPr>
                <w:rFonts w:hint="eastAsia" w:cs="Times New Roman"/>
                <w:b/>
                <w:bCs/>
                <w:color w:val="000000" w:themeColor="text1"/>
                <w:sz w:val="24"/>
                <w:lang w:eastAsia="zh-CN"/>
                <w14:textFill>
                  <w14:solidFill>
                    <w14:schemeClr w14:val="tx1"/>
                  </w14:solidFill>
                </w14:textFill>
              </w:rPr>
              <w:t>排采期</w:t>
            </w:r>
            <w:r>
              <w:rPr>
                <w:rFonts w:hint="default" w:ascii="Times New Roman" w:hAnsi="Times New Roman" w:cs="Times New Roman"/>
                <w:b/>
                <w:bCs/>
                <w:color w:val="000000" w:themeColor="text1"/>
                <w:sz w:val="24"/>
                <w14:textFill>
                  <w14:solidFill>
                    <w14:schemeClr w14:val="tx1"/>
                  </w14:solidFill>
                </w14:textFill>
              </w:rPr>
              <w:t>环境影响分析及污染防治措施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1）试气废气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间井场仅留2人看守井场，职工生活采用电磁炉，冬季采暖为空调或电暖，不会产生燃煤烟气污染。污染主要为</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火炬燃烧</w:t>
            </w:r>
            <w:r>
              <w:rPr>
                <w:rFonts w:hint="default" w:ascii="Times New Roman" w:hAnsi="Times New Roman" w:cs="Times New Roman"/>
                <w:color w:val="000000" w:themeColor="text1"/>
                <w:sz w:val="24"/>
                <w14:textFill>
                  <w14:solidFill>
                    <w14:schemeClr w14:val="tx1"/>
                  </w14:solidFill>
                </w14:textFill>
              </w:rPr>
              <w:t>的CH</w:t>
            </w:r>
            <w:r>
              <w:rPr>
                <w:rFonts w:hint="default" w:ascii="Times New Roman" w:hAnsi="Times New Roman" w:cs="Times New Roman"/>
                <w:color w:val="000000" w:themeColor="text1"/>
                <w:sz w:val="24"/>
                <w:vertAlign w:val="subscript"/>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废气和柴油</w:t>
            </w:r>
            <w:r>
              <w:rPr>
                <w:rFonts w:hint="default" w:ascii="Times New Roman" w:hAnsi="Times New Roman" w:cs="Times New Roman"/>
                <w:color w:val="000000" w:themeColor="text1"/>
                <w:sz w:val="24"/>
                <w:lang w:val="en-US" w:eastAsia="zh-CN"/>
                <w14:textFill>
                  <w14:solidFill>
                    <w14:schemeClr w14:val="tx1"/>
                  </w14:solidFill>
                </w14:textFill>
              </w:rPr>
              <w:t>发电机</w:t>
            </w:r>
            <w:r>
              <w:rPr>
                <w:rFonts w:hint="default" w:ascii="Times New Roman" w:hAnsi="Times New Roman" w:cs="Times New Roman"/>
                <w:color w:val="000000" w:themeColor="text1"/>
                <w:sz w:val="24"/>
                <w14:textFill>
                  <w14:solidFill>
                    <w14:schemeClr w14:val="tx1"/>
                  </w14:solidFill>
                </w14:textFill>
              </w:rPr>
              <w:t>机运行产生的污染物。</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废气主要用于</w:t>
            </w:r>
            <w:r>
              <w:rPr>
                <w:rFonts w:hint="default" w:ascii="Times New Roman" w:hAnsi="Times New Roman" w:cs="Times New Roman"/>
                <w:color w:val="000000" w:themeColor="text1"/>
                <w:sz w:val="24"/>
                <w:lang w:val="en-US"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储量评估。试气废气主要成分为甲烷，排采</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将排采废气通过15m火炬点火排空，在火炬上方设有防风罩，对环境影响较小。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2）发电机废气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井场气压和气量的不确定性和不稳定性，不能确保井场发电机的使用，为此评价按最不利因素考虑，即井场</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按使用柴油机发电来计算污染物的产排量。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本项目勘探井</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一般为</w:t>
            </w:r>
            <w:r>
              <w:rPr>
                <w:rFonts w:hint="default" w:ascii="Times New Roman" w:hAnsi="Times New Roman" w:cs="Times New Roman"/>
                <w:color w:val="000000" w:themeColor="text1"/>
                <w:sz w:val="24"/>
                <w:lang w:val="en-US" w:eastAsia="zh-CN"/>
                <w14:textFill>
                  <w14:solidFill>
                    <w14:schemeClr w14:val="tx1"/>
                  </w14:solidFill>
                </w14:textFill>
              </w:rPr>
              <w:t>90</w:t>
            </w:r>
            <w:r>
              <w:rPr>
                <w:rFonts w:hint="default" w:ascii="Times New Roman" w:hAnsi="Times New Roman" w:cs="Times New Roman"/>
                <w:color w:val="000000" w:themeColor="text1"/>
                <w:sz w:val="24"/>
                <w14:textFill>
                  <w14:solidFill>
                    <w14:schemeClr w14:val="tx1"/>
                  </w14:solidFill>
                </w14:textFill>
              </w:rPr>
              <w:t>天，</w:t>
            </w:r>
            <w:r>
              <w:rPr>
                <w:rFonts w:hint="default" w:ascii="Times New Roman" w:hAnsi="Times New Roman" w:cs="Times New Roman"/>
                <w:color w:val="000000" w:themeColor="text1"/>
                <w:sz w:val="24"/>
                <w:lang w:val="en-US" w:eastAsia="zh-CN"/>
                <w14:textFill>
                  <w14:solidFill>
                    <w14:schemeClr w14:val="tx1"/>
                  </w14:solidFill>
                </w14:textFill>
              </w:rPr>
              <w:t>1台发电机运行，</w:t>
            </w:r>
            <w:r>
              <w:rPr>
                <w:rFonts w:hint="default" w:ascii="Times New Roman" w:hAnsi="Times New Roman" w:cs="Times New Roman"/>
                <w:color w:val="000000" w:themeColor="text1"/>
                <w:sz w:val="24"/>
                <w14:textFill>
                  <w14:solidFill>
                    <w14:schemeClr w14:val="tx1"/>
                  </w14:solidFill>
                </w14:textFill>
              </w:rPr>
              <w:t>每天24小时运行，则</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发电机运行时数最多为</w:t>
            </w:r>
            <w:r>
              <w:rPr>
                <w:rFonts w:hint="default" w:ascii="Times New Roman" w:hAnsi="Times New Roman" w:cs="Times New Roman"/>
                <w:color w:val="000000" w:themeColor="text1"/>
                <w:sz w:val="24"/>
                <w:lang w:val="en-US" w:eastAsia="zh-CN"/>
                <w14:textFill>
                  <w14:solidFill>
                    <w14:schemeClr w14:val="tx1"/>
                  </w14:solidFill>
                </w14:textFill>
              </w:rPr>
              <w:t>2160</w:t>
            </w:r>
            <w:r>
              <w:rPr>
                <w:rFonts w:hint="default" w:ascii="Times New Roman" w:hAnsi="Times New Roman" w:cs="Times New Roman"/>
                <w:color w:val="000000" w:themeColor="text1"/>
                <w:sz w:val="24"/>
                <w14:textFill>
                  <w14:solidFill>
                    <w14:schemeClr w14:val="tx1"/>
                  </w14:solidFill>
                </w14:textFill>
              </w:rPr>
              <w:t>小时，发电机</w:t>
            </w:r>
            <w:r>
              <w:rPr>
                <w:rFonts w:hint="default" w:ascii="Times New Roman" w:hAnsi="Times New Roman" w:cs="Times New Roman"/>
                <w:color w:val="000000" w:themeColor="text1"/>
                <w:sz w:val="24"/>
                <w:lang w:val="en-US" w:eastAsia="zh-CN"/>
                <w14:textFill>
                  <w14:solidFill>
                    <w14:schemeClr w14:val="tx1"/>
                  </w14:solidFill>
                </w14:textFill>
              </w:rPr>
              <w:t>功率</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400</w:t>
            </w:r>
            <w:r>
              <w:rPr>
                <w:rFonts w:hint="default" w:ascii="Times New Roman" w:hAnsi="Times New Roman" w:cs="Times New Roman"/>
                <w:color w:val="000000" w:themeColor="text1"/>
                <w:sz w:val="24"/>
                <w14:textFill>
                  <w14:solidFill>
                    <w14:schemeClr w14:val="tx1"/>
                  </w14:solidFill>
                </w14:textFill>
              </w:rPr>
              <w:t>KW，评价参考环境保护部环境工程评估中心编制的注册环评工程师培训教材--《社会区域类环境影响评价》给出的计算参数，发电机运行污染物排放系数为：SO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4g/L，烟尘0.714g/L，NOx2.56g/L，CO1.52g/L，总烃1.489g/L，烟气量可按20m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/kg计。</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根据建设单位提供的钻井资料，本项目勘探井试气气</w:t>
            </w:r>
            <w:r>
              <w:rPr>
                <w:rFonts w:hint="default" w:ascii="Times New Roman" w:hAnsi="Times New Roman" w:cs="Times New Roman"/>
                <w:color w:val="000000" w:themeColor="text1"/>
                <w:sz w:val="24"/>
                <w14:textFill>
                  <w14:solidFill>
                    <w14:schemeClr w14:val="tx1"/>
                  </w14:solidFill>
                </w14:textFill>
              </w:rPr>
              <w:t>柴油发电机组</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约需柴油20t</w:t>
            </w:r>
            <w:r>
              <w:rPr>
                <w:rFonts w:hint="default" w:ascii="Times New Roman" w:hAnsi="Times New Roman" w:cs="Times New Roman"/>
                <w:color w:val="000000" w:themeColor="text1"/>
                <w:sz w:val="24"/>
                <w14:textFill>
                  <w14:solidFill>
                    <w14:schemeClr w14:val="tx1"/>
                  </w14:solidFill>
                </w14:textFill>
              </w:rPr>
              <w:t>(密度为0.835kg/L)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污染物排放量为SO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0.</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t，烟尘0.02t，NO</w:t>
            </w:r>
            <w:r>
              <w:rPr>
                <w:rFonts w:hint="default" w:ascii="Times New Roman" w:hAnsi="Times New Roman" w:cs="Times New Roman"/>
                <w:color w:val="000000" w:themeColor="text1"/>
                <w:sz w:val="24"/>
                <w:vertAlign w:val="subscript"/>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0.0</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t，CO</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0.04t，总烃0.04t，烟气量为</w:t>
            </w:r>
            <w:r>
              <w:rPr>
                <w:rFonts w:hint="default" w:ascii="Times New Roman" w:hAnsi="Times New Roman" w:cs="Times New Roman"/>
                <w:color w:val="000000" w:themeColor="text1"/>
                <w:sz w:val="24"/>
                <w:lang w:val="en-US" w:eastAsia="zh-CN"/>
                <w14:textFill>
                  <w14:solidFill>
                    <w14:schemeClr w14:val="tx1"/>
                  </w14:solidFill>
                </w14:textFill>
              </w:rPr>
              <w:t>40</w:t>
            </w:r>
            <w:r>
              <w:rPr>
                <w:rFonts w:hint="default" w:ascii="Times New Roman" w:hAnsi="Times New Roman" w:cs="Times New Roman"/>
                <w:color w:val="000000" w:themeColor="text1"/>
                <w:sz w:val="24"/>
                <w14:textFill>
                  <w14:solidFill>
                    <w14:schemeClr w14:val="tx1"/>
                  </w14:solidFill>
                </w14:textFill>
              </w:rPr>
              <w:t>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评价要求柴油发电机燃用低硫柴油、并加强施工机械保养提高效率降低柴油消耗量等来减少钻井废气的污染。采取以上污染防治措施后，本项目对大气环境的影响较小。</w:t>
            </w:r>
          </w:p>
          <w:p>
            <w:pPr>
              <w:keepNext w:val="0"/>
              <w:keepLines w:val="0"/>
              <w:pageBreakBefore w:val="0"/>
              <w:widowControl w:val="0"/>
              <w:numPr>
                <w:ilvl w:val="0"/>
                <w:numId w:val="7"/>
              </w:numPr>
              <w:kinsoku/>
              <w:wordWrap/>
              <w:overflowPunct/>
              <w:topLinePunct w:val="0"/>
              <w:autoSpaceDE w:val="0"/>
              <w:autoSpaceDN w:val="0"/>
              <w:bidi w:val="0"/>
              <w:adjustRightInd w:val="0"/>
              <w:snapToGrid/>
              <w:spacing w:line="300" w:lineRule="auto"/>
              <w:ind w:left="0" w:leftChars="0" w:firstLine="480" w:firstLineChars="200"/>
              <w:jc w:val="left"/>
              <w:textAlignment w:val="auto"/>
              <w:rPr>
                <w:rFonts w:hint="default" w:ascii="Times New Roman" w:hAnsi="Times New Roman" w:cs="Times New Roman"/>
                <w:b/>
                <w:color w:val="000000" w:themeColor="text1"/>
                <w:sz w:val="24"/>
                <w:szCs w:val="22"/>
                <w14:textFill>
                  <w14:solidFill>
                    <w14:schemeClr w14:val="tx1"/>
                  </w14:solidFill>
                </w14:textFill>
              </w:rPr>
            </w:pPr>
            <w:r>
              <w:rPr>
                <w:rFonts w:hint="default" w:ascii="Times New Roman" w:hAnsi="Times New Roman" w:cs="Times New Roman"/>
                <w:b/>
                <w:color w:val="000000" w:themeColor="text1"/>
                <w:sz w:val="24"/>
                <w:szCs w:val="22"/>
                <w14:textFill>
                  <w14:solidFill>
                    <w14:schemeClr w14:val="tx1"/>
                  </w14:solidFill>
                </w14:textFill>
              </w:rPr>
              <w:t>污染物排放量核算结果</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snapToGrid/>
                <w:color w:val="000000" w:themeColor="text1"/>
                <w:kern w:val="2"/>
                <w:sz w:val="24"/>
                <w:szCs w:val="24"/>
                <w14:textFill>
                  <w14:solidFill>
                    <w14:schemeClr w14:val="tx1"/>
                  </w14:solidFill>
                </w14:textFill>
              </w:rPr>
            </w:pPr>
            <w:r>
              <w:rPr>
                <w:rFonts w:hint="default" w:ascii="Times New Roman" w:hAnsi="Times New Roman" w:cs="Times New Roman"/>
                <w:snapToGrid/>
                <w:color w:val="000000" w:themeColor="text1"/>
                <w:kern w:val="2"/>
                <w:sz w:val="24"/>
                <w:szCs w:val="24"/>
                <w:lang w:val="en-US" w:eastAsia="zh-CN"/>
                <w14:textFill>
                  <w14:solidFill>
                    <w14:schemeClr w14:val="tx1"/>
                  </w14:solidFill>
                </w14:textFill>
              </w:rPr>
              <w:t>（1</w:t>
            </w:r>
            <w:r>
              <w:rPr>
                <w:rFonts w:hint="default" w:ascii="Times New Roman" w:hAnsi="Times New Roman" w:cs="Times New Roman"/>
                <w:snapToGrid/>
                <w:color w:val="000000" w:themeColor="text1"/>
                <w:kern w:val="2"/>
                <w:sz w:val="24"/>
                <w:szCs w:val="24"/>
                <w14:textFill>
                  <w14:solidFill>
                    <w14:schemeClr w14:val="tx1"/>
                  </w14:solidFill>
                </w14:textFill>
              </w:rPr>
              <w:t>）无组织排放量核算</w:t>
            </w:r>
          </w:p>
          <w:p>
            <w:pPr>
              <w:keepNext w:val="0"/>
              <w:keepLines w:val="0"/>
              <w:pageBreakBefore w:val="0"/>
              <w:widowControl w:val="0"/>
              <w:kinsoku/>
              <w:wordWrap/>
              <w:overflowPunct/>
              <w:topLinePunct w:val="0"/>
              <w:autoSpaceDE/>
              <w:autoSpaceDN/>
              <w:bidi w:val="0"/>
              <w:adjustRightInd/>
              <w:snapToGrid/>
              <w:spacing w:line="300" w:lineRule="auto"/>
              <w:ind w:firstLine="561"/>
              <w:textAlignment w:val="auto"/>
              <w:rPr>
                <w:rFonts w:hint="default" w:ascii="Times New Roman" w:hAnsi="Times New Roman" w:cs="Times New Roman"/>
                <w:snapToGrid/>
                <w:color w:val="000000" w:themeColor="text1"/>
                <w:kern w:val="2"/>
                <w:sz w:val="24"/>
                <w:szCs w:val="24"/>
                <w14:textFill>
                  <w14:solidFill>
                    <w14:schemeClr w14:val="tx1"/>
                  </w14:solidFill>
                </w14:textFill>
              </w:rPr>
            </w:pPr>
            <w:r>
              <w:rPr>
                <w:rFonts w:hint="default" w:ascii="Times New Roman" w:hAnsi="Times New Roman" w:cs="Times New Roman"/>
                <w:snapToGrid/>
                <w:color w:val="000000" w:themeColor="text1"/>
                <w:kern w:val="2"/>
                <w:sz w:val="24"/>
                <w:szCs w:val="24"/>
                <w14:textFill>
                  <w14:solidFill>
                    <w14:schemeClr w14:val="tx1"/>
                  </w14:solidFill>
                </w14:textFill>
              </w:rPr>
              <w:t>大气污染物无组织排放量核算见</w:t>
            </w:r>
            <w:r>
              <w:rPr>
                <w:rFonts w:hint="default" w:ascii="Times New Roman" w:hAnsi="Times New Roman" w:cs="Times New Roman"/>
                <w:snapToGrid/>
                <w:color w:val="000000" w:themeColor="text1"/>
                <w:kern w:val="2"/>
                <w:sz w:val="24"/>
                <w:szCs w:val="24"/>
                <w:lang w:val="en-US" w:eastAsia="zh-CN"/>
                <w14:textFill>
                  <w14:solidFill>
                    <w14:schemeClr w14:val="tx1"/>
                  </w14:solidFill>
                </w14:textFill>
              </w:rPr>
              <w:t>插</w:t>
            </w:r>
            <w:r>
              <w:rPr>
                <w:rFonts w:hint="default" w:ascii="Times New Roman" w:hAnsi="Times New Roman" w:cs="Times New Roman"/>
                <w:snapToGrid/>
                <w:color w:val="000000" w:themeColor="text1"/>
                <w:kern w:val="2"/>
                <w:sz w:val="24"/>
                <w:szCs w:val="24"/>
                <w14:textFill>
                  <w14:solidFill>
                    <w14:schemeClr w14:val="tx1"/>
                  </w14:solidFill>
                </w14:textFill>
              </w:rPr>
              <w:t>表</w:t>
            </w:r>
            <w:r>
              <w:rPr>
                <w:rFonts w:hint="default" w:ascii="Times New Roman" w:hAnsi="Times New Roman" w:cs="Times New Roman"/>
                <w:snapToGrid/>
                <w:color w:val="000000" w:themeColor="text1"/>
                <w:kern w:val="2"/>
                <w:sz w:val="24"/>
                <w:szCs w:val="24"/>
                <w:lang w:val="en-US" w:eastAsia="zh-CN"/>
                <w14:textFill>
                  <w14:solidFill>
                    <w14:schemeClr w14:val="tx1"/>
                  </w14:solidFill>
                </w14:textFill>
              </w:rPr>
              <w:t>1</w:t>
            </w:r>
            <w:r>
              <w:rPr>
                <w:rFonts w:hint="eastAsia" w:cs="Times New Roman"/>
                <w:snapToGrid/>
                <w:color w:val="000000" w:themeColor="text1"/>
                <w:kern w:val="2"/>
                <w:sz w:val="24"/>
                <w:szCs w:val="24"/>
                <w:lang w:val="en-US" w:eastAsia="zh-CN"/>
                <w14:textFill>
                  <w14:solidFill>
                    <w14:schemeClr w14:val="tx1"/>
                  </w14:solidFill>
                </w14:textFill>
              </w:rPr>
              <w:t>7</w:t>
            </w:r>
            <w:r>
              <w:rPr>
                <w:rFonts w:hint="default" w:ascii="Times New Roman" w:hAnsi="Times New Roman" w:cs="Times New Roman"/>
                <w:snapToGrid/>
                <w:color w:val="000000" w:themeColor="text1"/>
                <w:kern w:val="2"/>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插表1</w:t>
            </w:r>
            <w:r>
              <w:rPr>
                <w:rFonts w:hint="eastAsia" w:cs="Times New Roman" w:eastAsiaTheme="minorEastAsia"/>
                <w:b/>
                <w:bCs w:val="0"/>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大气污染物无组织排放量核算表</w:t>
            </w:r>
          </w:p>
          <w:tbl>
            <w:tblPr>
              <w:tblStyle w:val="44"/>
              <w:tblW w:w="8650" w:type="dxa"/>
              <w:tblInd w:w="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13"/>
              <w:gridCol w:w="754"/>
              <w:gridCol w:w="927"/>
              <w:gridCol w:w="751"/>
              <w:gridCol w:w="1220"/>
              <w:gridCol w:w="1934"/>
              <w:gridCol w:w="1261"/>
              <w:gridCol w:w="75"/>
              <w:gridCol w:w="12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序号</w:t>
                  </w:r>
                </w:p>
              </w:tc>
              <w:tc>
                <w:tcPr>
                  <w:tcW w:w="754"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排放口编号</w:t>
                  </w:r>
                </w:p>
              </w:tc>
              <w:tc>
                <w:tcPr>
                  <w:tcW w:w="927"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产污环节</w:t>
                  </w:r>
                </w:p>
              </w:tc>
              <w:tc>
                <w:tcPr>
                  <w:tcW w:w="7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污染物</w:t>
                  </w:r>
                </w:p>
              </w:tc>
              <w:tc>
                <w:tcPr>
                  <w:tcW w:w="12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主要污染防治措施</w:t>
                  </w:r>
                </w:p>
              </w:tc>
              <w:tc>
                <w:tcPr>
                  <w:tcW w:w="3270"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国家或地方污染物排放标准</w:t>
                  </w:r>
                </w:p>
              </w:tc>
              <w:tc>
                <w:tcPr>
                  <w:tcW w:w="1215"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排放量(</w:t>
                  </w:r>
                  <w:r>
                    <w:rPr>
                      <w:rFonts w:hint="default" w:ascii="Times New Roman" w:hAnsi="Times New Roman" w:cs="Times New Roman"/>
                      <w:b/>
                      <w:bCs/>
                      <w:snapToGrid/>
                      <w:color w:val="000000" w:themeColor="text1"/>
                      <w:szCs w:val="21"/>
                      <w:lang w:val="en-US" w:eastAsia="zh-CN"/>
                      <w14:textFill>
                        <w14:solidFill>
                          <w14:schemeClr w14:val="tx1"/>
                        </w14:solidFill>
                      </w14:textFill>
                    </w:rPr>
                    <w:t>t</w:t>
                  </w:r>
                  <w:r>
                    <w:rPr>
                      <w:rFonts w:hint="default" w:ascii="Times New Roman" w:hAnsi="Times New Roman" w:cs="Times New Roman"/>
                      <w:b/>
                      <w:bCs/>
                      <w:snapToGrid/>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p>
              </w:tc>
              <w:tc>
                <w:tcPr>
                  <w:tcW w:w="193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标准名称</w:t>
                  </w:r>
                </w:p>
              </w:tc>
              <w:tc>
                <w:tcPr>
                  <w:tcW w:w="1336"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bCs/>
                      <w:snapToGrid/>
                      <w:color w:val="000000" w:themeColor="text1"/>
                      <w:szCs w:val="21"/>
                      <w14:textFill>
                        <w14:solidFill>
                          <w14:schemeClr w14:val="tx1"/>
                        </w14:solidFill>
                      </w14:textFill>
                    </w:rPr>
                  </w:pPr>
                  <w:r>
                    <w:rPr>
                      <w:rFonts w:hint="default" w:ascii="Times New Roman" w:hAnsi="Times New Roman" w:cs="Times New Roman"/>
                      <w:b/>
                      <w:bCs/>
                      <w:snapToGrid/>
                      <w:color w:val="000000" w:themeColor="text1"/>
                      <w:szCs w:val="21"/>
                      <w14:textFill>
                        <w14:solidFill>
                          <w14:schemeClr w14:val="tx1"/>
                        </w14:solidFill>
                      </w14:textFill>
                    </w:rPr>
                    <w:t>浓度限值/（mg/m</w:t>
                  </w:r>
                  <w:r>
                    <w:rPr>
                      <w:rFonts w:hint="default" w:ascii="Times New Roman" w:hAnsi="Times New Roman" w:cs="Times New Roman"/>
                      <w:b/>
                      <w:bCs/>
                      <w:snapToGrid/>
                      <w:color w:val="000000" w:themeColor="text1"/>
                      <w:szCs w:val="21"/>
                      <w:vertAlign w:val="superscript"/>
                      <w14:textFill>
                        <w14:solidFill>
                          <w14:schemeClr w14:val="tx1"/>
                        </w14:solidFill>
                      </w14:textFill>
                    </w:rPr>
                    <w:t>3</w:t>
                  </w:r>
                  <w:r>
                    <w:rPr>
                      <w:rFonts w:hint="default" w:ascii="Times New Roman" w:hAnsi="Times New Roman" w:cs="Times New Roman"/>
                      <w:b/>
                      <w:bCs/>
                      <w:snapToGrid/>
                      <w:color w:val="000000" w:themeColor="text1"/>
                      <w:szCs w:val="21"/>
                      <w14:textFill>
                        <w14:solidFill>
                          <w14:schemeClr w14:val="tx1"/>
                        </w14:solidFill>
                      </w14:textFill>
                    </w:rPr>
                    <w:t>）</w:t>
                  </w:r>
                </w:p>
              </w:tc>
              <w:tc>
                <w:tcPr>
                  <w:tcW w:w="12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r>
                    <w:rPr>
                      <w:rFonts w:hint="default" w:ascii="Times New Roman" w:hAnsi="Times New Roman" w:cs="Times New Roman"/>
                      <w:snapToGrid/>
                      <w:color w:val="000000" w:themeColor="text1"/>
                      <w:szCs w:val="21"/>
                      <w14:textFill>
                        <w14:solidFill>
                          <w14:schemeClr w14:val="tx1"/>
                        </w14:solidFill>
                      </w14:textFill>
                    </w:rPr>
                    <w:t>1</w:t>
                  </w:r>
                </w:p>
              </w:tc>
              <w:tc>
                <w:tcPr>
                  <w:tcW w:w="754"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val="en-US" w:eastAsia="zh-CN"/>
                      <w14:textFill>
                        <w14:solidFill>
                          <w14:schemeClr w14:val="tx1"/>
                        </w14:solidFill>
                      </w14:textFill>
                    </w:rPr>
                  </w:pPr>
                  <w:r>
                    <w:rPr>
                      <w:rFonts w:hint="default" w:ascii="Times New Roman" w:hAnsi="Times New Roman" w:cs="Times New Roman"/>
                      <w:snapToGrid/>
                      <w:color w:val="000000" w:themeColor="text1"/>
                      <w:kern w:val="2"/>
                      <w:szCs w:val="21"/>
                      <w:lang w:val="en-US" w:eastAsia="zh-CN"/>
                      <w14:textFill>
                        <w14:solidFill>
                          <w14:schemeClr w14:val="tx1"/>
                        </w14:solidFill>
                      </w14:textFill>
                    </w:rPr>
                    <w:t>--</w:t>
                  </w:r>
                </w:p>
              </w:tc>
              <w:tc>
                <w:tcPr>
                  <w:tcW w:w="927" w:type="dxa"/>
                  <w:vMerge w:val="restart"/>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钻井期发电机、柴油机</w:t>
                  </w: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SO</w:t>
                  </w:r>
                  <w:r>
                    <w:rPr>
                      <w:rFonts w:hint="default" w:ascii="Times New Roman" w:hAnsi="Times New Roman" w:cs="Times New Roman"/>
                      <w:snapToGrid w:val="0"/>
                      <w:color w:val="000000" w:themeColor="text1"/>
                      <w:sz w:val="21"/>
                      <w:szCs w:val="21"/>
                      <w:vertAlign w:val="subscript"/>
                      <w14:textFill>
                        <w14:solidFill>
                          <w14:schemeClr w14:val="tx1"/>
                        </w14:solidFill>
                      </w14:textFill>
                    </w:rPr>
                    <w:t>2</w:t>
                  </w:r>
                </w:p>
              </w:tc>
              <w:tc>
                <w:tcPr>
                  <w:tcW w:w="12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燃用低硫柴油、并加强施工机械保养提高效率降低柴油消耗量等来减少钻井废气的污染</w:t>
                  </w:r>
                </w:p>
              </w:tc>
              <w:tc>
                <w:tcPr>
                  <w:tcW w:w="1934"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《大气污染物综合排放标准》GB16297-1996</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无组织排放标准</w:t>
                  </w: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48</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NO</w:t>
                  </w:r>
                  <w:r>
                    <w:rPr>
                      <w:rFonts w:hint="default" w:ascii="Times New Roman" w:hAnsi="Times New Roman" w:cs="Times New Roman"/>
                      <w:snapToGrid w:val="0"/>
                      <w:color w:val="000000" w:themeColor="text1"/>
                      <w:sz w:val="21"/>
                      <w:szCs w:val="21"/>
                      <w:vertAlign w:val="subscript"/>
                      <w14:textFill>
                        <w14:solidFill>
                          <w14:schemeClr w14:val="tx1"/>
                        </w14:solidFill>
                      </w14:textFill>
                    </w:rPr>
                    <w:t>x</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0.12</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31</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颗粒物</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09</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CO</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总烃</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4.0</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2</w:t>
                  </w:r>
                </w:p>
              </w:tc>
              <w:tc>
                <w:tcPr>
                  <w:tcW w:w="754"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val="en-US" w:eastAsia="zh-CN"/>
                      <w14:textFill>
                        <w14:solidFill>
                          <w14:schemeClr w14:val="tx1"/>
                        </w14:solidFill>
                      </w14:textFill>
                    </w:rPr>
                  </w:pPr>
                  <w:r>
                    <w:rPr>
                      <w:rFonts w:hint="default" w:ascii="Times New Roman" w:hAnsi="Times New Roman" w:cs="Times New Roman"/>
                      <w:snapToGrid/>
                      <w:color w:val="000000" w:themeColor="text1"/>
                      <w:kern w:val="2"/>
                      <w:szCs w:val="21"/>
                      <w:lang w:val="en-US" w:eastAsia="zh-CN"/>
                      <w14:textFill>
                        <w14:solidFill>
                          <w14:schemeClr w14:val="tx1"/>
                        </w14:solidFill>
                      </w14:textFill>
                    </w:rPr>
                    <w:t>--</w:t>
                  </w:r>
                </w:p>
              </w:tc>
              <w:tc>
                <w:tcPr>
                  <w:tcW w:w="927" w:type="dxa"/>
                  <w:vMerge w:val="restart"/>
                  <w:tcBorders>
                    <w:tl2br w:val="nil"/>
                    <w:tr2bl w:val="nil"/>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排采期</w:t>
                  </w:r>
                </w:p>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发电机</w:t>
                  </w: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SO</w:t>
                  </w:r>
                  <w:r>
                    <w:rPr>
                      <w:rFonts w:hint="default" w:ascii="Times New Roman" w:hAnsi="Times New Roman" w:cs="Times New Roman"/>
                      <w:snapToGrid w:val="0"/>
                      <w:color w:val="000000" w:themeColor="text1"/>
                      <w:sz w:val="21"/>
                      <w:szCs w:val="21"/>
                      <w:vertAlign w:val="subscript"/>
                      <w14:textFill>
                        <w14:solidFill>
                          <w14:schemeClr w14:val="tx1"/>
                        </w14:solidFill>
                      </w14:textFill>
                    </w:rPr>
                    <w:t>2</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0.</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NO</w:t>
                  </w:r>
                  <w:r>
                    <w:rPr>
                      <w:rFonts w:hint="default" w:ascii="Times New Roman" w:hAnsi="Times New Roman" w:cs="Times New Roman"/>
                      <w:snapToGrid w:val="0"/>
                      <w:color w:val="000000" w:themeColor="text1"/>
                      <w:sz w:val="21"/>
                      <w:szCs w:val="21"/>
                      <w:vertAlign w:val="subscript"/>
                      <w14:textFill>
                        <w14:solidFill>
                          <w14:schemeClr w14:val="tx1"/>
                        </w14:solidFill>
                      </w14:textFill>
                    </w:rPr>
                    <w:t>x</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0.12</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颗粒物</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0.02t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CO</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0.04t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754"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kern w:val="2"/>
                      <w:szCs w:val="21"/>
                      <w:lang w:eastAsia="zh-CN"/>
                      <w14:textFill>
                        <w14:solidFill>
                          <w14:schemeClr w14:val="tx1"/>
                        </w14:solidFill>
                      </w14:textFill>
                    </w:rPr>
                  </w:pPr>
                </w:p>
              </w:tc>
              <w:tc>
                <w:tcPr>
                  <w:tcW w:w="9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总烃</w:t>
                  </w:r>
                </w:p>
              </w:tc>
              <w:tc>
                <w:tcPr>
                  <w:tcW w:w="12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eastAsia="zh-CN"/>
                      <w14:textFill>
                        <w14:solidFill>
                          <w14:schemeClr w14:val="tx1"/>
                        </w14:solidFill>
                      </w14:textFill>
                    </w:rPr>
                  </w:pPr>
                </w:p>
              </w:tc>
              <w:tc>
                <w:tcPr>
                  <w:tcW w:w="19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336"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4.0</w:t>
                  </w:r>
                </w:p>
              </w:tc>
              <w:tc>
                <w:tcPr>
                  <w:tcW w:w="121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0.04t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650" w:type="dxa"/>
                  <w:gridSpan w:val="9"/>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r>
                    <w:rPr>
                      <w:rFonts w:hint="default" w:ascii="Times New Roman" w:hAnsi="Times New Roman" w:cs="Times New Roman"/>
                      <w:snapToGrid/>
                      <w:color w:val="000000" w:themeColor="text1"/>
                      <w:szCs w:val="21"/>
                      <w14:textFill>
                        <w14:solidFill>
                          <w14:schemeClr w14:val="tx1"/>
                        </w14:solidFill>
                      </w14:textFill>
                    </w:rPr>
                    <w:t>无组织排放总计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194" w:type="dxa"/>
                  <w:gridSpan w:val="3"/>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r>
                    <w:rPr>
                      <w:rFonts w:hint="default" w:ascii="Times New Roman" w:hAnsi="Times New Roman" w:cs="Times New Roman"/>
                      <w:snapToGrid/>
                      <w:color w:val="000000" w:themeColor="text1"/>
                      <w:szCs w:val="21"/>
                      <w14:textFill>
                        <w14:solidFill>
                          <w14:schemeClr w14:val="tx1"/>
                        </w14:solidFill>
                      </w14:textFill>
                    </w:rPr>
                    <w:t>无组织排放总计</w:t>
                  </w:r>
                </w:p>
              </w:tc>
              <w:tc>
                <w:tcPr>
                  <w:tcW w:w="5166" w:type="dxa"/>
                  <w:gridSpan w:val="4"/>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SO</w:t>
                  </w:r>
                  <w:r>
                    <w:rPr>
                      <w:rFonts w:hint="default" w:ascii="Times New Roman" w:hAnsi="Times New Roman" w:cs="Times New Roman"/>
                      <w:snapToGrid w:val="0"/>
                      <w:color w:val="000000" w:themeColor="text1"/>
                      <w:sz w:val="21"/>
                      <w:szCs w:val="21"/>
                      <w:vertAlign w:val="subscript"/>
                      <w14:textFill>
                        <w14:solidFill>
                          <w14:schemeClr w14:val="tx1"/>
                        </w14:solidFill>
                      </w14:textFill>
                    </w:rPr>
                    <w:t>2</w:t>
                  </w:r>
                </w:p>
              </w:tc>
              <w:tc>
                <w:tcPr>
                  <w:tcW w:w="129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lang w:val="en-US"/>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0.58</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194" w:type="dxa"/>
                  <w:gridSpan w:val="3"/>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5166" w:type="dxa"/>
                  <w:gridSpan w:val="4"/>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NO</w:t>
                  </w:r>
                  <w:r>
                    <w:rPr>
                      <w:rFonts w:hint="default" w:ascii="Times New Roman" w:hAnsi="Times New Roman" w:cs="Times New Roman"/>
                      <w:snapToGrid w:val="0"/>
                      <w:color w:val="000000" w:themeColor="text1"/>
                      <w:sz w:val="21"/>
                      <w:szCs w:val="21"/>
                      <w:vertAlign w:val="subscript"/>
                      <w14:textFill>
                        <w14:solidFill>
                          <w14:schemeClr w14:val="tx1"/>
                        </w14:solidFill>
                      </w14:textFill>
                    </w:rPr>
                    <w:t>x</w:t>
                  </w:r>
                </w:p>
              </w:tc>
              <w:tc>
                <w:tcPr>
                  <w:tcW w:w="129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0.37</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194" w:type="dxa"/>
                  <w:gridSpan w:val="3"/>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5166" w:type="dxa"/>
                  <w:gridSpan w:val="4"/>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颗粒物</w:t>
                  </w:r>
                </w:p>
              </w:tc>
              <w:tc>
                <w:tcPr>
                  <w:tcW w:w="129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0.11</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194" w:type="dxa"/>
                  <w:gridSpan w:val="3"/>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5166" w:type="dxa"/>
                  <w:gridSpan w:val="4"/>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CO</w:t>
                  </w:r>
                </w:p>
              </w:tc>
              <w:tc>
                <w:tcPr>
                  <w:tcW w:w="129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0.22</w:t>
                  </w:r>
                  <w:r>
                    <w:rPr>
                      <w:rFonts w:hint="default" w:ascii="Times New Roman" w:hAnsi="Times New Roman" w:cs="Times New Roman"/>
                      <w:color w:val="000000" w:themeColor="text1"/>
                      <w:sz w:val="21"/>
                      <w:szCs w:val="21"/>
                      <w14:textFill>
                        <w14:solidFill>
                          <w14:schemeClr w14:val="tx1"/>
                        </w14:solidFill>
                      </w14:textFill>
                    </w:rPr>
                    <w:t>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194" w:type="dxa"/>
                  <w:gridSpan w:val="3"/>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14:textFill>
                        <w14:solidFill>
                          <w14:schemeClr w14:val="tx1"/>
                        </w14:solidFill>
                      </w14:textFill>
                    </w:rPr>
                  </w:pPr>
                </w:p>
              </w:tc>
              <w:tc>
                <w:tcPr>
                  <w:tcW w:w="5166" w:type="dxa"/>
                  <w:gridSpan w:val="4"/>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总烃</w:t>
                  </w:r>
                </w:p>
              </w:tc>
              <w:tc>
                <w:tcPr>
                  <w:tcW w:w="1290" w:type="dxa"/>
                  <w:gridSpan w:val="2"/>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snapToGrid/>
                      <w:color w:val="000000" w:themeColor="text1"/>
                      <w:szCs w:val="21"/>
                      <w:lang w:val="en-US" w:eastAsia="zh-CN"/>
                      <w14:textFill>
                        <w14:solidFill>
                          <w14:schemeClr w14:val="tx1"/>
                        </w14:solidFill>
                      </w14:textFill>
                    </w:rPr>
                  </w:pPr>
                  <w:r>
                    <w:rPr>
                      <w:rFonts w:hint="default" w:ascii="Times New Roman" w:hAnsi="Times New Roman" w:cs="Times New Roman"/>
                      <w:snapToGrid/>
                      <w:color w:val="000000" w:themeColor="text1"/>
                      <w:szCs w:val="21"/>
                      <w:lang w:val="en-US" w:eastAsia="zh-CN"/>
                      <w14:textFill>
                        <w14:solidFill>
                          <w14:schemeClr w14:val="tx1"/>
                        </w14:solidFill>
                      </w14:textFill>
                    </w:rPr>
                    <w:t>0.22</w:t>
                  </w:r>
                  <w:r>
                    <w:rPr>
                      <w:rFonts w:hint="default" w:ascii="Times New Roman" w:hAnsi="Times New Roman" w:cs="Times New Roman"/>
                      <w:color w:val="000000" w:themeColor="text1"/>
                      <w:sz w:val="21"/>
                      <w:szCs w:val="21"/>
                      <w14:textFill>
                        <w14:solidFill>
                          <w14:schemeClr w14:val="tx1"/>
                        </w14:solidFill>
                      </w14:textFill>
                    </w:rPr>
                    <w:t>t</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二、</w:t>
            </w:r>
            <w:r>
              <w:rPr>
                <w:rFonts w:hint="default" w:ascii="Times New Roman" w:hAnsi="Times New Roman" w:cs="Times New Roman"/>
                <w:b/>
                <w:bCs/>
                <w:color w:val="000000" w:themeColor="text1"/>
                <w:sz w:val="24"/>
                <w:lang w:val="en-US" w:eastAsia="zh-CN"/>
                <w14:textFill>
                  <w14:solidFill>
                    <w14:schemeClr w14:val="tx1"/>
                  </w14:solidFill>
                </w14:textFill>
              </w:rPr>
              <w:t>地表水</w:t>
            </w:r>
            <w:r>
              <w:rPr>
                <w:rFonts w:hint="default" w:ascii="Times New Roman" w:hAnsi="Times New Roman" w:cs="Times New Roman"/>
                <w:b/>
                <w:bCs/>
                <w:color w:val="000000" w:themeColor="text1"/>
                <w:sz w:val="24"/>
                <w14:textFill>
                  <w14:solidFill>
                    <w14:schemeClr w14:val="tx1"/>
                  </w14:solidFill>
                </w14:textFill>
              </w:rPr>
              <w:t>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 钻井期废水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本项目产生的废水主要为勘探人员产生的生活污水、钻井过程中</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由机械废水（冷却水等）和冲洗废水（冲洗钻具、钻台）构成的钻井废水</w:t>
            </w:r>
            <w:r>
              <w:rPr>
                <w:rFonts w:hint="default" w:ascii="Times New Roman" w:hAnsi="Times New Roman" w:cs="Times New Roman"/>
                <w:color w:val="000000" w:themeColor="text1"/>
                <w:sz w:val="24"/>
                <w:lang w:eastAsia="zh-CN"/>
                <w14:textFill>
                  <w14:solidFill>
                    <w14:schemeClr w14:val="tx1"/>
                  </w14:solidFill>
                </w14:textFill>
              </w:rPr>
              <w:t>、压裂废水</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1）生活污水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本项目钻井过程生活污水产生量为1.28m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/d，生活污水量少且成分简单，排入</w:t>
            </w:r>
            <w:r>
              <w:rPr>
                <w:rFonts w:hint="default" w:ascii="Times New Roman" w:hAnsi="Times New Roman" w:cs="Times New Roman"/>
                <w:color w:val="000000" w:themeColor="text1"/>
                <w:sz w:val="24"/>
                <w:lang w:eastAsia="zh-CN"/>
                <w14:textFill>
                  <w14:solidFill>
                    <w14:schemeClr w14:val="tx1"/>
                  </w14:solidFill>
                </w14:textFill>
              </w:rPr>
              <w:t>环保旱厕，定期由附近居民清运</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2）钻井</w:t>
            </w:r>
            <w:r>
              <w:rPr>
                <w:rFonts w:hint="default" w:ascii="Times New Roman" w:hAnsi="Times New Roman" w:cs="Times New Roman"/>
                <w:color w:val="000000" w:themeColor="text1"/>
                <w:sz w:val="24"/>
                <w:lang w:val="en-US"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钻井过程中产生的钻井</w:t>
            </w:r>
            <w:r>
              <w:rPr>
                <w:rFonts w:hint="default" w:ascii="Times New Roman" w:hAnsi="Times New Roman" w:cs="Times New Roman"/>
                <w:color w:val="000000" w:themeColor="text1"/>
                <w:sz w:val="24"/>
                <w:lang w:val="en-US" w:eastAsia="zh-CN"/>
                <w14:textFill>
                  <w14:solidFill>
                    <w14:schemeClr w14:val="tx1"/>
                  </w14:solidFill>
                </w14:textFill>
              </w:rPr>
              <w:t>废</w:t>
            </w:r>
            <w:r>
              <w:rPr>
                <w:rFonts w:hint="default" w:ascii="Times New Roman" w:hAnsi="Times New Roman" w:cs="Times New Roman"/>
                <w:color w:val="000000" w:themeColor="text1"/>
                <w:sz w:val="24"/>
                <w14:textFill>
                  <w14:solidFill>
                    <w14:schemeClr w14:val="tx1"/>
                  </w14:solidFill>
                </w14:textFill>
              </w:rPr>
              <w:t>水根据经验估算，1个井口每钻进1</w:t>
            </w:r>
            <w:r>
              <w:rPr>
                <w:rFonts w:hint="eastAsia"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，排放废水约0.04m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，每天平均钻进5</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eastAsia"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，排水2</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/d。主要污染物为悬浮物、石油类、化学需氧量等。钻井工作使用的泥浆水在钻进过程中混入了钻屑，泥浆水采用振动筛分离钻屑后循环使用。</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w:t>
            </w:r>
            <w:r>
              <w:rPr>
                <w:rFonts w:hint="default" w:ascii="Times New Roman" w:hAnsi="Times New Roman" w:cs="Times New Roman"/>
                <w:color w:val="000000" w:themeColor="text1"/>
                <w:sz w:val="24"/>
                <w:lang w:val="en-US" w:eastAsia="zh-CN"/>
                <w14:textFill>
                  <w14:solidFill>
                    <w14:schemeClr w14:val="tx1"/>
                  </w14:solidFill>
                </w14:textFill>
              </w:rPr>
              <w:t>废水</w:t>
            </w:r>
            <w:r>
              <w:rPr>
                <w:rFonts w:hint="default" w:ascii="Times New Roman" w:hAnsi="Times New Roman" w:cs="Times New Roman"/>
                <w:color w:val="000000" w:themeColor="text1"/>
                <w:sz w:val="24"/>
                <w14:textFill>
                  <w14:solidFill>
                    <w14:schemeClr w14:val="tx1"/>
                  </w14:solidFill>
                </w14:textFill>
              </w:rPr>
              <w:t>全部送入泥浆系统补充泥浆用水，泥浆补水不足部分由清水进行补充。泥浆池最终做无害化处理后回填。</w:t>
            </w:r>
            <w:r>
              <w:rPr>
                <w:rFonts w:hint="eastAsia"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勘查井在钻井过程中设有1个容积约为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00m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的泥浆池，泥浆池采用粘土+双层土工膜防渗基础进行了防渗。</w:t>
            </w:r>
          </w:p>
          <w:p>
            <w:pPr>
              <w:pStyle w:val="43"/>
              <w:keepNext w:val="0"/>
              <w:keepLines w:val="0"/>
              <w:pageBreakBefore w:val="0"/>
              <w:numPr>
                <w:ilvl w:val="0"/>
                <w:numId w:val="0"/>
              </w:numPr>
              <w:kinsoku/>
              <w:wordWrap/>
              <w:overflowPunct/>
              <w:topLinePunct w:val="0"/>
              <w:autoSpaceDE/>
              <w:autoSpaceDN/>
              <w:bidi w:val="0"/>
              <w:spacing w:after="0" w:line="300" w:lineRule="auto"/>
              <w:ind w:left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（3）洗井废水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洗井废水返排水约为用水量的 50%，则单井洗井废水返排量为10m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/d，洗井废水全部进入泥浆池。</w:t>
            </w:r>
          </w:p>
          <w:p>
            <w:pPr>
              <w:pStyle w:val="2"/>
              <w:pageBreakBefore w:val="0"/>
              <w:numPr>
                <w:ilvl w:val="0"/>
                <w:numId w:val="0"/>
              </w:numPr>
              <w:kinsoku/>
              <w:wordWrap/>
              <w:overflowPunct/>
              <w:topLinePunct w:val="0"/>
              <w:autoSpaceDE/>
              <w:autoSpaceDN/>
              <w:bidi w:val="0"/>
              <w:adjustRightInd/>
              <w:snapToGrid/>
              <w:spacing w:beforeLines="0" w:line="30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（4）压裂废水</w:t>
            </w:r>
            <w:r>
              <w:rPr>
                <w:rFonts w:hint="eastAsia" w:eastAsia="宋体" w:cs="Times New Roman"/>
                <w:color w:val="000000" w:themeColor="text1"/>
                <w:kern w:val="2"/>
                <w:sz w:val="24"/>
                <w:szCs w:val="24"/>
                <w:lang w:val="en-US" w:eastAsia="zh-CN" w:bidi="ar-SA"/>
                <w14:textFill>
                  <w14:solidFill>
                    <w14:schemeClr w14:val="tx1"/>
                  </w14:solidFill>
                </w14:textFill>
              </w:rPr>
              <w:t>（略）</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勘探</w:t>
            </w:r>
            <w:r>
              <w:rPr>
                <w:rFonts w:hint="eastAsia" w:cs="Times New Roman"/>
                <w:color w:val="000000" w:themeColor="text1"/>
                <w:kern w:val="0"/>
                <w:sz w:val="24"/>
                <w:szCs w:val="20"/>
                <w:lang w:val="en-US" w:eastAsia="zh-CN" w:bidi="ar-SA"/>
                <w14:textFill>
                  <w14:solidFill>
                    <w14:schemeClr w14:val="tx1"/>
                  </w14:solidFill>
                </w14:textFill>
              </w:rPr>
              <w:t>排采期</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排水</w:t>
            </w:r>
          </w:p>
          <w:p>
            <w:pPr>
              <w:pStyle w:val="43"/>
              <w:keepNext w:val="0"/>
              <w:keepLines w:val="0"/>
              <w:pageBreakBefore w:val="0"/>
              <w:numPr>
                <w:ilvl w:val="0"/>
                <w:numId w:val="0"/>
              </w:numPr>
              <w:kinsoku/>
              <w:wordWrap/>
              <w:overflowPunct/>
              <w:topLinePunct w:val="0"/>
              <w:autoSpaceDE/>
              <w:autoSpaceDN/>
              <w:bidi w:val="0"/>
              <w:spacing w:after="0" w:line="300" w:lineRule="auto"/>
              <w:textAlignment w:val="auto"/>
              <w:rPr>
                <w:rFonts w:hint="default" w:ascii="Times New Roman" w:hAnsi="Times New Roman" w:eastAsia="宋体" w:cs="Times New Roman"/>
                <w:color w:val="000000" w:themeColor="text1"/>
                <w:spacing w:val="0"/>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4"/>
                <w:szCs w:val="20"/>
                <w:lang w:val="en-US" w:eastAsia="zh-CN" w:bidi="ar-SA"/>
                <w14:textFill>
                  <w14:solidFill>
                    <w14:schemeClr w14:val="tx1"/>
                  </w14:solidFill>
                </w14:textFill>
              </w:rPr>
              <w:t xml:space="preserve"> （1）排采水</w:t>
            </w:r>
            <w:r>
              <w:rPr>
                <w:rFonts w:hint="eastAsia" w:ascii="Times New Roman" w:eastAsia="宋体" w:cs="Times New Roman"/>
                <w:color w:val="000000" w:themeColor="text1"/>
                <w:spacing w:val="0"/>
                <w:kern w:val="0"/>
                <w:sz w:val="24"/>
                <w:szCs w:val="20"/>
                <w:lang w:val="en-US" w:eastAsia="zh-CN" w:bidi="ar-SA"/>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（2）生活污水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本项目钻井过程生活污水产生量为</w:t>
            </w:r>
            <w:r>
              <w:rPr>
                <w:rFonts w:hint="default" w:ascii="Times New Roman" w:hAnsi="Times New Roman" w:cs="Times New Roman"/>
                <w:color w:val="000000" w:themeColor="text1"/>
                <w:sz w:val="24"/>
                <w:lang w:val="en-US" w:eastAsia="zh-CN"/>
                <w14:textFill>
                  <w14:solidFill>
                    <w14:schemeClr w14:val="tx1"/>
                  </w14:solidFill>
                </w14:textFill>
              </w:rPr>
              <w:t>0.13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/d，生活污水量少且成分简单，排入</w:t>
            </w:r>
            <w:r>
              <w:rPr>
                <w:rFonts w:hint="default" w:ascii="Times New Roman" w:hAnsi="Times New Roman" w:cs="Times New Roman"/>
                <w:color w:val="000000" w:themeColor="text1"/>
                <w:sz w:val="24"/>
                <w:lang w:eastAsia="zh-CN"/>
                <w14:textFill>
                  <w14:solidFill>
                    <w14:schemeClr w14:val="tx1"/>
                  </w14:solidFill>
                </w14:textFill>
              </w:rPr>
              <w:t>环保旱厕，定期由附近居民清运</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其他管理措施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在钻前施工时合理布局井场，避免生产用水和非生产用水合流、清水和污水混流。泥浆材料不能露天堆放，油料实行密封式保存。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在工艺允许的情况下，尽量采用新工艺和新技术，提高钻井效率，减少废水产生量；钻井废水处理后循环使用，回用率达90％以上。</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利用泥浆池开挖时的土石方，在泥浆池周围(主要是地势上游方向)构筑简单土坝围挡，并依地势开挖导流水沟，保证暴雨时地表雨水通过排水沟流出场外，阻止暴雨时地表漫流和径流进入泥浆池，实现雨污分流。药品与临时材料堆放场应有遮盖蓬遮蔽，为防止物料散漏，在其四周应有疏水沟系，防止雨水浸湿和水流引起物料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环评要求井场勘探区不得设置在河道，并且在河流的两堤内禁止为施工机械加油或存放油品储罐，禁止在河流主流区和河滩区内清洗施工机械或车辆。勘探距离河道较近的井场时，应避开雨季。对于离河道较近的井场，要做好井场护坡工程，加固泥浆池，避免洪水等自然灾害造成河流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综上，本项目废水不会对地表水产生明显的不利影响。</w:t>
            </w:r>
          </w:p>
          <w:p>
            <w:pPr>
              <w:keepNext w:val="0"/>
              <w:keepLines w:val="0"/>
              <w:pageBreakBefore w:val="0"/>
              <w:widowControl w:val="0"/>
              <w:numPr>
                <w:ilvl w:val="0"/>
                <w:numId w:val="12"/>
              </w:numPr>
              <w:kinsoku/>
              <w:wordWrap/>
              <w:overflowPunct/>
              <w:topLinePunct w:val="0"/>
              <w:autoSpaceDE/>
              <w:autoSpaceDN/>
              <w:bidi w:val="0"/>
              <w:adjustRightIn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地表水环境影响评价等级判定</w:t>
            </w:r>
            <w:r>
              <w:rPr>
                <w:rFonts w:hint="eastAsia" w:cs="Times New Roman"/>
                <w:color w:val="000000" w:themeColor="text1"/>
                <w:sz w:val="24"/>
                <w:lang w:val="en-US" w:eastAsia="zh-CN"/>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outlineLvl w:val="9"/>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00" w:lineRule="auto"/>
              <w:ind w:firstLine="470" w:firstLineChars="196"/>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建设项目地表水影响评价自查表见插表</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建设项目地表水影响评价自查表</w:t>
            </w:r>
          </w:p>
          <w:tbl>
            <w:tblPr>
              <w:tblStyle w:val="44"/>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1993"/>
              <w:gridCol w:w="3479"/>
              <w:gridCol w:w="274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98"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601"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45"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影响识别</w:t>
                  </w:r>
                </w:p>
              </w:tc>
              <w:tc>
                <w:tcPr>
                  <w:tcW w:w="1152"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影响类型</w:t>
                  </w:r>
                </w:p>
              </w:tc>
              <w:tc>
                <w:tcPr>
                  <w:tcW w:w="3601"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r>
                    <w:rPr>
                      <w:rFonts w:hint="default" w:ascii="Times New Roman" w:hAnsi="Times New Roman" w:eastAsia="MS Mincho"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4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152"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水环境保护目标</w:t>
                  </w:r>
                </w:p>
              </w:tc>
              <w:tc>
                <w:tcPr>
                  <w:tcW w:w="3601"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饮用水水源保护区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；饮用水取水口□；涉水的自然保护区□；重要湿地□；重点保护与珍稀水生生物的栖息地□；重要水生生物的自然产卵场及索饵场、越冬场和洄游通道、天然渔场等渔业水体□；涉水的风景名胜区□；其他□；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4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152"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影响途径</w:t>
                  </w:r>
                </w:p>
              </w:tc>
              <w:tc>
                <w:tcPr>
                  <w:tcW w:w="2012"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1589"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4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152" w:type="pct"/>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012" w:type="pc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直接排放□；间接排放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589" w:type="pc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水温□；径流□；水域面积□；</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建设项目地表水影响评价自查表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67"/>
              <w:gridCol w:w="1583"/>
              <w:gridCol w:w="1552"/>
              <w:gridCol w:w="1681"/>
              <w:gridCol w:w="2"/>
              <w:gridCol w:w="1161"/>
              <w:gridCol w:w="200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01"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698" w:type="pct"/>
                  <w:gridSpan w:val="5"/>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21" w:hRule="atLeast"/>
              </w:trPr>
              <w:tc>
                <w:tcPr>
                  <w:tcW w:w="386"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影响识别</w:t>
                  </w: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影响因子</w:t>
                  </w:r>
                </w:p>
              </w:tc>
              <w:tc>
                <w:tcPr>
                  <w:tcW w:w="1870" w:type="pct"/>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持久性污染物□；有毒有害污染物□；非持久性污染物□；pH值□；热污染□；富营养化□；其他</w:t>
                  </w:r>
                  <w:r>
                    <w:rPr>
                      <w:rFonts w:hint="default" w:ascii="Times New Roman" w:hAnsi="Times New Roman" w:eastAsia="MS Gothic"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828"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水温□；水位（水深）□；流速□；流量□；其他□；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01" w:type="pct"/>
                  <w:gridSpan w:val="2"/>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1869"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1829"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01" w:type="pct"/>
                  <w:gridSpan w:val="2"/>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869"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一级□；二级□；三级A□；三级B</w:t>
                  </w:r>
                  <w:r>
                    <w:rPr>
                      <w:rFonts w:hint="default" w:ascii="Times New Roman" w:hAnsi="Times New Roman" w:eastAsia="MS Gothic"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1829" w:type="pct"/>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一级□；二级□；三级□；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现状调查</w:t>
                  </w:r>
                </w:p>
              </w:tc>
              <w:tc>
                <w:tcPr>
                  <w:tcW w:w="91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区域污染源</w:t>
                  </w:r>
                </w:p>
              </w:tc>
              <w:tc>
                <w:tcPr>
                  <w:tcW w:w="1869"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调查项目</w:t>
                  </w:r>
                </w:p>
              </w:tc>
              <w:tc>
                <w:tcPr>
                  <w:tcW w:w="1829"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897" w:type="pc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已建□；在建□；拟建□；其他□；</w:t>
                  </w:r>
                </w:p>
              </w:tc>
              <w:tc>
                <w:tcPr>
                  <w:tcW w:w="972" w:type="pc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拟替代的污染源□；</w:t>
                  </w:r>
                </w:p>
              </w:tc>
              <w:tc>
                <w:tcPr>
                  <w:tcW w:w="1829" w:type="pct"/>
                  <w:gridSpan w:val="3"/>
                  <w:tcBorders>
                    <w:tl2br w:val="nil"/>
                    <w:tr2bl w:val="nil"/>
                  </w:tcBorders>
                  <w:shd w:val="clear" w:color="auto" w:fill="auto"/>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排污许可证□；环评□；环保验收□；既有实测□；现场监测□；入河排放数据□；其他□；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受影响水体环境质量</w:t>
                  </w:r>
                </w:p>
              </w:tc>
              <w:tc>
                <w:tcPr>
                  <w:tcW w:w="1869"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1829"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869"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tc>
              <w:tc>
                <w:tcPr>
                  <w:tcW w:w="1829" w:type="pct"/>
                  <w:gridSpan w:val="3"/>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生态环境保护主管部门□；补充监测□；其他□；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区域水资源开始利用状况</w:t>
                  </w:r>
                </w:p>
              </w:tc>
              <w:tc>
                <w:tcPr>
                  <w:tcW w:w="3698" w:type="pct"/>
                  <w:gridSpan w:val="5"/>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未开发□；开发量40％以下□；开发量40％以上□；</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水文情势调查</w:t>
                  </w:r>
                </w:p>
              </w:tc>
              <w:tc>
                <w:tcPr>
                  <w:tcW w:w="1869"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1829"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869"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丰水期□；平水期□；枯水期□；冰封期□；春季□；夏季□；秋季□；冬季□；</w:t>
                  </w:r>
                </w:p>
              </w:tc>
              <w:tc>
                <w:tcPr>
                  <w:tcW w:w="1829" w:type="pct"/>
                  <w:gridSpan w:val="3"/>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水行政主管部门□；补充监测□；其他□；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补充监测</w:t>
                  </w:r>
                </w:p>
              </w:tc>
              <w:tc>
                <w:tcPr>
                  <w:tcW w:w="1869"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监测时期</w:t>
                  </w:r>
                </w:p>
              </w:tc>
              <w:tc>
                <w:tcPr>
                  <w:tcW w:w="672"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1157"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869"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丰水期□；平水期□；枯水期□；冰封期□；春季□；夏季□；秋季□；冬季□；</w:t>
                  </w:r>
                </w:p>
              </w:tc>
              <w:tc>
                <w:tcPr>
                  <w:tcW w:w="672" w:type="pct"/>
                  <w:gridSpan w:val="2"/>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157" w:type="pct"/>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监测断面或点位个数（）个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386"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3698" w:type="pct"/>
                  <w:gridSpan w:val="5"/>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河流：长度（）km□；湖库、河口及近岸海域：面积（）km</w:t>
                  </w:r>
                  <w:r>
                    <w:rPr>
                      <w:rFonts w:hint="default" w:ascii="Times New Roman" w:hAnsi="Times New Roman" w:cs="Times New Roman"/>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3698" w:type="pct"/>
                  <w:gridSpan w:val="5"/>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3698" w:type="pct"/>
                  <w:gridSpan w:val="5"/>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河流、湖库、河口：Ⅰ类□；Ⅱ类□；Ⅲ类□；Ⅳ类□；Ⅴ类□；</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近岸海域：第一类□；第二类□；第三类□；第四类□；</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规划年评价标准（）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评价时期</w:t>
                  </w:r>
                </w:p>
              </w:tc>
              <w:tc>
                <w:tcPr>
                  <w:tcW w:w="3698" w:type="pct"/>
                  <w:gridSpan w:val="5"/>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6"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3698" w:type="pct"/>
                  <w:gridSpan w:val="5"/>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水环境功能区或水功能区、近岸海域环境功能区水质达标状况口：达标□；不达标□；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水环境控制单元或断面水质达标状况口：达标□；不达标□；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水环境保护日标质量状况口：达标□；不达标□；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对照断面、控制断面等代表性断面的水质状况口：达标□；不达标□；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底泥污染评价口；</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水资源与开发利用程度及其水文情势评价□；水环境质量回顾评价□；</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流域（区域）水资源（包括水能资源）与开发利用总体状况、生态流量管理要求与现状满足程度、建设项目占用水域空间的水流状况与河湖演变状况□；</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建设项目地表水影响评价自查表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65"/>
              <w:gridCol w:w="1583"/>
              <w:gridCol w:w="1337"/>
              <w:gridCol w:w="313"/>
              <w:gridCol w:w="564"/>
              <w:gridCol w:w="420"/>
              <w:gridCol w:w="1183"/>
              <w:gridCol w:w="54"/>
              <w:gridCol w:w="521"/>
              <w:gridCol w:w="666"/>
              <w:gridCol w:w="134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300"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699" w:type="pct"/>
                  <w:gridSpan w:val="9"/>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影响预测</w:t>
                  </w: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河流：长度（）km□；湖库、河口及近岸海域：面积（）km</w:t>
                  </w:r>
                  <w:r>
                    <w:rPr>
                      <w:rFonts w:hint="default" w:ascii="Times New Roman" w:hAnsi="Times New Roman" w:cs="Times New Roman"/>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预测时期</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设计水文条件□；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预测情景</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建设期□；生产运行期□；服务期满后□；</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正常工况□；非正常工况□；</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污染控制和减缓措施方案□；</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区（流）域环境质最改善目标要求情景□；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预测方法</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数值解□；解析解□；其他□；</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导则推荐模式□；其他□；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影响评价</w:t>
                  </w: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水污染控制和水环境影响减缓措施有效性评价</w:t>
                  </w:r>
                </w:p>
              </w:tc>
              <w:tc>
                <w:tcPr>
                  <w:tcW w:w="3699" w:type="pct"/>
                  <w:gridSpan w:val="9"/>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区（流）域水环境质量改善目标□；替代削减源□；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水环境影响评价</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排放口混合区外满足水环境管理要求□；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满足水环境保护目标水域水环境质量要求□；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满足重点水污染物排放总量控制指标要求，重点行业建设项目，主要污染物排放满足等量或减量替代要求□；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满足区（流）域水环境质量改善目标要求□；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水文要素影响型建设项目同时应包括水文情势变化评价、主要水文特征值影响评价、生态流量符合性评价□；</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对于新设或调整入河（湖库、近岸海域）排放口的建设项目，应包括排放口设置的环境合理性评价□；</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满足生态保护红线、水环境质量底线、资源利用上线和环境准入清单管理要求□；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污染源排放量核算</w:t>
                  </w:r>
                </w:p>
              </w:tc>
              <w:tc>
                <w:tcPr>
                  <w:tcW w:w="1280"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1259" w:type="pct"/>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1158"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280" w:type="pct"/>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259" w:type="pct"/>
                  <w:gridSpan w:val="4"/>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158"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替代源排放情况</w:t>
                  </w:r>
                </w:p>
              </w:tc>
              <w:tc>
                <w:tcPr>
                  <w:tcW w:w="773"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750"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排污许可证编号</w:t>
                  </w:r>
                </w:p>
              </w:tc>
              <w:tc>
                <w:tcPr>
                  <w:tcW w:w="684"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717"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774"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773" w:type="pc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50" w:type="pct"/>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684" w:type="pc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17" w:type="pct"/>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74" w:type="pc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生态流量确定</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生态流量：一般水期（）m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/s；鱼类繁殖期（）m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/s；其他（）m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防治措施</w:t>
                  </w:r>
                </w:p>
              </w:tc>
              <w:tc>
                <w:tcPr>
                  <w:tcW w:w="914"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环保措施</w:t>
                  </w:r>
                </w:p>
              </w:tc>
              <w:tc>
                <w:tcPr>
                  <w:tcW w:w="3699" w:type="pct"/>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污水处理设施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；水文减缓设施□；生态流量保障设施□；区域削减□；依托其他工程措施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监测计划</w:t>
                  </w:r>
                </w:p>
              </w:tc>
              <w:tc>
                <w:tcPr>
                  <w:tcW w:w="954" w:type="pct"/>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284" w:type="pct"/>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w:t>
                  </w:r>
                </w:p>
              </w:tc>
              <w:tc>
                <w:tcPr>
                  <w:tcW w:w="1460"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954"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监测方式</w:t>
                  </w:r>
                </w:p>
              </w:tc>
              <w:tc>
                <w:tcPr>
                  <w:tcW w:w="1284" w:type="pct"/>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手动□；自动□；无监测□；</w:t>
                  </w:r>
                </w:p>
              </w:tc>
              <w:tc>
                <w:tcPr>
                  <w:tcW w:w="1460"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手动□；自动□；无监测□；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5"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914" w:type="pct"/>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954"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1284" w:type="pct"/>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460"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w:t>
            </w:r>
            <w:r>
              <w:rPr>
                <w:rFonts w:hint="eastAsia" w:cs="Times New Roman" w:eastAsiaTheme="minorEastAsia"/>
                <w:b/>
                <w:bCs w:val="0"/>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建设项目地表水影响评价自查表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63"/>
              <w:gridCol w:w="1766"/>
              <w:gridCol w:w="1467"/>
              <w:gridCol w:w="2221"/>
              <w:gridCol w:w="253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05"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3594" w:type="pct"/>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4" w:type="pct"/>
                  <w:vMerge w:val="restart"/>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防治措施</w:t>
                  </w:r>
                </w:p>
              </w:tc>
              <w:tc>
                <w:tcPr>
                  <w:tcW w:w="1021"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848"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1284"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461" w:type="pct"/>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84" w:type="pct"/>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1021" w:type="pc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污染物排放清单</w:t>
                  </w:r>
                </w:p>
              </w:tc>
              <w:tc>
                <w:tcPr>
                  <w:tcW w:w="3594" w:type="pct"/>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05" w:type="pct"/>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3594" w:type="pct"/>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可以接受</w:t>
                  </w:r>
                  <w:r>
                    <w:rPr>
                      <w:rFonts w:hint="default" w:ascii="Times New Roman" w:hAnsi="Times New Roman" w:eastAsia="MS Gothic"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；不可以接受□；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000" w:type="pct"/>
                  <w:gridSpan w:val="5"/>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注：“口”为勾选项，可√；“（）”为内容填写项；“备注”为其他补充内容。</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三、</w:t>
            </w:r>
            <w:r>
              <w:rPr>
                <w:rFonts w:hint="default" w:ascii="Times New Roman" w:hAnsi="Times New Roman" w:cs="Times New Roman"/>
                <w:b/>
                <w:bCs/>
                <w:color w:val="000000" w:themeColor="text1"/>
                <w:sz w:val="24"/>
                <w14:textFill>
                  <w14:solidFill>
                    <w14:schemeClr w14:val="tx1"/>
                  </w14:solidFill>
                </w14:textFill>
              </w:rPr>
              <w:t>地下水环境影响分析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 地下水环境》（HJ 610-2016），本项目属于Ⅳ类项目</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kern w:val="0"/>
                <w:sz w:val="24"/>
                <w:lang w:eastAsia="zh-CN"/>
                <w14:textFill>
                  <w14:solidFill>
                    <w14:schemeClr w14:val="tx1"/>
                  </w14:solidFill>
                </w14:textFill>
              </w:rPr>
              <w:t>不需要开展</w:t>
            </w:r>
            <w:r>
              <w:rPr>
                <w:rFonts w:hint="default" w:ascii="Times New Roman" w:hAnsi="Times New Roman" w:cs="Times New Roman"/>
                <w:color w:val="000000" w:themeColor="text1"/>
                <w:kern w:val="0"/>
                <w:sz w:val="24"/>
                <w14:textFill>
                  <w14:solidFill>
                    <w14:schemeClr w14:val="tx1"/>
                  </w14:solidFill>
                </w14:textFill>
              </w:rPr>
              <w:t>地下水环</w:t>
            </w:r>
            <w:r>
              <w:rPr>
                <w:rFonts w:hint="default" w:ascii="Times New Roman" w:hAnsi="Times New Roman" w:cs="Times New Roman"/>
                <w:color w:val="000000" w:themeColor="text1"/>
                <w:kern w:val="0"/>
                <w:sz w:val="24"/>
                <w:lang w:val="en-US" w:eastAsia="zh-CN"/>
                <w14:textFill>
                  <w14:solidFill>
                    <w14:schemeClr w14:val="tx1"/>
                  </w14:solidFill>
                </w14:textFill>
              </w:rPr>
              <w:t>境影响评价</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对项目区域地下水的影响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工程对地下水可能造成影响主要在钻井环节。钻孔穿过的地层可能引起各含水层越流补给，使地下水赋存条件发生变化，特别是通过径流使具有水利联系的含水水质受到污染；泥浆池渗漏可能对地下水造成污染。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为防止地下水的污染，项目在钻进时采用多层套管，封隔含水层，多层套管固定</w:t>
            </w:r>
            <w:r>
              <w:rPr>
                <w:rFonts w:hint="default" w:ascii="Times New Roman" w:hAnsi="Times New Roman" w:cs="Times New Roman"/>
                <w:color w:val="000000" w:themeColor="text1"/>
                <w:sz w:val="24"/>
                <w:lang w:eastAsia="zh-CN"/>
                <w14:textFill>
                  <w14:solidFill>
                    <w14:schemeClr w14:val="tx1"/>
                  </w14:solidFill>
                </w14:textFill>
              </w:rPr>
              <w:t>均匀</w:t>
            </w:r>
            <w:r>
              <w:rPr>
                <w:rFonts w:hint="default" w:ascii="Times New Roman" w:hAnsi="Times New Roman" w:cs="Times New Roman"/>
                <w:color w:val="000000" w:themeColor="text1"/>
                <w:sz w:val="24"/>
                <w14:textFill>
                  <w14:solidFill>
                    <w14:schemeClr w14:val="tx1"/>
                  </w14:solidFill>
                </w14:textFill>
              </w:rPr>
              <w:t>水泥返高至地面。完井后下套管进行了固井，封固了含水层之间的水力联系，不会造成污染。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项目在封井时，勘查井全部下了生产套管并进行了固井，固井就是向井内下入一定尺寸的套管串，并在其中注入水泥浆，从套管</w:t>
            </w:r>
            <w:r>
              <w:rPr>
                <w:rFonts w:hint="default" w:ascii="Times New Roman" w:hAnsi="Times New Roman" w:cs="Times New Roman"/>
                <w:color w:val="000000" w:themeColor="text1"/>
                <w:sz w:val="24"/>
                <w:lang w:eastAsia="zh-CN"/>
                <w14:textFill>
                  <w14:solidFill>
                    <w14:schemeClr w14:val="tx1"/>
                  </w14:solidFill>
                </w14:textFill>
              </w:rPr>
              <w:t>斜</w:t>
            </w:r>
            <w:r>
              <w:rPr>
                <w:rFonts w:hint="default" w:ascii="Times New Roman" w:hAnsi="Times New Roman" w:cs="Times New Roman"/>
                <w:color w:val="000000" w:themeColor="text1"/>
                <w:sz w:val="24"/>
                <w14:textFill>
                  <w14:solidFill>
                    <w14:schemeClr w14:val="tx1"/>
                  </w14:solidFill>
                </w14:textFill>
              </w:rPr>
              <w:t>返至套管和井壁环空内，把套管固定在井壁上，避免了井壁坍塌，封隔了疏松、易塌、易漏等复杂地层及封隔了气、水层，防止互相窜漏。项目固井工艺符合规范，起到了封闭含水层的作用，防止了含水层的水力联系，不会对水源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固井后由于套管和井壁之间有胶结良好的水泥浆，防止了含水层水和套管接触，阻止了套管锈蚀和含水层相互串通。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2）本项目只有一口勘探井，因此，剩余泥浆直接进入泥浆池固化处理。</w:t>
            </w:r>
            <w:r>
              <w:rPr>
                <w:rFonts w:hint="default" w:ascii="Times New Roman" w:hAnsi="Times New Roman" w:cs="Times New Roman"/>
                <w:color w:val="000000" w:themeColor="text1"/>
                <w:sz w:val="24"/>
                <w14:textFill>
                  <w14:solidFill>
                    <w14:schemeClr w14:val="tx1"/>
                  </w14:solidFill>
                </w14:textFill>
              </w:rPr>
              <w:t>本项目钻井平台配套1个泥浆池，容积约</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00m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，采用防渗措施为粘土+双层土工膜防渗基础，渗透系数小于1.0×10</w:t>
            </w:r>
            <w:r>
              <w:rPr>
                <w:rFonts w:hint="default" w:ascii="Times New Roman" w:hAnsi="Times New Roman" w:cs="Times New Roman"/>
                <w:color w:val="000000" w:themeColor="text1"/>
                <w:sz w:val="24"/>
                <w:vertAlign w:val="superscript"/>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cm/s，有效防止了池内污水从池底渗漏污染浅层地下水。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压裂过程中，压裂液施工时排出，返至压裂液回收罐中。压裂液收集</w:t>
            </w:r>
            <w:r>
              <w:rPr>
                <w:rFonts w:hint="default" w:ascii="Times New Roman" w:hAnsi="Times New Roman" w:cs="Times New Roman"/>
                <w:color w:val="000000" w:themeColor="text1"/>
                <w:sz w:val="24"/>
                <w:lang w:val="en-US" w:eastAsia="zh-CN"/>
                <w14:textFill>
                  <w14:solidFill>
                    <w14:schemeClr w14:val="tx1"/>
                  </w14:solidFill>
                </w14:textFill>
              </w:rPr>
              <w:t>处理</w:t>
            </w:r>
            <w:r>
              <w:rPr>
                <w:rFonts w:hint="default" w:ascii="Times New Roman" w:hAnsi="Times New Roman" w:cs="Times New Roman"/>
                <w:color w:val="000000" w:themeColor="text1"/>
                <w:sz w:val="24"/>
                <w14:textFill>
                  <w14:solidFill>
                    <w14:schemeClr w14:val="tx1"/>
                  </w14:solidFill>
                </w14:textFill>
              </w:rPr>
              <w:t>循环使用，少量剩余排入井场泥浆池中，并在泥浆池中自然蒸发，钻井结束后与废弃泥浆一起固化处置。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针对项目可能对</w:t>
            </w:r>
            <w:r>
              <w:rPr>
                <w:rFonts w:hint="default" w:ascii="Times New Roman" w:hAnsi="Times New Roman" w:cs="Times New Roman"/>
                <w:color w:val="000000" w:themeColor="text1"/>
                <w:sz w:val="24"/>
                <w:lang w:eastAsia="zh-CN"/>
                <w14:textFill>
                  <w14:solidFill>
                    <w14:schemeClr w14:val="tx1"/>
                  </w14:solidFill>
                </w14:textFill>
              </w:rPr>
              <w:t>地下</w:t>
            </w:r>
            <w:r>
              <w:rPr>
                <w:rFonts w:hint="default" w:ascii="Times New Roman" w:hAnsi="Times New Roman" w:cs="Times New Roman"/>
                <w:color w:val="000000" w:themeColor="text1"/>
                <w:sz w:val="24"/>
                <w14:textFill>
                  <w14:solidFill>
                    <w14:schemeClr w14:val="tx1"/>
                  </w14:solidFill>
                </w14:textFill>
              </w:rPr>
              <w:t>水环境存在的污染特征，环评要求采取以下防治措施：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在钻前施工时合理布局井场，避免生产用水和非生产用水合流、清水和污水混流。泥浆材料不能露天堆放，油料实行密封式保存；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在工艺允许的情况下，尽量采用新工艺和新技术，提高钻井效率，减少废水产生量；钻井废水处理后循环使用，回用率达</w:t>
            </w:r>
            <w:r>
              <w:rPr>
                <w:rFonts w:hint="default"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%以上；</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按照工程设计要求使用套管，保证固井质量，防止地下水污染；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对勘查井要及时关井，以免地面水渗漏污染地下水，同时封隔浅部孔隙水与裂隙水的联系，防止各含水层的相互径流影响。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通过使用先进钻井技术，大大降低了钻井过程中对地下水污染事故发生的概率，施工钻井过程中对地下水的污染较小；施工期泥浆池出现渗漏或在雨季发生泥浆池外溢等情况可能造成不同程度的地下水污染，但由于此部分所能产生的污水较小，在严格施工质量、加强维护管理、做好泥浆防渗等地下水保护措施后，对地下水影响较小。</w:t>
            </w:r>
          </w:p>
          <w:p>
            <w:pPr>
              <w:keepNext w:val="0"/>
              <w:keepLines w:val="0"/>
              <w:pageBreakBefore w:val="0"/>
              <w:widowControl w:val="0"/>
              <w:numPr>
                <w:ilvl w:val="0"/>
                <w:numId w:val="14"/>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对水源地</w:t>
            </w:r>
            <w:r>
              <w:rPr>
                <w:rFonts w:hint="eastAsia" w:cs="Times New Roman"/>
                <w:color w:val="000000" w:themeColor="text1"/>
                <w:sz w:val="24"/>
                <w:lang w:val="en-US" w:eastAsia="zh-CN"/>
                <w14:textFill>
                  <w14:solidFill>
                    <w14:schemeClr w14:val="tx1"/>
                  </w14:solidFill>
                </w14:textFill>
              </w:rPr>
              <w:t>及周围村庄饮用水井的</w:t>
            </w:r>
            <w:r>
              <w:rPr>
                <w:rFonts w:hint="default" w:ascii="Times New Roman" w:hAnsi="Times New Roman" w:cs="Times New Roman"/>
                <w:color w:val="000000" w:themeColor="text1"/>
                <w:sz w:val="24"/>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①</w:t>
            </w:r>
            <w:r>
              <w:rPr>
                <w:rFonts w:hint="eastAsia" w:ascii="Times New Roman" w:hAnsi="Times New Roman" w:cs="Times New Roman"/>
                <w:color w:val="000000" w:themeColor="text1"/>
                <w:sz w:val="24"/>
                <w:lang w:val="en-US" w:eastAsia="zh-CN"/>
                <w14:textFill>
                  <w14:solidFill>
                    <w14:schemeClr w14:val="tx1"/>
                  </w14:solidFill>
                </w14:textFill>
              </w:rPr>
              <w:t>县级及乡镇饮用水源地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本项目宁探1井场距离</w:t>
            </w:r>
            <w:r>
              <w:rPr>
                <w:rFonts w:hint="default" w:ascii="Times New Roman" w:hAnsi="Times New Roman" w:cs="Times New Roman"/>
                <w:color w:val="000000" w:themeColor="text1"/>
                <w:sz w:val="24"/>
                <w:szCs w:val="24"/>
                <w:lang w:eastAsia="zh-CN"/>
                <w14:textFill>
                  <w14:solidFill>
                    <w14:schemeClr w14:val="tx1"/>
                  </w14:solidFill>
                </w14:textFill>
              </w:rPr>
              <w:t>静乐县</w:t>
            </w:r>
            <w:r>
              <w:rPr>
                <w:rFonts w:hint="default" w:ascii="Times New Roman" w:hAnsi="Times New Roman" w:cs="Times New Roman"/>
                <w:color w:val="000000" w:themeColor="text1"/>
                <w:sz w:val="24"/>
                <w:szCs w:val="24"/>
                <w14:textFill>
                  <w14:solidFill>
                    <w14:schemeClr w14:val="tx1"/>
                  </w14:solidFill>
                </w14:textFill>
              </w:rPr>
              <w:t>县城水源地</w:t>
            </w:r>
            <w:r>
              <w:rPr>
                <w:rFonts w:hint="default" w:ascii="Times New Roman" w:hAnsi="Times New Roman" w:cs="Times New Roman"/>
                <w:color w:val="000000" w:themeColor="text1"/>
                <w:sz w:val="24"/>
                <w:szCs w:val="24"/>
                <w:lang w:eastAsia="zh-CN"/>
                <w14:textFill>
                  <w14:solidFill>
                    <w14:schemeClr w14:val="tx1"/>
                  </w14:solidFill>
                </w14:textFill>
              </w:rPr>
              <w:t>二级</w:t>
            </w:r>
            <w:r>
              <w:rPr>
                <w:rFonts w:hint="default" w:ascii="Times New Roman" w:hAnsi="Times New Roman" w:cs="Times New Roman"/>
                <w:color w:val="000000" w:themeColor="text1"/>
                <w:sz w:val="24"/>
                <w:szCs w:val="24"/>
                <w14:textFill>
                  <w14:solidFill>
                    <w14:schemeClr w14:val="tx1"/>
                  </w14:solidFill>
                </w14:textFill>
              </w:rPr>
              <w:t>保护区</w:t>
            </w:r>
            <w:r>
              <w:rPr>
                <w:rFonts w:hint="default" w:ascii="Times New Roman" w:hAnsi="Times New Roman" w:cs="Times New Roman"/>
                <w:color w:val="000000" w:themeColor="text1"/>
                <w:sz w:val="24"/>
                <w:szCs w:val="24"/>
                <w:lang w:eastAsia="zh-CN"/>
                <w14:textFill>
                  <w14:solidFill>
                    <w14:schemeClr w14:val="tx1"/>
                  </w14:solidFill>
                </w14:textFill>
              </w:rPr>
              <w:t>西南</w:t>
            </w:r>
            <w:r>
              <w:rPr>
                <w:rFonts w:hint="default" w:ascii="Times New Roman" w:hAnsi="Times New Roman" w:cs="Times New Roman"/>
                <w:color w:val="000000" w:themeColor="text1"/>
                <w:sz w:val="24"/>
                <w:szCs w:val="24"/>
                <w:lang w:val="en-US" w:eastAsia="zh-CN"/>
                <w14:textFill>
                  <w14:solidFill>
                    <w14:schemeClr w14:val="tx1"/>
                  </w14:solidFill>
                </w14:textFill>
              </w:rPr>
              <w:t>11.47km处，</w:t>
            </w:r>
            <w:r>
              <w:rPr>
                <w:rFonts w:hint="default" w:ascii="Times New Roman" w:hAnsi="Times New Roman" w:cs="Times New Roman"/>
                <w:color w:val="000000" w:themeColor="text1"/>
                <w:sz w:val="24"/>
                <w:szCs w:val="24"/>
                <w14:textFill>
                  <w14:solidFill>
                    <w14:schemeClr w14:val="tx1"/>
                  </w14:solidFill>
                </w14:textFill>
              </w:rPr>
              <w:t>不在</w:t>
            </w:r>
            <w:r>
              <w:rPr>
                <w:rFonts w:hint="default" w:ascii="Times New Roman" w:hAnsi="Times New Roman" w:cs="Times New Roman"/>
                <w:color w:val="000000" w:themeColor="text1"/>
                <w:sz w:val="24"/>
                <w:szCs w:val="24"/>
                <w:lang w:eastAsia="zh-CN"/>
                <w14:textFill>
                  <w14:solidFill>
                    <w14:schemeClr w14:val="tx1"/>
                  </w14:solidFill>
                </w14:textFill>
              </w:rPr>
              <w:t>静乐县</w:t>
            </w:r>
            <w:r>
              <w:rPr>
                <w:rFonts w:hint="default" w:ascii="Times New Roman" w:hAnsi="Times New Roman" w:cs="Times New Roman"/>
                <w:color w:val="000000" w:themeColor="text1"/>
                <w:sz w:val="24"/>
                <w:szCs w:val="24"/>
                <w14:textFill>
                  <w14:solidFill>
                    <w14:schemeClr w14:val="tx1"/>
                  </w14:solidFill>
                </w14:textFill>
              </w:rPr>
              <w:t>集中式饮用水水源地保护区范围内。距离最近的乡镇水源地是</w:t>
            </w:r>
            <w:r>
              <w:rPr>
                <w:rFonts w:hint="default" w:ascii="Times New Roman" w:hAnsi="Times New Roman" w:cs="Times New Roman"/>
                <w:color w:val="000000" w:themeColor="text1"/>
                <w:sz w:val="24"/>
                <w:szCs w:val="24"/>
                <w:lang w:eastAsia="zh-CN"/>
                <w14:textFill>
                  <w14:solidFill>
                    <w14:schemeClr w14:val="tx1"/>
                  </w14:solidFill>
                </w14:textFill>
              </w:rPr>
              <w:t>王村乡集中饮用水水源地，</w:t>
            </w:r>
            <w:r>
              <w:rPr>
                <w:rFonts w:hint="default" w:ascii="Times New Roman" w:hAnsi="Times New Roman" w:cs="Times New Roman"/>
                <w:color w:val="000000" w:themeColor="text1"/>
                <w:sz w:val="24"/>
                <w:szCs w:val="24"/>
                <w14:textFill>
                  <w14:solidFill>
                    <w14:schemeClr w14:val="tx1"/>
                  </w14:solidFill>
                </w14:textFill>
              </w:rPr>
              <w:t>宁探1井</w:t>
            </w:r>
            <w:r>
              <w:rPr>
                <w:rFonts w:hint="default" w:ascii="Times New Roman" w:hAnsi="Times New Roman" w:cs="Times New Roman"/>
                <w:color w:val="000000" w:themeColor="text1"/>
                <w:sz w:val="24"/>
                <w:szCs w:val="24"/>
                <w:lang w:eastAsia="zh-CN"/>
                <w14:textFill>
                  <w14:solidFill>
                    <w14:schemeClr w14:val="tx1"/>
                  </w14:solidFill>
                </w14:textFill>
              </w:rPr>
              <w:t>位于</w:t>
            </w:r>
            <w:r>
              <w:rPr>
                <w:rFonts w:hint="default" w:ascii="Times New Roman" w:hAnsi="Times New Roman" w:cs="Times New Roman"/>
                <w:color w:val="000000" w:themeColor="text1"/>
                <w:sz w:val="24"/>
                <w:szCs w:val="24"/>
                <w14:textFill>
                  <w14:solidFill>
                    <w14:schemeClr w14:val="tx1"/>
                  </w14:solidFill>
                </w14:textFill>
              </w:rPr>
              <w:t>该水源地</w:t>
            </w:r>
            <w:r>
              <w:rPr>
                <w:rFonts w:hint="eastAsia" w:cs="Times New Roman"/>
                <w:color w:val="000000" w:themeColor="text1"/>
                <w:sz w:val="24"/>
                <w:szCs w:val="24"/>
                <w:lang w:eastAsia="zh-CN"/>
                <w14:textFill>
                  <w14:solidFill>
                    <w14:schemeClr w14:val="tx1"/>
                  </w14:solidFill>
                </w14:textFill>
              </w:rPr>
              <w:t>二</w:t>
            </w:r>
            <w:r>
              <w:rPr>
                <w:rFonts w:hint="default" w:ascii="Times New Roman" w:hAnsi="Times New Roman" w:cs="Times New Roman"/>
                <w:color w:val="000000" w:themeColor="text1"/>
                <w:sz w:val="24"/>
                <w:szCs w:val="24"/>
                <w14:textFill>
                  <w14:solidFill>
                    <w14:schemeClr w14:val="tx1"/>
                  </w14:solidFill>
                </w14:textFill>
              </w:rPr>
              <w:t>级保护区</w:t>
            </w:r>
            <w:r>
              <w:rPr>
                <w:rFonts w:hint="default" w:ascii="Times New Roman" w:hAnsi="Times New Roman" w:cs="Times New Roman"/>
                <w:color w:val="000000" w:themeColor="text1"/>
                <w:sz w:val="24"/>
                <w:szCs w:val="24"/>
                <w:lang w:eastAsia="zh-CN"/>
                <w14:textFill>
                  <w14:solidFill>
                    <w14:schemeClr w14:val="tx1"/>
                  </w14:solidFill>
                </w14:textFill>
              </w:rPr>
              <w:t>西北</w:t>
            </w:r>
            <w:r>
              <w:rPr>
                <w:rFonts w:hint="eastAsia" w:cs="Times New Roman"/>
                <w:color w:val="000000" w:themeColor="text1"/>
                <w:sz w:val="24"/>
                <w:szCs w:val="24"/>
                <w:lang w:val="en-US" w:eastAsia="zh-CN"/>
                <w14:textFill>
                  <w14:solidFill>
                    <w14:schemeClr w14:val="tx1"/>
                  </w14:solidFill>
                </w14:textFill>
              </w:rPr>
              <w:t>535m</w:t>
            </w:r>
            <w:r>
              <w:rPr>
                <w:rFonts w:hint="default" w:ascii="Times New Roman" w:hAnsi="Times New Roman" w:cs="Times New Roman"/>
                <w:color w:val="000000" w:themeColor="text1"/>
                <w:sz w:val="24"/>
                <w:szCs w:val="24"/>
                <w:lang w:val="en-US" w:eastAsia="zh-CN"/>
                <w14:textFill>
                  <w14:solidFill>
                    <w14:schemeClr w14:val="tx1"/>
                  </w14:solidFill>
                </w14:textFill>
              </w:rPr>
              <w:t>处</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不在</w:t>
            </w:r>
            <w:r>
              <w:rPr>
                <w:rFonts w:hint="default" w:ascii="Times New Roman" w:hAnsi="Times New Roman" w:cs="Times New Roman"/>
                <w:color w:val="000000" w:themeColor="text1"/>
                <w:sz w:val="24"/>
                <w:szCs w:val="24"/>
                <w:lang w:eastAsia="zh-CN"/>
                <w14:textFill>
                  <w14:solidFill>
                    <w14:schemeClr w14:val="tx1"/>
                  </w14:solidFill>
                </w14:textFill>
              </w:rPr>
              <w:t>其</w:t>
            </w:r>
            <w:r>
              <w:rPr>
                <w:rFonts w:hint="default" w:ascii="Times New Roman" w:hAnsi="Times New Roman" w:cs="Times New Roman"/>
                <w:color w:val="000000" w:themeColor="text1"/>
                <w:sz w:val="24"/>
                <w:szCs w:val="24"/>
                <w14:textFill>
                  <w14:solidFill>
                    <w14:schemeClr w14:val="tx1"/>
                  </w14:solidFill>
                </w14:textFill>
              </w:rPr>
              <w:t>保护区范围内。</w:t>
            </w:r>
          </w:p>
          <w:p>
            <w:pPr>
              <w:pStyle w:val="2"/>
              <w:keepNext/>
              <w:keepLines/>
              <w:pageBreakBefore w:val="0"/>
              <w:widowControl/>
              <w:kinsoku/>
              <w:wordWrap/>
              <w:overflowPunct/>
              <w:topLinePunct w:val="0"/>
              <w:autoSpaceDE/>
              <w:autoSpaceDN/>
              <w:bidi w:val="0"/>
              <w:adjustRightInd/>
              <w:snapToGrid/>
              <w:spacing w:beforeLines="0" w:line="300" w:lineRule="auto"/>
              <w:textAlignment w:val="auto"/>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②</w:t>
            </w: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周围村庄水井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经调查核实，项目附近区域内上王村、下王村、牛兰村村庄等村庄饮水主要是由王村乡集中饮用水水源地提供，</w:t>
            </w:r>
            <w:r>
              <w:rPr>
                <w:rFonts w:hint="default" w:ascii="Times New Roman" w:hAnsi="Times New Roman" w:cs="Times New Roman"/>
                <w:color w:val="000000" w:themeColor="text1"/>
                <w:sz w:val="24"/>
                <w:szCs w:val="24"/>
                <w14:textFill>
                  <w14:solidFill>
                    <w14:schemeClr w14:val="tx1"/>
                  </w14:solidFill>
                </w14:textFill>
              </w:rPr>
              <w:t>宁探1井</w:t>
            </w:r>
            <w:r>
              <w:rPr>
                <w:rFonts w:hint="default" w:ascii="Times New Roman" w:hAnsi="Times New Roman" w:cs="Times New Roman"/>
                <w:color w:val="000000" w:themeColor="text1"/>
                <w:sz w:val="24"/>
                <w:szCs w:val="24"/>
                <w:lang w:eastAsia="zh-CN"/>
                <w14:textFill>
                  <w14:solidFill>
                    <w14:schemeClr w14:val="tx1"/>
                  </w14:solidFill>
                </w14:textFill>
              </w:rPr>
              <w:t>位于</w:t>
            </w:r>
            <w:r>
              <w:rPr>
                <w:rFonts w:hint="default" w:ascii="Times New Roman" w:hAnsi="Times New Roman" w:cs="Times New Roman"/>
                <w:color w:val="000000" w:themeColor="text1"/>
                <w:sz w:val="24"/>
                <w:szCs w:val="24"/>
                <w14:textFill>
                  <w14:solidFill>
                    <w14:schemeClr w14:val="tx1"/>
                  </w14:solidFill>
                </w14:textFill>
              </w:rPr>
              <w:t>该水源地</w:t>
            </w:r>
            <w:r>
              <w:rPr>
                <w:rFonts w:hint="eastAsia" w:cs="Times New Roman"/>
                <w:color w:val="000000" w:themeColor="text1"/>
                <w:sz w:val="24"/>
                <w:szCs w:val="24"/>
                <w:lang w:eastAsia="zh-CN"/>
                <w14:textFill>
                  <w14:solidFill>
                    <w14:schemeClr w14:val="tx1"/>
                  </w14:solidFill>
                </w14:textFill>
              </w:rPr>
              <w:t>二</w:t>
            </w:r>
            <w:r>
              <w:rPr>
                <w:rFonts w:hint="default" w:ascii="Times New Roman" w:hAnsi="Times New Roman" w:cs="Times New Roman"/>
                <w:color w:val="000000" w:themeColor="text1"/>
                <w:sz w:val="24"/>
                <w:szCs w:val="24"/>
                <w14:textFill>
                  <w14:solidFill>
                    <w14:schemeClr w14:val="tx1"/>
                  </w14:solidFill>
                </w14:textFill>
              </w:rPr>
              <w:t>级保护区</w:t>
            </w:r>
            <w:r>
              <w:rPr>
                <w:rFonts w:hint="default" w:ascii="Times New Roman" w:hAnsi="Times New Roman" w:cs="Times New Roman"/>
                <w:color w:val="000000" w:themeColor="text1"/>
                <w:sz w:val="24"/>
                <w:szCs w:val="24"/>
                <w:lang w:eastAsia="zh-CN"/>
                <w14:textFill>
                  <w14:solidFill>
                    <w14:schemeClr w14:val="tx1"/>
                  </w14:solidFill>
                </w14:textFill>
              </w:rPr>
              <w:t>西北</w:t>
            </w:r>
            <w:r>
              <w:rPr>
                <w:rFonts w:hint="eastAsia" w:cs="Times New Roman"/>
                <w:color w:val="000000" w:themeColor="text1"/>
                <w:sz w:val="24"/>
                <w:szCs w:val="24"/>
                <w:lang w:val="en-US" w:eastAsia="zh-CN"/>
                <w14:textFill>
                  <w14:solidFill>
                    <w14:schemeClr w14:val="tx1"/>
                  </w14:solidFill>
                </w14:textFill>
              </w:rPr>
              <w:t>535m</w:t>
            </w:r>
            <w:r>
              <w:rPr>
                <w:rFonts w:hint="default" w:ascii="Times New Roman" w:hAnsi="Times New Roman" w:cs="Times New Roman"/>
                <w:color w:val="000000" w:themeColor="text1"/>
                <w:sz w:val="24"/>
                <w:szCs w:val="24"/>
                <w:lang w:val="en-US" w:eastAsia="zh-CN"/>
                <w14:textFill>
                  <w14:solidFill>
                    <w14:schemeClr w14:val="tx1"/>
                  </w14:solidFill>
                </w14:textFill>
              </w:rPr>
              <w:t>处河滩，</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地下水类型为第四系孔隙水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潜水，</w:t>
            </w:r>
            <w:r>
              <w:rPr>
                <w:rFonts w:hint="default" w:ascii="Times New Roman" w:hAnsi="Times New Roman" w:cs="Times New Roman"/>
                <w:color w:val="000000" w:themeColor="text1"/>
                <w:sz w:val="24"/>
                <w:szCs w:val="24"/>
                <w:lang w:val="en-US" w:eastAsia="zh-CN"/>
                <w14:textFill>
                  <w14:solidFill>
                    <w14:schemeClr w14:val="tx1"/>
                  </w14:solidFill>
                </w14:textFill>
              </w:rPr>
              <w:t>本项目宁探1井勘探井深为</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2095m</w:t>
            </w:r>
            <w:r>
              <w:rPr>
                <w:rFonts w:hint="default" w:ascii="Times New Roman" w:hAnsi="Times New Roman" w:cs="Times New Roman"/>
                <w:color w:val="000000" w:themeColor="text1"/>
                <w:sz w:val="24"/>
                <w:szCs w:val="24"/>
                <w:lang w:val="en-US" w:eastAsia="zh-CN"/>
                <w14:textFill>
                  <w14:solidFill>
                    <w14:schemeClr w14:val="tx1"/>
                  </w14:solidFill>
                </w14:textFill>
              </w:rPr>
              <w:t>，因此，项目勘探井施工</w:t>
            </w:r>
            <w:r>
              <w:rPr>
                <w:rFonts w:hint="default" w:ascii="Times New Roman" w:hAnsi="Times New Roman" w:cs="Times New Roman"/>
                <w:color w:val="000000" w:themeColor="text1"/>
                <w:sz w:val="24"/>
                <w:szCs w:val="24"/>
                <w14:textFill>
                  <w14:solidFill>
                    <w14:schemeClr w14:val="tx1"/>
                  </w14:solidFill>
                </w14:textFill>
              </w:rPr>
              <w:t>对</w:t>
            </w:r>
            <w:r>
              <w:rPr>
                <w:rFonts w:hint="default" w:ascii="Times New Roman" w:hAnsi="Times New Roman" w:cs="Times New Roman"/>
                <w:color w:val="000000" w:themeColor="text1"/>
                <w:sz w:val="24"/>
                <w:szCs w:val="24"/>
                <w:lang w:eastAsia="zh-CN"/>
                <w14:textFill>
                  <w14:solidFill>
                    <w14:schemeClr w14:val="tx1"/>
                  </w14:solidFill>
                </w14:textFill>
              </w:rPr>
              <w:t>王村乡水源地水井</w:t>
            </w:r>
            <w:r>
              <w:rPr>
                <w:rFonts w:hint="default" w:ascii="Times New Roman" w:hAnsi="Times New Roman" w:cs="Times New Roman"/>
                <w:color w:val="000000" w:themeColor="text1"/>
                <w:sz w:val="24"/>
                <w:szCs w:val="24"/>
                <w14:textFill>
                  <w14:solidFill>
                    <w14:schemeClr w14:val="tx1"/>
                  </w14:solidFill>
                </w14:textFill>
              </w:rPr>
              <w:t>地下水水位和水质</w:t>
            </w:r>
            <w:r>
              <w:rPr>
                <w:rFonts w:hint="default" w:ascii="Times New Roman" w:hAnsi="Times New Roman" w:cs="Times New Roman"/>
                <w:color w:val="000000" w:themeColor="text1"/>
                <w:sz w:val="24"/>
                <w:szCs w:val="24"/>
                <w:lang w:val="en-US" w:eastAsia="zh-CN"/>
                <w14:textFill>
                  <w14:solidFill>
                    <w14:schemeClr w14:val="tx1"/>
                  </w14:solidFill>
                </w14:textFill>
              </w:rPr>
              <w:t>产生影响较小。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根据工程分析</w:t>
            </w:r>
            <w:r>
              <w:rPr>
                <w:rFonts w:hint="default" w:ascii="Times New Roman" w:hAnsi="Times New Roman" w:cs="Times New Roman"/>
                <w:color w:val="000000" w:themeColor="text1"/>
                <w:sz w:val="24"/>
                <w:lang w:eastAsia="zh-CN"/>
                <w14:textFill>
                  <w14:solidFill>
                    <w14:schemeClr w14:val="tx1"/>
                  </w14:solidFill>
                </w14:textFill>
              </w:rPr>
              <w:t>可知，</w:t>
            </w:r>
            <w:r>
              <w:rPr>
                <w:rFonts w:hint="default" w:ascii="Times New Roman" w:hAnsi="Times New Roman" w:cs="Times New Roman"/>
                <w:color w:val="000000" w:themeColor="text1"/>
                <w:sz w:val="24"/>
                <w14:textFill>
                  <w14:solidFill>
                    <w14:schemeClr w14:val="tx1"/>
                  </w14:solidFill>
                </w14:textFill>
              </w:rPr>
              <w:t>本项目没有生产废水和生活污水外排，建设单位在落实评价要求的</w:t>
            </w:r>
            <w:r>
              <w:rPr>
                <w:rFonts w:hint="default" w:ascii="Times New Roman" w:hAnsi="Times New Roman" w:cs="Times New Roman"/>
                <w:color w:val="000000" w:themeColor="text1"/>
                <w:sz w:val="24"/>
                <w:lang w:eastAsia="zh-CN"/>
                <w14:textFill>
                  <w14:solidFill>
                    <w14:schemeClr w14:val="tx1"/>
                  </w14:solidFill>
                </w14:textFill>
              </w:rPr>
              <w:t>基础上，</w:t>
            </w:r>
            <w:r>
              <w:rPr>
                <w:rFonts w:hint="default" w:ascii="Times New Roman" w:hAnsi="Times New Roman" w:cs="Times New Roman"/>
                <w:color w:val="000000" w:themeColor="text1"/>
                <w:sz w:val="24"/>
                <w14:textFill>
                  <w14:solidFill>
                    <w14:schemeClr w14:val="tx1"/>
                  </w14:solidFill>
                </w14:textFill>
              </w:rPr>
              <w:t>对泥浆池（设防渗设施，防渗系数1×10</w:t>
            </w:r>
            <w:r>
              <w:rPr>
                <w:rFonts w:hint="default" w:ascii="Times New Roman" w:hAnsi="Times New Roman" w:cs="Times New Roman"/>
                <w:color w:val="000000" w:themeColor="text1"/>
                <w:sz w:val="24"/>
                <w:vertAlign w:val="superscript"/>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cm/s）和油罐区（设防渗设施，防渗系数1×10</w:t>
            </w:r>
            <w:r>
              <w:rPr>
                <w:rFonts w:hint="default" w:ascii="Times New Roman" w:hAnsi="Times New Roman" w:cs="Times New Roman"/>
                <w:color w:val="000000" w:themeColor="text1"/>
                <w:sz w:val="24"/>
                <w:vertAlign w:val="super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cm/s）、危废暂存库（设防渗设施，防渗系数1×10</w:t>
            </w:r>
            <w:r>
              <w:rPr>
                <w:rFonts w:hint="default" w:ascii="Times New Roman" w:hAnsi="Times New Roman" w:cs="Times New Roman"/>
                <w:color w:val="000000" w:themeColor="text1"/>
                <w:sz w:val="24"/>
                <w:vertAlign w:val="super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cm/s）等采取严格的防渗基础和围堰，并加强钻井期加强钻井泥浆和岩屑等的管理等，项目勘查对水源地造成影响</w:t>
            </w:r>
            <w:r>
              <w:rPr>
                <w:rFonts w:hint="eastAsia" w:ascii="Times New Roman" w:hAnsi="Times New Roman" w:cs="Times New Roman"/>
                <w:color w:val="000000" w:themeColor="text1"/>
                <w:sz w:val="24"/>
                <w:lang w:eastAsia="zh-CN"/>
                <w14:textFill>
                  <w14:solidFill>
                    <w14:schemeClr w14:val="tx1"/>
                  </w14:solidFill>
                </w14:textFill>
              </w:rPr>
              <w:t>较小</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四</w:t>
            </w:r>
            <w:r>
              <w:rPr>
                <w:rFonts w:hint="default" w:ascii="Times New Roman" w:hAnsi="Times New Roman" w:cs="Times New Roman"/>
                <w:b/>
                <w:bCs/>
                <w:color w:val="000000" w:themeColor="text1"/>
                <w:sz w:val="24"/>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 钻井期声环境影响分析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井场平整施工过程中噪声主要来源于施工机械的使用过程，主要高噪声设备由挖掘机、推土机、装载机、起重机、冲击式钻机、泥浆泵等施工机械噪声为主的流动噪声源；连续稳态噪声源以泵站的各类机械泵、柴油发电机等噪声为主，噪声强度为</w:t>
            </w:r>
            <w:r>
              <w:rPr>
                <w:rFonts w:hint="default" w:ascii="Times New Roman" w:hAnsi="Times New Roman" w:cs="Times New Roman"/>
                <w:color w:val="000000" w:themeColor="text1"/>
                <w:sz w:val="24"/>
                <w:lang w:val="en-US" w:eastAsia="zh-CN"/>
                <w14:textFill>
                  <w14:solidFill>
                    <w14:schemeClr w14:val="tx1"/>
                  </w14:solidFill>
                </w14:textFill>
              </w:rPr>
              <w:t>80-120</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B</w:t>
            </w:r>
            <w:r>
              <w:rPr>
                <w:rFonts w:hint="default" w:ascii="Times New Roman" w:hAnsi="Times New Roman" w:cs="Times New Roman"/>
                <w:color w:val="000000" w:themeColor="text1"/>
                <w:sz w:val="24"/>
                <w14:textFill>
                  <w14:solidFill>
                    <w14:schemeClr w14:val="tx1"/>
                  </w14:solidFill>
                </w14:textFill>
              </w:rPr>
              <w:t>（A）左右。项目钻井期间主要噪声源见</w:t>
            </w:r>
            <w:r>
              <w:rPr>
                <w:rFonts w:hint="default" w:ascii="Times New Roman" w:hAnsi="Times New Roman" w:cs="Times New Roman"/>
                <w:color w:val="000000" w:themeColor="text1"/>
                <w:sz w:val="24"/>
                <w:lang w:eastAsia="zh-CN"/>
                <w14:textFill>
                  <w14:solidFill>
                    <w14:schemeClr w14:val="tx1"/>
                  </w14:solidFill>
                </w14:textFill>
              </w:rPr>
              <w:t>插表</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各种机械设备噪声值</w:t>
            </w:r>
          </w:p>
          <w:tbl>
            <w:tblPr>
              <w:tblStyle w:val="44"/>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499"/>
              <w:gridCol w:w="1144"/>
              <w:gridCol w:w="1325"/>
              <w:gridCol w:w="735"/>
              <w:gridCol w:w="1286"/>
              <w:gridCol w:w="1595"/>
              <w:gridCol w:w="106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866"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噪声源位置</w:t>
                  </w:r>
                </w:p>
              </w:tc>
              <w:tc>
                <w:tcPr>
                  <w:tcW w:w="1427" w:type="pct"/>
                  <w:gridSpan w:val="2"/>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设备名称</w:t>
                  </w:r>
                </w:p>
              </w:tc>
              <w:tc>
                <w:tcPr>
                  <w:tcW w:w="425"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数量</w:t>
                  </w:r>
                </w:p>
              </w:tc>
              <w:tc>
                <w:tcPr>
                  <w:tcW w:w="7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声源强度</w:t>
                  </w:r>
                </w:p>
              </w:tc>
              <w:tc>
                <w:tcPr>
                  <w:tcW w:w="922"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声源性质</w:t>
                  </w:r>
                </w:p>
              </w:tc>
              <w:tc>
                <w:tcPr>
                  <w:tcW w:w="614"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866" w:type="pct"/>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钻井井场</w:t>
                  </w:r>
                </w:p>
              </w:tc>
              <w:tc>
                <w:tcPr>
                  <w:tcW w:w="661" w:type="pct"/>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p>
              </w:tc>
              <w:tc>
                <w:tcPr>
                  <w:tcW w:w="766"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钻机</w:t>
                  </w:r>
                </w:p>
              </w:tc>
              <w:tc>
                <w:tcPr>
                  <w:tcW w:w="425"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1台</w:t>
                  </w:r>
                </w:p>
              </w:tc>
              <w:tc>
                <w:tcPr>
                  <w:tcW w:w="7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90～95</w:t>
                  </w:r>
                </w:p>
              </w:tc>
              <w:tc>
                <w:tcPr>
                  <w:tcW w:w="922"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连续稳态声源</w:t>
                  </w:r>
                </w:p>
              </w:tc>
              <w:tc>
                <w:tcPr>
                  <w:tcW w:w="614"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距离1m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866"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661"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766"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柴油机</w:t>
                  </w:r>
                </w:p>
              </w:tc>
              <w:tc>
                <w:tcPr>
                  <w:tcW w:w="425"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 xml:space="preserve">1台 </w:t>
                  </w:r>
                </w:p>
              </w:tc>
              <w:tc>
                <w:tcPr>
                  <w:tcW w:w="7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95～98</w:t>
                  </w:r>
                </w:p>
              </w:tc>
              <w:tc>
                <w:tcPr>
                  <w:tcW w:w="922"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连续稳态声源</w:t>
                  </w:r>
                </w:p>
              </w:tc>
              <w:tc>
                <w:tcPr>
                  <w:tcW w:w="614"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距离1m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866"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661"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766"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柴油发电机</w:t>
                  </w:r>
                </w:p>
              </w:tc>
              <w:tc>
                <w:tcPr>
                  <w:tcW w:w="425"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 xml:space="preserve">2台 </w:t>
                  </w:r>
                </w:p>
              </w:tc>
              <w:tc>
                <w:tcPr>
                  <w:tcW w:w="7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95～98</w:t>
                  </w:r>
                </w:p>
              </w:tc>
              <w:tc>
                <w:tcPr>
                  <w:tcW w:w="922"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连续稳态声源</w:t>
                  </w:r>
                </w:p>
              </w:tc>
              <w:tc>
                <w:tcPr>
                  <w:tcW w:w="614"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距离1m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866"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661"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766"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泥浆泵</w:t>
                  </w:r>
                </w:p>
              </w:tc>
              <w:tc>
                <w:tcPr>
                  <w:tcW w:w="425"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1台</w:t>
                  </w:r>
                </w:p>
              </w:tc>
              <w:tc>
                <w:tcPr>
                  <w:tcW w:w="7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95～100</w:t>
                  </w:r>
                </w:p>
              </w:tc>
              <w:tc>
                <w:tcPr>
                  <w:tcW w:w="922"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连续稳态声源</w:t>
                  </w:r>
                </w:p>
              </w:tc>
              <w:tc>
                <w:tcPr>
                  <w:tcW w:w="614"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距离1m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340" w:hRule="atLeast"/>
              </w:trPr>
              <w:tc>
                <w:tcPr>
                  <w:tcW w:w="866" w:type="pct"/>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661"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井下作业</w:t>
                  </w:r>
                </w:p>
              </w:tc>
              <w:tc>
                <w:tcPr>
                  <w:tcW w:w="766"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压裂</w:t>
                  </w:r>
                </w:p>
              </w:tc>
              <w:tc>
                <w:tcPr>
                  <w:tcW w:w="425"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w:t>
                  </w:r>
                </w:p>
              </w:tc>
              <w:tc>
                <w:tcPr>
                  <w:tcW w:w="7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80～120</w:t>
                  </w:r>
                </w:p>
              </w:tc>
              <w:tc>
                <w:tcPr>
                  <w:tcW w:w="922"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连续稳态声源</w:t>
                  </w:r>
                </w:p>
              </w:tc>
              <w:tc>
                <w:tcPr>
                  <w:tcW w:w="614"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距离1m</w:t>
                  </w:r>
                </w:p>
              </w:tc>
            </w:tr>
          </w:tbl>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color w:val="000000" w:themeColor="text1"/>
                <w14:textFill>
                  <w14:solidFill>
                    <w14:schemeClr w14:val="tx1"/>
                  </w14:solidFill>
                </w14:textFill>
              </w:rPr>
            </w:pPr>
          </w:p>
        </w:tc>
      </w:tr>
    </w:tbl>
    <w:p>
      <w:pPr>
        <w:pStyle w:val="40"/>
        <w:rPr>
          <w:rFonts w:hint="default" w:ascii="Times New Roman" w:hAnsi="Times New Roman" w:cs="Times New Roman"/>
          <w:color w:val="000000" w:themeColor="text1"/>
          <w14:textFill>
            <w14:solidFill>
              <w14:schemeClr w14:val="tx1"/>
            </w14:solidFill>
          </w14:textFill>
        </w:rPr>
        <w:sectPr>
          <w:type w:val="continuous"/>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AndChars" w:linePitch="312" w:charSpace="0"/>
        </w:sectPr>
      </w:pPr>
    </w:p>
    <w:tbl>
      <w:tblPr>
        <w:tblStyle w:val="45"/>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636" w:hRule="atLeast"/>
        </w:trPr>
        <w:tc>
          <w:tcPr>
            <w:tcW w:w="928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bookmarkStart w:id="13" w:name="_Hlk526884179"/>
            <w:r>
              <w:rPr>
                <w:rFonts w:hint="default" w:ascii="Times New Roman" w:hAnsi="Times New Roman" w:cs="Times New Roman"/>
                <w:color w:val="000000" w:themeColor="text1"/>
                <w:sz w:val="24"/>
                <w:szCs w:val="24"/>
                <w14:textFill>
                  <w14:solidFill>
                    <w14:schemeClr w14:val="tx1"/>
                  </w14:solidFill>
                </w14:textFill>
              </w:rPr>
              <w:t>这些噪声源的源强一般都在</w:t>
            </w:r>
            <w:r>
              <w:rPr>
                <w:rFonts w:hint="default" w:ascii="Times New Roman" w:hAnsi="Times New Roman" w:cs="Times New Roman"/>
                <w:color w:val="000000" w:themeColor="text1"/>
                <w:sz w:val="24"/>
                <w:lang w:val="en-US" w:eastAsia="zh-CN"/>
                <w14:textFill>
                  <w14:solidFill>
                    <w14:schemeClr w14:val="tx1"/>
                  </w14:solidFill>
                </w14:textFill>
              </w:rPr>
              <w:t>80-120</w:t>
            </w:r>
            <w:r>
              <w:rPr>
                <w:rFonts w:hint="default" w:ascii="Times New Roman" w:hAnsi="Times New Roman" w:cs="Times New Roman"/>
                <w:color w:val="000000" w:themeColor="text1"/>
                <w:sz w:val="24"/>
                <w:szCs w:val="24"/>
                <w14:textFill>
                  <w14:solidFill>
                    <w14:schemeClr w14:val="tx1"/>
                  </w14:solidFill>
                </w14:textFill>
              </w:rPr>
              <w:t>dB（A）之间。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评价区内低土石山区，境内沟壑纵横，丘陵遍布，各村庄户数不多，居住分散。项目采气井场尽量避开人烟相对稠密的村庄，本项目</w:t>
            </w:r>
            <w:r>
              <w:rPr>
                <w:rFonts w:hint="default" w:ascii="Times New Roman" w:hAnsi="Times New Roman" w:cs="Times New Roman"/>
                <w:color w:val="000000" w:themeColor="text1"/>
                <w:sz w:val="24"/>
                <w:lang w:eastAsia="zh-CN"/>
                <w14:textFill>
                  <w14:solidFill>
                    <w14:schemeClr w14:val="tx1"/>
                  </w14:solidFill>
                </w14:textFill>
              </w:rPr>
              <w:t>宁探</w:t>
            </w:r>
            <w:r>
              <w:rPr>
                <w:rFonts w:hint="default" w:ascii="Times New Roman" w:hAnsi="Times New Roman" w:cs="Times New Roman"/>
                <w:color w:val="000000" w:themeColor="text1"/>
                <w:sz w:val="24"/>
                <w:lang w:val="en-US" w:eastAsia="zh-CN"/>
                <w14:textFill>
                  <w14:solidFill>
                    <w14:schemeClr w14:val="tx1"/>
                  </w14:solidFill>
                </w14:textFill>
              </w:rPr>
              <w:t>1井</w:t>
            </w:r>
            <w:r>
              <w:rPr>
                <w:rFonts w:hint="default" w:ascii="Times New Roman" w:hAnsi="Times New Roman" w:cs="Times New Roman"/>
                <w:color w:val="000000" w:themeColor="text1"/>
                <w:sz w:val="24"/>
                <w14:textFill>
                  <w14:solidFill>
                    <w14:schemeClr w14:val="tx1"/>
                  </w14:solidFill>
                </w14:textFill>
              </w:rPr>
              <w:t>距离最近的村庄</w:t>
            </w:r>
            <w:r>
              <w:rPr>
                <w:rFonts w:hint="default" w:ascii="Times New Roman" w:hAnsi="Times New Roman" w:cs="Times New Roman"/>
                <w:color w:val="000000" w:themeColor="text1"/>
                <w:sz w:val="24"/>
                <w:lang w:eastAsia="zh-CN"/>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边界西南521m处的王村，</w:t>
            </w:r>
            <w:r>
              <w:rPr>
                <w:rFonts w:hint="default" w:ascii="Times New Roman" w:hAnsi="Times New Roman" w:cs="Times New Roman"/>
                <w:color w:val="000000" w:themeColor="text1"/>
                <w:sz w:val="24"/>
                <w14:textFill>
                  <w14:solidFill>
                    <w14:schemeClr w14:val="tx1"/>
                  </w14:solidFill>
                </w14:textFill>
              </w:rPr>
              <w:t>因此本项目对声环境敏感目标影响甚微。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项目钻井及压裂过程中的高噪声设备主要为钻机、柴油机、泥浆泵、发电机、空压机等。项目钻井及压裂过程中采取如下的噪声治理措施：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使用性能好、低噪音的设备，对钻机和泥浆泵采取减震、隔音等降噪措施，对柴油发电机设置隔音罩，进气和排气管设置消音器，以减少对周围环境的噪声和振动影响。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采取以上措施后，</w:t>
            </w:r>
            <w:r>
              <w:rPr>
                <w:rFonts w:hint="default" w:ascii="Times New Roman" w:hAnsi="Times New Roman" w:cs="Times New Roman"/>
                <w:color w:val="000000" w:themeColor="text1"/>
                <w:sz w:val="24"/>
                <w:lang w:eastAsia="zh-CN"/>
                <w14:textFill>
                  <w14:solidFill>
                    <w14:schemeClr w14:val="tx1"/>
                  </w14:solidFill>
                </w14:textFill>
              </w:rPr>
              <w:t>钻井期</w:t>
            </w:r>
            <w:r>
              <w:rPr>
                <w:rFonts w:hint="default" w:ascii="Times New Roman" w:hAnsi="Times New Roman" w:cs="Times New Roman"/>
                <w:color w:val="000000" w:themeColor="text1"/>
                <w:sz w:val="24"/>
                <w14:textFill>
                  <w14:solidFill>
                    <w14:schemeClr w14:val="tx1"/>
                  </w14:solidFill>
                </w14:textFill>
              </w:rPr>
              <w:t>施工噪声对周边声环境影响较小。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2. </w:t>
            </w:r>
            <w:r>
              <w:rPr>
                <w:rFonts w:hint="eastAsia" w:cs="Times New Roman"/>
                <w:color w:val="000000" w:themeColor="text1"/>
                <w:sz w:val="24"/>
                <w:lang w:val="en-US"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（1）噪声源强</w:t>
            </w:r>
          </w:p>
          <w:p>
            <w:pPr>
              <w:pStyle w:val="180"/>
              <w:tabs>
                <w:tab w:val="left" w:pos="7500"/>
              </w:tabs>
              <w:ind w:firstLine="480"/>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噪声源主要有：</w:t>
            </w:r>
            <w:r>
              <w:rPr>
                <w:rFonts w:hint="default" w:ascii="Times New Roman" w:hAnsi="Times New Roman" w:cs="Times New Roman"/>
                <w:color w:val="000000" w:themeColor="text1"/>
                <w:sz w:val="24"/>
                <w:lang w:val="en-US" w:eastAsia="zh-CN"/>
                <w14:textFill>
                  <w14:solidFill>
                    <w14:schemeClr w14:val="tx1"/>
                  </w14:solidFill>
                </w14:textFill>
              </w:rPr>
              <w:t>抽油机、三相分离器、燃油发电机</w:t>
            </w:r>
            <w:r>
              <w:rPr>
                <w:rFonts w:hint="default" w:ascii="Times New Roman" w:hAnsi="Times New Roman" w:cs="Times New Roman"/>
                <w:color w:val="000000" w:themeColor="text1"/>
                <w:sz w:val="24"/>
                <w14:textFill>
                  <w14:solidFill>
                    <w14:schemeClr w14:val="tx1"/>
                  </w14:solidFill>
                </w14:textFill>
              </w:rPr>
              <w:t>等，这些装置在</w:t>
            </w:r>
            <w:r>
              <w:rPr>
                <w:rFonts w:hint="default" w:ascii="Times New Roman" w:hAnsi="Times New Roman" w:cs="Times New Roman"/>
                <w:color w:val="000000" w:themeColor="text1"/>
                <w:sz w:val="24"/>
                <w:lang w:val="en-US" w:eastAsia="zh-CN"/>
                <w14:textFill>
                  <w14:solidFill>
                    <w14:schemeClr w14:val="tx1"/>
                  </w14:solidFill>
                </w14:textFill>
              </w:rPr>
              <w:t>运行时</w:t>
            </w:r>
            <w:r>
              <w:rPr>
                <w:rFonts w:hint="default" w:ascii="Times New Roman" w:hAnsi="Times New Roman" w:cs="Times New Roman"/>
                <w:color w:val="000000" w:themeColor="text1"/>
                <w:sz w:val="24"/>
                <w14:textFill>
                  <w14:solidFill>
                    <w14:schemeClr w14:val="tx1"/>
                  </w14:solidFill>
                </w14:textFill>
              </w:rPr>
              <w:t>会产生</w:t>
            </w:r>
            <w:r>
              <w:rPr>
                <w:rFonts w:hint="default" w:ascii="Times New Roman" w:hAnsi="Times New Roman" w:cs="Times New Roman"/>
                <w:color w:val="000000" w:themeColor="text1"/>
                <w:sz w:val="24"/>
                <w:lang w:val="en-US" w:eastAsia="zh-CN"/>
                <w14:textFill>
                  <w14:solidFill>
                    <w14:schemeClr w14:val="tx1"/>
                  </w14:solidFill>
                </w14:textFill>
              </w:rPr>
              <w:t>机械噪声</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排采期</w:t>
            </w:r>
            <w:r>
              <w:rPr>
                <w:rFonts w:hint="default" w:ascii="Times New Roman" w:hAnsi="Times New Roman" w:cs="Times New Roman"/>
                <w:color w:val="000000" w:themeColor="text1"/>
                <w14:textFill>
                  <w14:solidFill>
                    <w14:schemeClr w14:val="tx1"/>
                  </w14:solidFill>
                </w14:textFill>
              </w:rPr>
              <w:t>主要设备噪声级见插表</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right"/>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主要设备噪声级及防治措施一览表        单位dB（A）</w:t>
            </w:r>
          </w:p>
          <w:tbl>
            <w:tblPr>
              <w:tblStyle w:val="44"/>
              <w:tblW w:w="4997"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32"/>
              <w:gridCol w:w="1893"/>
              <w:gridCol w:w="1457"/>
              <w:gridCol w:w="1309"/>
              <w:gridCol w:w="2186"/>
              <w:gridCol w:w="14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05" w:type="pct"/>
                  <w:tcBorders>
                    <w:tl2br w:val="nil"/>
                    <w:tr2bl w:val="nil"/>
                  </w:tcBorders>
                  <w:shd w:val="clear" w:color="auto" w:fill="auto"/>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序号</w:t>
                  </w:r>
                </w:p>
              </w:tc>
              <w:tc>
                <w:tcPr>
                  <w:tcW w:w="1047" w:type="pct"/>
                  <w:tcBorders>
                    <w:tl2br w:val="nil"/>
                    <w:tr2bl w:val="nil"/>
                  </w:tcBorders>
                  <w:shd w:val="clear" w:color="auto" w:fill="auto"/>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噪声源</w:t>
                  </w:r>
                </w:p>
              </w:tc>
              <w:tc>
                <w:tcPr>
                  <w:tcW w:w="806" w:type="pct"/>
                  <w:tcBorders>
                    <w:tl2br w:val="nil"/>
                    <w:tr2bl w:val="nil"/>
                  </w:tcBorders>
                  <w:shd w:val="clear" w:color="auto" w:fill="auto"/>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噪声源位置</w:t>
                  </w:r>
                </w:p>
              </w:tc>
              <w:tc>
                <w:tcPr>
                  <w:tcW w:w="724" w:type="pct"/>
                  <w:tcBorders>
                    <w:tl2br w:val="nil"/>
                    <w:tr2bl w:val="nil"/>
                  </w:tcBorders>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单台源强</w:t>
                  </w:r>
                </w:p>
              </w:tc>
              <w:tc>
                <w:tcPr>
                  <w:tcW w:w="1209" w:type="pct"/>
                  <w:tcBorders>
                    <w:tl2br w:val="nil"/>
                    <w:tr2bl w:val="nil"/>
                  </w:tcBorders>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防治措施</w:t>
                  </w:r>
                </w:p>
              </w:tc>
              <w:tc>
                <w:tcPr>
                  <w:tcW w:w="806" w:type="pct"/>
                  <w:tcBorders>
                    <w:tl2br w:val="nil"/>
                    <w:tr2bl w:val="nil"/>
                  </w:tcBorders>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控制后源强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05" w:type="pct"/>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1</w:t>
                  </w:r>
                </w:p>
              </w:tc>
              <w:tc>
                <w:tcPr>
                  <w:tcW w:w="1047" w:type="pct"/>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抽油机</w:t>
                  </w:r>
                </w:p>
              </w:tc>
              <w:tc>
                <w:tcPr>
                  <w:tcW w:w="806" w:type="pct"/>
                  <w:vMerge w:val="restart"/>
                  <w:tcBorders>
                    <w:tl2br w:val="nil"/>
                    <w:tr2bl w:val="nil"/>
                  </w:tcBorders>
                  <w:shd w:val="clear" w:color="auto" w:fill="auto"/>
                  <w:vAlign w:val="center"/>
                </w:tcPr>
                <w:p>
                  <w:pPr>
                    <w:spacing w:line="320" w:lineRule="exact"/>
                    <w:jc w:val="center"/>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cs="Times New Roman"/>
                      <w:color w:val="000000" w:themeColor="text1"/>
                      <w:spacing w:val="4"/>
                      <w:szCs w:val="21"/>
                      <w:lang w:val="en-US" w:eastAsia="zh-CN"/>
                      <w14:textFill>
                        <w14:solidFill>
                          <w14:schemeClr w14:val="tx1"/>
                        </w14:solidFill>
                      </w14:textFill>
                    </w:rPr>
                    <w:t>排采井场</w:t>
                  </w:r>
                </w:p>
              </w:tc>
              <w:tc>
                <w:tcPr>
                  <w:tcW w:w="724" w:type="pct"/>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70~80</w:t>
                  </w:r>
                </w:p>
              </w:tc>
              <w:tc>
                <w:tcPr>
                  <w:tcW w:w="1209" w:type="pct"/>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选用低噪声设备、机座加装减振垫</w:t>
                  </w:r>
                </w:p>
              </w:tc>
              <w:tc>
                <w:tcPr>
                  <w:tcW w:w="806" w:type="pct"/>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05" w:type="pct"/>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2</w:t>
                  </w:r>
                </w:p>
              </w:tc>
              <w:tc>
                <w:tcPr>
                  <w:tcW w:w="1047" w:type="pct"/>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三相分离器</w:t>
                  </w:r>
                </w:p>
              </w:tc>
              <w:tc>
                <w:tcPr>
                  <w:tcW w:w="806" w:type="pct"/>
                  <w:vMerge w:val="continue"/>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724" w:type="pct"/>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70~80</w:t>
                  </w:r>
                </w:p>
              </w:tc>
              <w:tc>
                <w:tcPr>
                  <w:tcW w:w="1209" w:type="pct"/>
                  <w:vMerge w:val="continue"/>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806" w:type="pct"/>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00" w:hRule="atLeast"/>
                <w:jc w:val="center"/>
              </w:trPr>
              <w:tc>
                <w:tcPr>
                  <w:tcW w:w="405" w:type="pct"/>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3</w:t>
                  </w:r>
                </w:p>
              </w:tc>
              <w:tc>
                <w:tcPr>
                  <w:tcW w:w="1047" w:type="pct"/>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燃油发电机</w:t>
                  </w:r>
                </w:p>
              </w:tc>
              <w:tc>
                <w:tcPr>
                  <w:tcW w:w="806" w:type="pct"/>
                  <w:vMerge w:val="continue"/>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724" w:type="pct"/>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lang w:val="en-US" w:eastAsia="zh-CN"/>
                      <w14:textFill>
                        <w14:solidFill>
                          <w14:schemeClr w14:val="tx1"/>
                        </w14:solidFill>
                      </w14:textFill>
                    </w:rPr>
                    <w:t>60</w:t>
                  </w:r>
                  <w:r>
                    <w:rPr>
                      <w:rFonts w:hint="default" w:ascii="Times New Roman" w:hAnsi="Times New Roman" w:cs="Times New Roman"/>
                      <w:color w:val="000000" w:themeColor="text1"/>
                      <w:spacing w:val="4"/>
                      <w:szCs w:val="21"/>
                      <w14:textFill>
                        <w14:solidFill>
                          <w14:schemeClr w14:val="tx1"/>
                        </w14:solidFill>
                      </w14:textFill>
                    </w:rPr>
                    <w:t>~85</w:t>
                  </w:r>
                </w:p>
              </w:tc>
              <w:tc>
                <w:tcPr>
                  <w:tcW w:w="1209" w:type="pct"/>
                  <w:vMerge w:val="continue"/>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806" w:type="pct"/>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60</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（2）噪声影响预测与评价</w:t>
            </w:r>
          </w:p>
          <w:p>
            <w:pPr>
              <w:adjustRightInd w:val="0"/>
              <w:snapToGrid w:val="0"/>
              <w:spacing w:line="300" w:lineRule="auto"/>
              <w:ind w:firstLine="480"/>
              <w:rPr>
                <w:rFonts w:hint="default" w:ascii="Times New Roman" w:hAnsi="Times New Roman" w:eastAsia="宋体"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① 预测模式</w:t>
            </w:r>
          </w:p>
          <w:p>
            <w:pPr>
              <w:adjustRightInd w:val="0"/>
              <w:snapToGrid w:val="0"/>
              <w:spacing w:line="300" w:lineRule="auto"/>
              <w:ind w:firstLine="48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影响声波从声源到受声点传播的因素有很多，它们主要包括传播发散、气温、平均速度、遮挡物状况、植被状况、风向、风速等，其中对声波的传播影响最大的是与声源到受声点的距离有关的传播发散，即声波随距离的衰减。</w:t>
            </w:r>
          </w:p>
          <w:p>
            <w:pPr>
              <w:pStyle w:val="22"/>
              <w:adjustRightInd w:val="0"/>
              <w:snapToGrid w:val="0"/>
              <w:spacing w:line="300" w:lineRule="auto"/>
              <w:ind w:firstLine="498" w:firstLineChars="201"/>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根据《环境影响评价技术导则  声环境》（HJ2.4-2009）附录A推荐的公式：</w:t>
            </w:r>
          </w:p>
          <w:p>
            <w:pPr>
              <w:tabs>
                <w:tab w:val="left" w:pos="0"/>
              </w:tabs>
              <w:adjustRightInd w:val="0"/>
              <w:snapToGrid w:val="0"/>
              <w:spacing w:line="300" w:lineRule="auto"/>
              <w:ind w:firstLine="1267" w:firstLineChars="511"/>
              <w:rPr>
                <w:rFonts w:hint="default" w:ascii="Times New Roman" w:hAnsi="Times New Roman" w:cs="Times New Roman"/>
                <w:i/>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L</w:t>
            </w:r>
            <w:r>
              <w:rPr>
                <w:rFonts w:hint="default" w:ascii="Times New Roman" w:hAnsi="Times New Roman" w:cs="Times New Roman"/>
                <w:i/>
                <w:color w:val="000000" w:themeColor="text1"/>
                <w:spacing w:val="4"/>
                <w:sz w:val="24"/>
                <w:vertAlign w:val="subscript"/>
                <w14:textFill>
                  <w14:solidFill>
                    <w14:schemeClr w14:val="tx1"/>
                  </w14:solidFill>
                </w14:textFill>
              </w:rPr>
              <w:t>A</w:t>
            </w:r>
            <w:r>
              <w:rPr>
                <w:rFonts w:hint="default" w:ascii="Times New Roman" w:hAnsi="Times New Roman" w:cs="Times New Roman"/>
                <w:i/>
                <w:color w:val="000000" w:themeColor="text1"/>
                <w:spacing w:val="4"/>
                <w:sz w:val="24"/>
                <w14:textFill>
                  <w14:solidFill>
                    <w14:schemeClr w14:val="tx1"/>
                  </w14:solidFill>
                </w14:textFill>
              </w:rPr>
              <w:t>（r）=L</w:t>
            </w:r>
            <w:r>
              <w:rPr>
                <w:rFonts w:hint="default" w:ascii="Times New Roman" w:hAnsi="Times New Roman" w:cs="Times New Roman"/>
                <w:i/>
                <w:color w:val="000000" w:themeColor="text1"/>
                <w:spacing w:val="4"/>
                <w:sz w:val="24"/>
                <w:vertAlign w:val="subscript"/>
                <w14:textFill>
                  <w14:solidFill>
                    <w14:schemeClr w14:val="tx1"/>
                  </w14:solidFill>
                </w14:textFill>
              </w:rPr>
              <w:t>aref</w:t>
            </w:r>
            <w:r>
              <w:rPr>
                <w:rFonts w:hint="default" w:ascii="Times New Roman" w:hAnsi="Times New Roman" w:cs="Times New Roman"/>
                <w:i/>
                <w:color w:val="000000" w:themeColor="text1"/>
                <w:spacing w:val="4"/>
                <w:sz w:val="24"/>
                <w14:textFill>
                  <w14:solidFill>
                    <w14:schemeClr w14:val="tx1"/>
                  </w14:solidFill>
                </w14:textFill>
              </w:rPr>
              <w:t>（r</w:t>
            </w:r>
            <w:r>
              <w:rPr>
                <w:rFonts w:hint="default" w:ascii="Times New Roman" w:hAnsi="Times New Roman" w:cs="Times New Roman"/>
                <w:i/>
                <w:color w:val="000000" w:themeColor="text1"/>
                <w:spacing w:val="4"/>
                <w:sz w:val="24"/>
                <w:vertAlign w:val="subscript"/>
                <w14:textFill>
                  <w14:solidFill>
                    <w14:schemeClr w14:val="tx1"/>
                  </w14:solidFill>
                </w14:textFill>
              </w:rPr>
              <w:t>0</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div</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atm</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gr</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bar</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misc</w:t>
            </w:r>
            <w:r>
              <w:rPr>
                <w:rFonts w:hint="default" w:ascii="Times New Roman" w:hAnsi="Times New Roman" w:cs="Times New Roman"/>
                <w:i/>
                <w:color w:val="000000" w:themeColor="text1"/>
                <w:spacing w:val="4"/>
                <w:sz w:val="24"/>
                <w14:textFill>
                  <w14:solidFill>
                    <w14:schemeClr w14:val="tx1"/>
                  </w14:solidFill>
                </w14:textFill>
              </w:rPr>
              <w:t>）</w:t>
            </w:r>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对单个点声源的几何衰减用以下公式计算：</w:t>
            </w:r>
          </w:p>
          <w:p>
            <w:pPr>
              <w:tabs>
                <w:tab w:val="left" w:pos="0"/>
              </w:tabs>
              <w:adjustRightInd w:val="0"/>
              <w:snapToGrid w:val="0"/>
              <w:spacing w:line="300" w:lineRule="auto"/>
              <w:ind w:firstLine="1267" w:firstLineChars="511"/>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w:t>
            </w:r>
            <w:r>
              <w:rPr>
                <w:rFonts w:hint="default" w:ascii="Times New Roman" w:hAnsi="Times New Roman" w:cs="Times New Roman"/>
                <w:i/>
                <w:color w:val="000000" w:themeColor="text1"/>
                <w:spacing w:val="4"/>
                <w:sz w:val="24"/>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（r0）</w:t>
            </w:r>
            <w:r>
              <w:rPr>
                <w:rFonts w:hint="default" w:ascii="Times New Roman" w:hAnsi="Times New Roman" w:cs="Times New Roman"/>
                <w:color w:val="000000" w:themeColor="text1"/>
                <w:spacing w:val="4"/>
                <w:sz w:val="24"/>
                <w14:textFill>
                  <w14:solidFill>
                    <w14:schemeClr w14:val="tx1"/>
                  </w14:solidFill>
                </w14:textFill>
              </w:rPr>
              <w:t>-20lg</w:t>
            </w:r>
            <m:oMath>
              <m:f>
                <m:fPr>
                  <m:ctrlPr>
                    <w:rPr>
                      <w:rFonts w:hint="default" w:ascii="Cambria Math" w:hAnsi="Cambria Math" w:cs="Times New Roman"/>
                      <w:color w:val="000000" w:themeColor="text1"/>
                      <w:spacing w:val="4"/>
                      <w:sz w:val="24"/>
                      <w14:textFill>
                        <w14:solidFill>
                          <w14:schemeClr w14:val="tx1"/>
                        </w14:solidFill>
                      </w14:textFill>
                    </w:rPr>
                  </m:ctrlPr>
                </m:fPr>
                <m:num>
                  <m:r>
                    <w:rPr>
                      <w:rFonts w:hint="default" w:ascii="Cambria Math" w:hAnsi="Cambria Math" w:cs="Times New Roman"/>
                      <w:color w:val="000000" w:themeColor="text1"/>
                      <w:spacing w:val="4"/>
                      <w:sz w:val="24"/>
                      <w14:textFill>
                        <w14:solidFill>
                          <w14:schemeClr w14:val="tx1"/>
                        </w14:solidFill>
                      </w14:textFill>
                    </w:rPr>
                    <m:t>r</m:t>
                  </m:r>
                  <m:ctrlPr>
                    <w:rPr>
                      <w:rFonts w:hint="default" w:ascii="Cambria Math" w:hAnsi="Cambria Math" w:cs="Times New Roman"/>
                      <w:color w:val="000000" w:themeColor="text1"/>
                      <w:spacing w:val="4"/>
                      <w:sz w:val="24"/>
                      <w14:textFill>
                        <w14:solidFill>
                          <w14:schemeClr w14:val="tx1"/>
                        </w14:solidFill>
                      </w14:textFill>
                    </w:rPr>
                  </m:ctrlPr>
                </m:num>
                <m:den>
                  <m:r>
                    <w:rPr>
                      <w:rFonts w:hint="default" w:ascii="Cambria Math" w:hAnsi="Cambria Math" w:cs="Times New Roman"/>
                      <w:color w:val="000000" w:themeColor="text1"/>
                      <w:spacing w:val="4"/>
                      <w:sz w:val="24"/>
                      <w14:textFill>
                        <w14:solidFill>
                          <w14:schemeClr w14:val="tx1"/>
                        </w14:solidFill>
                      </w14:textFill>
                    </w:rPr>
                    <m:t>r0</m:t>
                  </m:r>
                  <m:ctrlPr>
                    <w:rPr>
                      <w:rFonts w:hint="default" w:ascii="Cambria Math" w:hAnsi="Cambria Math" w:cs="Times New Roman"/>
                      <w:color w:val="000000" w:themeColor="text1"/>
                      <w:spacing w:val="4"/>
                      <w:sz w:val="24"/>
                      <w14:textFill>
                        <w14:solidFill>
                          <w14:schemeClr w14:val="tx1"/>
                        </w14:solidFill>
                      </w14:textFill>
                    </w:rPr>
                  </m:ctrlPr>
                </m:den>
              </m:f>
            </m:oMath>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两个以上的多个噪声源同时存在时，总声级计算公式为：</w:t>
            </w:r>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pict>
                <v:shape id="_x0000_s2051" o:spid="_x0000_s2051" o:spt="75" type="#_x0000_t75" style="position:absolute;left:0pt;margin-left:89.15pt;margin-top:9.2pt;height:34pt;width:99pt;z-index:252744704;mso-width-relative:page;mso-height-relative:page;" o:ole="t" filled="f" o:preferrelative="t" stroked="f" coordsize="21600,21600">
                  <v:path/>
                  <v:fill on="f" focussize="0,0"/>
                  <v:stroke on="f" joinstyle="miter"/>
                  <v:imagedata r:id="rId23" o:title=""/>
                  <o:lock v:ext="edit" aspectratio="t"/>
                </v:shape>
                <o:OLEObject Type="Embed" ProgID="Equation.3" ShapeID="_x0000_s2051" DrawAspect="Content" ObjectID="_1468075725" r:id="rId22">
                  <o:LockedField>false</o:LockedField>
                </o:OLEObject>
              </w:pict>
            </w:r>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p>
          <w:p>
            <w:pPr>
              <w:tabs>
                <w:tab w:val="left" w:pos="0"/>
              </w:tabs>
              <w:adjustRightInd w:val="0"/>
              <w:snapToGrid w:val="0"/>
              <w:spacing w:line="300" w:lineRule="auto"/>
              <w:ind w:firstLine="496" w:firstLineChars="200"/>
              <w:rPr>
                <w:rFonts w:hint="default" w:ascii="Times New Roman" w:hAnsi="Times New Roman" w:cs="Times New Roman"/>
                <w:color w:val="000000" w:themeColor="text1"/>
                <w:spacing w:val="4"/>
                <w:sz w:val="24"/>
                <w14:textFill>
                  <w14:solidFill>
                    <w14:schemeClr w14:val="tx1"/>
                  </w14:solidFill>
                </w14:textFill>
              </w:rPr>
            </w:pPr>
          </w:p>
          <w:p>
            <w:pPr>
              <w:tabs>
                <w:tab w:val="left" w:pos="0"/>
              </w:tabs>
              <w:adjustRightInd w:val="0"/>
              <w:snapToGrid w:val="0"/>
              <w:spacing w:line="300" w:lineRule="auto"/>
              <w:ind w:firstLine="486" w:firstLineChars="19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以上式中：</w:t>
            </w:r>
            <w:r>
              <w:rPr>
                <w:rFonts w:hint="default" w:ascii="Times New Roman" w:hAnsi="Times New Roman" w:cs="Times New Roman"/>
                <w:i/>
                <w:color w:val="000000" w:themeColor="text1"/>
                <w:spacing w:val="4"/>
                <w:sz w:val="24"/>
                <w14:textFill>
                  <w14:solidFill>
                    <w14:schemeClr w14:val="tx1"/>
                  </w14:solidFill>
                </w14:textFill>
              </w:rPr>
              <w:t xml:space="preserve">r </w:t>
            </w:r>
            <w:r>
              <w:rPr>
                <w:rFonts w:hint="default" w:ascii="Times New Roman" w:hAnsi="Times New Roman" w:cs="Times New Roman"/>
                <w:color w:val="000000" w:themeColor="text1"/>
                <w:spacing w:val="4"/>
                <w:sz w:val="24"/>
                <w14:textFill>
                  <w14:solidFill>
                    <w14:schemeClr w14:val="tx1"/>
                  </w14:solidFill>
                </w14:textFill>
              </w:rPr>
              <w:t>：预测点到声源的距离；</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div</w:t>
            </w:r>
            <w:r>
              <w:rPr>
                <w:rFonts w:hint="default" w:ascii="Times New Roman" w:hAnsi="Times New Roman" w:cs="Times New Roman"/>
                <w:color w:val="000000" w:themeColor="text1"/>
                <w:spacing w:val="4"/>
                <w:sz w:val="24"/>
                <w14:textFill>
                  <w14:solidFill>
                    <w14:schemeClr w14:val="tx1"/>
                  </w14:solidFill>
                </w14:textFill>
              </w:rPr>
              <w:t xml:space="preserve"> ：距离衰减，dB；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bar</w:t>
            </w:r>
            <w:r>
              <w:rPr>
                <w:rFonts w:hint="default" w:ascii="Times New Roman" w:hAnsi="Times New Roman" w:cs="Times New Roman"/>
                <w:color w:val="000000" w:themeColor="text1"/>
                <w:spacing w:val="4"/>
                <w:sz w:val="24"/>
                <w14:textFill>
                  <w14:solidFill>
                    <w14:schemeClr w14:val="tx1"/>
                  </w14:solidFill>
                </w14:textFill>
              </w:rPr>
              <w:t xml:space="preserve"> ：屏障引起的衰减，dB；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atm</w:t>
            </w:r>
            <w:r>
              <w:rPr>
                <w:rFonts w:hint="default" w:ascii="Times New Roman" w:hAnsi="Times New Roman" w:cs="Times New Roman"/>
                <w:color w:val="000000" w:themeColor="text1"/>
                <w:spacing w:val="4"/>
                <w:sz w:val="24"/>
                <w14:textFill>
                  <w14:solidFill>
                    <w14:schemeClr w14:val="tx1"/>
                  </w14:solidFill>
                </w14:textFill>
              </w:rPr>
              <w:t xml:space="preserve"> ：空气吸收衰减，dB；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gr</w:t>
            </w:r>
            <w:r>
              <w:rPr>
                <w:rFonts w:hint="default" w:ascii="Times New Roman" w:hAnsi="Times New Roman" w:cs="Times New Roman"/>
                <w:color w:val="000000" w:themeColor="text1"/>
                <w:spacing w:val="4"/>
                <w:sz w:val="24"/>
                <w14:textFill>
                  <w14:solidFill>
                    <w14:schemeClr w14:val="tx1"/>
                  </w14:solidFill>
                </w14:textFill>
              </w:rPr>
              <w:t xml:space="preserve"> ：地面效应引起的衰减，dB；</w:t>
            </w:r>
          </w:p>
          <w:p>
            <w:pPr>
              <w:tabs>
                <w:tab w:val="left" w:pos="0"/>
              </w:tabs>
              <w:adjustRightInd w:val="0"/>
              <w:snapToGrid w:val="0"/>
              <w:spacing w:line="300" w:lineRule="auto"/>
              <w:ind w:firstLine="1364" w:firstLineChars="55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misc</w:t>
            </w:r>
            <w:r>
              <w:rPr>
                <w:rFonts w:hint="default" w:ascii="Times New Roman" w:hAnsi="Times New Roman" w:cs="Times New Roman"/>
                <w:color w:val="000000" w:themeColor="text1"/>
                <w:spacing w:val="4"/>
                <w:sz w:val="24"/>
                <w14:textFill>
                  <w14:solidFill>
                    <w14:schemeClr w14:val="tx1"/>
                  </w14:solidFill>
                </w14:textFill>
              </w:rPr>
              <w:t xml:space="preserve"> ：其他多方面效应引起的衰减，dB；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w:t>
            </w:r>
            <w:r>
              <w:rPr>
                <w:rFonts w:hint="default" w:ascii="Times New Roman" w:hAnsi="Times New Roman" w:cs="Times New Roman"/>
                <w:color w:val="000000" w:themeColor="text1"/>
                <w:spacing w:val="4"/>
                <w:sz w:val="24"/>
                <w14:textFill>
                  <w14:solidFill>
                    <w14:schemeClr w14:val="tx1"/>
                  </w14:solidFill>
                </w14:textFill>
              </w:rPr>
              <w:t>：声源衰减至r处的声压级，dB；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（r0）</w:t>
            </w:r>
            <w:r>
              <w:rPr>
                <w:rFonts w:hint="default" w:ascii="Times New Roman" w:hAnsi="Times New Roman" w:cs="Times New Roman"/>
                <w:color w:val="000000" w:themeColor="text1"/>
                <w:spacing w:val="4"/>
                <w:sz w:val="24"/>
                <w14:textFill>
                  <w14:solidFill>
                    <w14:schemeClr w14:val="tx1"/>
                  </w14:solidFill>
                </w14:textFill>
              </w:rPr>
              <w:t>：声源在参考距离r</w:t>
            </w:r>
            <w:r>
              <w:rPr>
                <w:rFonts w:hint="default" w:ascii="Times New Roman" w:hAnsi="Times New Roman" w:cs="Times New Roman"/>
                <w:color w:val="000000" w:themeColor="text1"/>
                <w:spacing w:val="4"/>
                <w:sz w:val="24"/>
                <w:vertAlign w:val="subscript"/>
                <w14:textFill>
                  <w14:solidFill>
                    <w14:schemeClr w14:val="tx1"/>
                  </w14:solidFill>
                </w14:textFill>
              </w:rPr>
              <w:t>0</w:t>
            </w:r>
            <w:r>
              <w:rPr>
                <w:rFonts w:hint="default" w:ascii="Times New Roman" w:hAnsi="Times New Roman" w:cs="Times New Roman"/>
                <w:color w:val="000000" w:themeColor="text1"/>
                <w:spacing w:val="4"/>
                <w:sz w:val="24"/>
                <w14:textFill>
                  <w14:solidFill>
                    <w14:schemeClr w14:val="tx1"/>
                  </w14:solidFill>
                </w14:textFill>
              </w:rPr>
              <w:t>处的声压级；</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r</w:t>
            </w:r>
            <w:r>
              <w:rPr>
                <w:rFonts w:hint="default" w:ascii="Times New Roman" w:hAnsi="Times New Roman" w:cs="Times New Roman"/>
                <w:color w:val="000000" w:themeColor="text1"/>
                <w:spacing w:val="4"/>
                <w:sz w:val="24"/>
                <w:vertAlign w:val="subscript"/>
                <w14:textFill>
                  <w14:solidFill>
                    <w14:schemeClr w14:val="tx1"/>
                  </w14:solidFill>
                </w14:textFill>
              </w:rPr>
              <w:t>0</w:t>
            </w:r>
            <w:r>
              <w:rPr>
                <w:rFonts w:hint="default" w:ascii="Times New Roman" w:hAnsi="Times New Roman" w:cs="Times New Roman"/>
                <w:color w:val="000000" w:themeColor="text1"/>
                <w:spacing w:val="4"/>
                <w:sz w:val="24"/>
                <w14:textFill>
                  <w14:solidFill>
                    <w14:schemeClr w14:val="tx1"/>
                  </w14:solidFill>
                </w14:textFill>
              </w:rPr>
              <w:t>：参考位置距离声源的距离，m；</w:t>
            </w:r>
          </w:p>
          <w:p>
            <w:pPr>
              <w:tabs>
                <w:tab w:val="left" w:pos="0"/>
              </w:tabs>
              <w:adjustRightInd w:val="0"/>
              <w:snapToGrid w:val="0"/>
              <w:spacing w:line="300" w:lineRule="auto"/>
              <w:ind w:firstLine="1364" w:firstLineChars="55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0</w:t>
            </w:r>
            <w:r>
              <w:rPr>
                <w:rFonts w:hint="default" w:ascii="Times New Roman" w:hAnsi="Times New Roman" w:cs="Times New Roman"/>
                <w:color w:val="000000" w:themeColor="text1"/>
                <w:spacing w:val="4"/>
                <w:sz w:val="24"/>
                <w14:textFill>
                  <w14:solidFill>
                    <w14:schemeClr w14:val="tx1"/>
                  </w14:solidFill>
                </w14:textFill>
              </w:rPr>
              <w:t>：预测点的噪声现状值，dB。</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本次噪声预测只考虑声波随距离的衰减</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div</w:t>
            </w:r>
            <w:r>
              <w:rPr>
                <w:rFonts w:hint="default" w:ascii="Times New Roman" w:hAnsi="Times New Roman" w:cs="Times New Roman"/>
                <w:color w:val="000000" w:themeColor="text1"/>
                <w:spacing w:val="4"/>
                <w:sz w:val="24"/>
                <w14:textFill>
                  <w14:solidFill>
                    <w14:schemeClr w14:val="tx1"/>
                  </w14:solidFill>
                </w14:textFill>
              </w:rPr>
              <w:t>，以保证实际效果优于预测结果。</w:t>
            </w:r>
          </w:p>
          <w:p>
            <w:pPr>
              <w:pStyle w:val="2"/>
              <w:keepNext/>
              <w:keepLines/>
              <w:pageBreakBefore w:val="0"/>
              <w:widowControl/>
              <w:kinsoku/>
              <w:wordWrap/>
              <w:overflowPunct/>
              <w:topLinePunct w:val="0"/>
              <w:autoSpaceDE/>
              <w:autoSpaceDN/>
              <w:bidi w:val="0"/>
              <w:adjustRightInd/>
              <w:snapToGrid/>
              <w:spacing w:beforeLines="0" w:line="300" w:lineRule="auto"/>
              <w:ind w:firstLine="54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② 噪声预测结果</w:t>
            </w:r>
          </w:p>
          <w:p>
            <w:pPr>
              <w:tabs>
                <w:tab w:val="left" w:pos="0"/>
              </w:tabs>
              <w:adjustRightInd w:val="0"/>
              <w:snapToGrid w:val="0"/>
              <w:spacing w:line="300" w:lineRule="auto"/>
              <w:ind w:firstLine="539"/>
              <w:rPr>
                <w:rFonts w:hint="default" w:ascii="Times New Roman" w:hAnsi="Times New Roman" w:eastAsia="黑体" w:cs="Times New Roman"/>
                <w:b/>
                <w:color w:val="000000" w:themeColor="text1"/>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本次评价对场界四周各监测点进行预测。营运期厂界噪声预测最大结果见插表2</w:t>
            </w:r>
            <w:r>
              <w:rPr>
                <w:rFonts w:hint="eastAsia" w:cs="Times New Roman"/>
                <w:color w:val="000000" w:themeColor="text1"/>
                <w:spacing w:val="4"/>
                <w:sz w:val="24"/>
                <w:lang w:val="en-US" w:eastAsia="zh-CN"/>
                <w14:textFill>
                  <w14:solidFill>
                    <w14:schemeClr w14:val="tx1"/>
                  </w14:solidFill>
                </w14:textFill>
              </w:rPr>
              <w:t>3</w:t>
            </w:r>
            <w:r>
              <w:rPr>
                <w:rFonts w:hint="default" w:ascii="Times New Roman" w:hAnsi="Times New Roman" w:cs="Times New Roman"/>
                <w:color w:val="000000" w:themeColor="text1"/>
                <w:spacing w:val="4"/>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right"/>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本项目营运期厂界噪声预测结果           单位：dB(A)</w:t>
            </w:r>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07"/>
              <w:gridCol w:w="1604"/>
              <w:gridCol w:w="1591"/>
              <w:gridCol w:w="1510"/>
              <w:gridCol w:w="1487"/>
              <w:gridCol w:w="124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07" w:type="dxa"/>
                  <w:vMerge w:val="restart"/>
                  <w:tcBorders>
                    <w:tl2br w:val="nil"/>
                    <w:tr2bl w:val="nil"/>
                  </w:tcBorders>
                  <w:vAlign w:val="center"/>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预测位置</w:t>
                  </w:r>
                </w:p>
              </w:tc>
              <w:tc>
                <w:tcPr>
                  <w:tcW w:w="3195" w:type="dxa"/>
                  <w:gridSpan w:val="2"/>
                  <w:tcBorders>
                    <w:tl2br w:val="nil"/>
                    <w:tr2bl w:val="nil"/>
                  </w:tcBorders>
                  <w:vAlign w:val="center"/>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贡献值  dB（A）</w:t>
                  </w:r>
                </w:p>
              </w:tc>
              <w:tc>
                <w:tcPr>
                  <w:tcW w:w="2997" w:type="dxa"/>
                  <w:gridSpan w:val="2"/>
                  <w:tcBorders>
                    <w:tl2br w:val="nil"/>
                    <w:tr2bl w:val="nil"/>
                  </w:tcBorders>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标准值  dB（A）</w:t>
                  </w:r>
                </w:p>
              </w:tc>
              <w:tc>
                <w:tcPr>
                  <w:tcW w:w="1241" w:type="dxa"/>
                  <w:vMerge w:val="restart"/>
                  <w:tcBorders>
                    <w:tl2br w:val="nil"/>
                    <w:tr2bl w:val="nil"/>
                  </w:tcBorders>
                  <w:vAlign w:val="center"/>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07" w:type="dxa"/>
                  <w:vMerge w:val="continue"/>
                  <w:tcBorders>
                    <w:tl2br w:val="nil"/>
                    <w:tr2bl w:val="nil"/>
                  </w:tcBorders>
                  <w:vAlign w:val="center"/>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604" w:type="dxa"/>
                  <w:tcBorders>
                    <w:tl2br w:val="nil"/>
                    <w:tr2bl w:val="nil"/>
                  </w:tcBorders>
                  <w:vAlign w:val="center"/>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昼间</w:t>
                  </w:r>
                </w:p>
              </w:tc>
              <w:tc>
                <w:tcPr>
                  <w:tcW w:w="1591" w:type="dxa"/>
                  <w:tcBorders>
                    <w:tl2br w:val="nil"/>
                    <w:tr2bl w:val="nil"/>
                  </w:tcBorders>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夜间</w:t>
                  </w:r>
                </w:p>
              </w:tc>
              <w:tc>
                <w:tcPr>
                  <w:tcW w:w="1510" w:type="dxa"/>
                  <w:tcBorders>
                    <w:tl2br w:val="nil"/>
                    <w:tr2bl w:val="nil"/>
                  </w:tcBorders>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昼间</w:t>
                  </w:r>
                </w:p>
              </w:tc>
              <w:tc>
                <w:tcPr>
                  <w:tcW w:w="1487" w:type="dxa"/>
                  <w:tcBorders>
                    <w:tl2br w:val="nil"/>
                    <w:tr2bl w:val="nil"/>
                  </w:tcBorders>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夜间</w:t>
                  </w:r>
                </w:p>
              </w:tc>
              <w:tc>
                <w:tcPr>
                  <w:tcW w:w="1241" w:type="dxa"/>
                  <w:vMerge w:val="continue"/>
                  <w:tcBorders>
                    <w:tl2br w:val="nil"/>
                    <w:tr2bl w:val="nil"/>
                  </w:tcBorders>
                </w:tcPr>
                <w:p>
                  <w:pPr>
                    <w:spacing w:line="300" w:lineRule="exact"/>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07" w:type="dxa"/>
                  <w:tcBorders>
                    <w:tl2br w:val="nil"/>
                    <w:tr2bl w:val="nil"/>
                  </w:tcBorders>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厂界北侧</w:t>
                  </w:r>
                </w:p>
              </w:tc>
              <w:tc>
                <w:tcPr>
                  <w:tcW w:w="1604"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37.6</w:t>
                  </w:r>
                </w:p>
              </w:tc>
              <w:tc>
                <w:tcPr>
                  <w:tcW w:w="1591"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37.6</w:t>
                  </w:r>
                </w:p>
              </w:tc>
              <w:tc>
                <w:tcPr>
                  <w:tcW w:w="1510"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487"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50</w:t>
                  </w:r>
                </w:p>
              </w:tc>
              <w:tc>
                <w:tcPr>
                  <w:tcW w:w="1241" w:type="dxa"/>
                  <w:tcBorders>
                    <w:tl2br w:val="nil"/>
                    <w:tr2bl w:val="nil"/>
                  </w:tcBorders>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07" w:type="dxa"/>
                  <w:tcBorders>
                    <w:tl2br w:val="nil"/>
                    <w:tr2bl w:val="nil"/>
                  </w:tcBorders>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厂界西侧</w:t>
                  </w:r>
                </w:p>
              </w:tc>
              <w:tc>
                <w:tcPr>
                  <w:tcW w:w="1604"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44.7</w:t>
                  </w:r>
                </w:p>
              </w:tc>
              <w:tc>
                <w:tcPr>
                  <w:tcW w:w="1591"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44.7</w:t>
                  </w:r>
                </w:p>
              </w:tc>
              <w:tc>
                <w:tcPr>
                  <w:tcW w:w="1510"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487"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50</w:t>
                  </w:r>
                </w:p>
              </w:tc>
              <w:tc>
                <w:tcPr>
                  <w:tcW w:w="1241" w:type="dxa"/>
                  <w:tcBorders>
                    <w:tl2br w:val="nil"/>
                    <w:tr2bl w:val="nil"/>
                  </w:tcBorders>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07" w:type="dxa"/>
                  <w:tcBorders>
                    <w:tl2br w:val="nil"/>
                    <w:tr2bl w:val="nil"/>
                  </w:tcBorders>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厂界南侧</w:t>
                  </w:r>
                </w:p>
              </w:tc>
              <w:tc>
                <w:tcPr>
                  <w:tcW w:w="1604"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46.7</w:t>
                  </w:r>
                </w:p>
              </w:tc>
              <w:tc>
                <w:tcPr>
                  <w:tcW w:w="1591"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46.7</w:t>
                  </w:r>
                </w:p>
              </w:tc>
              <w:tc>
                <w:tcPr>
                  <w:tcW w:w="1510"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487"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50</w:t>
                  </w:r>
                </w:p>
              </w:tc>
              <w:tc>
                <w:tcPr>
                  <w:tcW w:w="1241" w:type="dxa"/>
                  <w:tcBorders>
                    <w:tl2br w:val="nil"/>
                    <w:tr2bl w:val="nil"/>
                  </w:tcBorders>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07" w:type="dxa"/>
                  <w:tcBorders>
                    <w:tl2br w:val="nil"/>
                    <w:tr2bl w:val="nil"/>
                  </w:tcBorders>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厂界东侧</w:t>
                  </w:r>
                </w:p>
              </w:tc>
              <w:tc>
                <w:tcPr>
                  <w:tcW w:w="1604"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38.4</w:t>
                  </w:r>
                </w:p>
              </w:tc>
              <w:tc>
                <w:tcPr>
                  <w:tcW w:w="1591" w:type="dxa"/>
                  <w:tcBorders>
                    <w:tl2br w:val="nil"/>
                    <w:tr2bl w:val="nil"/>
                  </w:tcBorders>
                  <w:vAlign w:val="center"/>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38.4</w:t>
                  </w:r>
                </w:p>
              </w:tc>
              <w:tc>
                <w:tcPr>
                  <w:tcW w:w="1510"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487" w:type="dxa"/>
                  <w:tcBorders>
                    <w:tl2br w:val="nil"/>
                    <w:tr2bl w:val="nil"/>
                  </w:tcBorders>
                </w:tcPr>
                <w:p>
                  <w:pPr>
                    <w:tabs>
                      <w:tab w:val="left" w:pos="0"/>
                    </w:tabs>
                    <w:adjustRightInd w:val="0"/>
                    <w:snapToGrid w:val="0"/>
                    <w:spacing w:line="300" w:lineRule="auto"/>
                    <w:ind w:firstLine="539"/>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50</w:t>
                  </w:r>
                </w:p>
              </w:tc>
              <w:tc>
                <w:tcPr>
                  <w:tcW w:w="1241" w:type="dxa"/>
                  <w:tcBorders>
                    <w:tl2br w:val="nil"/>
                    <w:tr2bl w:val="nil"/>
                  </w:tcBorders>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pPr>
              <w:adjustRightInd w:val="0"/>
              <w:snapToGrid w:val="0"/>
              <w:spacing w:line="300" w:lineRule="auto"/>
              <w:ind w:firstLine="465" w:firstLineChars="194"/>
              <w:rPr>
                <w:rFonts w:hint="default" w:ascii="Times New Roman" w:hAnsi="Times New Roman" w:cs="Times New Roman"/>
                <w:color w:val="000000" w:themeColor="text1"/>
                <w:sz w:val="24"/>
                <w14:textFill>
                  <w14:solidFill>
                    <w14:schemeClr w14:val="tx1"/>
                  </w14:solidFill>
                </w14:textFill>
              </w:rPr>
            </w:pPr>
          </w:p>
          <w:p>
            <w:pPr>
              <w:adjustRightInd w:val="0"/>
              <w:snapToGrid w:val="0"/>
              <w:spacing w:line="300" w:lineRule="auto"/>
              <w:ind w:firstLine="465" w:firstLineChars="194"/>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本项目为新建项目，厂界噪声预测以贡献值作为评价量，由上表知：</w:t>
            </w:r>
            <w:r>
              <w:rPr>
                <w:rFonts w:hint="default" w:ascii="Times New Roman" w:hAnsi="Times New Roman" w:cs="Times New Roman"/>
                <w:color w:val="000000" w:themeColor="text1"/>
                <w:kern w:val="0"/>
                <w:sz w:val="24"/>
                <w:szCs w:val="22"/>
                <w:lang w:bidi="ar"/>
                <w14:textFill>
                  <w14:solidFill>
                    <w14:schemeClr w14:val="tx1"/>
                  </w14:solidFill>
                </w14:textFill>
              </w:rPr>
              <w:t>本项目厂界四周</w:t>
            </w:r>
            <w:r>
              <w:rPr>
                <w:rFonts w:hint="default" w:ascii="Times New Roman" w:hAnsi="Times New Roman" w:cs="Times New Roman"/>
                <w:color w:val="000000" w:themeColor="text1"/>
                <w:sz w:val="24"/>
                <w14:textFill>
                  <w14:solidFill>
                    <w14:schemeClr w14:val="tx1"/>
                  </w14:solidFill>
                </w14:textFill>
              </w:rPr>
              <w:t>贡献值在37.6~46.7dB（A），所有预测值均满足《工业企业</w:t>
            </w:r>
            <w:r>
              <w:rPr>
                <w:rFonts w:hint="default" w:ascii="Times New Roman" w:hAnsi="Times New Roman" w:cs="Times New Roman"/>
                <w:color w:val="000000" w:themeColor="text1"/>
                <w:sz w:val="24"/>
                <w:lang w:val="en-US" w:eastAsia="zh-CN"/>
                <w14:textFill>
                  <w14:solidFill>
                    <w14:schemeClr w14:val="tx1"/>
                  </w14:solidFill>
                </w14:textFill>
              </w:rPr>
              <w:t>厂界</w:t>
            </w:r>
            <w:r>
              <w:rPr>
                <w:rFonts w:hint="default" w:ascii="Times New Roman" w:hAnsi="Times New Roman" w:cs="Times New Roman"/>
                <w:color w:val="000000" w:themeColor="text1"/>
                <w:sz w:val="24"/>
                <w14:textFill>
                  <w14:solidFill>
                    <w14:schemeClr w14:val="tx1"/>
                  </w14:solidFill>
                </w14:textFill>
              </w:rPr>
              <w:t>环境噪声排放标准》（GB12348-2008）中2类标准限值要求。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本项目通过采取以下措施降低噪声影响：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合理布置</w:t>
            </w:r>
            <w:r>
              <w:rPr>
                <w:rFonts w:hint="default" w:ascii="Times New Roman" w:hAnsi="Times New Roman" w:cs="Times New Roman"/>
                <w:color w:val="000000" w:themeColor="text1"/>
                <w:sz w:val="24"/>
                <w:lang w:val="en-US" w:eastAsia="zh-CN"/>
                <w14:textFill>
                  <w14:solidFill>
                    <w14:schemeClr w14:val="tx1"/>
                  </w14:solidFill>
                </w14:textFill>
              </w:rPr>
              <w:t>抽油机、</w:t>
            </w:r>
            <w:r>
              <w:rPr>
                <w:rFonts w:hint="default" w:ascii="Times New Roman" w:hAnsi="Times New Roman" w:cs="Times New Roman"/>
                <w:color w:val="000000" w:themeColor="text1"/>
                <w:sz w:val="24"/>
                <w14:textFill>
                  <w14:solidFill>
                    <w14:schemeClr w14:val="tx1"/>
                  </w14:solidFill>
                </w14:textFill>
              </w:rPr>
              <w:t>发电机等强噪声源；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选择低噪声设备，设备设有减振基础并采用消声措施；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设备与管道之间的连接采用柔性连接，以减少噪声和振动的传递</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五</w:t>
            </w:r>
            <w:r>
              <w:rPr>
                <w:rFonts w:hint="default" w:ascii="Times New Roman" w:hAnsi="Times New Roman" w:cs="Times New Roman"/>
                <w:b/>
                <w:color w:val="000000" w:themeColor="text1"/>
                <w:sz w:val="24"/>
                <w14:textFill>
                  <w14:solidFill>
                    <w14:schemeClr w14:val="tx1"/>
                  </w14:solidFill>
                </w14:textFill>
              </w:rPr>
              <w:t>、固体废物环境影响分析</w:t>
            </w:r>
          </w:p>
          <w:p>
            <w:pPr>
              <w:pStyle w:val="43"/>
              <w:keepNext w:val="0"/>
              <w:keepLines w:val="0"/>
              <w:pageBreakBefore w:val="0"/>
              <w:kinsoku/>
              <w:wordWrap/>
              <w:overflowPunct/>
              <w:topLinePunct w:val="0"/>
              <w:autoSpaceDE/>
              <w:autoSpaceDN/>
              <w:bidi w:val="0"/>
              <w:spacing w:after="0" w:line="300" w:lineRule="auto"/>
              <w:ind w:left="0" w:leftChars="0" w:firstLine="481" w:firstLineChars="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1. 钻井期固体废物环境影响分析</w:t>
            </w:r>
          </w:p>
          <w:p>
            <w:pPr>
              <w:pStyle w:val="12"/>
              <w:keepNext w:val="0"/>
              <w:keepLines w:val="0"/>
              <w:pageBreakBefore w:val="0"/>
              <w:widowControl w:val="0"/>
              <w:kinsoku/>
              <w:wordWrap/>
              <w:overflowPunct/>
              <w:topLinePunct w:val="0"/>
              <w:autoSpaceDE/>
              <w:autoSpaceDN/>
              <w:bidi w:val="0"/>
              <w:adjustRightInd w:val="0"/>
              <w:snapToGrid w:val="0"/>
              <w:spacing w:before="0" w:line="300" w:lineRule="auto"/>
              <w:ind w:left="0" w:leftChars="0" w:right="0" w:rightChars="0" w:firstLine="480" w:firstLineChars="200"/>
              <w:jc w:val="left"/>
              <w:textAlignment w:val="auto"/>
              <w:outlineLvl w:val="9"/>
              <w:rPr>
                <w:rFonts w:hint="default" w:ascii="Times New Roman" w:hAnsi="Times New Roman"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auto"/>
                <w14:textFill>
                  <w14:solidFill>
                    <w14:schemeClr w14:val="tx1"/>
                  </w14:solidFill>
                </w14:textFill>
              </w:rPr>
              <w:t>建设期的固废主要为前期施工平场产生的固废，钻井期间产生的钻屑、废弃泥浆，施工人员产生的生活垃圾等。</w:t>
            </w:r>
          </w:p>
          <w:p>
            <w:pPr>
              <w:pStyle w:val="12"/>
              <w:keepNext w:val="0"/>
              <w:keepLines w:val="0"/>
              <w:pageBreakBefore w:val="0"/>
              <w:widowControl w:val="0"/>
              <w:kinsoku/>
              <w:wordWrap/>
              <w:overflowPunct/>
              <w:topLinePunct w:val="0"/>
              <w:autoSpaceDE/>
              <w:autoSpaceDN/>
              <w:bidi w:val="0"/>
              <w:adjustRightInd w:val="0"/>
              <w:snapToGrid w:val="0"/>
              <w:spacing w:before="0" w:line="30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前期施工平场产生的固废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本项目建设期间产生的固废主要为场地平整产生的挖填方，</w:t>
            </w:r>
            <w:bookmarkStart w:id="14" w:name="OLE_LINK21"/>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挖方总量约</w:t>
            </w:r>
            <w:r>
              <w:rPr>
                <w:rFonts w:hint="eastAsia" w:cs="Times New Roman"/>
                <w:color w:val="000000" w:themeColor="text1"/>
                <w:sz w:val="24"/>
                <w:szCs w:val="24"/>
                <w:highlight w:val="none"/>
                <w:shd w:val="clear" w:color="auto" w:fill="auto"/>
                <w:lang w:val="en-US" w:eastAsia="zh-CN"/>
                <w14:textFill>
                  <w14:solidFill>
                    <w14:schemeClr w14:val="tx1"/>
                  </w14:solidFill>
                </w14:textFill>
              </w:rPr>
              <w:t>6438</w:t>
            </w:r>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m</w:t>
            </w:r>
            <w:r>
              <w:rPr>
                <w:rFonts w:hint="default" w:ascii="Times New Roman" w:eastAsia="宋体" w:cs="Times New Roman"/>
                <w:color w:val="000000" w:themeColor="text1"/>
                <w:sz w:val="24"/>
                <w:szCs w:val="24"/>
                <w:highlight w:val="none"/>
                <w:shd w:val="clear" w:color="auto" w:fill="auto"/>
                <w:vertAlign w:val="superscript"/>
                <w:lang w:val="en-US" w:eastAsia="zh-CN"/>
                <w14:textFill>
                  <w14:solidFill>
                    <w14:schemeClr w14:val="tx1"/>
                  </w14:solidFill>
                </w14:textFill>
              </w:rPr>
              <w:t>3</w:t>
            </w:r>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（含表土），填方总量约</w:t>
            </w:r>
            <w:r>
              <w:rPr>
                <w:rFonts w:hint="eastAsia" w:cs="Times New Roman"/>
                <w:color w:val="000000" w:themeColor="text1"/>
                <w:sz w:val="24"/>
                <w:szCs w:val="24"/>
                <w:highlight w:val="none"/>
                <w:shd w:val="clear" w:color="auto" w:fill="auto"/>
                <w:lang w:val="en-US" w:eastAsia="zh-CN"/>
                <w14:textFill>
                  <w14:solidFill>
                    <w14:schemeClr w14:val="tx1"/>
                  </w14:solidFill>
                </w14:textFill>
              </w:rPr>
              <w:t>6438</w:t>
            </w:r>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m</w:t>
            </w:r>
            <w:r>
              <w:rPr>
                <w:rFonts w:hint="default" w:ascii="Times New Roman" w:eastAsia="宋体" w:cs="Times New Roman"/>
                <w:color w:val="000000" w:themeColor="text1"/>
                <w:sz w:val="24"/>
                <w:szCs w:val="24"/>
                <w:highlight w:val="none"/>
                <w:shd w:val="clear" w:color="auto" w:fill="auto"/>
                <w:vertAlign w:val="superscript"/>
                <w:lang w:val="en-US" w:eastAsia="zh-CN"/>
                <w14:textFill>
                  <w14:solidFill>
                    <w14:schemeClr w14:val="tx1"/>
                  </w14:solidFill>
                </w14:textFill>
              </w:rPr>
              <w:t>3</w:t>
            </w:r>
            <w:bookmarkEnd w:id="14"/>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（含表土）。</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该</w:t>
            </w:r>
            <w:bookmarkStart w:id="15" w:name="OLE_LINK40"/>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挖填方量基本平衡，不会产生多余的弃方，也不需另设取弃土场</w:t>
            </w:r>
            <w:bookmarkEnd w:id="15"/>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钻井泥浆和岩屑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14:textFill>
                  <w14:solidFill>
                    <w14:schemeClr w14:val="tx1"/>
                  </w14:solidFill>
                </w14:textFill>
              </w:rPr>
              <w:t>岩屑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钻井过程中，岩土被钻头破碎成岩屑，其中50%混入泥浆中，其余经泥浆循环泵带出井口。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一般情况下，岩屑的产生量可按下式计算：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5" o:spt="75" type="#_x0000_t75" style="height:30.8pt;width:93pt;" o:ole="t" filled="f" o:preferrelative="t" stroked="f" coordsize="21600,21600">
                  <v:path/>
                  <v:fill on="f" alignshape="1" focussize="0,0"/>
                  <v:stroke on="f"/>
                  <v:imagedata r:id="rId25" o:title=""/>
                  <o:lock v:ext="edit" aspectratio="t"/>
                  <w10:wrap type="none"/>
                  <w10:anchorlock/>
                </v:shape>
                <o:OLEObject Type="Embed" ProgID="Equation.3" ShapeID="_x0000_i1025" DrawAspect="Content" ObjectID="_1468075726" r:id="rId24">
                  <o:LockedField>false</o:LockedField>
                </o:OLEObject>
              </w:objec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式中：W—井场岩屑产生量，t；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D—井直径(一开0.311m，二开0.216m</w:t>
            </w:r>
            <w:r>
              <w:rPr>
                <w:rFonts w:hint="default" w:ascii="Times New Roman" w:hAnsi="Times New Roman" w:cs="Times New Roman"/>
                <w:color w:val="000000" w:themeColor="text1"/>
                <w:sz w:val="24"/>
                <w:lang w:eastAsia="zh-CN"/>
                <w14:textFill>
                  <w14:solidFill>
                    <w14:schemeClr w14:val="tx1"/>
                  </w14:solidFill>
                </w14:textFill>
              </w:rPr>
              <w:t>，三开</w:t>
            </w:r>
            <w:r>
              <w:rPr>
                <w:rFonts w:hint="default" w:ascii="Times New Roman" w:hAnsi="Times New Roman" w:cs="Times New Roman"/>
                <w:color w:val="000000" w:themeColor="text1"/>
                <w:sz w:val="24"/>
                <w:lang w:val="en-US" w:eastAsia="zh-CN"/>
                <w14:textFill>
                  <w14:solidFill>
                    <w14:schemeClr w14:val="tx1"/>
                  </w14:solidFill>
                </w14:textFill>
              </w:rPr>
              <w:t>0.152m</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h—井深度(一开深度平均</w:t>
            </w:r>
            <w:r>
              <w:rPr>
                <w:rFonts w:hint="default" w:ascii="Times New Roman" w:hAnsi="Times New Roman" w:cs="Times New Roman"/>
                <w:color w:val="000000" w:themeColor="text1"/>
                <w:sz w:val="24"/>
                <w:lang w:val="en-US" w:eastAsia="zh-CN"/>
                <w14:textFill>
                  <w14:solidFill>
                    <w14:schemeClr w14:val="tx1"/>
                  </w14:solidFill>
                </w14:textFill>
              </w:rPr>
              <w:t>115</w:t>
            </w:r>
            <w:r>
              <w:rPr>
                <w:rFonts w:hint="default" w:ascii="Times New Roman" w:hAnsi="Times New Roman" w:cs="Times New Roman"/>
                <w:color w:val="000000" w:themeColor="text1"/>
                <w:sz w:val="24"/>
                <w14:textFill>
                  <w14:solidFill>
                    <w14:schemeClr w14:val="tx1"/>
                  </w14:solidFill>
                </w14:textFill>
              </w:rPr>
              <w:t>m，二开平均</w:t>
            </w:r>
            <w:r>
              <w:rPr>
                <w:rFonts w:hint="default" w:ascii="Times New Roman" w:hAnsi="Times New Roman" w:cs="Times New Roman"/>
                <w:color w:val="000000" w:themeColor="text1"/>
                <w:sz w:val="24"/>
                <w:lang w:val="en-US" w:eastAsia="zh-CN"/>
                <w14:textFill>
                  <w14:solidFill>
                    <w14:schemeClr w14:val="tx1"/>
                  </w14:solidFill>
                </w14:textFill>
              </w:rPr>
              <w:t>1885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，三</w:t>
            </w:r>
            <w:r>
              <w:rPr>
                <w:rFonts w:hint="default" w:ascii="Times New Roman" w:hAnsi="Times New Roman" w:cs="Times New Roman"/>
                <w:color w:val="000000" w:themeColor="text1"/>
                <w:sz w:val="24"/>
                <w14:textFill>
                  <w14:solidFill>
                    <w14:schemeClr w14:val="tx1"/>
                  </w14:solidFill>
                </w14:textFill>
              </w:rPr>
              <w:t>开平均</w:t>
            </w:r>
            <w:r>
              <w:rPr>
                <w:rFonts w:hint="default" w:ascii="Times New Roman" w:hAnsi="Times New Roman" w:cs="Times New Roman"/>
                <w:color w:val="000000" w:themeColor="text1"/>
                <w:sz w:val="24"/>
                <w:lang w:val="en-US" w:eastAsia="zh-CN"/>
                <w14:textFill>
                  <w14:solidFill>
                    <w14:schemeClr w14:val="tx1"/>
                  </w14:solidFill>
                </w14:textFill>
              </w:rPr>
              <w:t>95</w:t>
            </w:r>
            <w:r>
              <w:rPr>
                <w:rFonts w:hint="default" w:ascii="Times New Roman" w:hAnsi="Times New Roman" w:cs="Times New Roman"/>
                <w:color w:val="000000" w:themeColor="text1"/>
                <w:sz w:val="24"/>
                <w14:textFill>
                  <w14:solidFill>
                    <w14:schemeClr w14:val="tx1"/>
                  </w14:solidFill>
                </w14:textFill>
              </w:rPr>
              <w:t>m)；</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d—岩石密度(取2.8t/m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根据开采区采气井直径和深度估算，</w:t>
            </w:r>
            <w:r>
              <w:rPr>
                <w:rFonts w:hint="default" w:ascii="Times New Roman" w:hAnsi="Times New Roman" w:cs="Times New Roman"/>
                <w:color w:val="000000" w:themeColor="text1"/>
                <w:sz w:val="24"/>
                <w:lang w:eastAsia="zh-CN"/>
                <w14:textFill>
                  <w14:solidFill>
                    <w14:schemeClr w14:val="tx1"/>
                  </w14:solidFill>
                </w14:textFill>
              </w:rPr>
              <w:t>宁探</w:t>
            </w:r>
            <w:r>
              <w:rPr>
                <w:rFonts w:hint="default" w:ascii="Times New Roman" w:hAnsi="Times New Roman" w:cs="Times New Roman"/>
                <w:color w:val="000000" w:themeColor="text1"/>
                <w:sz w:val="24"/>
                <w:lang w:val="en-US" w:eastAsia="zh-CN"/>
                <w14:textFill>
                  <w14:solidFill>
                    <w14:schemeClr w14:val="tx1"/>
                  </w14:solidFill>
                </w14:textFill>
              </w:rPr>
              <w:t>1井</w:t>
            </w:r>
            <w:r>
              <w:rPr>
                <w:rFonts w:hint="default" w:ascii="Times New Roman" w:hAnsi="Times New Roman" w:cs="Times New Roman"/>
                <w:color w:val="000000" w:themeColor="text1"/>
                <w:sz w:val="24"/>
                <w14:textFill>
                  <w14:solidFill>
                    <w14:schemeClr w14:val="tx1"/>
                  </w14:solidFill>
                </w14:textFill>
              </w:rPr>
              <w:t>钻井岩屑量约为</w:t>
            </w:r>
            <w:r>
              <w:rPr>
                <w:rFonts w:hint="default" w:ascii="Times New Roman" w:hAnsi="Times New Roman" w:cs="Times New Roman"/>
                <w:color w:val="000000" w:themeColor="text1"/>
                <w:sz w:val="24"/>
                <w:lang w:val="en-US" w:eastAsia="zh-CN"/>
                <w14:textFill>
                  <w14:solidFill>
                    <w14:schemeClr w14:val="tx1"/>
                  </w14:solidFill>
                </w14:textFill>
              </w:rPr>
              <w:t>111.28</w:t>
            </w:r>
            <w:r>
              <w:rPr>
                <w:rFonts w:hint="default" w:ascii="Times New Roman" w:hAnsi="Times New Roman" w:cs="Times New Roman"/>
                <w:color w:val="000000" w:themeColor="text1"/>
                <w:sz w:val="24"/>
                <w14:textFill>
                  <w14:solidFill>
                    <w14:schemeClr w14:val="tx1"/>
                  </w14:solidFill>
                </w14:textFill>
              </w:rPr>
              <w:t>t(合</w:t>
            </w:r>
            <w:r>
              <w:rPr>
                <w:rFonts w:hint="default" w:ascii="Times New Roman" w:hAnsi="Times New Roman" w:cs="Times New Roman"/>
                <w:color w:val="000000" w:themeColor="text1"/>
                <w:sz w:val="24"/>
                <w:lang w:val="en-US" w:eastAsia="zh-CN"/>
                <w14:textFill>
                  <w14:solidFill>
                    <w14:schemeClr w14:val="tx1"/>
                  </w14:solidFill>
                </w14:textFill>
              </w:rPr>
              <w:t>39.74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)，项目钻井总岩屑量约为</w:t>
            </w:r>
            <w:r>
              <w:rPr>
                <w:rFonts w:hint="default" w:ascii="Times New Roman" w:hAnsi="Times New Roman" w:cs="Times New Roman"/>
                <w:color w:val="000000" w:themeColor="text1"/>
                <w:sz w:val="24"/>
                <w:lang w:val="en-US" w:eastAsia="zh-CN"/>
                <w14:textFill>
                  <w14:solidFill>
                    <w14:schemeClr w14:val="tx1"/>
                  </w14:solidFill>
                </w14:textFill>
              </w:rPr>
              <w:t>111.28</w:t>
            </w:r>
            <w:r>
              <w:rPr>
                <w:rFonts w:hint="default" w:ascii="Times New Roman" w:hAnsi="Times New Roman" w:cs="Times New Roman"/>
                <w:color w:val="000000" w:themeColor="text1"/>
                <w:sz w:val="24"/>
                <w14:textFill>
                  <w14:solidFill>
                    <w14:schemeClr w14:val="tx1"/>
                  </w14:solidFill>
                </w14:textFill>
              </w:rPr>
              <w:t>t(合</w:t>
            </w:r>
            <w:r>
              <w:rPr>
                <w:rFonts w:hint="default" w:ascii="Times New Roman" w:hAnsi="Times New Roman" w:cs="Times New Roman"/>
                <w:color w:val="000000" w:themeColor="text1"/>
                <w:sz w:val="24"/>
                <w:lang w:val="en-US" w:eastAsia="zh-CN"/>
                <w14:textFill>
                  <w14:solidFill>
                    <w14:schemeClr w14:val="tx1"/>
                  </w14:solidFill>
                </w14:textFill>
              </w:rPr>
              <w:t>39.74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泥浆</w:t>
            </w:r>
          </w:p>
          <w:p>
            <w:pPr>
              <w:pStyle w:val="12"/>
              <w:keepNext w:val="0"/>
              <w:keepLines w:val="0"/>
              <w:pageBreakBefore w:val="0"/>
              <w:widowControl w:val="0"/>
              <w:kinsoku/>
              <w:wordWrap/>
              <w:overflowPunct/>
              <w:topLinePunct w:val="0"/>
              <w:autoSpaceDE/>
              <w:autoSpaceDN/>
              <w:bidi w:val="0"/>
              <w:adjustRightInd/>
              <w:snapToGrid/>
              <w:spacing w:before="0" w:after="0" w:line="300" w:lineRule="auto"/>
              <w:ind w:left="0" w:leftChars="0" w:firstLine="48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钻井废弃泥浆是指钻井过程中无法利用或钻井完工后弃置于泥浆池内的泥浆，钻井废弃泥浆的性质由使用的钻井泥浆决定，其排放量随井深而变。</w:t>
            </w:r>
            <w:r>
              <w:rPr>
                <w:rFonts w:hint="default" w:ascii="Times New Roman" w:hAnsi="Times New Roman" w:cs="Times New Roman"/>
                <w:color w:val="000000" w:themeColor="text1"/>
                <w:sz w:val="24"/>
                <w:highlight w:val="none"/>
                <w14:textFill>
                  <w14:solidFill>
                    <w14:schemeClr w14:val="tx1"/>
                  </w14:solidFill>
                </w14:textFill>
              </w:rPr>
              <w:t>井口返出的泥浆经地面的振动筛分离，泥浆进池中循环使用，因泥浆池中大部分含水泥浆被抽走，池中剩余物以岩屑为主。</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根据类比调查</w:t>
            </w:r>
            <w:r>
              <w:rPr>
                <w:rFonts w:hint="default" w:ascii="Times New Roman" w:hAnsi="Times New Roman" w:cs="Times New Roman"/>
                <w:color w:val="000000" w:themeColor="text1"/>
                <w:sz w:val="24"/>
                <w:lang w:val="en-US" w:eastAsia="zh-CN"/>
                <w14:textFill>
                  <w14:solidFill>
                    <w14:schemeClr w14:val="tx1"/>
                  </w14:solidFill>
                </w14:textFill>
              </w:rPr>
              <w:t>可</w:t>
            </w:r>
            <w:r>
              <w:rPr>
                <w:rFonts w:hint="default" w:ascii="Times New Roman" w:hAnsi="Times New Roman" w:cs="Times New Roman"/>
                <w:color w:val="000000" w:themeColor="text1"/>
                <w:sz w:val="24"/>
                <w14:textFill>
                  <w14:solidFill>
                    <w14:schemeClr w14:val="tx1"/>
                  </w14:solidFill>
                </w14:textFill>
              </w:rPr>
              <w:t>知，</w:t>
            </w:r>
            <w:r>
              <w:rPr>
                <w:rFonts w:hint="default" w:ascii="Times New Roman" w:hAnsi="Times New Roman" w:cs="Times New Roman"/>
                <w:color w:val="000000" w:themeColor="text1"/>
                <w:sz w:val="24"/>
                <w:lang w:val="en-US" w:eastAsia="zh-CN"/>
                <w14:textFill>
                  <w14:solidFill>
                    <w14:schemeClr w14:val="tx1"/>
                  </w14:solidFill>
                </w14:textFill>
              </w:rPr>
              <w:t>宁探1井</w:t>
            </w:r>
            <w:r>
              <w:rPr>
                <w:rFonts w:hint="default" w:ascii="Times New Roman" w:hAnsi="Times New Roman" w:cs="Times New Roman"/>
                <w:color w:val="000000" w:themeColor="text1"/>
                <w:sz w:val="24"/>
                <w14:textFill>
                  <w14:solidFill>
                    <w14:schemeClr w14:val="tx1"/>
                  </w14:solidFill>
                </w14:textFill>
              </w:rPr>
              <w:t>钻井过程中最终进入井场泥浆池中的废弃泥浆量约为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00m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本项目井场设置1个约500m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10m×10m×5m</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的泥浆池，</w:t>
            </w:r>
            <w:r>
              <w:rPr>
                <w:rFonts w:hint="default" w:ascii="Times New Roman" w:hAnsi="Times New Roman" w:cs="Times New Roman"/>
                <w:color w:val="000000" w:themeColor="text1"/>
                <w:sz w:val="24"/>
                <w:highlight w:val="none"/>
                <w14:textFill>
                  <w14:solidFill>
                    <w14:schemeClr w14:val="tx1"/>
                  </w14:solidFill>
                </w14:textFill>
              </w:rPr>
              <w:t>井场泥浆池做防渗处理，</w:t>
            </w:r>
            <w:r>
              <w:rPr>
                <w:rFonts w:hint="default" w:ascii="Times New Roman" w:hAnsi="Times New Roman" w:cs="Times New Roman"/>
                <w:color w:val="000000" w:themeColor="text1"/>
                <w:sz w:val="24"/>
                <w:lang w:val="en-US" w:eastAsia="zh-CN"/>
                <w14:textFill>
                  <w14:solidFill>
                    <w14:schemeClr w14:val="tx1"/>
                  </w14:solidFill>
                </w14:textFill>
              </w:rPr>
              <w:t>泥浆池采用粘土+双层土工膜防渗基础，防渗系数应小于1.0×10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cm/s，</w:t>
            </w:r>
            <w:r>
              <w:rPr>
                <w:rFonts w:hint="default" w:ascii="Times New Roman" w:hAnsi="Times New Roman" w:cs="Times New Roman"/>
                <w:color w:val="000000" w:themeColor="text1"/>
                <w:sz w:val="24"/>
                <w:highlight w:val="none"/>
                <w14:textFill>
                  <w14:solidFill>
                    <w14:schemeClr w14:val="tx1"/>
                  </w14:solidFill>
                </w14:textFill>
              </w:rPr>
              <w:t>防止钻井泥浆对土壤和地下水的污染；泥浆池容积应大于设计井</w:t>
            </w:r>
            <w:r>
              <w:rPr>
                <w:rFonts w:hint="default" w:ascii="Times New Roman" w:hAnsi="Times New Roman" w:cs="Times New Roman"/>
                <w:color w:val="000000" w:themeColor="text1"/>
                <w:sz w:val="24"/>
                <w:highlight w:val="none"/>
                <w:lang w:eastAsia="zh-CN"/>
                <w14:textFill>
                  <w14:solidFill>
                    <w14:schemeClr w14:val="tx1"/>
                  </w14:solidFill>
                </w14:textFill>
              </w:rPr>
              <w:t>场</w:t>
            </w:r>
            <w:r>
              <w:rPr>
                <w:rFonts w:hint="default" w:ascii="Times New Roman" w:hAnsi="Times New Roman" w:cs="Times New Roman"/>
                <w:color w:val="000000" w:themeColor="text1"/>
                <w:sz w:val="24"/>
                <w:highlight w:val="none"/>
                <w14:textFill>
                  <w14:solidFill>
                    <w14:schemeClr w14:val="tx1"/>
                  </w14:solidFill>
                </w14:textFill>
              </w:rPr>
              <w:t>的排污容积，保证完井后废弃物面低于池表面50cm，以防止外溢污染环境</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为了减少泥浆的抛洒，要求加强对泥浆循环系统设备的维护和保养，减少泥浆的跑、冒、滴、漏，保证设备润滑部件密封点和阀件无破损和泄漏。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本次评价</w:t>
            </w:r>
            <w:r>
              <w:rPr>
                <w:rFonts w:hint="default" w:ascii="Times New Roman" w:hAnsi="Times New Roman" w:cs="Times New Roman"/>
                <w:color w:val="000000" w:themeColor="text1"/>
                <w:sz w:val="24"/>
                <w:highlight w:val="none"/>
                <w14:textFill>
                  <w14:solidFill>
                    <w14:schemeClr w14:val="tx1"/>
                  </w14:solidFill>
                </w14:textFill>
              </w:rPr>
              <w:t>类比</w:t>
            </w:r>
            <w:r>
              <w:rPr>
                <w:rFonts w:hint="default" w:ascii="Times New Roman" w:hAnsi="Times New Roman" w:cs="Times New Roman"/>
                <w:color w:val="000000" w:themeColor="text1"/>
                <w:sz w:val="24"/>
                <w:highlight w:val="none"/>
                <w:lang w:val="en-US" w:eastAsia="zh-CN"/>
                <w14:textFill>
                  <w14:solidFill>
                    <w14:schemeClr w14:val="tx1"/>
                  </w14:solidFill>
                </w14:textFill>
              </w:rPr>
              <w:t>中石油煤层气有限责任公司</w:t>
            </w:r>
            <w:r>
              <w:rPr>
                <w:rFonts w:hint="default" w:ascii="Times New Roman" w:hAnsi="Times New Roman" w:cs="Times New Roman"/>
                <w:color w:val="000000" w:themeColor="text1"/>
                <w:sz w:val="24"/>
                <w:highlight w:val="none"/>
                <w14:textFill>
                  <w14:solidFill>
                    <w14:schemeClr w14:val="tx1"/>
                  </w14:solidFill>
                </w14:textFill>
              </w:rPr>
              <w:t>保德区块井场固化后的泥浆的浸出试验（钻井方式、钻井液、固化剂均类似，试验结果</w:t>
            </w:r>
            <w:r>
              <w:rPr>
                <w:rFonts w:hint="default" w:ascii="Times New Roman" w:hAnsi="Times New Roman" w:cs="Times New Roman"/>
                <w:color w:val="000000" w:themeColor="text1"/>
                <w:sz w:val="24"/>
                <w:highlight w:val="none"/>
                <w:shd w:val="clear" w:color="auto" w:fill="auto"/>
                <w14:textFill>
                  <w14:solidFill>
                    <w14:schemeClr w14:val="tx1"/>
                  </w14:solidFill>
                </w14:textFill>
              </w:rPr>
              <w:t>见</w:t>
            </w:r>
            <w:r>
              <w:rPr>
                <w:rFonts w:hint="default" w:ascii="Times New Roman" w:hAnsi="Times New Roman" w:cs="Times New Roman"/>
                <w:color w:val="000000" w:themeColor="text1"/>
                <w:sz w:val="24"/>
                <w:highlight w:val="none"/>
                <w:shd w:val="clear" w:color="auto" w:fill="auto"/>
                <w:lang w:val="en-US" w:eastAsia="zh-CN"/>
                <w14:textFill>
                  <w14:solidFill>
                    <w14:schemeClr w14:val="tx1"/>
                  </w14:solidFill>
                </w14:textFill>
              </w:rPr>
              <w:t>插表2</w:t>
            </w:r>
            <w:r>
              <w:rPr>
                <w:rFonts w:hint="eastAsia" w:cs="Times New Roman"/>
                <w:color w:val="000000" w:themeColor="text1"/>
                <w:sz w:val="24"/>
                <w:highlight w:val="none"/>
                <w:shd w:val="clear" w:color="auto" w:fill="auto"/>
                <w:lang w:val="en-US" w:eastAsia="zh-CN"/>
                <w14:textFill>
                  <w14:solidFill>
                    <w14:schemeClr w14:val="tx1"/>
                  </w14:solidFill>
                </w14:textFill>
              </w:rPr>
              <w:t>4</w:t>
            </w:r>
            <w:r>
              <w:rPr>
                <w:rFonts w:hint="default" w:ascii="Times New Roman" w:hAnsi="Times New Roman" w:cs="Times New Roman"/>
                <w:color w:val="000000" w:themeColor="text1"/>
                <w:sz w:val="24"/>
                <w:highlight w:val="none"/>
                <w:shd w:val="clear" w:color="auto" w:fill="auto"/>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其监测结果显示固化泥浆各监测值均小于《危险废物鉴别标准--浸出毒性鉴别》及《污水综合排放标准》（GB8978-1996）一级标准中标准限值。说明本项目固化后的泥浆属于一般工业固体废物，可采取一般处置方法，按照《一般工业固体废物贮存、处置场污染控制标准》及其修改单的要求进行填埋处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泥浆监测点结果统计表</w:t>
            </w:r>
          </w:p>
          <w:tbl>
            <w:tblPr>
              <w:tblStyle w:val="44"/>
              <w:tblW w:w="904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1808"/>
              <w:gridCol w:w="531"/>
              <w:gridCol w:w="819"/>
              <w:gridCol w:w="877"/>
              <w:gridCol w:w="854"/>
              <w:gridCol w:w="912"/>
              <w:gridCol w:w="831"/>
              <w:gridCol w:w="819"/>
              <w:gridCol w:w="819"/>
              <w:gridCol w:w="7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701" w:hRule="atLeast"/>
              </w:trPr>
              <w:tc>
                <w:tcPr>
                  <w:tcW w:w="1808" w:type="dxa"/>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jc w:val="left"/>
                    <mc:AlternateContent>
                      <mc:Choice Requires="wpsCustomData">
                        <wpsCustomData:diagonalParaType/>
                      </mc:Choice>
                    </mc:AlternateContent>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样                 品编号</w:t>
                  </w:r>
                </w:p>
                <w:p>
                  <w:pPr>
                    <w:spacing w:line="240" w:lineRule="exact"/>
                    <w:jc w:val="left"/>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项目</w:t>
                  </w:r>
                </w:p>
              </w:tc>
              <w:tc>
                <w:tcPr>
                  <w:tcW w:w="531"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pH</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无机氟化物（mg/l）</w:t>
                  </w:r>
                </w:p>
              </w:tc>
              <w:tc>
                <w:tcPr>
                  <w:tcW w:w="877"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六价铬（mg/l）</w:t>
                  </w:r>
                </w:p>
              </w:tc>
              <w:tc>
                <w:tcPr>
                  <w:tcW w:w="854"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甲基汞（ng/l）</w:t>
                  </w:r>
                </w:p>
              </w:tc>
              <w:tc>
                <w:tcPr>
                  <w:tcW w:w="912"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乙基汞（ng/l）</w:t>
                  </w:r>
                </w:p>
              </w:tc>
              <w:tc>
                <w:tcPr>
                  <w:tcW w:w="831"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铅</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铬</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镉</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770"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砷</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1808"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20120618001</w:t>
                  </w:r>
                </w:p>
              </w:tc>
              <w:tc>
                <w:tcPr>
                  <w:tcW w:w="531"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7.12</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0.378</w:t>
                  </w:r>
                </w:p>
              </w:tc>
              <w:tc>
                <w:tcPr>
                  <w:tcW w:w="877"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0.004L</w:t>
                  </w:r>
                </w:p>
              </w:tc>
              <w:tc>
                <w:tcPr>
                  <w:tcW w:w="854"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10L</w:t>
                  </w:r>
                </w:p>
              </w:tc>
              <w:tc>
                <w:tcPr>
                  <w:tcW w:w="912"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20L</w:t>
                  </w:r>
                </w:p>
              </w:tc>
              <w:tc>
                <w:tcPr>
                  <w:tcW w:w="831"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0.1L</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0.05L</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0.005L</w:t>
                  </w:r>
                </w:p>
              </w:tc>
              <w:tc>
                <w:tcPr>
                  <w:tcW w:w="770"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1808"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20120618002</w:t>
                  </w:r>
                </w:p>
              </w:tc>
              <w:tc>
                <w:tcPr>
                  <w:tcW w:w="531"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7.13</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0.536</w:t>
                  </w:r>
                </w:p>
              </w:tc>
              <w:tc>
                <w:tcPr>
                  <w:tcW w:w="877"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0.004L</w:t>
                  </w:r>
                </w:p>
              </w:tc>
              <w:tc>
                <w:tcPr>
                  <w:tcW w:w="854"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10L</w:t>
                  </w:r>
                </w:p>
              </w:tc>
              <w:tc>
                <w:tcPr>
                  <w:tcW w:w="912"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20L</w:t>
                  </w:r>
                </w:p>
              </w:tc>
              <w:tc>
                <w:tcPr>
                  <w:tcW w:w="831"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0.1L</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0.05L</w:t>
                  </w:r>
                </w:p>
              </w:tc>
              <w:tc>
                <w:tcPr>
                  <w:tcW w:w="819"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0.005L</w:t>
                  </w:r>
                </w:p>
              </w:tc>
              <w:tc>
                <w:tcPr>
                  <w:tcW w:w="770"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0.0007</w:t>
                  </w: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泥浆监测点结果统计表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9040"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1854"/>
              <w:gridCol w:w="477"/>
              <w:gridCol w:w="927"/>
              <w:gridCol w:w="843"/>
              <w:gridCol w:w="843"/>
              <w:gridCol w:w="705"/>
              <w:gridCol w:w="833"/>
              <w:gridCol w:w="853"/>
              <w:gridCol w:w="853"/>
              <w:gridCol w:w="8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754" w:hRule="atLeast"/>
              </w:trPr>
              <w:tc>
                <w:tcPr>
                  <w:tcW w:w="1854" w:type="dxa"/>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jc w:val="left"/>
                    <mc:AlternateContent>
                      <mc:Choice Requires="wpsCustomData">
                        <wpsCustomData:diagonalParaType/>
                      </mc:Choice>
                    </mc:AlternateContent>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样                 品编号</w:t>
                  </w:r>
                </w:p>
                <w:p>
                  <w:pPr>
                    <w:spacing w:line="240" w:lineRule="exact"/>
                    <w:jc w:val="left"/>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项目</w:t>
                  </w:r>
                </w:p>
              </w:tc>
              <w:tc>
                <w:tcPr>
                  <w:tcW w:w="477"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pH</w:t>
                  </w:r>
                </w:p>
              </w:tc>
              <w:tc>
                <w:tcPr>
                  <w:tcW w:w="927"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无机氟化物（mg/l）</w:t>
                  </w:r>
                </w:p>
              </w:tc>
              <w:tc>
                <w:tcPr>
                  <w:tcW w:w="843"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六价铬（mg/l）</w:t>
                  </w:r>
                </w:p>
              </w:tc>
              <w:tc>
                <w:tcPr>
                  <w:tcW w:w="843"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甲基汞（ng/l）</w:t>
                  </w:r>
                </w:p>
              </w:tc>
              <w:tc>
                <w:tcPr>
                  <w:tcW w:w="705"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乙基汞（ng/l）</w:t>
                  </w:r>
                </w:p>
              </w:tc>
              <w:tc>
                <w:tcPr>
                  <w:tcW w:w="833"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铅</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853"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铬</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853"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镉</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852" w:type="dxa"/>
                  <w:tcBorders>
                    <w:tl2br w:val="nil"/>
                    <w:tr2bl w:val="nil"/>
                  </w:tcBorders>
                  <w:noWrap w:val="0"/>
                  <w:vAlign w:val="center"/>
                </w:tcPr>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砷</w:t>
                  </w:r>
                </w:p>
                <w:p>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852" w:hRule="atLeast"/>
              </w:trPr>
              <w:tc>
                <w:tcPr>
                  <w:tcW w:w="1854"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pacing w:val="4"/>
                      <w:szCs w:val="21"/>
                      <w:highlight w:val="none"/>
                      <w14:textFill>
                        <w14:solidFill>
                          <w14:schemeClr w14:val="tx1"/>
                        </w14:solidFill>
                      </w14:textFill>
                    </w:rPr>
                    <w:t>《危险废物鉴别标准--浸出毒性鉴别》（GB5085.3-2007</w:t>
                  </w:r>
                </w:p>
              </w:tc>
              <w:tc>
                <w:tcPr>
                  <w:tcW w:w="477"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927"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100</w:t>
                  </w:r>
                </w:p>
              </w:tc>
              <w:tc>
                <w:tcPr>
                  <w:tcW w:w="84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w:t>
                  </w:r>
                </w:p>
              </w:tc>
              <w:tc>
                <w:tcPr>
                  <w:tcW w:w="84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705"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83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w:t>
                  </w:r>
                </w:p>
              </w:tc>
              <w:tc>
                <w:tcPr>
                  <w:tcW w:w="85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85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852"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6" w:hRule="atLeast"/>
              </w:trPr>
              <w:tc>
                <w:tcPr>
                  <w:tcW w:w="1854"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pacing w:val="4"/>
                      <w:szCs w:val="21"/>
                      <w:highlight w:val="none"/>
                      <w14:textFill>
                        <w14:solidFill>
                          <w14:schemeClr w14:val="tx1"/>
                        </w14:solidFill>
                      </w14:textFill>
                    </w:rPr>
                  </w:pPr>
                  <w:r>
                    <w:rPr>
                      <w:rFonts w:hint="default" w:ascii="Times New Roman" w:hAnsi="Times New Roman" w:cs="Times New Roman"/>
                      <w:color w:val="000000" w:themeColor="text1"/>
                      <w:spacing w:val="4"/>
                      <w:szCs w:val="21"/>
                      <w:highlight w:val="none"/>
                      <w14:textFill>
                        <w14:solidFill>
                          <w14:schemeClr w14:val="tx1"/>
                        </w14:solidFill>
                      </w14:textFill>
                    </w:rPr>
                    <w:t>《污水综合排放标准》（GB8978-1996）</w:t>
                  </w:r>
                </w:p>
              </w:tc>
              <w:tc>
                <w:tcPr>
                  <w:tcW w:w="477"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pacing w:val="4"/>
                      <w:szCs w:val="21"/>
                      <w:highlight w:val="none"/>
                      <w14:textFill>
                        <w14:solidFill>
                          <w14:schemeClr w14:val="tx1"/>
                        </w14:solidFill>
                      </w14:textFill>
                    </w:rPr>
                    <w:t>6-9</w:t>
                  </w:r>
                </w:p>
              </w:tc>
              <w:tc>
                <w:tcPr>
                  <w:tcW w:w="927"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84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0.5</w:t>
                  </w:r>
                </w:p>
              </w:tc>
              <w:tc>
                <w:tcPr>
                  <w:tcW w:w="84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705"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83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85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853"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0.1</w:t>
                  </w:r>
                </w:p>
              </w:tc>
              <w:tc>
                <w:tcPr>
                  <w:tcW w:w="852" w:type="dxa"/>
                  <w:tcBorders>
                    <w:tl2br w:val="nil"/>
                    <w:tr2bl w:val="nil"/>
                  </w:tcBorders>
                  <w:noWrap w:val="0"/>
                  <w:vAlign w:val="center"/>
                </w:tcPr>
                <w:p>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47" w:hRule="atLeast"/>
              </w:trPr>
              <w:tc>
                <w:tcPr>
                  <w:tcW w:w="9040" w:type="dxa"/>
                  <w:gridSpan w:val="10"/>
                  <w:tcBorders>
                    <w:tl2br w:val="nil"/>
                    <w:tr2bl w:val="nil"/>
                  </w:tcBorders>
                  <w:noWrap w:val="0"/>
                  <w:vAlign w:val="center"/>
                </w:tcPr>
                <w:p>
                  <w:pPr>
                    <w:spacing w:line="24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备注：1、有“L”表示结果低于检测限，其数值为该项目检测限。</w:t>
                  </w:r>
                </w:p>
                <w:p>
                  <w:pPr>
                    <w:spacing w:line="240" w:lineRule="exac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r>
                    <w:rPr>
                      <w:rFonts w:hint="default" w:ascii="Times New Roman" w:hAnsi="Times New Roman" w:cs="Times New Roman"/>
                      <w:color w:val="000000" w:themeColor="text1"/>
                      <w:szCs w:val="21"/>
                      <w:highlight w:val="none"/>
                      <w14:textFill>
                        <w14:solidFill>
                          <w14:schemeClr w14:val="tx1"/>
                        </w14:solidFill>
                      </w14:textFill>
                    </w:rPr>
                    <w:t>指甲基汞≤10 ng/l，乙基汞≤0.005ng/l。</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根据上述分析，本项目对废弃钻井泥浆岩屑采用无害化固化后就地填埋的方法处置。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废弃泥浆岩屑无害化处理工艺过程为：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① 用挖掘机对泥浆池内的混合物进行预搅拌，使混合物上下干湿固相含量均匀，便于固化材料的快速充分反应。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② 按照设计用量向泥浆池中投放絮凝剂+固化剂搅拌固化，药剂主要以聚合氯化铝（PAC）、破胶脱稳剂、吸水剂、交联剂等为主，药剂使用量根据实际泥浆产生量进行配比。</w:t>
            </w:r>
            <w:r>
              <w:rPr>
                <w:rFonts w:hint="default" w:ascii="Times New Roman" w:hAnsi="Times New Roman" w:eastAsia="宋体" w:cs="Times New Roman"/>
                <w:color w:val="000000" w:themeColor="text1"/>
                <w:sz w:val="24"/>
                <w:highlight w:val="none"/>
                <w14:textFill>
                  <w14:solidFill>
                    <w14:schemeClr w14:val="tx1"/>
                  </w14:solidFill>
                </w14:textFill>
              </w:rPr>
              <w:t>污泥的固化采取整池条块划分，分批投料、分段处理、逐步推进的方式进行处理，根据现场实际污泥量为主，精确预算出所需的药品按比例投加药剂，用机械在池内搅拌，加速混凝反应，时间一般定为2.5~5小时左右，直至将</w:t>
            </w:r>
            <w:r>
              <w:rPr>
                <w:rFonts w:hint="default" w:ascii="Times New Roman" w:hAnsi="Times New Roman" w:cs="Times New Roman"/>
                <w:color w:val="000000" w:themeColor="text1"/>
                <w:sz w:val="24"/>
                <w:highlight w:val="none"/>
                <w:lang w:val="en-US" w:eastAsia="zh-CN"/>
                <w14:textFill>
                  <w14:solidFill>
                    <w14:schemeClr w14:val="tx1"/>
                  </w14:solidFill>
                </w14:textFill>
              </w:rPr>
              <w:t>池中废弃物全部</w:t>
            </w:r>
            <w:r>
              <w:rPr>
                <w:rFonts w:hint="default" w:ascii="Times New Roman" w:hAnsi="Times New Roman" w:eastAsia="宋体" w:cs="Times New Roman"/>
                <w:color w:val="000000" w:themeColor="text1"/>
                <w:sz w:val="24"/>
                <w:highlight w:val="none"/>
                <w14:textFill>
                  <w14:solidFill>
                    <w14:schemeClr w14:val="tx1"/>
                  </w14:solidFill>
                </w14:textFill>
              </w:rPr>
              <w:t>处理完</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③ 固化体的掩埋。用挖掘机在泥浆池固化体表面均匀覆土20cm，形成保护层，为便于植被恢复、绿化，固化体掩埋厚度应不小于50cm，掩埋后井场进行平整压实，达到井场规范要求。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（3）废机油</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① 产生环节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本项目钻井期使用的生产设备会产生少量的废机油，类比同类勘探井，本项目单井废机油产生量约为0.05t。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② 危险废物属性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根据《国家危险废物名录》(2016年8月1日起执行)，生产设备产生的废机油属于危险废物中的“HW08废矿物油与含矿物油废物”，废物代码“900-249-08”，危险特性为T，I。</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③ 危险废物处置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针对生产产生的危险废物废矿物油，评价要求产生的废矿物油应收集至收集桶中，运至</w:t>
            </w:r>
            <w:r>
              <w:rPr>
                <w:rFonts w:hint="eastAsia" w:cs="Times New Roman"/>
                <w:color w:val="000000" w:themeColor="text1"/>
                <w:sz w:val="24"/>
                <w:lang w:val="en-US" w:eastAsia="zh-CN"/>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新建的</w:t>
            </w:r>
            <w:r>
              <w:rPr>
                <w:rFonts w:hint="eastAsia" w:cs="Times New Roman"/>
                <w:color w:val="000000" w:themeColor="text1"/>
                <w:sz w:val="24"/>
                <w:lang w:val="en-US" w:eastAsia="zh-CN"/>
                <w14:textFill>
                  <w14:solidFill>
                    <w14:schemeClr w14:val="tx1"/>
                  </w14:solidFill>
                </w14:textFill>
              </w:rPr>
              <w:t>1座10m</w:t>
            </w:r>
            <w:r>
              <w:rPr>
                <w:rFonts w:hint="eastAsia"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危险废物暂存间暂存，最终委托有资质单位处理。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④ 暂存、运输和联单管理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废的收集、贮存必须根据国家《危险废物污染防治技术政策》的规定执行。此外，根据《中华人民共和国环境保护法》第27条规定：“排放污染物的企事业单位，必须依照国务院环境保护行政主管部门的规定申报登记”，建设单位应根据《排放污染物申报登记管理规定》，对本项目固体废物逐项按规定申报登记。</w:t>
            </w:r>
          </w:p>
          <w:p>
            <w:pPr>
              <w:keepNext w:val="0"/>
              <w:keepLines w:val="0"/>
              <w:pageBreakBefore w:val="0"/>
              <w:widowControl w:val="0"/>
              <w:numPr>
                <w:ilvl w:val="0"/>
                <w:numId w:val="15"/>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收集：危险废物要根据其成分，用符合国家标准的专门容器分类收集。本项目井场产生的废机油采用专用的密闭容器进行收集。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b. 暂存：</w:t>
            </w:r>
            <w:r>
              <w:rPr>
                <w:rFonts w:hint="default" w:ascii="Times New Roman" w:hAnsi="Times New Roman" w:cs="Times New Roman"/>
                <w:color w:val="000000" w:themeColor="text1"/>
                <w:sz w:val="24"/>
                <w:szCs w:val="24"/>
                <w:lang w:val="en-US" w:eastAsia="zh-CN"/>
                <w14:textFill>
                  <w14:solidFill>
                    <w14:schemeClr w14:val="tx1"/>
                  </w14:solidFill>
                </w14:textFill>
              </w:rPr>
              <w:t>本项目井场</w:t>
            </w:r>
            <w:r>
              <w:rPr>
                <w:rFonts w:hint="eastAsia" w:cs="Times New Roman"/>
                <w:color w:val="000000" w:themeColor="text1"/>
                <w:sz w:val="24"/>
                <w:szCs w:val="24"/>
                <w:lang w:val="en-US" w:eastAsia="zh-CN"/>
                <w14:textFill>
                  <w14:solidFill>
                    <w14:schemeClr w14:val="tx1"/>
                  </w14:solidFill>
                </w14:textFill>
              </w:rPr>
              <w:t>新建1座10m</w:t>
            </w:r>
            <w:r>
              <w:rPr>
                <w:rFonts w:hint="eastAsia"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危废暂存间，</w:t>
            </w:r>
            <w:r>
              <w:rPr>
                <w:rFonts w:hint="default" w:ascii="Times New Roman" w:hAnsi="Times New Roman" w:cs="Times New Roman"/>
                <w:color w:val="000000" w:themeColor="text1"/>
                <w:sz w:val="24"/>
                <w:lang w:val="en-US" w:eastAsia="zh-CN"/>
                <w14:textFill>
                  <w14:solidFill>
                    <w14:schemeClr w14:val="tx1"/>
                  </w14:solidFill>
                </w14:textFill>
              </w:rPr>
              <w:t>该危废间应采用防渗漏措施，应有隔离设施、报警装置和防风、防晒、防雨设施。根据《危险废物贮存污染控制标准》(GB18597-2001)及标准修改单中的要求，产生危险废物时应建设危险废物暂存间</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危险废物应当按照其性质的不同而分类贮存；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废油必须装入容器内；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危废贮存库地面与裙脚要用坚固、防渗的材料建造。建筑材料必须与危险废物相容；应设计堵截泄漏的裙脚，地面与裙脚所围建的容积不低于堵截最大容器最大储量或总储量的1/5；</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暂存库底座应当做基础防渗，防渗层为至少1m 厚粘土层(渗透系数≤10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cm/s)，或2mm 厚高密度聚乙烯，或至少2mm 厚的其它人工材料，渗透系数&lt;10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lang w:val="en-US" w:eastAsia="zh-CN"/>
                <w14:textFill>
                  <w14:solidFill>
                    <w14:schemeClr w14:val="tx1"/>
                  </w14:solidFill>
                </w14:textFill>
              </w:rPr>
              <w:t>cm/s；</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危险废物贮存设施应按GB15562.2 的规定设置警示标志；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周围应设置围墙或其它防护栅栏。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本项目危险废物汇总见插表2</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，危险废物贮存场所(设施)基本情况见插表2</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项目危险废物情况表</w:t>
            </w:r>
          </w:p>
          <w:tbl>
            <w:tblPr>
              <w:tblStyle w:val="44"/>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45"/>
              <w:gridCol w:w="741"/>
              <w:gridCol w:w="811"/>
              <w:gridCol w:w="1251"/>
              <w:gridCol w:w="660"/>
              <w:gridCol w:w="925"/>
              <w:gridCol w:w="686"/>
              <w:gridCol w:w="707"/>
              <w:gridCol w:w="675"/>
              <w:gridCol w:w="686"/>
              <w:gridCol w:w="546"/>
              <w:gridCol w:w="92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序号</w:t>
                  </w:r>
                </w:p>
              </w:tc>
              <w:tc>
                <w:tcPr>
                  <w:tcW w:w="741"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危险废物名称</w:t>
                  </w:r>
                </w:p>
              </w:tc>
              <w:tc>
                <w:tcPr>
                  <w:tcW w:w="811"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危险废物类别</w:t>
                  </w:r>
                </w:p>
              </w:tc>
              <w:tc>
                <w:tcPr>
                  <w:tcW w:w="1251"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危险废物代码</w:t>
                  </w:r>
                </w:p>
              </w:tc>
              <w:tc>
                <w:tcPr>
                  <w:tcW w:w="66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产生量</w:t>
                  </w:r>
                </w:p>
              </w:tc>
              <w:tc>
                <w:tcPr>
                  <w:tcW w:w="92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产生工序及装置</w:t>
                  </w:r>
                </w:p>
              </w:tc>
              <w:tc>
                <w:tcPr>
                  <w:tcW w:w="686"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形态</w:t>
                  </w:r>
                </w:p>
              </w:tc>
              <w:tc>
                <w:tcPr>
                  <w:tcW w:w="70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主要</w:t>
                  </w:r>
                </w:p>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成分</w:t>
                  </w:r>
                </w:p>
              </w:tc>
              <w:tc>
                <w:tcPr>
                  <w:tcW w:w="67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有害</w:t>
                  </w:r>
                </w:p>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成分</w:t>
                  </w:r>
                </w:p>
              </w:tc>
              <w:tc>
                <w:tcPr>
                  <w:tcW w:w="686"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产废周期</w:t>
                  </w:r>
                </w:p>
              </w:tc>
              <w:tc>
                <w:tcPr>
                  <w:tcW w:w="546"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ind w:left="-105" w:leftChars="-50" w:right="-105" w:rightChars="-5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w:t>
                  </w:r>
                </w:p>
                <w:p>
                  <w:pPr>
                    <w:keepNext w:val="0"/>
                    <w:keepLines w:val="0"/>
                    <w:pageBreakBefore w:val="0"/>
                    <w:widowControl w:val="0"/>
                    <w:kinsoku/>
                    <w:wordWrap/>
                    <w:overflowPunct/>
                    <w:topLinePunct/>
                    <w:autoSpaceDE/>
                    <w:autoSpaceDN/>
                    <w:bidi w:val="0"/>
                    <w:adjustRightInd w:val="0"/>
                    <w:snapToGrid w:val="0"/>
                    <w:ind w:left="-105" w:leftChars="-50" w:right="-105" w:rightChars="-5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特性</w:t>
                  </w:r>
                </w:p>
              </w:tc>
              <w:tc>
                <w:tcPr>
                  <w:tcW w:w="92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污染防治措施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w:t>
                  </w:r>
                </w:p>
              </w:tc>
              <w:tc>
                <w:tcPr>
                  <w:tcW w:w="741"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废机油</w:t>
                  </w:r>
                </w:p>
              </w:tc>
              <w:tc>
                <w:tcPr>
                  <w:tcW w:w="811"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HW08</w:t>
                  </w:r>
                </w:p>
              </w:tc>
              <w:tc>
                <w:tcPr>
                  <w:tcW w:w="1251"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900-249-08</w:t>
                  </w:r>
                </w:p>
              </w:tc>
              <w:tc>
                <w:tcPr>
                  <w:tcW w:w="66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0.05t/井</w:t>
                  </w:r>
                </w:p>
              </w:tc>
              <w:tc>
                <w:tcPr>
                  <w:tcW w:w="92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设备</w:t>
                  </w:r>
                </w:p>
              </w:tc>
              <w:tc>
                <w:tcPr>
                  <w:tcW w:w="686"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固态、液态</w:t>
                  </w:r>
                </w:p>
              </w:tc>
              <w:tc>
                <w:tcPr>
                  <w:tcW w:w="70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矿物油</w:t>
                  </w:r>
                </w:p>
              </w:tc>
              <w:tc>
                <w:tcPr>
                  <w:tcW w:w="67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废矿物油</w:t>
                  </w:r>
                </w:p>
              </w:tc>
              <w:tc>
                <w:tcPr>
                  <w:tcW w:w="686"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3000小时一次</w:t>
                  </w:r>
                </w:p>
              </w:tc>
              <w:tc>
                <w:tcPr>
                  <w:tcW w:w="546"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T，I</w:t>
                  </w:r>
                </w:p>
              </w:tc>
              <w:tc>
                <w:tcPr>
                  <w:tcW w:w="92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运往有资质单位处置</w:t>
                  </w: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危险废物贮存场所(设施)基本情况表</w:t>
            </w:r>
          </w:p>
          <w:tbl>
            <w:tblPr>
              <w:tblStyle w:val="44"/>
              <w:tblW w:w="9056" w:type="dxa"/>
              <w:tblInd w:w="-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22"/>
              <w:gridCol w:w="935"/>
              <w:gridCol w:w="737"/>
              <w:gridCol w:w="1057"/>
              <w:gridCol w:w="1250"/>
              <w:gridCol w:w="1073"/>
              <w:gridCol w:w="1029"/>
              <w:gridCol w:w="987"/>
              <w:gridCol w:w="713"/>
              <w:gridCol w:w="75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2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序号</w:t>
                  </w:r>
                </w:p>
              </w:tc>
              <w:tc>
                <w:tcPr>
                  <w:tcW w:w="93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贮存场所（设施）</w:t>
                  </w:r>
                </w:p>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名称</w:t>
                  </w:r>
                </w:p>
              </w:tc>
              <w:tc>
                <w:tcPr>
                  <w:tcW w:w="73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危险废物名称</w:t>
                  </w:r>
                </w:p>
              </w:tc>
              <w:tc>
                <w:tcPr>
                  <w:tcW w:w="105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危险废物类别</w:t>
                  </w:r>
                </w:p>
              </w:tc>
              <w:tc>
                <w:tcPr>
                  <w:tcW w:w="125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危险废物代码</w:t>
                  </w:r>
                </w:p>
              </w:tc>
              <w:tc>
                <w:tcPr>
                  <w:tcW w:w="107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位置</w:t>
                  </w:r>
                </w:p>
              </w:tc>
              <w:tc>
                <w:tcPr>
                  <w:tcW w:w="1029"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占地面积</w:t>
                  </w:r>
                </w:p>
              </w:tc>
              <w:tc>
                <w:tcPr>
                  <w:tcW w:w="98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贮存方式</w:t>
                  </w:r>
                </w:p>
              </w:tc>
              <w:tc>
                <w:tcPr>
                  <w:tcW w:w="71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w:t>
                  </w:r>
                </w:p>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能力</w:t>
                  </w:r>
                </w:p>
              </w:tc>
              <w:tc>
                <w:tcPr>
                  <w:tcW w:w="75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w:t>
                  </w:r>
                </w:p>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周期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2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w w:val="80"/>
                      <w:kern w:val="0"/>
                      <w:sz w:val="21"/>
                      <w:szCs w:val="21"/>
                      <w:lang w:bidi="ar"/>
                      <w14:textFill>
                        <w14:solidFill>
                          <w14:schemeClr w14:val="tx1"/>
                        </w14:solidFill>
                      </w14:textFill>
                    </w:rPr>
                  </w:pPr>
                  <w:r>
                    <w:rPr>
                      <w:rFonts w:hint="default" w:ascii="Times New Roman" w:hAnsi="Times New Roman" w:cs="Times New Roman"/>
                      <w:color w:val="000000" w:themeColor="text1"/>
                      <w:w w:val="80"/>
                      <w:kern w:val="0"/>
                      <w:sz w:val="21"/>
                      <w:szCs w:val="21"/>
                      <w:lang w:bidi="ar"/>
                      <w14:textFill>
                        <w14:solidFill>
                          <w14:schemeClr w14:val="tx1"/>
                        </w14:solidFill>
                      </w14:textFill>
                    </w:rPr>
                    <w:t>1</w:t>
                  </w:r>
                </w:p>
              </w:tc>
              <w:tc>
                <w:tcPr>
                  <w:tcW w:w="935"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危废暂存间</w:t>
                  </w:r>
                </w:p>
              </w:tc>
              <w:tc>
                <w:tcPr>
                  <w:tcW w:w="73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废机油</w:t>
                  </w:r>
                </w:p>
              </w:tc>
              <w:tc>
                <w:tcPr>
                  <w:tcW w:w="105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HW08废矿物油和含矿物油废物</w:t>
                  </w:r>
                </w:p>
              </w:tc>
              <w:tc>
                <w:tcPr>
                  <w:tcW w:w="125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900-249-08</w:t>
                  </w:r>
                </w:p>
              </w:tc>
              <w:tc>
                <w:tcPr>
                  <w:tcW w:w="107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井场</w:t>
                  </w:r>
                </w:p>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厂区</w:t>
                  </w:r>
                </w:p>
              </w:tc>
              <w:tc>
                <w:tcPr>
                  <w:tcW w:w="1029"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cs="Times New Roman"/>
                      <w:color w:val="000000" w:themeColor="text1"/>
                      <w:kern w:val="0"/>
                      <w:sz w:val="21"/>
                      <w:szCs w:val="21"/>
                      <w:lang w:bidi="ar"/>
                      <w14:textFill>
                        <w14:solidFill>
                          <w14:schemeClr w14:val="tx1"/>
                        </w14:solidFill>
                      </w14:textFill>
                    </w:rPr>
                    <w:t>m</w:t>
                  </w:r>
                  <w:r>
                    <w:rPr>
                      <w:rFonts w:hint="default" w:ascii="Times New Roman" w:hAnsi="Times New Roman" w:cs="Times New Roman"/>
                      <w:color w:val="000000" w:themeColor="text1"/>
                      <w:kern w:val="0"/>
                      <w:sz w:val="21"/>
                      <w:szCs w:val="21"/>
                      <w:vertAlign w:val="superscript"/>
                      <w:lang w:bidi="ar"/>
                      <w14:textFill>
                        <w14:solidFill>
                          <w14:schemeClr w14:val="tx1"/>
                        </w14:solidFill>
                      </w14:textFill>
                    </w:rPr>
                    <w:t>2</w:t>
                  </w:r>
                </w:p>
              </w:tc>
              <w:tc>
                <w:tcPr>
                  <w:tcW w:w="98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专用容器包装、密闭贮存</w:t>
                  </w:r>
                </w:p>
              </w:tc>
              <w:tc>
                <w:tcPr>
                  <w:tcW w:w="71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1.0t</w:t>
                  </w:r>
                </w:p>
              </w:tc>
              <w:tc>
                <w:tcPr>
                  <w:tcW w:w="75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6个月</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③运输及联单管理：危险废物的转移要严格执行《危险废物转移联单管理办法》(国家环保总局令第5 号)中相关要求进行管理，建设单位务必设置专人加强对危险废物的管理，设专职人员负责危废分类收集、运送、暂时贮存及处置过程中的安全防护工作；负责组织危废流失、泄漏、扩散和意外事故发生时的紧急处理工作；负责有关危废登记和档案资料的管理，负责及时分析和处理危废管理中的其它问题。收集时必须注意仔细登记并在包装上作仔细说明、注明，封装前检查是否过量，扎口结实，并做好登记和说明，在交接时作好交接、登记，严防遗失。同时对人员进行专业培训，提高其认识能力，避免随意转移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危废的运输使用专用车辆定期输送，运输车辆要有特殊标志。危险废物的运输严格执行《危险废物转移联单管理办法》。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（4）生活垃圾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本项目钻井期劳动定员20人，钻井期38天，按照每人每天产生生活垃圾0.5kg计算，则产生生活垃圾0.38t，要求钻探单位将之妥善收集后，交于当地环卫部门处理。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 排采期固体废物环境影响分析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本项目排采期劳动定员2人，排采期90天，单井产生生活垃圾0.09t。</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（2）废机油</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本项目排采期使用的生产设备会产生少量的废机油，根据实际钻井情况，本项目排采期总废机油产生量为0.03t。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综上，在对工程产生的固体废物采取以上治理措施后，不会对当地环境造成不利影响。</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六、土壤环境影响分析</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根据《环境影响评价技术导则-土壤环境（试行）》（HJ964-2018），本项目对于土壤环境属于污染影响型项目；对照附录A“土壤环境影响评价项目类别”，本项目类别属于</w:t>
            </w:r>
            <w:r>
              <w:rPr>
                <w:rFonts w:hint="default" w:ascii="Times New Roman" w:hAnsi="Times New Roman" w:cs="Times New Roman"/>
                <w:color w:val="000000" w:themeColor="text1"/>
                <w:kern w:val="0"/>
                <w:sz w:val="24"/>
                <w:lang w:eastAsia="zh-CN"/>
                <w14:textFill>
                  <w14:solidFill>
                    <w14:schemeClr w14:val="tx1"/>
                  </w14:solidFill>
                </w14:textFill>
              </w:rPr>
              <w:t>采矿业</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eastAsia="zh-CN"/>
                <w14:textFill>
                  <w14:solidFill>
                    <w14:schemeClr w14:val="tx1"/>
                  </w14:solidFill>
                </w14:textFill>
              </w:rPr>
              <w:t>其他</w:t>
            </w:r>
            <w:r>
              <w:rPr>
                <w:rFonts w:hint="default" w:ascii="Times New Roman" w:hAnsi="Times New Roman" w:cs="Times New Roman"/>
                <w:color w:val="000000" w:themeColor="text1"/>
                <w:kern w:val="0"/>
                <w:sz w:val="24"/>
                <w14:textFill>
                  <w14:solidFill>
                    <w14:schemeClr w14:val="tx1"/>
                  </w14:solidFill>
                </w14:textFill>
              </w:rPr>
              <w:t>，为Ⅲ类项目；按照建设项目占地规模和建筑面积，本项目占地面积为</w:t>
            </w:r>
            <w:r>
              <w:rPr>
                <w:rFonts w:hint="eastAsia" w:cs="Times New Roman"/>
                <w:color w:val="000000" w:themeColor="text1"/>
                <w:kern w:val="0"/>
                <w:sz w:val="24"/>
                <w:lang w:val="en-US" w:eastAsia="zh-CN"/>
                <w14:textFill>
                  <w14:solidFill>
                    <w14:schemeClr w14:val="tx1"/>
                  </w14:solidFill>
                </w14:textFill>
              </w:rPr>
              <w:t>8000</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，小于5hm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，属于小型；本项目</w:t>
            </w:r>
            <w:r>
              <w:rPr>
                <w:rFonts w:hint="eastAsia" w:cs="Times New Roman"/>
                <w:color w:val="000000" w:themeColor="text1"/>
                <w:kern w:val="0"/>
                <w:sz w:val="24"/>
                <w:lang w:val="en-US" w:eastAsia="zh-CN"/>
                <w14:textFill>
                  <w14:solidFill>
                    <w14:schemeClr w14:val="tx1"/>
                  </w14:solidFill>
                </w14:textFill>
              </w:rPr>
              <w:t>占地及</w:t>
            </w:r>
            <w:r>
              <w:rPr>
                <w:rFonts w:hint="eastAsia" w:cs="Times New Roman"/>
                <w:color w:val="000000" w:themeColor="text1"/>
                <w:kern w:val="0"/>
                <w:sz w:val="24"/>
                <w:lang w:eastAsia="zh-CN"/>
                <w14:textFill>
                  <w14:solidFill>
                    <w14:schemeClr w14:val="tx1"/>
                  </w14:solidFill>
                </w14:textFill>
              </w:rPr>
              <w:t>周围是一般灌木林地，</w:t>
            </w:r>
            <w:r>
              <w:rPr>
                <w:rFonts w:hint="default" w:ascii="Times New Roman" w:hAnsi="Times New Roman" w:cs="Times New Roman"/>
                <w:color w:val="000000" w:themeColor="text1"/>
                <w:kern w:val="0"/>
                <w:sz w:val="24"/>
                <w14:textFill>
                  <w14:solidFill>
                    <w14:schemeClr w14:val="tx1"/>
                  </w14:solidFill>
                </w14:textFill>
              </w:rPr>
              <w:t>土壤环境敏感程度为</w:t>
            </w:r>
            <w:r>
              <w:rPr>
                <w:rFonts w:hint="eastAsia" w:cs="Times New Roman"/>
                <w:color w:val="000000" w:themeColor="text1"/>
                <w:kern w:val="0"/>
                <w:sz w:val="24"/>
                <w:lang w:eastAsia="zh-CN"/>
                <w14:textFill>
                  <w14:solidFill>
                    <w14:schemeClr w14:val="tx1"/>
                  </w14:solidFill>
                </w14:textFill>
              </w:rPr>
              <w:t>较</w:t>
            </w:r>
            <w:r>
              <w:rPr>
                <w:rFonts w:hint="default" w:ascii="Times New Roman" w:hAnsi="Times New Roman" w:cs="Times New Roman"/>
                <w:color w:val="000000" w:themeColor="text1"/>
                <w:kern w:val="0"/>
                <w:sz w:val="24"/>
                <w14:textFill>
                  <w14:solidFill>
                    <w14:schemeClr w14:val="tx1"/>
                  </w14:solidFill>
                </w14:textFill>
              </w:rPr>
              <w:t>敏感</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由</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“污染影响</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型评价工作等级划分表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”可知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，本项目可不开展土壤环境影响评价工作</w:t>
            </w:r>
            <w:r>
              <w:rPr>
                <w:rFonts w:hint="eastAsia" w:eastAsia="宋体"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项目钻井期和排采期</w:t>
            </w:r>
            <w:r>
              <w:rPr>
                <w:rFonts w:hint="default" w:ascii="Times New Roman" w:hAnsi="Times New Roman" w:cs="Times New Roman"/>
                <w:color w:val="000000" w:themeColor="text1"/>
                <w:spacing w:val="4"/>
                <w:sz w:val="24"/>
                <w14:textFill>
                  <w14:solidFill>
                    <w14:schemeClr w14:val="tx1"/>
                  </w14:solidFill>
                </w14:textFill>
              </w:rPr>
              <w:t>对土壤可能产生影响的途径为</w:t>
            </w:r>
            <w:r>
              <w:rPr>
                <w:rFonts w:hint="default" w:ascii="Times New Roman" w:hAnsi="Times New Roman" w:cs="Times New Roman"/>
                <w:color w:val="000000" w:themeColor="text1"/>
                <w:spacing w:val="4"/>
                <w:sz w:val="24"/>
                <w:lang w:val="en-US" w:eastAsia="zh-CN"/>
                <w14:textFill>
                  <w14:solidFill>
                    <w14:schemeClr w14:val="tx1"/>
                  </w14:solidFill>
                </w14:textFill>
              </w:rPr>
              <w:t>污水或者废机油</w:t>
            </w:r>
            <w:r>
              <w:rPr>
                <w:rFonts w:hint="default" w:ascii="Times New Roman" w:hAnsi="Times New Roman" w:cs="Times New Roman"/>
                <w:color w:val="000000" w:themeColor="text1"/>
                <w:spacing w:val="4"/>
                <w:sz w:val="24"/>
                <w14:textFill>
                  <w14:solidFill>
                    <w14:schemeClr w14:val="tx1"/>
                  </w14:solidFill>
                </w14:textFill>
              </w:rPr>
              <w:t>通过地面垂直下渗的形式渗入土壤，重点防治区域为</w:t>
            </w:r>
            <w:r>
              <w:rPr>
                <w:rFonts w:hint="default" w:ascii="Times New Roman" w:hAnsi="Times New Roman" w:cs="Times New Roman"/>
                <w:color w:val="000000" w:themeColor="text1"/>
                <w:spacing w:val="4"/>
                <w:sz w:val="24"/>
                <w:lang w:val="en-US" w:eastAsia="zh-CN"/>
                <w14:textFill>
                  <w14:solidFill>
                    <w14:schemeClr w14:val="tx1"/>
                  </w14:solidFill>
                </w14:textFill>
              </w:rPr>
              <w:t>泥浆池、排采水池</w:t>
            </w:r>
            <w:r>
              <w:rPr>
                <w:rFonts w:hint="default" w:ascii="Times New Roman" w:hAnsi="Times New Roman" w:cs="Times New Roman"/>
                <w:color w:val="000000" w:themeColor="text1"/>
                <w:spacing w:val="4"/>
                <w:sz w:val="24"/>
                <w14:textFill>
                  <w14:solidFill>
                    <w14:schemeClr w14:val="tx1"/>
                  </w14:solidFill>
                </w14:textFill>
              </w:rPr>
              <w:t>及危废暂存区。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本项目没有生产废水和生活污水外排，建设单位在落实评价要求的</w:t>
            </w:r>
            <w:r>
              <w:rPr>
                <w:rFonts w:hint="default" w:ascii="Times New Roman" w:hAnsi="Times New Roman" w:cs="Times New Roman"/>
                <w:bCs/>
                <w:color w:val="000000" w:themeColor="text1"/>
                <w:sz w:val="24"/>
                <w:lang w:eastAsia="zh-CN"/>
                <w14:textFill>
                  <w14:solidFill>
                    <w14:schemeClr w14:val="tx1"/>
                  </w14:solidFill>
                </w14:textFill>
              </w:rPr>
              <w:t>基础上，</w:t>
            </w:r>
            <w:r>
              <w:rPr>
                <w:rFonts w:hint="default" w:ascii="Times New Roman" w:hAnsi="Times New Roman" w:cs="Times New Roman"/>
                <w:bCs/>
                <w:color w:val="000000" w:themeColor="text1"/>
                <w:sz w:val="24"/>
                <w14:textFill>
                  <w14:solidFill>
                    <w14:schemeClr w14:val="tx1"/>
                  </w14:solidFill>
                </w14:textFill>
              </w:rPr>
              <w:t>对泥浆池（设防渗设施，防渗系数1×10</w:t>
            </w:r>
            <w:r>
              <w:rPr>
                <w:rFonts w:hint="default" w:ascii="Times New Roman" w:hAnsi="Times New Roman" w:cs="Times New Roman"/>
                <w:bCs/>
                <w:color w:val="000000" w:themeColor="text1"/>
                <w:sz w:val="24"/>
                <w:vertAlign w:val="superscript"/>
                <w14:textFill>
                  <w14:solidFill>
                    <w14:schemeClr w14:val="tx1"/>
                  </w14:solidFill>
                </w14:textFill>
              </w:rPr>
              <w:t>-7</w:t>
            </w:r>
            <w:r>
              <w:rPr>
                <w:rFonts w:hint="default" w:ascii="Times New Roman" w:hAnsi="Times New Roman" w:cs="Times New Roman"/>
                <w:bCs/>
                <w:color w:val="000000" w:themeColor="text1"/>
                <w:sz w:val="24"/>
                <w14:textFill>
                  <w14:solidFill>
                    <w14:schemeClr w14:val="tx1"/>
                  </w14:solidFill>
                </w14:textFill>
              </w:rPr>
              <w:t>cm/s）和油罐区（设防渗设施，防渗系数1×10</w:t>
            </w:r>
            <w:r>
              <w:rPr>
                <w:rFonts w:hint="default" w:ascii="Times New Roman" w:hAnsi="Times New Roman" w:cs="Times New Roman"/>
                <w:bCs/>
                <w:color w:val="000000" w:themeColor="text1"/>
                <w:sz w:val="24"/>
                <w:vertAlign w:val="superscript"/>
                <w14:textFill>
                  <w14:solidFill>
                    <w14:schemeClr w14:val="tx1"/>
                  </w14:solidFill>
                </w14:textFill>
              </w:rPr>
              <w:t>-10</w:t>
            </w:r>
            <w:r>
              <w:rPr>
                <w:rFonts w:hint="default" w:ascii="Times New Roman" w:hAnsi="Times New Roman" w:cs="Times New Roman"/>
                <w:bCs/>
                <w:color w:val="000000" w:themeColor="text1"/>
                <w:sz w:val="24"/>
                <w14:textFill>
                  <w14:solidFill>
                    <w14:schemeClr w14:val="tx1"/>
                  </w14:solidFill>
                </w14:textFill>
              </w:rPr>
              <w:t>cm/s）、等采取严格的防渗基础和围堰</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对土壤环境影响较小。</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七、生态环境影响分析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 生态环境影响分析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工程的施工建设将影响评价区内局部生态环境，主要为井场占地植被破坏。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本项目工程施工建设占地全部为静乐县王村乡王村集体林地（退耕还林后一般灌木林地），属临时征用。临时占地在占用完毕后都可在较短时间内</w:t>
            </w:r>
            <w:r>
              <w:rPr>
                <w:rFonts w:hint="eastAsia" w:cs="Times New Roman"/>
                <w:color w:val="000000" w:themeColor="text1"/>
                <w:sz w:val="24"/>
                <w:lang w:val="en-US" w:eastAsia="zh-CN"/>
                <w14:textFill>
                  <w14:solidFill>
                    <w14:schemeClr w14:val="tx1"/>
                  </w14:solidFill>
                </w14:textFill>
              </w:rPr>
              <w:t>生态</w:t>
            </w:r>
            <w:r>
              <w:rPr>
                <w:rFonts w:hint="default" w:ascii="Times New Roman" w:hAnsi="Times New Roman" w:cs="Times New Roman"/>
                <w:color w:val="000000" w:themeColor="text1"/>
                <w:sz w:val="24"/>
                <w:lang w:val="en-US" w:eastAsia="zh-CN"/>
                <w14:textFill>
                  <w14:solidFill>
                    <w14:schemeClr w14:val="tx1"/>
                  </w14:solidFill>
                </w14:textFill>
              </w:rPr>
              <w:t>恢复，根据现场调查，项目的井场选址占地在当地现有土地类型中所占比例很小，不会导致区域土地利用格局的变化，对区域土地利用格局产生的影响甚微。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其次是钻井现场等工程涉及清除植被，剥离土壤，导致局部天然植被丧失，地形改变，遇大雨可能引起水土流失。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另外，工程排放的大气污染物（CO、SO</w:t>
            </w:r>
            <w:r>
              <w:rPr>
                <w:rFonts w:hint="default" w:ascii="Times New Roman" w:hAnsi="Times New Roman"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、NOx 等）、固体废物、噪声，对附近居民的生活，动、植物的生长可能有一定不利影响。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钻井作业对地层有一定的破坏作用，但由于钻孔直径最大为311.2mm，影响很小。完井后，井眼永久占地面积小，生态恢复后不影响原有地貌。废弃井封口在地面以下3-5 米，并有12mm 厚的圆盘焊接在套管上，生态恢复后可完全恢复原地貌。</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通过采取相应的生态保护对策，建设工程对生态环境的影响是可以减缓的，对区域生态系统的完整性、稳定性及生物多样性较小，不会对生态系统造成显著的影响。</w:t>
            </w:r>
          </w:p>
          <w:p>
            <w:pPr>
              <w:keepNext w:val="0"/>
              <w:keepLines w:val="0"/>
              <w:pageBreakBefore w:val="0"/>
              <w:widowControl w:val="0"/>
              <w:numPr>
                <w:ilvl w:val="0"/>
                <w:numId w:val="16"/>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采取的生态环保措施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（1）施工中尽量缩小影响范围，合理布置井场，挖好井场四周的界沟，选择合适的设备搬迁路线，合理布置钻井设备，减少井场占地面积。提高工程施工效率，减少工程在空间上、时间上对生态环境的影响；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（2）钻井对生态环境的影响主要是井场平整中那个对地表植被的破坏，所破坏的地表植被为草灌为主。根据植被生态、生理学特征，因地制宜的选择施工季节，避开植物的生长期，可减缓这种不利影响；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（3）迅速恢复植被破坏的地表形态，填埋废土坑、平整作业现场、改善植被更新生长条件，防止局部土地退化；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恢复土地生产能力，提高土壤肥力。施工过程中要尽量保护土地资源，不要打乱土层，要先挖表土层单独堆放，然后挖心，底土层另外堆放。复原时要先填心、底土，然后平复表土，以尽快恢复耕作层土地原貌；</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（5）为防止钻井期井场作业加剧水土流失，采用进场前集中表土，并进行表面硬化以防风吹雨淋流失，作业结束后再覆盖表土等措施后，可有效减少水土流失；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（6）钻井施工中，禁止废水、泥浆、药品及其他废物流失和乱排放，严禁机油、柴油等种油料落地，擦洗设备和更换的废油品料要集中到废油回收罐，如果发生外溢和散落必须及时清理；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7）完井后回收种原料，清理井场上散落的泥浆、污水、油料和种废弃物。泥浆药品等泥浆材料及废油必须全部回收，不得随意遗弃于井场，完井后做到作业现场整洁、平整、卫生，无油污，无固废，工完料净场地清。泥浆池、污水池必须进行填埋、覆土和生态恢复，恢复场地原貌。</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八、闭井期环境影响分析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闭井期施工活动主要包括封井，井场地面设施拆除及地表杂物清理。闭井期污染主要表现为扬尘污染，地面设施拆除和井场清理过程产生的少量固体废弃物。</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环评要求闭井期间采取以下污染防治措施：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（1）为防止废井腐蚀而导通含水层间的水力联系，勘探井使用完毕后应在井筒注入水泥封井；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（2）井场使用集装箱式房，地面设施移除后产生的少量废弃残渣外运至当地政府指定的地点统一处理；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勘探作业完成后，作为开发井的，建设单位办理开发阶段环保手续，进行下一步的开发；作为废弃井的，采用套管+水泥砂浆予以恰当封孔并留地面标记。按照《中华人民共和国森林法实施条例》，对井场施工前期堆出的表土回填进行生态恢复，以免造成新的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在严格按照环评提出的污染治理措施后，闭井期环境影响轻微。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480" w:leftChars="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九、</w:t>
            </w:r>
            <w:r>
              <w:rPr>
                <w:rFonts w:hint="default" w:ascii="Times New Roman" w:hAnsi="Times New Roman" w:cs="Times New Roman"/>
                <w:b/>
                <w:color w:val="000000" w:themeColor="text1"/>
                <w:sz w:val="24"/>
                <w14:textFill>
                  <w14:solidFill>
                    <w14:schemeClr w14:val="tx1"/>
                  </w14:solidFill>
                </w14:textFill>
              </w:rPr>
              <w:t>环境风险分析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1</w:t>
            </w:r>
            <w:r>
              <w:rPr>
                <w:rFonts w:hint="default" w:ascii="Times New Roman" w:hAnsi="Times New Roman" w:cs="Times New Roman"/>
                <w:color w:val="000000" w:themeColor="text1"/>
                <w:sz w:val="24"/>
                <w:szCs w:val="21"/>
                <w:lang w:eastAsia="zh-CN"/>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1"/>
                <w14:textFill>
                  <w14:solidFill>
                    <w14:schemeClr w14:val="tx1"/>
                  </w14:solidFill>
                </w14:textFill>
              </w:rPr>
              <w:t>评价依据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eastAsia="zh-CN"/>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1）</w:t>
            </w:r>
            <w:r>
              <w:rPr>
                <w:rFonts w:hint="default" w:ascii="Times New Roman" w:hAnsi="Times New Roman" w:cs="Times New Roman"/>
                <w:color w:val="000000" w:themeColor="text1"/>
                <w:sz w:val="24"/>
                <w:szCs w:val="21"/>
                <w14:textFill>
                  <w14:solidFill>
                    <w14:schemeClr w14:val="tx1"/>
                  </w14:solidFill>
                </w14:textFill>
              </w:rPr>
              <w:t>风险调查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井场钻井期和排采期存储物质主要为</w:t>
            </w:r>
            <w:r>
              <w:rPr>
                <w:rFonts w:hint="default" w:ascii="Times New Roman" w:hAnsi="Times New Roman" w:cs="Times New Roman"/>
                <w:color w:val="000000" w:themeColor="text1"/>
                <w:sz w:val="24"/>
                <w14:textFill>
                  <w14:solidFill>
                    <w14:schemeClr w14:val="tx1"/>
                  </w14:solidFill>
                </w14:textFill>
              </w:rPr>
              <w:t>柴油。</w:t>
            </w:r>
            <w:r>
              <w:rPr>
                <w:rFonts w:hint="default" w:ascii="Times New Roman" w:hAnsi="Times New Roman" w:cs="Times New Roman"/>
                <w:color w:val="000000" w:themeColor="text1"/>
                <w:sz w:val="24"/>
                <w:lang w:val="en-US" w:eastAsia="zh-CN"/>
                <w14:textFill>
                  <w14:solidFill>
                    <w14:schemeClr w14:val="tx1"/>
                  </w14:solidFill>
                </w14:textFill>
              </w:rPr>
              <w:t>柴</w:t>
            </w:r>
            <w:r>
              <w:rPr>
                <w:rFonts w:hint="default" w:ascii="Times New Roman" w:hAnsi="Times New Roman" w:cs="Times New Roman"/>
                <w:color w:val="000000" w:themeColor="text1"/>
                <w:sz w:val="24"/>
                <w14:textFill>
                  <w14:solidFill>
                    <w14:schemeClr w14:val="tx1"/>
                  </w14:solidFill>
                </w14:textFill>
              </w:rPr>
              <w:t>油储罐总容积为</w:t>
            </w:r>
            <w:r>
              <w:rPr>
                <w:rFonts w:hint="eastAsia" w:cs="Times New Roman"/>
                <w:color w:val="000000" w:themeColor="text1"/>
                <w:sz w:val="24"/>
                <w:lang w:val="en-US" w:eastAsia="zh-CN"/>
                <w14:textFill>
                  <w14:solidFill>
                    <w14:schemeClr w14:val="tx1"/>
                  </w14:solidFill>
                </w14:textFill>
              </w:rPr>
              <w:t>4t</w:t>
            </w:r>
            <w:r>
              <w:rPr>
                <w:rFonts w:hint="default" w:ascii="Times New Roman" w:hAnsi="Times New Roman" w:cs="Times New Roman"/>
                <w:color w:val="000000" w:themeColor="text1"/>
                <w:sz w:val="24"/>
                <w:vertAlign w:val="baseline"/>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按相对密度取0.85</w:t>
            </w:r>
            <w:r>
              <w:rPr>
                <w:rFonts w:hint="default" w:ascii="Times New Roman" w:hAnsi="Times New Roman" w:cs="Times New Roman"/>
                <w:color w:val="000000" w:themeColor="text1"/>
                <w:sz w:val="24"/>
                <w:lang w:val="en-US" w:eastAsia="zh-CN"/>
                <w14:textFill>
                  <w14:solidFill>
                    <w14:schemeClr w14:val="tx1"/>
                  </w14:solidFill>
                </w14:textFill>
              </w:rPr>
              <w:t>kg/L</w:t>
            </w:r>
            <w:r>
              <w:rPr>
                <w:rFonts w:hint="default" w:ascii="Times New Roman" w:hAnsi="Times New Roman" w:cs="Times New Roman"/>
                <w:color w:val="000000" w:themeColor="text1"/>
                <w:sz w:val="24"/>
                <w14:textFill>
                  <w14:solidFill>
                    <w14:schemeClr w14:val="tx1"/>
                  </w14:solidFill>
                </w14:textFill>
              </w:rPr>
              <w:t>，储存柴油</w:t>
            </w:r>
            <w:r>
              <w:rPr>
                <w:rFonts w:hint="eastAsia" w:cs="Times New Roman"/>
                <w:color w:val="000000" w:themeColor="text1"/>
                <w:sz w:val="24"/>
                <w:lang w:val="en-US" w:eastAsia="zh-CN"/>
                <w14:textFill>
                  <w14:solidFill>
                    <w14:schemeClr w14:val="tx1"/>
                  </w14:solidFill>
                </w14:textFill>
              </w:rPr>
              <w:t>3.4</w:t>
            </w:r>
            <w:r>
              <w:rPr>
                <w:rFonts w:hint="default" w:ascii="Times New Roman" w:hAnsi="Times New Roman" w:cs="Times New Roman"/>
                <w:color w:val="000000" w:themeColor="text1"/>
                <w:sz w:val="24"/>
                <w14:textFill>
                  <w14:solidFill>
                    <w14:schemeClr w14:val="tx1"/>
                  </w14:solidFill>
                </w14:textFill>
              </w:rPr>
              <w:t>t</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井场</w:t>
            </w:r>
            <w:r>
              <w:rPr>
                <w:rFonts w:hint="default" w:ascii="Times New Roman" w:hAnsi="Times New Roman" w:cs="Times New Roman"/>
                <w:color w:val="000000" w:themeColor="text1"/>
                <w:sz w:val="24"/>
                <w:szCs w:val="21"/>
                <w14:textFill>
                  <w14:solidFill>
                    <w14:schemeClr w14:val="tx1"/>
                  </w14:solidFill>
                </w14:textFill>
              </w:rPr>
              <w:t>内</w:t>
            </w:r>
            <w:r>
              <w:rPr>
                <w:rFonts w:hint="default" w:ascii="Times New Roman" w:hAnsi="Times New Roman" w:cs="Times New Roman"/>
                <w:color w:val="000000" w:themeColor="text1"/>
                <w:sz w:val="24"/>
                <w:szCs w:val="21"/>
                <w:lang w:val="en-US" w:eastAsia="zh-CN"/>
                <w14:textFill>
                  <w14:solidFill>
                    <w14:schemeClr w14:val="tx1"/>
                  </w14:solidFill>
                </w14:textFill>
              </w:rPr>
              <w:t>柴</w:t>
            </w:r>
            <w:r>
              <w:rPr>
                <w:rFonts w:hint="default" w:ascii="Times New Roman" w:hAnsi="Times New Roman" w:cs="Times New Roman"/>
                <w:color w:val="000000" w:themeColor="text1"/>
                <w:sz w:val="24"/>
                <w:szCs w:val="21"/>
                <w14:textFill>
                  <w14:solidFill>
                    <w14:schemeClr w14:val="tx1"/>
                  </w14:solidFill>
                </w14:textFill>
              </w:rPr>
              <w:t>油类物质最大储存量为</w:t>
            </w:r>
            <w:r>
              <w:rPr>
                <w:rFonts w:hint="eastAsia" w:cs="Times New Roman"/>
                <w:color w:val="000000" w:themeColor="text1"/>
                <w:sz w:val="24"/>
                <w:szCs w:val="21"/>
                <w:lang w:val="en-US" w:eastAsia="zh-CN"/>
                <w14:textFill>
                  <w14:solidFill>
                    <w14:schemeClr w14:val="tx1"/>
                  </w14:solidFill>
                </w14:textFill>
              </w:rPr>
              <w:t>3.4</w:t>
            </w:r>
            <w:r>
              <w:rPr>
                <w:rFonts w:hint="default" w:ascii="Times New Roman" w:hAnsi="Times New Roman" w:cs="Times New Roman"/>
                <w:color w:val="000000" w:themeColor="text1"/>
                <w:sz w:val="24"/>
                <w:szCs w:val="21"/>
                <w14:textFill>
                  <w14:solidFill>
                    <w14:schemeClr w14:val="tx1"/>
                  </w14:solidFill>
                </w14:textFill>
              </w:rPr>
              <w:t>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eastAsia="zh-CN"/>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2）</w:t>
            </w:r>
            <w:r>
              <w:rPr>
                <w:rFonts w:hint="default" w:ascii="Times New Roman" w:hAnsi="Times New Roman" w:cs="Times New Roman"/>
                <w:color w:val="000000" w:themeColor="text1"/>
                <w:sz w:val="24"/>
                <w:szCs w:val="21"/>
                <w14:textFill>
                  <w14:solidFill>
                    <w14:schemeClr w14:val="tx1"/>
                  </w14:solidFill>
                </w14:textFill>
              </w:rPr>
              <w:t>风险潜势初判</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井场钻井期和排采期存储物质</w:t>
            </w:r>
            <w:r>
              <w:rPr>
                <w:rFonts w:hint="default" w:ascii="Times New Roman" w:hAnsi="Times New Roman" w:cs="Times New Roman"/>
                <w:color w:val="000000" w:themeColor="text1"/>
                <w:sz w:val="24"/>
                <w:szCs w:val="21"/>
                <w14:textFill>
                  <w14:solidFill>
                    <w14:schemeClr w14:val="tx1"/>
                  </w14:solidFill>
                </w14:textFill>
              </w:rPr>
              <w:t>为</w:t>
            </w:r>
            <w:r>
              <w:rPr>
                <w:rFonts w:hint="default" w:ascii="Times New Roman" w:hAnsi="Times New Roman" w:cs="Times New Roman"/>
                <w:color w:val="000000" w:themeColor="text1"/>
                <w:sz w:val="24"/>
                <w14:textFill>
                  <w14:solidFill>
                    <w14:schemeClr w14:val="tx1"/>
                  </w14:solidFill>
                </w14:textFill>
              </w:rPr>
              <w:t>油类物质（柴油）</w:t>
            </w:r>
            <w:r>
              <w:rPr>
                <w:rFonts w:hint="default" w:ascii="Times New Roman" w:hAnsi="Times New Roman" w:cs="Times New Roman"/>
                <w:color w:val="000000" w:themeColor="text1"/>
                <w:sz w:val="24"/>
                <w:szCs w:val="21"/>
                <w14:textFill>
                  <w14:solidFill>
                    <w14:schemeClr w14:val="tx1"/>
                  </w14:solidFill>
                </w14:textFill>
              </w:rPr>
              <w:t>，最大储存量为</w:t>
            </w:r>
            <w:r>
              <w:rPr>
                <w:rFonts w:hint="default" w:ascii="Times New Roman" w:hAnsi="Times New Roman" w:cs="Times New Roman"/>
                <w:color w:val="000000" w:themeColor="text1"/>
                <w:sz w:val="24"/>
                <w:szCs w:val="21"/>
                <w:lang w:val="en-US" w:eastAsia="zh-CN"/>
                <w14:textFill>
                  <w14:solidFill>
                    <w14:schemeClr w14:val="tx1"/>
                  </w14:solidFill>
                </w14:textFill>
              </w:rPr>
              <w:t>40</w:t>
            </w:r>
            <w:r>
              <w:rPr>
                <w:rFonts w:hint="default" w:ascii="Times New Roman" w:hAnsi="Times New Roman" w:cs="Times New Roman"/>
                <w:color w:val="000000" w:themeColor="text1"/>
                <w:sz w:val="24"/>
                <w:szCs w:val="21"/>
                <w14:textFill>
                  <w14:solidFill>
                    <w14:schemeClr w14:val="tx1"/>
                  </w14:solidFill>
                </w14:textFill>
              </w:rPr>
              <w:t>t。根据《建设项目环境风险评价技术导则》（HJ/T169-2018）附录B，</w:t>
            </w:r>
            <w:r>
              <w:rPr>
                <w:rFonts w:hint="default" w:ascii="Times New Roman" w:hAnsi="Times New Roman" w:cs="Times New Roman"/>
                <w:color w:val="000000" w:themeColor="text1"/>
                <w:sz w:val="24"/>
                <w14:textFill>
                  <w14:solidFill>
                    <w14:schemeClr w14:val="tx1"/>
                  </w14:solidFill>
                </w14:textFill>
              </w:rPr>
              <w:t>油类物质</w:t>
            </w:r>
            <w:r>
              <w:rPr>
                <w:rFonts w:hint="default" w:ascii="Times New Roman" w:hAnsi="Times New Roman" w:cs="Times New Roman"/>
                <w:color w:val="000000" w:themeColor="text1"/>
                <w:sz w:val="24"/>
                <w:szCs w:val="21"/>
                <w14:textFill>
                  <w14:solidFill>
                    <w14:schemeClr w14:val="tx1"/>
                  </w14:solidFill>
                </w14:textFill>
              </w:rPr>
              <w:t>临界量为2500t，当只涉及一种危险物质时，临界量Q为该物质的总量与其临界量比值，则本项目Q=</w:t>
            </w:r>
            <w:r>
              <w:rPr>
                <w:rFonts w:hint="eastAsia" w:cs="Times New Roman"/>
                <w:color w:val="000000" w:themeColor="text1"/>
                <w:sz w:val="24"/>
                <w:szCs w:val="21"/>
                <w:lang w:val="en-US" w:eastAsia="zh-CN"/>
                <w14:textFill>
                  <w14:solidFill>
                    <w14:schemeClr w14:val="tx1"/>
                  </w14:solidFill>
                </w14:textFill>
              </w:rPr>
              <w:t>3.4</w:t>
            </w:r>
            <w:r>
              <w:rPr>
                <w:rFonts w:hint="default" w:ascii="Times New Roman" w:hAnsi="Times New Roman" w:cs="Times New Roman"/>
                <w:color w:val="000000" w:themeColor="text1"/>
                <w:sz w:val="24"/>
                <w:szCs w:val="21"/>
                <w14:textFill>
                  <w14:solidFill>
                    <w14:schemeClr w14:val="tx1"/>
                  </w14:solidFill>
                </w14:textFill>
              </w:rPr>
              <w:t>/2500=0.</w:t>
            </w:r>
            <w:r>
              <w:rPr>
                <w:rFonts w:hint="eastAsia" w:cs="Times New Roman"/>
                <w:color w:val="000000" w:themeColor="text1"/>
                <w:sz w:val="24"/>
                <w:szCs w:val="21"/>
                <w:lang w:val="en-US" w:eastAsia="zh-CN"/>
                <w14:textFill>
                  <w14:solidFill>
                    <w14:schemeClr w14:val="tx1"/>
                  </w14:solidFill>
                </w14:textFill>
              </w:rPr>
              <w:t>14</w:t>
            </w:r>
            <w:r>
              <w:rPr>
                <w:rFonts w:hint="default" w:ascii="Times New Roman" w:hAnsi="Times New Roman" w:cs="Times New Roman"/>
                <w:color w:val="000000" w:themeColor="text1"/>
                <w:sz w:val="24"/>
                <w:szCs w:val="21"/>
                <w14:textFill>
                  <w14:solidFill>
                    <w14:schemeClr w14:val="tx1"/>
                  </w14:solidFill>
                </w14:textFill>
              </w:rPr>
              <w:t>，当Q&lt;1时，本项目环境风险潜势为</w:t>
            </w:r>
            <w:r>
              <w:rPr>
                <w:rFonts w:hint="default" w:ascii="Times New Roman" w:hAnsi="Times New Roman" w:cs="Times New Roman"/>
                <w:color w:val="000000" w:themeColor="text1"/>
                <w:sz w:val="24"/>
                <w:szCs w:val="21"/>
                <w14:textFill>
                  <w14:solidFill>
                    <w14:schemeClr w14:val="tx1"/>
                  </w14:solidFill>
                </w14:textFill>
              </w:rPr>
              <w:fldChar w:fldCharType="begin"/>
            </w:r>
            <w:r>
              <w:rPr>
                <w:rFonts w:hint="default" w:ascii="Times New Roman" w:hAnsi="Times New Roman" w:cs="Times New Roman"/>
                <w:color w:val="000000" w:themeColor="text1"/>
                <w:sz w:val="24"/>
                <w:szCs w:val="21"/>
                <w14:textFill>
                  <w14:solidFill>
                    <w14:schemeClr w14:val="tx1"/>
                  </w14:solidFill>
                </w14:textFill>
              </w:rPr>
              <w:instrText xml:space="preserve"> = 1 \* ROMAN </w:instrText>
            </w:r>
            <w:r>
              <w:rPr>
                <w:rFonts w:hint="default" w:ascii="Times New Roman" w:hAnsi="Times New Roman" w:cs="Times New Roman"/>
                <w:color w:val="000000" w:themeColor="text1"/>
                <w:sz w:val="24"/>
                <w:szCs w:val="21"/>
                <w14:textFill>
                  <w14:solidFill>
                    <w14:schemeClr w14:val="tx1"/>
                  </w14:solidFill>
                </w14:textFill>
              </w:rPr>
              <w:fldChar w:fldCharType="separate"/>
            </w:r>
            <w:r>
              <w:rPr>
                <w:rFonts w:hint="default" w:ascii="Times New Roman" w:hAnsi="Times New Roman" w:cs="Times New Roman"/>
                <w:color w:val="000000" w:themeColor="text1"/>
                <w:sz w:val="24"/>
                <w:szCs w:val="21"/>
                <w14:textFill>
                  <w14:solidFill>
                    <w14:schemeClr w14:val="tx1"/>
                  </w14:solidFill>
                </w14:textFill>
              </w:rPr>
              <w:t>I</w:t>
            </w:r>
            <w:r>
              <w:rPr>
                <w:rFonts w:hint="default" w:ascii="Times New Roman" w:hAnsi="Times New Roman" w:cs="Times New Roman"/>
                <w:color w:val="000000" w:themeColor="text1"/>
                <w:sz w:val="24"/>
                <w:szCs w:val="21"/>
                <w14:textFill>
                  <w14:solidFill>
                    <w14:schemeClr w14:val="tx1"/>
                  </w14:solidFill>
                </w14:textFill>
              </w:rPr>
              <w:fldChar w:fldCharType="end"/>
            </w:r>
            <w:r>
              <w:rPr>
                <w:rFonts w:hint="default" w:ascii="Times New Roman" w:hAnsi="Times New Roman" w:cs="Times New Roman"/>
                <w:color w:val="000000" w:themeColor="text1"/>
                <w:sz w:val="24"/>
                <w:szCs w:val="21"/>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eastAsia="zh-CN"/>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3）</w:t>
            </w:r>
            <w:r>
              <w:rPr>
                <w:rFonts w:hint="default" w:ascii="Times New Roman" w:hAnsi="Times New Roman" w:cs="Times New Roman"/>
                <w:color w:val="000000" w:themeColor="text1"/>
                <w:sz w:val="24"/>
                <w:szCs w:val="21"/>
                <w14:textFill>
                  <w14:solidFill>
                    <w14:schemeClr w14:val="tx1"/>
                  </w14:solidFill>
                </w14:textFill>
              </w:rPr>
              <w:t>评价等级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200"/>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sz w:val="24"/>
                <w:szCs w:val="21"/>
                <w:lang w:val="en-US" w:eastAsia="zh-CN"/>
                <w14:textFill>
                  <w14:solidFill>
                    <w14:schemeClr w14:val="tx1"/>
                  </w14:solidFill>
                </w14:textFill>
              </w:rPr>
              <w:t>环境风险评价等级划分依据见插表2</w:t>
            </w:r>
            <w:r>
              <w:rPr>
                <w:rFonts w:hint="eastAsia" w:cs="Times New Roman"/>
                <w:color w:val="000000" w:themeColor="text1"/>
                <w:sz w:val="24"/>
                <w:szCs w:val="21"/>
                <w:lang w:val="en-US" w:eastAsia="zh-CN"/>
                <w14:textFill>
                  <w14:solidFill>
                    <w14:schemeClr w14:val="tx1"/>
                  </w14:solidFill>
                </w14:textFill>
              </w:rPr>
              <w:t>7</w:t>
            </w:r>
            <w:r>
              <w:rPr>
                <w:rFonts w:hint="default" w:ascii="Times New Roman" w:hAnsi="Times New Roman" w:cs="Times New Roman"/>
                <w:color w:val="000000" w:themeColor="text1"/>
                <w:sz w:val="24"/>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评价工作等级划分</w:t>
            </w:r>
          </w:p>
          <w:tbl>
            <w:tblPr>
              <w:tblStyle w:val="44"/>
              <w:tblW w:w="9060"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32"/>
              <w:gridCol w:w="1672"/>
              <w:gridCol w:w="1952"/>
              <w:gridCol w:w="2232"/>
              <w:gridCol w:w="167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环境风险潜势</w:t>
                  </w:r>
                </w:p>
              </w:tc>
              <w:tc>
                <w:tcPr>
                  <w:tcW w:w="167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4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IV</w:t>
                  </w:r>
                  <w:r>
                    <w:rPr>
                      <w:rFonts w:hint="default" w:ascii="Times New Roman" w:hAnsi="Times New Roman" w:cs="Times New Roman"/>
                      <w:b/>
                      <w:bCs/>
                      <w:color w:val="000000" w:themeColor="text1"/>
                      <w:szCs w:val="21"/>
                      <w14:textFill>
                        <w14:solidFill>
                          <w14:schemeClr w14:val="tx1"/>
                        </w14:solidFill>
                      </w14:textFill>
                    </w:rPr>
                    <w:fldChar w:fldCharType="end"/>
                  </w:r>
                  <w:r>
                    <w:rPr>
                      <w:rFonts w:hint="default" w:ascii="Times New Roman" w:hAnsi="Times New Roman" w:cs="Times New Roman"/>
                      <w:b/>
                      <w:bCs/>
                      <w:color w:val="000000" w:themeColor="text1"/>
                      <w:szCs w:val="21"/>
                      <w14:textFill>
                        <w14:solidFill>
                          <w14:schemeClr w14:val="tx1"/>
                        </w14:solidFill>
                      </w14:textFill>
                    </w:rPr>
                    <w:t>、</w:t>
                  </w: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4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IV</w:t>
                  </w:r>
                  <w:r>
                    <w:rPr>
                      <w:rFonts w:hint="default" w:ascii="Times New Roman" w:hAnsi="Times New Roman" w:cs="Times New Roman"/>
                      <w:b/>
                      <w:bCs/>
                      <w:color w:val="000000" w:themeColor="text1"/>
                      <w:szCs w:val="21"/>
                      <w14:textFill>
                        <w14:solidFill>
                          <w14:schemeClr w14:val="tx1"/>
                        </w14:solidFill>
                      </w14:textFill>
                    </w:rPr>
                    <w:fldChar w:fldCharType="end"/>
                  </w:r>
                  <w:r>
                    <w:rPr>
                      <w:rFonts w:hint="default" w:ascii="Times New Roman" w:hAnsi="Times New Roman" w:cs="Times New Roman"/>
                      <w:b/>
                      <w:bCs/>
                      <w:color w:val="000000" w:themeColor="text1"/>
                      <w:szCs w:val="21"/>
                      <w:vertAlign w:val="superscript"/>
                      <w14:textFill>
                        <w14:solidFill>
                          <w14:schemeClr w14:val="tx1"/>
                        </w14:solidFill>
                      </w14:textFill>
                    </w:rPr>
                    <w:t>+</w:t>
                  </w:r>
                </w:p>
              </w:tc>
              <w:tc>
                <w:tcPr>
                  <w:tcW w:w="195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3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III</w:t>
                  </w:r>
                  <w:r>
                    <w:rPr>
                      <w:rFonts w:hint="default" w:ascii="Times New Roman" w:hAnsi="Times New Roman" w:cs="Times New Roman"/>
                      <w:b/>
                      <w:bCs/>
                      <w:color w:val="000000" w:themeColor="text1"/>
                      <w:szCs w:val="21"/>
                      <w14:textFill>
                        <w14:solidFill>
                          <w14:schemeClr w14:val="tx1"/>
                        </w14:solidFill>
                      </w14:textFill>
                    </w:rPr>
                    <w:fldChar w:fldCharType="end"/>
                  </w:r>
                </w:p>
              </w:tc>
              <w:tc>
                <w:tcPr>
                  <w:tcW w:w="223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2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II</w:t>
                  </w:r>
                  <w:r>
                    <w:rPr>
                      <w:rFonts w:hint="default" w:ascii="Times New Roman" w:hAnsi="Times New Roman" w:cs="Times New Roman"/>
                      <w:b/>
                      <w:bCs/>
                      <w:color w:val="000000" w:themeColor="text1"/>
                      <w:szCs w:val="21"/>
                      <w14:textFill>
                        <w14:solidFill>
                          <w14:schemeClr w14:val="tx1"/>
                        </w14:solidFill>
                      </w14:textFill>
                    </w:rPr>
                    <w:fldChar w:fldCharType="end"/>
                  </w:r>
                </w:p>
              </w:tc>
              <w:tc>
                <w:tcPr>
                  <w:tcW w:w="167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1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w:t>
                  </w:r>
                  <w:r>
                    <w:rPr>
                      <w:rFonts w:hint="default" w:ascii="Times New Roman" w:hAnsi="Times New Roman" w:cs="Times New Roman"/>
                      <w:b/>
                      <w:bCs/>
                      <w:color w:val="000000" w:themeColor="text1"/>
                      <w:szCs w:val="21"/>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评价工作等级</w:t>
                  </w:r>
                </w:p>
              </w:tc>
              <w:tc>
                <w:tcPr>
                  <w:tcW w:w="167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w:t>
                  </w:r>
                </w:p>
              </w:tc>
              <w:tc>
                <w:tcPr>
                  <w:tcW w:w="195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w:t>
                  </w:r>
                </w:p>
              </w:tc>
              <w:tc>
                <w:tcPr>
                  <w:tcW w:w="223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w:t>
                  </w:r>
                </w:p>
              </w:tc>
              <w:tc>
                <w:tcPr>
                  <w:tcW w:w="167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简单分析</w:t>
                  </w:r>
                  <w:r>
                    <w:rPr>
                      <w:rFonts w:hint="default" w:ascii="Times New Roman" w:hAnsi="Times New Roman" w:cs="Times New Roman"/>
                      <w:color w:val="000000" w:themeColor="text1"/>
                      <w:szCs w:val="21"/>
                      <w:vertAlign w:val="superscript"/>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060" w:type="dxa"/>
                  <w:gridSpan w:val="5"/>
                  <w:tcBorders>
                    <w:tl2br w:val="nil"/>
                    <w:tr2bl w:val="nil"/>
                  </w:tcBorders>
                  <w:noWrap w:val="0"/>
                  <w:vAlign w:val="top"/>
                </w:tcPr>
                <w:p>
                  <w:pPr>
                    <w:spacing w:line="360" w:lineRule="exac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本项目环境风险潜势为</w:t>
            </w:r>
            <w:r>
              <w:rPr>
                <w:rFonts w:hint="default" w:ascii="Times New Roman" w:hAnsi="Times New Roman" w:cs="Times New Roman"/>
                <w:color w:val="000000" w:themeColor="text1"/>
                <w:sz w:val="24"/>
                <w:szCs w:val="21"/>
                <w14:textFill>
                  <w14:solidFill>
                    <w14:schemeClr w14:val="tx1"/>
                  </w14:solidFill>
                </w14:textFill>
              </w:rPr>
              <w:fldChar w:fldCharType="begin"/>
            </w:r>
            <w:r>
              <w:rPr>
                <w:rFonts w:hint="default" w:ascii="Times New Roman" w:hAnsi="Times New Roman" w:cs="Times New Roman"/>
                <w:color w:val="000000" w:themeColor="text1"/>
                <w:sz w:val="24"/>
                <w:szCs w:val="21"/>
                <w14:textFill>
                  <w14:solidFill>
                    <w14:schemeClr w14:val="tx1"/>
                  </w14:solidFill>
                </w14:textFill>
              </w:rPr>
              <w:instrText xml:space="preserve"> = 1 \* ROMAN </w:instrText>
            </w:r>
            <w:r>
              <w:rPr>
                <w:rFonts w:hint="default" w:ascii="Times New Roman" w:hAnsi="Times New Roman" w:cs="Times New Roman"/>
                <w:color w:val="000000" w:themeColor="text1"/>
                <w:sz w:val="24"/>
                <w:szCs w:val="21"/>
                <w14:textFill>
                  <w14:solidFill>
                    <w14:schemeClr w14:val="tx1"/>
                  </w14:solidFill>
                </w14:textFill>
              </w:rPr>
              <w:fldChar w:fldCharType="separate"/>
            </w:r>
            <w:r>
              <w:rPr>
                <w:rFonts w:hint="default" w:ascii="Times New Roman" w:hAnsi="Times New Roman" w:cs="Times New Roman"/>
                <w:color w:val="000000" w:themeColor="text1"/>
                <w:sz w:val="24"/>
                <w:szCs w:val="21"/>
                <w14:textFill>
                  <w14:solidFill>
                    <w14:schemeClr w14:val="tx1"/>
                  </w14:solidFill>
                </w14:textFill>
              </w:rPr>
              <w:t>I</w:t>
            </w:r>
            <w:r>
              <w:rPr>
                <w:rFonts w:hint="default" w:ascii="Times New Roman" w:hAnsi="Times New Roman" w:cs="Times New Roman"/>
                <w:color w:val="000000" w:themeColor="text1"/>
                <w:sz w:val="24"/>
                <w:szCs w:val="21"/>
                <w14:textFill>
                  <w14:solidFill>
                    <w14:schemeClr w14:val="tx1"/>
                  </w14:solidFill>
                </w14:textFill>
              </w:rPr>
              <w:fldChar w:fldCharType="end"/>
            </w:r>
            <w:r>
              <w:rPr>
                <w:rFonts w:hint="default" w:ascii="Times New Roman" w:hAnsi="Times New Roman" w:cs="Times New Roman"/>
                <w:color w:val="000000" w:themeColor="text1"/>
                <w:sz w:val="24"/>
                <w:szCs w:val="21"/>
                <w14:textFill>
                  <w14:solidFill>
                    <w14:schemeClr w14:val="tx1"/>
                  </w14:solidFill>
                </w14:textFill>
              </w:rPr>
              <w:t>，根据</w:t>
            </w:r>
            <w:r>
              <w:rPr>
                <w:rFonts w:hint="default" w:ascii="Times New Roman" w:hAnsi="Times New Roman" w:cs="Times New Roman"/>
                <w:color w:val="000000" w:themeColor="text1"/>
                <w:sz w:val="24"/>
                <w:szCs w:val="21"/>
                <w:lang w:val="en-US" w:eastAsia="zh-CN"/>
                <w14:textFill>
                  <w14:solidFill>
                    <w14:schemeClr w14:val="tx1"/>
                  </w14:solidFill>
                </w14:textFill>
              </w:rPr>
              <w:t>插</w:t>
            </w:r>
            <w:r>
              <w:rPr>
                <w:rFonts w:hint="default" w:ascii="Times New Roman" w:hAnsi="Times New Roman" w:cs="Times New Roman"/>
                <w:color w:val="000000" w:themeColor="text1"/>
                <w:sz w:val="24"/>
                <w:szCs w:val="21"/>
                <w14:textFill>
                  <w14:solidFill>
                    <w14:schemeClr w14:val="tx1"/>
                  </w14:solidFill>
                </w14:textFill>
              </w:rPr>
              <w:t>表</w:t>
            </w:r>
            <w:r>
              <w:rPr>
                <w:rFonts w:hint="default" w:ascii="Times New Roman" w:hAnsi="Times New Roman" w:cs="Times New Roman"/>
                <w:color w:val="000000" w:themeColor="text1"/>
                <w:sz w:val="24"/>
                <w:szCs w:val="21"/>
                <w:lang w:val="en-US" w:eastAsia="zh-CN"/>
                <w14:textFill>
                  <w14:solidFill>
                    <w14:schemeClr w14:val="tx1"/>
                  </w14:solidFill>
                </w14:textFill>
              </w:rPr>
              <w:t>26</w:t>
            </w:r>
            <w:r>
              <w:rPr>
                <w:rFonts w:hint="default" w:ascii="Times New Roman" w:hAnsi="Times New Roman" w:cs="Times New Roman"/>
                <w:color w:val="000000" w:themeColor="text1"/>
                <w:sz w:val="24"/>
                <w:szCs w:val="21"/>
                <w14:textFill>
                  <w14:solidFill>
                    <w14:schemeClr w14:val="tx1"/>
                  </w14:solidFill>
                </w14:textFill>
              </w:rPr>
              <w:t>，本项目环境风险评价需进行简单分析。</w:t>
            </w:r>
          </w:p>
          <w:p>
            <w:pPr>
              <w:pStyle w:val="161"/>
              <w:keepNext w:val="0"/>
              <w:keepLines w:val="0"/>
              <w:pageBreakBefore w:val="0"/>
              <w:widowControl w:val="0"/>
              <w:numPr>
                <w:ilvl w:val="0"/>
                <w:numId w:val="13"/>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环境敏感目标概况</w:t>
            </w:r>
          </w:p>
          <w:p>
            <w:pPr>
              <w:keepNext w:val="0"/>
              <w:keepLines w:val="0"/>
              <w:pageBreakBefore w:val="0"/>
              <w:widowControl w:val="0"/>
              <w:kinsoku/>
              <w:wordWrap/>
              <w:overflowPunct/>
              <w:topLinePunct w:val="0"/>
              <w:autoSpaceDE/>
              <w:autoSpaceDN/>
              <w:bidi w:val="0"/>
              <w:adjustRightInd/>
              <w:snapToGrid/>
              <w:spacing w:line="300" w:lineRule="auto"/>
              <w:ind w:firstLine="48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本项目周边敏感目标见</w:t>
            </w:r>
            <w:r>
              <w:rPr>
                <w:rFonts w:hint="default" w:ascii="Times New Roman" w:hAnsi="Times New Roman" w:cs="Times New Roman"/>
                <w:color w:val="000000" w:themeColor="text1"/>
                <w:sz w:val="24"/>
                <w:szCs w:val="21"/>
                <w:lang w:val="en-US" w:eastAsia="zh-CN"/>
                <w14:textFill>
                  <w14:solidFill>
                    <w14:schemeClr w14:val="tx1"/>
                  </w14:solidFill>
                </w14:textFill>
              </w:rPr>
              <w:t>插</w:t>
            </w:r>
            <w:r>
              <w:rPr>
                <w:rFonts w:hint="default" w:ascii="Times New Roman" w:hAnsi="Times New Roman" w:cs="Times New Roman"/>
                <w:color w:val="000000" w:themeColor="text1"/>
                <w:sz w:val="24"/>
                <w:szCs w:val="21"/>
                <w14:textFill>
                  <w14:solidFill>
                    <w14:schemeClr w14:val="tx1"/>
                  </w14:solidFill>
                </w14:textFill>
              </w:rPr>
              <w:t>表</w:t>
            </w:r>
            <w:r>
              <w:rPr>
                <w:rFonts w:hint="default" w:ascii="Times New Roman" w:hAnsi="Times New Roman" w:cs="Times New Roman"/>
                <w:color w:val="000000" w:themeColor="text1"/>
                <w:sz w:val="24"/>
                <w:szCs w:val="21"/>
                <w:lang w:val="en-US" w:eastAsia="zh-CN"/>
                <w14:textFill>
                  <w14:solidFill>
                    <w14:schemeClr w14:val="tx1"/>
                  </w14:solidFill>
                </w14:textFill>
              </w:rPr>
              <w:t>2</w:t>
            </w:r>
            <w:r>
              <w:rPr>
                <w:rFonts w:hint="eastAsia" w:cs="Times New Roman"/>
                <w:color w:val="000000" w:themeColor="text1"/>
                <w:sz w:val="24"/>
                <w:szCs w:val="21"/>
                <w:lang w:val="en-US" w:eastAsia="zh-CN"/>
                <w14:textFill>
                  <w14:solidFill>
                    <w14:schemeClr w14:val="tx1"/>
                  </w14:solidFill>
                </w14:textFill>
              </w:rPr>
              <w:t>8</w:t>
            </w:r>
            <w:r>
              <w:rPr>
                <w:rFonts w:hint="default" w:ascii="Times New Roman" w:hAnsi="Times New Roman" w:cs="Times New Roman"/>
                <w:color w:val="000000" w:themeColor="text1"/>
                <w:sz w:val="24"/>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项目周围主要环境敏感目标分布情况</w:t>
            </w:r>
          </w:p>
          <w:tbl>
            <w:tblPr>
              <w:tblStyle w:val="44"/>
              <w:tblW w:w="906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01"/>
              <w:gridCol w:w="3512"/>
              <w:gridCol w:w="1457"/>
              <w:gridCol w:w="24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0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类别</w:t>
                  </w:r>
                </w:p>
              </w:tc>
              <w:tc>
                <w:tcPr>
                  <w:tcW w:w="3512"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保护对象</w:t>
                  </w:r>
                </w:p>
              </w:tc>
              <w:tc>
                <w:tcPr>
                  <w:tcW w:w="1457"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方位</w:t>
                  </w:r>
                </w:p>
              </w:tc>
              <w:tc>
                <w:tcPr>
                  <w:tcW w:w="249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距厂界距离（m）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01"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环境空气</w:t>
                  </w:r>
                </w:p>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声环境</w:t>
                  </w:r>
                </w:p>
              </w:tc>
              <w:tc>
                <w:tcPr>
                  <w:tcW w:w="3512" w:type="dxa"/>
                  <w:tcBorders>
                    <w:tl2br w:val="nil"/>
                    <w:tr2bl w:val="nil"/>
                  </w:tcBorders>
                  <w:noWrap w:val="0"/>
                  <w:vAlign w:val="center"/>
                </w:tcPr>
                <w:p>
                  <w:pPr>
                    <w:shd w:val="solid" w:color="FFFFFF" w:fill="auto"/>
                    <w:autoSpaceDN w:val="0"/>
                    <w:spacing w:line="300" w:lineRule="exact"/>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王村</w:t>
                  </w:r>
                </w:p>
              </w:tc>
              <w:tc>
                <w:tcPr>
                  <w:tcW w:w="1457" w:type="dxa"/>
                  <w:tcBorders>
                    <w:tl2br w:val="nil"/>
                    <w:tr2bl w:val="nil"/>
                  </w:tcBorders>
                  <w:noWrap w:val="0"/>
                  <w:vAlign w:val="center"/>
                </w:tcPr>
                <w:p>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西南</w:t>
                  </w:r>
                </w:p>
              </w:tc>
              <w:tc>
                <w:tcPr>
                  <w:tcW w:w="2490" w:type="dxa"/>
                  <w:tcBorders>
                    <w:tl2br w:val="nil"/>
                    <w:tr2bl w:val="nil"/>
                  </w:tcBorders>
                  <w:noWrap w:val="0"/>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521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01"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p>
              </w:tc>
              <w:tc>
                <w:tcPr>
                  <w:tcW w:w="3512" w:type="dxa"/>
                  <w:tcBorders>
                    <w:tl2br w:val="nil"/>
                    <w:tr2bl w:val="nil"/>
                  </w:tcBorders>
                  <w:noWrap w:val="0"/>
                  <w:vAlign w:val="center"/>
                </w:tcPr>
                <w:p>
                  <w:pPr>
                    <w:shd w:val="solid" w:color="FFFFFF" w:fill="auto"/>
                    <w:autoSpaceDN w:val="0"/>
                    <w:spacing w:line="300" w:lineRule="exact"/>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上王村</w:t>
                  </w:r>
                </w:p>
              </w:tc>
              <w:tc>
                <w:tcPr>
                  <w:tcW w:w="1457" w:type="dxa"/>
                  <w:tcBorders>
                    <w:tl2br w:val="nil"/>
                    <w:tr2bl w:val="nil"/>
                  </w:tcBorders>
                  <w:noWrap w:val="0"/>
                  <w:vAlign w:val="center"/>
                </w:tcPr>
                <w:p>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2490" w:type="dxa"/>
                  <w:tcBorders>
                    <w:tl2br w:val="nil"/>
                    <w:tr2bl w:val="nil"/>
                  </w:tcBorders>
                  <w:noWrap w:val="0"/>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1254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87" w:hRule="atLeast"/>
                <w:jc w:val="center"/>
              </w:trPr>
              <w:tc>
                <w:tcPr>
                  <w:tcW w:w="1601"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p>
              </w:tc>
              <w:tc>
                <w:tcPr>
                  <w:tcW w:w="3512" w:type="dxa"/>
                  <w:tcBorders>
                    <w:tl2br w:val="nil"/>
                    <w:tr2bl w:val="nil"/>
                  </w:tcBorders>
                  <w:noWrap w:val="0"/>
                  <w:vAlign w:val="center"/>
                </w:tcPr>
                <w:p>
                  <w:pPr>
                    <w:shd w:val="solid" w:color="FFFFFF" w:fill="auto"/>
                    <w:autoSpaceDN w:val="0"/>
                    <w:spacing w:line="300" w:lineRule="exact"/>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牛兰村</w:t>
                  </w:r>
                </w:p>
              </w:tc>
              <w:tc>
                <w:tcPr>
                  <w:tcW w:w="1457" w:type="dxa"/>
                  <w:tcBorders>
                    <w:tl2br w:val="nil"/>
                    <w:tr2bl w:val="nil"/>
                  </w:tcBorders>
                  <w:noWrap w:val="0"/>
                  <w:vAlign w:val="center"/>
                </w:tcPr>
                <w:p>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东南</w:t>
                  </w:r>
                </w:p>
              </w:tc>
              <w:tc>
                <w:tcPr>
                  <w:tcW w:w="2490" w:type="dxa"/>
                  <w:tcBorders>
                    <w:tl2br w:val="nil"/>
                    <w:tr2bl w:val="nil"/>
                  </w:tcBorders>
                  <w:noWrap w:val="0"/>
                  <w:vAlign w:val="center"/>
                </w:tcPr>
                <w:p>
                  <w:pPr>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1241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0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地表水</w:t>
                  </w:r>
                </w:p>
              </w:tc>
              <w:tc>
                <w:tcPr>
                  <w:tcW w:w="3512" w:type="dxa"/>
                  <w:tcBorders>
                    <w:tl2br w:val="nil"/>
                    <w:tr2bl w:val="nil"/>
                  </w:tcBorders>
                  <w:noWrap w:val="0"/>
                  <w:vAlign w:val="center"/>
                </w:tcPr>
                <w:p>
                  <w:pPr>
                    <w:spacing w:line="30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西碾河</w:t>
                  </w:r>
                </w:p>
              </w:tc>
              <w:tc>
                <w:tcPr>
                  <w:tcW w:w="1457" w:type="dxa"/>
                  <w:tcBorders>
                    <w:tl2br w:val="nil"/>
                    <w:tr2bl w:val="nil"/>
                  </w:tcBorders>
                  <w:noWrap w:val="0"/>
                  <w:vAlign w:val="center"/>
                </w:tcPr>
                <w:p>
                  <w:pPr>
                    <w:spacing w:line="30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西南</w:t>
                  </w:r>
                </w:p>
              </w:tc>
              <w:tc>
                <w:tcPr>
                  <w:tcW w:w="2490"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653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49" w:hRule="atLeast"/>
                <w:jc w:val="center"/>
              </w:trPr>
              <w:tc>
                <w:tcPr>
                  <w:tcW w:w="1601" w:type="dxa"/>
                  <w:tcBorders>
                    <w:tl2br w:val="nil"/>
                    <w:tr2bl w:val="nil"/>
                  </w:tcBorders>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w:t>
                  </w:r>
                </w:p>
              </w:tc>
              <w:tc>
                <w:tcPr>
                  <w:tcW w:w="7459" w:type="dxa"/>
                  <w:gridSpan w:val="3"/>
                  <w:tcBorders>
                    <w:tl2br w:val="nil"/>
                    <w:tr2bl w:val="nil"/>
                  </w:tcBorders>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项目所在区域地下水</w:t>
                  </w:r>
                </w:p>
              </w:tc>
            </w:tr>
          </w:tbl>
          <w:p>
            <w:pPr>
              <w:pStyle w:val="161"/>
              <w:keepNext w:val="0"/>
              <w:keepLines w:val="0"/>
              <w:pageBreakBefore w:val="0"/>
              <w:numPr>
                <w:ilvl w:val="0"/>
                <w:numId w:val="13"/>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环境风险识别</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（1）物质危险性识别</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井场钻井期和排采期存储物质主要为</w:t>
            </w:r>
            <w:r>
              <w:rPr>
                <w:rFonts w:hint="default" w:ascii="Times New Roman" w:hAnsi="Times New Roman" w:cs="Times New Roman"/>
                <w:color w:val="000000" w:themeColor="text1"/>
                <w:sz w:val="24"/>
                <w14:textFill>
                  <w14:solidFill>
                    <w14:schemeClr w14:val="tx1"/>
                  </w14:solidFill>
                </w14:textFill>
              </w:rPr>
              <w:t>柴油</w:t>
            </w:r>
            <w:r>
              <w:rPr>
                <w:rFonts w:hint="default" w:ascii="Times New Roman" w:hAnsi="Times New Roman" w:cs="Times New Roman"/>
                <w:color w:val="000000" w:themeColor="text1"/>
                <w:sz w:val="24"/>
                <w:szCs w:val="21"/>
                <w14:textFill>
                  <w14:solidFill>
                    <w14:schemeClr w14:val="tx1"/>
                  </w14:solidFill>
                </w14:textFill>
              </w:rPr>
              <w:t>，具有易燃、易爆、有毒、腐蚀等危害特性。本</w:t>
            </w:r>
            <w:r>
              <w:rPr>
                <w:rFonts w:hint="default" w:ascii="Times New Roman" w:hAnsi="Times New Roman" w:cs="Times New Roman"/>
                <w:color w:val="000000" w:themeColor="text1"/>
                <w:sz w:val="24"/>
                <w:szCs w:val="21"/>
                <w:lang w:val="en-US" w:eastAsia="zh-CN"/>
                <w14:textFill>
                  <w14:solidFill>
                    <w14:schemeClr w14:val="tx1"/>
                  </w14:solidFill>
                </w14:textFill>
              </w:rPr>
              <w:t>项目</w:t>
            </w:r>
            <w:r>
              <w:rPr>
                <w:rFonts w:hint="default" w:ascii="Times New Roman" w:hAnsi="Times New Roman" w:cs="Times New Roman"/>
                <w:color w:val="000000" w:themeColor="text1"/>
                <w:sz w:val="24"/>
                <w:szCs w:val="21"/>
                <w14:textFill>
                  <w14:solidFill>
                    <w14:schemeClr w14:val="tx1"/>
                  </w14:solidFill>
                </w14:textFill>
              </w:rPr>
              <w:t>环境风险物质危险性识别汇总见下</w:t>
            </w:r>
            <w:r>
              <w:rPr>
                <w:rFonts w:hint="default" w:ascii="Times New Roman" w:hAnsi="Times New Roman" w:cs="Times New Roman"/>
                <w:color w:val="000000" w:themeColor="text1"/>
                <w:sz w:val="24"/>
                <w:szCs w:val="21"/>
                <w:lang w:val="en-US" w:eastAsia="zh-CN"/>
                <w14:textFill>
                  <w14:solidFill>
                    <w14:schemeClr w14:val="tx1"/>
                  </w14:solidFill>
                </w14:textFill>
              </w:rPr>
              <w:t>插</w:t>
            </w:r>
            <w:r>
              <w:rPr>
                <w:rFonts w:hint="default" w:ascii="Times New Roman" w:hAnsi="Times New Roman" w:cs="Times New Roman"/>
                <w:color w:val="000000" w:themeColor="text1"/>
                <w:sz w:val="24"/>
                <w:szCs w:val="21"/>
                <w14:textFill>
                  <w14:solidFill>
                    <w14:schemeClr w14:val="tx1"/>
                  </w14:solidFill>
                </w14:textFill>
              </w:rPr>
              <w:t>表</w:t>
            </w:r>
            <w:r>
              <w:rPr>
                <w:rFonts w:hint="default" w:ascii="Times New Roman" w:hAnsi="Times New Roman" w:cs="Times New Roman"/>
                <w:color w:val="000000" w:themeColor="text1"/>
                <w:sz w:val="24"/>
                <w:szCs w:val="21"/>
                <w:lang w:val="en-US" w:eastAsia="zh-CN"/>
                <w14:textFill>
                  <w14:solidFill>
                    <w14:schemeClr w14:val="tx1"/>
                  </w14:solidFill>
                </w14:textFill>
              </w:rPr>
              <w:t>2</w:t>
            </w:r>
            <w:r>
              <w:rPr>
                <w:rFonts w:hint="eastAsia" w:cs="Times New Roman"/>
                <w:color w:val="000000" w:themeColor="text1"/>
                <w:sz w:val="24"/>
                <w:szCs w:val="21"/>
                <w:lang w:val="en-US" w:eastAsia="zh-CN"/>
                <w14:textFill>
                  <w14:solidFill>
                    <w14:schemeClr w14:val="tx1"/>
                  </w14:solidFill>
                </w14:textFill>
              </w:rPr>
              <w:t>9</w:t>
            </w:r>
            <w:r>
              <w:rPr>
                <w:rFonts w:hint="default" w:ascii="Times New Roman" w:hAnsi="Times New Roman" w:cs="Times New Roman"/>
                <w:color w:val="000000" w:themeColor="text1"/>
                <w:sz w:val="24"/>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插表2</w:t>
            </w:r>
            <w:r>
              <w:rPr>
                <w:rFonts w:hint="eastAsia" w:cs="Times New Roman" w:eastAsiaTheme="minorEastAsia"/>
                <w:b/>
                <w:bCs w:val="0"/>
                <w:color w:val="000000" w:themeColor="text1"/>
                <w:sz w:val="21"/>
                <w:szCs w:val="21"/>
                <w:lang w:val="en-US" w:eastAsia="zh-CN"/>
                <w14:textFill>
                  <w14:solidFill>
                    <w14:schemeClr w14:val="tx1"/>
                  </w14:solidFill>
                </w14:textFill>
              </w:rPr>
              <w:t>9</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柴油的理化性质和危险特性</w:t>
            </w:r>
          </w:p>
          <w:tbl>
            <w:tblPr>
              <w:tblStyle w:val="44"/>
              <w:tblW w:w="906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82"/>
              <w:gridCol w:w="1661"/>
              <w:gridCol w:w="448"/>
              <w:gridCol w:w="446"/>
              <w:gridCol w:w="1502"/>
              <w:gridCol w:w="143"/>
              <w:gridCol w:w="292"/>
              <w:gridCol w:w="23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9060" w:type="dxa"/>
                  <w:gridSpan w:val="8"/>
                  <w:tcBorders>
                    <w:tl2br w:val="nil"/>
                    <w:tr2bl w:val="nil"/>
                  </w:tcBorders>
                  <w:noWrap w:val="0"/>
                  <w:vAlign w:val="center"/>
                </w:tcPr>
                <w:p>
                  <w:pPr>
                    <w:spacing w:line="320" w:lineRule="exact"/>
                    <w:jc w:val="left"/>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一、危险性概述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危险性类别</w:t>
                  </w:r>
                </w:p>
              </w:tc>
              <w:tc>
                <w:tcPr>
                  <w:tcW w:w="2555"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第3.3类高闪点 易燃液体</w:t>
                  </w:r>
                </w:p>
              </w:tc>
              <w:tc>
                <w:tcPr>
                  <w:tcW w:w="1937"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燃爆危险</w:t>
                  </w:r>
                </w:p>
              </w:tc>
              <w:tc>
                <w:tcPr>
                  <w:tcW w:w="2386"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易燃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侵入途径</w:t>
                  </w:r>
                </w:p>
              </w:tc>
              <w:tc>
                <w:tcPr>
                  <w:tcW w:w="2555"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吸入、食入、经皮肤吸收</w:t>
                  </w:r>
                </w:p>
              </w:tc>
              <w:tc>
                <w:tcPr>
                  <w:tcW w:w="1937"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有害燃烧产物</w:t>
                  </w:r>
                </w:p>
              </w:tc>
              <w:tc>
                <w:tcPr>
                  <w:tcW w:w="2386"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一氧化碳、二氧化碳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环境危害</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该物质对环境有危害，应特别注意对地表水、土壤、大气和饮用水的污染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9060" w:type="dxa"/>
                  <w:gridSpan w:val="8"/>
                  <w:tcBorders>
                    <w:tl2br w:val="nil"/>
                    <w:tr2bl w:val="nil"/>
                  </w:tcBorders>
                  <w:noWrap w:val="0"/>
                  <w:vAlign w:val="center"/>
                </w:tcPr>
                <w:p>
                  <w:pPr>
                    <w:spacing w:line="320" w:lineRule="exact"/>
                    <w:jc w:val="left"/>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二、 理化特性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外观及性状</w:t>
                  </w:r>
                </w:p>
              </w:tc>
              <w:tc>
                <w:tcPr>
                  <w:tcW w:w="2109"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稍有粘性的棕色液体</w:t>
                  </w:r>
                </w:p>
              </w:tc>
              <w:tc>
                <w:tcPr>
                  <w:tcW w:w="2091"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主要用途</w:t>
                  </w:r>
                </w:p>
              </w:tc>
              <w:tc>
                <w:tcPr>
                  <w:tcW w:w="2678"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用作柴油机的燃料等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闪点(℃)</w:t>
                  </w:r>
                </w:p>
              </w:tc>
              <w:tc>
                <w:tcPr>
                  <w:tcW w:w="2109"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≥55℃</w:t>
                  </w:r>
                </w:p>
              </w:tc>
              <w:tc>
                <w:tcPr>
                  <w:tcW w:w="2091"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相对密度(水＝1)</w:t>
                  </w:r>
                </w:p>
              </w:tc>
              <w:tc>
                <w:tcPr>
                  <w:tcW w:w="2678"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0.87～0.9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沸点(℃)</w:t>
                  </w:r>
                </w:p>
              </w:tc>
              <w:tc>
                <w:tcPr>
                  <w:tcW w:w="2109"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200～350℃</w:t>
                  </w:r>
                </w:p>
              </w:tc>
              <w:tc>
                <w:tcPr>
                  <w:tcW w:w="2091"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爆炸上限％(V/V)</w:t>
                  </w:r>
                </w:p>
              </w:tc>
              <w:tc>
                <w:tcPr>
                  <w:tcW w:w="2678"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自燃点(℃)</w:t>
                  </w:r>
                </w:p>
              </w:tc>
              <w:tc>
                <w:tcPr>
                  <w:tcW w:w="2109"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257</w:t>
                  </w:r>
                </w:p>
              </w:tc>
              <w:tc>
                <w:tcPr>
                  <w:tcW w:w="2091"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爆炸下限％(V/V)</w:t>
                  </w:r>
                </w:p>
              </w:tc>
              <w:tc>
                <w:tcPr>
                  <w:tcW w:w="2678" w:type="dxa"/>
                  <w:gridSpan w:val="2"/>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溶解性</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不溶于水，易溶于苯、二硫化碳、醇，易溶于脂肪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9060" w:type="dxa"/>
                  <w:gridSpan w:val="8"/>
                  <w:tcBorders>
                    <w:tl2br w:val="nil"/>
                    <w:tr2bl w:val="nil"/>
                  </w:tcBorders>
                  <w:noWrap w:val="0"/>
                  <w:vAlign w:val="center"/>
                </w:tcPr>
                <w:p>
                  <w:pPr>
                    <w:spacing w:line="320" w:lineRule="exact"/>
                    <w:jc w:val="left"/>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三、稳定性及化学活性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稳定性</w:t>
                  </w:r>
                </w:p>
              </w:tc>
              <w:tc>
                <w:tcPr>
                  <w:tcW w:w="1661"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稳定</w:t>
                  </w:r>
                </w:p>
              </w:tc>
              <w:tc>
                <w:tcPr>
                  <w:tcW w:w="2396"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避免接触的条件</w:t>
                  </w:r>
                </w:p>
              </w:tc>
              <w:tc>
                <w:tcPr>
                  <w:tcW w:w="2821"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明火、高热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禁配物</w:t>
                  </w:r>
                </w:p>
              </w:tc>
              <w:tc>
                <w:tcPr>
                  <w:tcW w:w="1661"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强氧化剂、卤素</w:t>
                  </w:r>
                </w:p>
              </w:tc>
              <w:tc>
                <w:tcPr>
                  <w:tcW w:w="2396"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聚合危害</w:t>
                  </w:r>
                </w:p>
              </w:tc>
              <w:tc>
                <w:tcPr>
                  <w:tcW w:w="2821" w:type="dxa"/>
                  <w:gridSpan w:val="3"/>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不聚合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分解产物</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一氧化碳、二氧化碳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9060" w:type="dxa"/>
                  <w:gridSpan w:val="8"/>
                  <w:tcBorders>
                    <w:tl2br w:val="nil"/>
                    <w:tr2bl w:val="nil"/>
                  </w:tcBorders>
                  <w:noWrap w:val="0"/>
                  <w:vAlign w:val="center"/>
                </w:tcPr>
                <w:p>
                  <w:pPr>
                    <w:spacing w:line="320" w:lineRule="exact"/>
                    <w:jc w:val="left"/>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
                      <w:bCs w:val="0"/>
                      <w:color w:val="000000" w:themeColor="text1"/>
                      <w:szCs w:val="21"/>
                      <w14:textFill>
                        <w14:solidFill>
                          <w14:schemeClr w14:val="tx1"/>
                        </w14:solidFill>
                      </w14:textFill>
                    </w:rPr>
                    <w:t>四、毒理学资料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急性毒性</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LD50       LC50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急性中毒</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皮肤接触柴油可引起接触性皮炎、油性痤疮，吸入可引起吸入性肺炎，能经胎盘进入胎儿血中。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慢性中毒</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柴油废气可引起眼、鼻刺激症状，头痛</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刺激性</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具有刺激作用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最高容许浓度</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目前无标准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0" w:hRule="exact"/>
                <w:jc w:val="center"/>
              </w:trPr>
              <w:tc>
                <w:tcPr>
                  <w:tcW w:w="2182" w:type="dxa"/>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厂界内最大存在总</w:t>
                  </w:r>
                  <w:r>
                    <w:rPr>
                      <w:rFonts w:hint="eastAsia" w:cs="Times New Roman"/>
                      <w:bCs/>
                      <w:color w:val="000000" w:themeColor="text1"/>
                      <w:szCs w:val="21"/>
                      <w:lang w:val="en-US" w:eastAsia="zh-CN"/>
                      <w14:textFill>
                        <w14:solidFill>
                          <w14:schemeClr w14:val="tx1"/>
                        </w14:solidFill>
                      </w14:textFill>
                    </w:rPr>
                    <w:t>量</w:t>
                  </w:r>
                  <w:r>
                    <w:rPr>
                      <w:rFonts w:hint="default" w:ascii="Times New Roman" w:hAnsi="Times New Roman" w:cs="Times New Roman"/>
                      <w:bCs/>
                      <w:color w:val="000000" w:themeColor="text1"/>
                      <w:szCs w:val="21"/>
                      <w14:textFill>
                        <w14:solidFill>
                          <w14:schemeClr w14:val="tx1"/>
                        </w14:solidFill>
                      </w14:textFill>
                    </w:rPr>
                    <w:t>量</w:t>
                  </w:r>
                </w:p>
              </w:tc>
              <w:tc>
                <w:tcPr>
                  <w:tcW w:w="6878" w:type="dxa"/>
                  <w:gridSpan w:val="7"/>
                  <w:tcBorders>
                    <w:tl2br w:val="nil"/>
                    <w:tr2bl w:val="nil"/>
                  </w:tcBorders>
                  <w:noWrap w:val="0"/>
                  <w:vAlign w:val="center"/>
                </w:tcPr>
                <w:p>
                  <w:pPr>
                    <w:spacing w:line="320" w:lineRule="exact"/>
                    <w:jc w:val="center"/>
                    <w:rPr>
                      <w:rFonts w:hint="default" w:ascii="Times New Roman" w:hAnsi="Times New Roman"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3.4</w:t>
                  </w:r>
                  <w:r>
                    <w:rPr>
                      <w:rFonts w:hint="default" w:ascii="Times New Roman" w:hAnsi="Times New Roman" w:cs="Times New Roman"/>
                      <w:bCs/>
                      <w:color w:val="000000" w:themeColor="text1"/>
                      <w:szCs w:val="21"/>
                      <w14:textFill>
                        <w14:solidFill>
                          <w14:schemeClr w14:val="tx1"/>
                        </w14:solidFill>
                      </w14:textFill>
                    </w:rPr>
                    <w:t>t</w:t>
                  </w:r>
                </w:p>
              </w:tc>
            </w:tr>
          </w:tbl>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根据《建设项目环境风险评价技术导则》(HJ 169-2018)附录B，确定本项目</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w:t>
            </w:r>
            <w:r>
              <w:rPr>
                <w:rFonts w:hint="default" w:ascii="Times New Roman" w:hAnsi="Times New Roman" w:cs="Times New Roman"/>
                <w:color w:val="000000" w:themeColor="text1"/>
                <w:sz w:val="24"/>
                <w:szCs w:val="21"/>
                <w14:textFill>
                  <w14:solidFill>
                    <w14:schemeClr w14:val="tx1"/>
                  </w14:solidFill>
                </w14:textFill>
              </w:rPr>
              <w:t>柴油为风险物质。</w:t>
            </w:r>
          </w:p>
          <w:p>
            <w:pPr>
              <w:keepNext w:val="0"/>
              <w:keepLines w:val="0"/>
              <w:pageBreakBefore w:val="0"/>
              <w:kinsoku/>
              <w:wordWrap/>
              <w:overflowPunct/>
              <w:topLinePunct w:val="0"/>
              <w:autoSpaceDE/>
              <w:autoSpaceDN/>
              <w:bidi w:val="0"/>
              <w:adjustRightInd/>
              <w:snapToGrid/>
              <w:spacing w:line="300" w:lineRule="auto"/>
              <w:ind w:firstLine="367" w:firstLineChars="175"/>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2）生产系统危险性识别</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① 柴油储罐由于跑、冒、滴、漏等造成井场局部空气周围汽油密度较大，达到爆炸极限，遇火源发生火灾或爆炸事故；</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② 钻井泥浆池、排采水池污水泄漏</w:t>
            </w:r>
            <w:r>
              <w:rPr>
                <w:rFonts w:hint="default" w:ascii="Times New Roman" w:hAnsi="Times New Roman" w:cs="Times New Roman"/>
                <w:color w:val="000000" w:themeColor="text1"/>
                <w:sz w:val="24"/>
                <w:szCs w:val="21"/>
                <w:lang w:val="en-US" w:eastAsia="zh-CN"/>
                <w14:textFill>
                  <w14:solidFill>
                    <w14:schemeClr w14:val="tx1"/>
                  </w14:solidFill>
                </w14:textFill>
              </w:rPr>
              <w:t>地表水体和土壤环境的影响。</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sz w:val="24"/>
                <w:szCs w:val="21"/>
                <w:lang w:val="en-US" w:eastAsia="zh-CN"/>
                <w14:textFill>
                  <w14:solidFill>
                    <w14:schemeClr w14:val="tx1"/>
                  </w14:solidFill>
                </w14:textFill>
              </w:rPr>
              <w:t>③ 钻井期各含水层的连通、各种污水下渗以及泥浆水漏失对地下水造成污染。</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 环境风险分析</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2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（1）对大气环境的影响</w:t>
            </w:r>
          </w:p>
          <w:p>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泄漏情况分析：柴油具有挥发性，柴油在常温下蒸发得慢一些。随着温度的升高，蒸发速度加快。这些蒸发出来的油蒸汽，相对密度较大，且不易扩散，积聚在空气不流通的低部位或低洼处。当油蒸气与空气达到一定浓度时，遇火源极易发生燃烧爆炸。但由于安全措施的设置，可检测到油蒸汽泄漏浓度，及时消灭隐患，对大气环境影响较小。</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（2）对地表水体的影响</w:t>
            </w:r>
          </w:p>
          <w:p>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本项目所在区域主要的地表水体为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西碾河</w:t>
            </w:r>
            <w:r>
              <w:rPr>
                <w:rFonts w:hint="default" w:ascii="Times New Roman" w:hAnsi="Times New Roman" w:cs="Times New Roman" w:eastAsiaTheme="minorEastAsia"/>
                <w:color w:val="000000" w:themeColor="text1"/>
                <w:sz w:val="24"/>
                <w:szCs w:val="24"/>
                <w14:textFill>
                  <w14:solidFill>
                    <w14:schemeClr w14:val="tx1"/>
                  </w14:solidFill>
                </w14:textFill>
              </w:rPr>
              <w:t>，距本项目6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53</w:t>
            </w:r>
            <w:r>
              <w:rPr>
                <w:rFonts w:hint="default" w:ascii="Times New Roman" w:hAnsi="Times New Roman" w:cs="Times New Roman" w:eastAsiaTheme="minorEastAsia"/>
                <w:color w:val="000000" w:themeColor="text1"/>
                <w:sz w:val="24"/>
                <w:szCs w:val="24"/>
                <w14:textFill>
                  <w14:solidFill>
                    <w14:schemeClr w14:val="tx1"/>
                  </w14:solidFill>
                </w14:textFill>
              </w:rPr>
              <w:t>m，距离较近。本项目柴油储量较小，且贮存区设有围堰，一旦发生泄漏事故，泄漏油均会聚集在贮存区，基本不会向四周扩散，故不会对地表水产生影响。</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钻井泥浆池、排采水池进行了一般防渗，防渗性能等效黏土防渗层Mb≥1.5m，K≤1×10</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cm/s，一般不会发生泄漏事故。</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2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对地下水体的影响</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钻井过程中，套管和底层之间会出现环形空隙，可能会出现含水层连通。</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left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 环境风险防范措施及应急要求</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本项目针对上述情况制定了严格的风险防范措施，具体如下：</w:t>
            </w:r>
          </w:p>
          <w:p>
            <w:pPr>
              <w:pStyle w:val="43"/>
              <w:keepNext w:val="0"/>
              <w:keepLines w:val="0"/>
              <w:pageBreakBefore w:val="0"/>
              <w:numPr>
                <w:ilvl w:val="0"/>
                <w:numId w:val="0"/>
              </w:numPr>
              <w:kinsoku/>
              <w:wordWrap/>
              <w:overflowPunct/>
              <w:topLinePunct w:val="0"/>
              <w:autoSpaceDE/>
              <w:autoSpaceDN/>
              <w:bidi w:val="0"/>
              <w:adjustRightInd/>
              <w:snapToGrid/>
              <w:spacing w:after="0" w:line="300" w:lineRule="auto"/>
              <w:ind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（1）贮存过程风险防范措施</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将油罐区、柴油机布置区作为重点防渗区，重点防渗区防渗层的防渗性能应等效于6.0m厚渗透系数为1.0×10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lang w:val="en-US" w:eastAsia="zh-CN"/>
                <w14:textFill>
                  <w14:solidFill>
                    <w14:schemeClr w14:val="tx1"/>
                  </w14:solidFill>
                </w14:textFill>
              </w:rPr>
              <w:t>cm/s的黏土层的防渗性能；钻井泥浆池、排采水池为一般防渗区。一般防渗区要求防渗性能等效黏土防渗层Mb≥1.5m，K≤1×10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cm/s。</w:t>
            </w:r>
          </w:p>
          <w:p>
            <w:pPr>
              <w:keepNext w:val="0"/>
              <w:keepLines w:val="0"/>
              <w:pageBreakBefore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eastAsia="zh-CN"/>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2）</w:t>
            </w:r>
            <w:r>
              <w:rPr>
                <w:rFonts w:hint="default" w:ascii="Times New Roman" w:hAnsi="Times New Roman" w:cs="Times New Roman"/>
                <w:color w:val="000000" w:themeColor="text1"/>
                <w:sz w:val="24"/>
                <w:szCs w:val="21"/>
                <w14:textFill>
                  <w14:solidFill>
                    <w14:schemeClr w14:val="tx1"/>
                  </w14:solidFill>
                </w14:textFill>
              </w:rPr>
              <w:t>生产过程风险防范措施</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对钻井进行3次固井，以封堵套管和地层之间的环形空隙，防止各含水层连通。水泥必须达到要求的强度方可进行固井操作，并采用声波测试固井的强度，如达不到要求，会继续灌注水泥浆进行固井，直到达到要求。</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（3）</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应急要求</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一旦发生事故性水污染后迅速向项目组及上级部门汇报；迅速制定抢险方案，集中统一领导，由一人负责现场施工指挥，下设参谋组、现场抢险组、供水组、治安组、生活供应组、物资器材供应组、医务组、资料组，分头开展工作。在相关部门未赶至之前，由井队井控领导小组组织开展工作。抢险方案要经上级主管部门批准后执行。</w:t>
            </w:r>
          </w:p>
          <w:p>
            <w:pPr>
              <w:spacing w:line="420" w:lineRule="exact"/>
              <w:ind w:firstLine="468" w:firstLineChars="195"/>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分析结论</w:t>
            </w:r>
          </w:p>
          <w:p>
            <w:pPr>
              <w:spacing w:line="420" w:lineRule="exact"/>
              <w:ind w:firstLine="468" w:firstLineChars="195"/>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本项目运行过程中存在着油品泄漏</w:t>
            </w:r>
            <w:r>
              <w:rPr>
                <w:rFonts w:hint="default" w:ascii="Times New Roman" w:hAnsi="Times New Roman" w:cs="Times New Roman"/>
                <w:color w:val="000000" w:themeColor="text1"/>
                <w:sz w:val="24"/>
                <w:lang w:val="en-US" w:eastAsia="zh-CN"/>
                <w14:textFill>
                  <w14:solidFill>
                    <w14:schemeClr w14:val="tx1"/>
                  </w14:solidFill>
                </w14:textFill>
              </w:rPr>
              <w:t>污染地表水体和土壤的</w:t>
            </w:r>
            <w:r>
              <w:rPr>
                <w:rFonts w:hint="default" w:ascii="Times New Roman" w:hAnsi="Times New Roman" w:cs="Times New Roman"/>
                <w:color w:val="000000" w:themeColor="text1"/>
                <w:sz w:val="24"/>
                <w14:textFill>
                  <w14:solidFill>
                    <w14:schemeClr w14:val="tx1"/>
                  </w14:solidFill>
                </w14:textFill>
              </w:rPr>
              <w:t>风险，必须严格按照有关规范要求进行监控和管理；同时要做好厂区防渗工作，并加强日常管理，避免事故废水外排对周围地表水体及地下水造成污染。在认真落实工程拟采取的防治措施及评价提出的风险防范措施后，本项目的事故风险可控，风险水平是可以接受的。</w:t>
            </w:r>
          </w:p>
          <w:p>
            <w:pPr>
              <w:pStyle w:val="274"/>
              <w:spacing w:line="420" w:lineRule="exact"/>
              <w:ind w:left="0" w:firstLine="0"/>
              <w:jc w:val="cente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pPr>
          </w:p>
          <w:p>
            <w:pPr>
              <w:pStyle w:val="274"/>
              <w:spacing w:line="420" w:lineRule="exact"/>
              <w:ind w:left="0" w:firstLine="0"/>
              <w:jc w:val="cente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pPr>
          </w:p>
          <w:p>
            <w:pPr>
              <w:pStyle w:val="274"/>
              <w:spacing w:line="420" w:lineRule="exact"/>
              <w:ind w:left="0" w:firstLine="0"/>
              <w:jc w:val="cente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pPr>
          </w:p>
          <w:p>
            <w:pPr>
              <w:pStyle w:val="274"/>
              <w:spacing w:line="420" w:lineRule="exact"/>
              <w:ind w:left="0" w:firstLine="0"/>
              <w:jc w:val="cente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pPr>
          </w:p>
          <w:p>
            <w:pPr>
              <w:pStyle w:val="274"/>
              <w:spacing w:line="420" w:lineRule="exact"/>
              <w:ind w:left="0" w:firstLine="0"/>
              <w:jc w:val="center"/>
              <w:rPr>
                <w:rFonts w:hint="default" w:ascii="Times New Roman" w:hAnsi="Times New Roman" w:cs="Times New Roman" w:eastAsiaTheme="minorEastAsia"/>
                <w:b/>
                <w:bCs/>
                <w:color w:val="000000" w:themeColor="text1"/>
                <w:kern w:val="0"/>
                <w:lang w:val="en-US"/>
                <w14:textFill>
                  <w14:solidFill>
                    <w14:schemeClr w14:val="tx1"/>
                  </w14:solidFill>
                </w14:textFill>
              </w:rPr>
            </w:pP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插</w:t>
            </w:r>
            <w:r>
              <w:rPr>
                <w:rFonts w:hint="default" w:ascii="Times New Roman" w:hAnsi="Times New Roman" w:cs="Times New Roman" w:eastAsiaTheme="minorEastAsia"/>
                <w:b/>
                <w:bCs/>
                <w:color w:val="000000" w:themeColor="text1"/>
                <w:szCs w:val="21"/>
                <w14:textFill>
                  <w14:solidFill>
                    <w14:schemeClr w14:val="tx1"/>
                  </w14:solidFill>
                </w14:textFill>
              </w:rPr>
              <w:t>表</w:t>
            </w: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30</w:t>
            </w:r>
            <w:r>
              <w:rPr>
                <w:rFonts w:hint="default" w:ascii="Times New Roman" w:hAnsi="Times New Roman" w:cs="Times New Roman" w:eastAsiaTheme="minorEastAsia"/>
                <w:b/>
                <w:bCs/>
                <w:color w:val="000000" w:themeColor="text1"/>
                <w:szCs w:val="21"/>
                <w14:textFill>
                  <w14:solidFill>
                    <w14:schemeClr w14:val="tx1"/>
                  </w14:solidFill>
                </w14:textFill>
              </w:rPr>
              <w:t xml:space="preserve"> </w:t>
            </w: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Cs w:val="21"/>
                <w14:textFill>
                  <w14:solidFill>
                    <w14:schemeClr w14:val="tx1"/>
                  </w14:solidFill>
                </w14:textFill>
              </w:rPr>
              <w:t>建设项目环境风险简单分析内容表</w:t>
            </w:r>
          </w:p>
          <w:tbl>
            <w:tblPr>
              <w:tblStyle w:val="44"/>
              <w:tblW w:w="5000"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255"/>
              <w:gridCol w:w="1107"/>
              <w:gridCol w:w="505"/>
              <w:gridCol w:w="553"/>
              <w:gridCol w:w="1170"/>
              <w:gridCol w:w="1722"/>
              <w:gridCol w:w="638"/>
              <w:gridCol w:w="10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建设项目名称</w:t>
                  </w:r>
                </w:p>
              </w:tc>
              <w:tc>
                <w:tcPr>
                  <w:tcW w:w="3752" w:type="pct"/>
                  <w:gridSpan w:val="7"/>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山西宁武盆地南部地区煤层气勘查宁探1井勘探项目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612" w:type="pct"/>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（山西）省</w:t>
                  </w:r>
                </w:p>
              </w:tc>
              <w:tc>
                <w:tcPr>
                  <w:tcW w:w="585" w:type="pct"/>
                  <w:gridSpan w:val="2"/>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忻州市</w:t>
                  </w:r>
                  <w:r>
                    <w:rPr>
                      <w:rFonts w:hint="default" w:ascii="Times New Roman" w:hAnsi="Times New Roman" w:cs="Times New Roman"/>
                      <w:color w:val="000000" w:themeColor="text1"/>
                      <w:szCs w:val="21"/>
                      <w14:textFill>
                        <w14:solidFill>
                          <w14:schemeClr w14:val="tx1"/>
                        </w14:solidFill>
                      </w14:textFill>
                    </w:rPr>
                    <w:t>）</w:t>
                  </w:r>
                </w:p>
              </w:tc>
              <w:tc>
                <w:tcPr>
                  <w:tcW w:w="647" w:type="pct"/>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）区</w:t>
                  </w:r>
                </w:p>
              </w:tc>
              <w:tc>
                <w:tcPr>
                  <w:tcW w:w="1305" w:type="pct"/>
                  <w:gridSpan w:val="2"/>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静乐县</w:t>
                  </w:r>
                  <w:r>
                    <w:rPr>
                      <w:rFonts w:hint="default" w:ascii="Times New Roman" w:hAnsi="Times New Roman" w:cs="Times New Roman"/>
                      <w:color w:val="000000" w:themeColor="text1"/>
                      <w:szCs w:val="21"/>
                      <w14:textFill>
                        <w14:solidFill>
                          <w14:schemeClr w14:val="tx1"/>
                        </w14:solidFill>
                      </w14:textFill>
                    </w:rPr>
                    <w:t>）</w:t>
                  </w:r>
                </w:p>
              </w:tc>
              <w:tc>
                <w:tcPr>
                  <w:tcW w:w="602" w:type="pct"/>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（/）园区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1247" w:type="pct"/>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地理坐标</w:t>
                  </w:r>
                </w:p>
              </w:tc>
              <w:tc>
                <w:tcPr>
                  <w:tcW w:w="891" w:type="pct"/>
                  <w:gridSpan w:val="2"/>
                  <w:tcBorders>
                    <w:tl2br w:val="nil"/>
                    <w:tr2bl w:val="nil"/>
                  </w:tcBorders>
                  <w:vAlign w:val="center"/>
                </w:tcPr>
                <w:p>
                  <w:pPr>
                    <w:pStyle w:val="274"/>
                    <w:spacing w:line="320" w:lineRule="exact"/>
                    <w:ind w:left="0" w:firstLine="420" w:firstLineChars="20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经度</w:t>
                  </w:r>
                </w:p>
              </w:tc>
              <w:tc>
                <w:tcPr>
                  <w:tcW w:w="952" w:type="pct"/>
                  <w:gridSpan w:val="2"/>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111°</w:t>
                  </w:r>
                  <w:r>
                    <w:rPr>
                      <w:rFonts w:hint="default" w:ascii="Times New Roman" w:hAnsi="Times New Roman" w:cs="Times New Roman"/>
                      <w:color w:val="000000" w:themeColor="text1"/>
                      <w:sz w:val="21"/>
                      <w:szCs w:val="21"/>
                      <w:lang w:val="en-US" w:eastAsia="zh-CN"/>
                      <w14:textFill>
                        <w14:solidFill>
                          <w14:schemeClr w14:val="tx1"/>
                        </w14:solidFill>
                      </w14:textFill>
                    </w:rPr>
                    <w:t>52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11.31</w:t>
                  </w:r>
                  <w:r>
                    <w:rPr>
                      <w:rFonts w:hint="default" w:ascii="Times New Roman" w:hAnsi="Times New Roman" w:cs="Times New Roman"/>
                      <w:color w:val="000000" w:themeColor="text1"/>
                      <w:sz w:val="21"/>
                      <w:szCs w:val="21"/>
                      <w14:textFill>
                        <w14:solidFill>
                          <w14:schemeClr w14:val="tx1"/>
                        </w14:solidFill>
                      </w14:textFill>
                    </w:rPr>
                    <w:t>"</w:t>
                  </w:r>
                </w:p>
              </w:tc>
              <w:tc>
                <w:tcPr>
                  <w:tcW w:w="952" w:type="pct"/>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纬度</w:t>
                  </w:r>
                </w:p>
              </w:tc>
              <w:tc>
                <w:tcPr>
                  <w:tcW w:w="955" w:type="pct"/>
                  <w:gridSpan w:val="2"/>
                  <w:tcBorders>
                    <w:tl2br w:val="nil"/>
                    <w:tr2bl w:val="nil"/>
                  </w:tcBorders>
                  <w:vAlign w:val="center"/>
                </w:tcPr>
                <w:p>
                  <w:pPr>
                    <w:pStyle w:val="274"/>
                    <w:spacing w:line="320" w:lineRule="exact"/>
                    <w:ind w:left="0" w:firstLine="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w:t>
                  </w:r>
                  <w:r>
                    <w:rPr>
                      <w:rFonts w:hint="default" w:ascii="Times New Roman" w:hAnsi="Times New Roman" w:cs="Times New Roman"/>
                      <w:color w:val="000000" w:themeColor="text1"/>
                      <w:sz w:val="21"/>
                      <w:szCs w:val="21"/>
                      <w:lang w:val="en-US" w:eastAsia="zh-CN"/>
                      <w14:textFill>
                        <w14:solidFill>
                          <w14:schemeClr w14:val="tx1"/>
                        </w14:solidFill>
                      </w14:textFill>
                    </w:rPr>
                    <w:t>23</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41.43</w:t>
                  </w: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主要危险物质及分布</w:t>
                  </w:r>
                </w:p>
              </w:tc>
              <w:tc>
                <w:tcPr>
                  <w:tcW w:w="3752" w:type="pct"/>
                  <w:gridSpan w:val="7"/>
                  <w:tcBorders>
                    <w:tl2br w:val="nil"/>
                    <w:tr2bl w:val="nil"/>
                  </w:tcBorders>
                  <w:vAlign w:val="center"/>
                </w:tcPr>
                <w:p>
                  <w:pPr>
                    <w:pStyle w:val="274"/>
                    <w:spacing w:line="320" w:lineRule="exact"/>
                    <w:ind w:left="0" w:firstLine="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主要危险物质是</w:t>
                  </w:r>
                  <w:r>
                    <w:rPr>
                      <w:rFonts w:hint="default" w:ascii="Times New Roman" w:hAnsi="Times New Roman" w:cs="Times New Roman"/>
                      <w:color w:val="000000" w:themeColor="text1"/>
                      <w:szCs w:val="21"/>
                      <w:lang w:val="en-US"/>
                      <w14:textFill>
                        <w14:solidFill>
                          <w14:schemeClr w14:val="tx1"/>
                        </w14:solidFill>
                      </w14:textFill>
                    </w:rPr>
                    <w:t>危险化学品</w:t>
                  </w:r>
                  <w:r>
                    <w:rPr>
                      <w:rFonts w:hint="default" w:ascii="Times New Roman" w:hAnsi="Times New Roman" w:cs="Times New Roman"/>
                      <w:color w:val="000000" w:themeColor="text1"/>
                      <w:szCs w:val="21"/>
                      <w14:textFill>
                        <w14:solidFill>
                          <w14:schemeClr w14:val="tx1"/>
                        </w14:solidFill>
                      </w14:textFill>
                    </w:rPr>
                    <w:t>（柴油）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环境影响途径及后果分析（大气、地表水、地下水等）</w:t>
                  </w:r>
                </w:p>
              </w:tc>
              <w:tc>
                <w:tcPr>
                  <w:tcW w:w="3752" w:type="pct"/>
                  <w:gridSpan w:val="7"/>
                  <w:tcBorders>
                    <w:tl2br w:val="nil"/>
                    <w:tr2bl w:val="nil"/>
                  </w:tcBorders>
                  <w:vAlign w:val="center"/>
                </w:tcPr>
                <w:p>
                  <w:pPr>
                    <w:pStyle w:val="274"/>
                    <w:spacing w:line="320" w:lineRule="exact"/>
                    <w:ind w:left="0" w:firstLine="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危险化学品（主要为柴油）</w:t>
                  </w:r>
                  <w:r>
                    <w:rPr>
                      <w:rFonts w:hint="default" w:ascii="Times New Roman" w:hAnsi="Times New Roman" w:cs="Times New Roman"/>
                      <w:color w:val="000000" w:themeColor="text1"/>
                      <w:szCs w:val="21"/>
                      <w14:textFill>
                        <w14:solidFill>
                          <w14:schemeClr w14:val="tx1"/>
                        </w14:solidFill>
                      </w14:textFill>
                    </w:rPr>
                    <w:t>易燃易爆，</w:t>
                  </w:r>
                  <w:r>
                    <w:rPr>
                      <w:rFonts w:hint="default" w:ascii="Times New Roman" w:hAnsi="Times New Roman" w:cs="Times New Roman"/>
                      <w:color w:val="000000" w:themeColor="text1"/>
                      <w:szCs w:val="21"/>
                      <w:lang w:val="en-US"/>
                      <w14:textFill>
                        <w14:solidFill>
                          <w14:schemeClr w14:val="tx1"/>
                        </w14:solidFill>
                      </w14:textFill>
                    </w:rPr>
                    <w:t>发生泄漏后，</w:t>
                  </w:r>
                  <w:r>
                    <w:rPr>
                      <w:rFonts w:hint="default" w:ascii="Times New Roman" w:hAnsi="Times New Roman" w:cs="Times New Roman"/>
                      <w:color w:val="000000" w:themeColor="text1"/>
                      <w:szCs w:val="21"/>
                      <w14:textFill>
                        <w14:solidFill>
                          <w14:schemeClr w14:val="tx1"/>
                        </w14:solidFill>
                      </w14:textFill>
                    </w:rPr>
                    <w:t>发生火灾事故可在短时间内产生大量的烟气，若发生爆炸，爆炸的瞬间，由于冲击波的冲击，土层被掀起，产生一定量的粉尘，会对大气环境产生影响。事故发生的同时也会产生大量消防废水，同时会产生大量燃烧废物，若不及时清理，有毒有害物质易随雨水进入地表水体，对地表水体造成污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风险防范措施要求</w:t>
                  </w:r>
                </w:p>
              </w:tc>
              <w:tc>
                <w:tcPr>
                  <w:tcW w:w="3752" w:type="pct"/>
                  <w:gridSpan w:val="7"/>
                  <w:tcBorders>
                    <w:tl2br w:val="nil"/>
                    <w:tr2bl w:val="nil"/>
                  </w:tcBorders>
                  <w:vAlign w:val="center"/>
                </w:tcPr>
                <w:p>
                  <w:pPr>
                    <w:tabs>
                      <w:tab w:val="left" w:pos="800"/>
                      <w:tab w:val="left" w:pos="2760"/>
                    </w:tabs>
                    <w:outlineLvl w:val="3"/>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对</w:t>
                  </w:r>
                  <w:r>
                    <w:rPr>
                      <w:rFonts w:hint="default" w:ascii="Times New Roman" w:hAnsi="Times New Roman" w:cs="Times New Roman"/>
                      <w:color w:val="000000" w:themeColor="text1"/>
                      <w:szCs w:val="21"/>
                      <w:lang w:val="en-US" w:eastAsia="zh-CN"/>
                      <w14:textFill>
                        <w14:solidFill>
                          <w14:schemeClr w14:val="tx1"/>
                        </w14:solidFill>
                      </w14:textFill>
                    </w:rPr>
                    <w:t>柴油储存罐</w:t>
                  </w:r>
                  <w:r>
                    <w:rPr>
                      <w:rFonts w:hint="default" w:ascii="Times New Roman" w:hAnsi="Times New Roman" w:cs="Times New Roman"/>
                      <w:color w:val="000000" w:themeColor="text1"/>
                      <w:szCs w:val="21"/>
                      <w14:textFill>
                        <w14:solidFill>
                          <w14:schemeClr w14:val="tx1"/>
                        </w14:solidFill>
                      </w14:textFill>
                    </w:rPr>
                    <w:t>提出了</w:t>
                  </w:r>
                  <w:r>
                    <w:rPr>
                      <w:rFonts w:hint="default" w:ascii="Times New Roman" w:hAnsi="Times New Roman" w:cs="Times New Roman"/>
                      <w:color w:val="000000" w:themeColor="text1"/>
                      <w:szCs w:val="21"/>
                      <w:lang w:val="en-US" w:eastAsia="zh-CN"/>
                      <w14:textFill>
                        <w14:solidFill>
                          <w14:schemeClr w14:val="tx1"/>
                        </w14:solidFill>
                      </w14:textFill>
                    </w:rPr>
                    <w:t>环境</w:t>
                  </w:r>
                  <w:r>
                    <w:rPr>
                      <w:rFonts w:hint="default" w:ascii="Times New Roman" w:hAnsi="Times New Roman" w:cs="Times New Roman"/>
                      <w:color w:val="000000" w:themeColor="text1"/>
                      <w:szCs w:val="21"/>
                      <w14:textFill>
                        <w14:solidFill>
                          <w14:schemeClr w14:val="tx1"/>
                        </w14:solidFill>
                      </w14:textFill>
                    </w:rPr>
                    <w:t>风险防范措施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填表说明（列出项目相关信息及评价说明）</w:t>
                  </w:r>
                </w:p>
              </w:tc>
              <w:tc>
                <w:tcPr>
                  <w:tcW w:w="3752" w:type="pct"/>
                  <w:gridSpan w:val="7"/>
                  <w:tcBorders>
                    <w:tl2br w:val="nil"/>
                    <w:tr2bl w:val="nil"/>
                  </w:tcBorders>
                  <w:vAlign w:val="center"/>
                </w:tcPr>
                <w:p>
                  <w:pPr>
                    <w:pStyle w:val="274"/>
                    <w:spacing w:line="320" w:lineRule="exact"/>
                    <w:ind w:left="0" w:firstLine="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本项目环境风险潜势为</w:t>
                  </w: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1 \* ROMAN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I</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，环境风险评价只进行简单分析。</w:t>
                  </w:r>
                </w:p>
              </w:tc>
            </w:tr>
          </w:tbl>
          <w:p>
            <w:pPr>
              <w:ind w:firstLine="482" w:firstLineChars="200"/>
              <w:rPr>
                <w:rFonts w:hint="default" w:ascii="Times New Roman" w:hAnsi="Times New Roman" w:cs="Times New Roman"/>
                <w:b/>
                <w:color w:val="000000" w:themeColor="text1"/>
                <w:sz w:val="24"/>
                <w:lang w:val="en-US" w:eastAsia="zh-CN"/>
                <w14:textFill>
                  <w14:solidFill>
                    <w14:schemeClr w14:val="tx1"/>
                  </w14:solidFill>
                </w14:textFill>
              </w:rPr>
            </w:pPr>
          </w:p>
          <w:p>
            <w:pPr>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十</w:t>
            </w:r>
            <w:r>
              <w:rPr>
                <w:rFonts w:hint="default" w:ascii="Times New Roman" w:hAnsi="Times New Roman" w:cs="Times New Roman"/>
                <w:b/>
                <w:color w:val="000000" w:themeColor="text1"/>
                <w:sz w:val="24"/>
                <w14:textFill>
                  <w14:solidFill>
                    <w14:schemeClr w14:val="tx1"/>
                  </w14:solidFill>
                </w14:textFill>
              </w:rPr>
              <w:t>、选址可行性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井场位于山区地带，距离村庄居民均在500m以外，不在人口稠密地区，周围无风景名胜、文物古迹等保护单位，也没有学校、医院等敏感制约因素。井场不在静乐县集中式饮用水源地保护区范围内且本项目不直接排放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综上所述，本项目的选址是可行的。</w:t>
            </w:r>
          </w:p>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w:t>
            </w:r>
            <w:r>
              <w:rPr>
                <w:rFonts w:hint="eastAsia" w:cs="Times New Roman"/>
                <w:b/>
                <w:color w:val="000000" w:themeColor="text1"/>
                <w:sz w:val="24"/>
                <w:lang w:eastAsia="zh-CN"/>
                <w14:textFill>
                  <w14:solidFill>
                    <w14:schemeClr w14:val="tx1"/>
                  </w14:solidFill>
                </w14:textFill>
              </w:rPr>
              <w:t>一</w:t>
            </w:r>
            <w:r>
              <w:rPr>
                <w:rFonts w:hint="default" w:ascii="Times New Roman" w:hAnsi="Times New Roman" w:cs="Times New Roman"/>
                <w:b/>
                <w:color w:val="000000" w:themeColor="text1"/>
                <w:sz w:val="24"/>
                <w14:textFill>
                  <w14:solidFill>
                    <w14:schemeClr w14:val="tx1"/>
                  </w14:solidFill>
                </w14:textFill>
              </w:rPr>
              <w:t>、环保投资估算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本项目总投资</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00万元，其中，环保投资为</w:t>
            </w:r>
            <w:r>
              <w:rPr>
                <w:rFonts w:hint="eastAsia" w:cs="Times New Roman"/>
                <w:color w:val="000000" w:themeColor="text1"/>
                <w:sz w:val="24"/>
                <w:lang w:val="en-US" w:eastAsia="zh-CN"/>
                <w14:textFill>
                  <w14:solidFill>
                    <w14:schemeClr w14:val="tx1"/>
                  </w14:solidFill>
                </w14:textFill>
              </w:rPr>
              <w:t>48</w:t>
            </w:r>
            <w:r>
              <w:rPr>
                <w:rFonts w:hint="default" w:ascii="Times New Roman" w:hAnsi="Times New Roman" w:cs="Times New Roman"/>
                <w:color w:val="000000" w:themeColor="text1"/>
                <w:sz w:val="24"/>
                <w:lang w:val="en-US" w:eastAsia="zh-CN"/>
                <w14:textFill>
                  <w14:solidFill>
                    <w14:schemeClr w14:val="tx1"/>
                  </w14:solidFill>
                </w14:textFill>
              </w:rPr>
              <w:t>万元，占总投资的</w:t>
            </w:r>
            <w:r>
              <w:rPr>
                <w:rFonts w:hint="eastAsia" w:cs="Times New Roman"/>
                <w:color w:val="000000" w:themeColor="text1"/>
                <w:sz w:val="24"/>
                <w:lang w:val="en-US" w:eastAsia="zh-CN"/>
                <w14:textFill>
                  <w14:solidFill>
                    <w14:schemeClr w14:val="tx1"/>
                  </w14:solidFill>
                </w14:textFill>
              </w:rPr>
              <w:t>24</w:t>
            </w:r>
            <w:r>
              <w:rPr>
                <w:rFonts w:hint="default" w:ascii="Times New Roman" w:hAnsi="Times New Roman" w:cs="Times New Roman"/>
                <w:color w:val="000000" w:themeColor="text1"/>
                <w:sz w:val="24"/>
                <w:lang w:val="en-US" w:eastAsia="zh-CN"/>
                <w14:textFill>
                  <w14:solidFill>
                    <w14:schemeClr w14:val="tx1"/>
                  </w14:solidFill>
                </w14:textFill>
              </w:rPr>
              <w:t>%，环保投资一览表见下插表3</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插表3</w:t>
            </w:r>
            <w:r>
              <w:rPr>
                <w:rFonts w:hint="eastAsia" w:cs="Times New Roman" w:eastAsiaTheme="minorEastAsia"/>
                <w:b/>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w:t>
            </w:r>
            <w:r>
              <w:rPr>
                <w:rFonts w:hint="eastAsia" w:cs="Times New Roman" w:eastAsiaTheme="minorEastAsia"/>
                <w:b/>
                <w:bCs w:val="0"/>
                <w:color w:val="000000" w:themeColor="text1"/>
                <w:sz w:val="21"/>
                <w:szCs w:val="21"/>
                <w:lang w:val="en-US" w:eastAsia="zh-CN"/>
                <w14:textFill>
                  <w14:solidFill>
                    <w14:schemeClr w14:val="tx1"/>
                  </w14:solidFill>
                </w14:textFill>
              </w:rPr>
              <w:t>本项目</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环保投资估算一览表</w:t>
            </w:r>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81"/>
              <w:gridCol w:w="751"/>
              <w:gridCol w:w="1533"/>
              <w:gridCol w:w="5100"/>
              <w:gridCol w:w="10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32" w:type="dxa"/>
                  <w:gridSpan w:val="2"/>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w:t>
                  </w:r>
                  <w:r>
                    <w:rPr>
                      <w:rFonts w:hint="default" w:ascii="Times New Roman" w:hAnsi="Times New Roman" w:cs="Times New Roman"/>
                      <w:b/>
                      <w:bCs/>
                      <w:color w:val="000000" w:themeColor="text1"/>
                      <w:sz w:val="21"/>
                      <w:szCs w:val="21"/>
                      <w:lang w:val="en-US" w:eastAsia="zh-CN"/>
                      <w14:textFill>
                        <w14:solidFill>
                          <w14:schemeClr w14:val="tx1"/>
                        </w14:solidFill>
                      </w14:textFill>
                    </w:rPr>
                    <w:t>物</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投资额（万元）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75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施工扬尘</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洒水抑尘</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r>
                    <w:rPr>
                      <w:rFonts w:hint="default" w:ascii="Times New Roman" w:hAnsi="Times New Roman" w:cs="Times New Roman"/>
                      <w:color w:val="000000" w:themeColor="text1"/>
                      <w:sz w:val="21"/>
                      <w:szCs w:val="21"/>
                      <w:lang w:val="en-US" w:eastAsia="zh-CN"/>
                      <w14:textFill>
                        <w14:solidFill>
                          <w14:schemeClr w14:val="tx1"/>
                        </w14:solidFill>
                      </w14:textFill>
                    </w:rPr>
                    <w:t>扬尘</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以隔尘布完全覆盖、边界围挡</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柴油废气</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red"/>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使用含硫量低的柴油，调节好柴油机工况</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泥浆水</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井场建设1座500m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的泥浆池；泥浆池地面采用粘土+双层土工膜防渗基础，四周设高度为20㎝的围堰。</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压裂废水</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可循环利用于后期钻井压裂，不外排</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w:t>
                  </w: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插表3</w:t>
            </w:r>
            <w:r>
              <w:rPr>
                <w:rFonts w:hint="eastAsia" w:cs="Times New Roman" w:eastAsiaTheme="minorEastAsia"/>
                <w:b/>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w:t>
            </w:r>
            <w:r>
              <w:rPr>
                <w:rFonts w:hint="eastAsia" w:cs="Times New Roman" w:eastAsiaTheme="minorEastAsia"/>
                <w:b/>
                <w:bCs w:val="0"/>
                <w:color w:val="000000" w:themeColor="text1"/>
                <w:sz w:val="21"/>
                <w:szCs w:val="21"/>
                <w:lang w:val="en-US" w:eastAsia="zh-CN"/>
                <w14:textFill>
                  <w14:solidFill>
                    <w14:schemeClr w14:val="tx1"/>
                  </w14:solidFill>
                </w14:textFill>
              </w:rPr>
              <w:t>本项目</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环保投资估算一览表</w:t>
            </w:r>
            <w:r>
              <w:rPr>
                <w:rFonts w:hint="eastAsia" w:cs="Times New Roman" w:eastAsiaTheme="minorEastAsia"/>
                <w:b/>
                <w:bCs w:val="0"/>
                <w:color w:val="000000" w:themeColor="text1"/>
                <w:sz w:val="21"/>
                <w:szCs w:val="21"/>
                <w:lang w:val="en-US" w:eastAsia="zh-CN"/>
                <w14:textFill>
                  <w14:solidFill>
                    <w14:schemeClr w14:val="tx1"/>
                  </w14:solidFill>
                </w14:textFill>
              </w:rPr>
              <w:t>（续）</w:t>
            </w:r>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81"/>
              <w:gridCol w:w="751"/>
              <w:gridCol w:w="1533"/>
              <w:gridCol w:w="5100"/>
              <w:gridCol w:w="10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32" w:type="dxa"/>
                  <w:gridSpan w:val="2"/>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w:t>
                  </w:r>
                  <w:r>
                    <w:rPr>
                      <w:rFonts w:hint="default" w:ascii="Times New Roman" w:hAnsi="Times New Roman" w:cs="Times New Roman"/>
                      <w:b/>
                      <w:bCs/>
                      <w:color w:val="000000" w:themeColor="text1"/>
                      <w:sz w:val="21"/>
                      <w:szCs w:val="21"/>
                      <w:lang w:val="en-US" w:eastAsia="zh-CN"/>
                      <w14:textFill>
                        <w14:solidFill>
                          <w14:schemeClr w14:val="tx1"/>
                        </w14:solidFill>
                      </w14:textFill>
                    </w:rPr>
                    <w:t>物</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投资额（万元）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钻井期</w:t>
                  </w:r>
                </w:p>
              </w:tc>
              <w:tc>
                <w:tcPr>
                  <w:tcW w:w="75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场地平整土石方</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本项目在井场内设有1个泥浆池，容积约</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5</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00m³，泥浆池釆取粘土防渗和防渗膜双层防渗，防渗系数应小于1.0×l0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埋处理</w:t>
                  </w:r>
                </w:p>
              </w:tc>
              <w:tc>
                <w:tcPr>
                  <w:tcW w:w="1075"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10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将废矿物油单独收集到一容器中，</w:t>
                  </w:r>
                  <w:r>
                    <w:rPr>
                      <w:rFonts w:hint="eastAsia"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暂存于项目新建的</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危废暂存间暂存</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定期由有资质单位收集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c>
                <w:tcPr>
                  <w:tcW w:w="10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420" w:hanging="420" w:hanging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7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柴油废气</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煤层气</w:t>
                  </w:r>
                  <w:r>
                    <w:rPr>
                      <w:rFonts w:hint="default" w:ascii="Times New Roman" w:hAnsi="Times New Roman" w:cs="Times New Roman"/>
                      <w:color w:val="000000" w:themeColor="text1"/>
                      <w:sz w:val="21"/>
                      <w:szCs w:val="21"/>
                      <w14:textFill>
                        <w14:solidFill>
                          <w14:schemeClr w14:val="tx1"/>
                        </w14:solidFill>
                      </w14:textFill>
                    </w:rPr>
                    <w:t>点燃</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点火完全燃烧后排放，火炬高15m</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建设1座</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定期由罐车运至静乐县污水净化中心进行处理</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三相分离器、燃油发电机噪声</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采用柔性连接</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封井期</w:t>
                  </w:r>
                </w:p>
              </w:tc>
              <w:tc>
                <w:tcPr>
                  <w:tcW w:w="751"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w:t>
                  </w: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勘探期结束后井场进行生态恢复</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32" w:type="dxa"/>
                  <w:gridSpan w:val="2"/>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w:t>
                  </w: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油罐区</w:t>
                  </w:r>
                  <w:r>
                    <w:rPr>
                      <w:rFonts w:hint="default" w:ascii="Times New Roman" w:hAnsi="Times New Roman" w:cs="Times New Roman"/>
                      <w:color w:val="000000" w:themeColor="text1"/>
                      <w:kern w:val="24"/>
                      <w:sz w:val="21"/>
                      <w:szCs w:val="21"/>
                      <w14:textFill>
                        <w14:solidFill>
                          <w14:schemeClr w14:val="tx1"/>
                        </w14:solidFill>
                      </w14:textFill>
                    </w:rPr>
                    <w:t>、柴油机布置区</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油罐区、柴油机布置区作为重点防渗区，重点防渗区防渗层的防渗性能应等效于6.0m厚渗透系数为1.0×10</w:t>
                  </w:r>
                  <w:r>
                    <w:rPr>
                      <w:rFonts w:hint="default" w:ascii="Times New Roman" w:hAnsi="Times New Roman" w:cs="Times New Roman"/>
                      <w:color w:val="000000" w:themeColor="text1"/>
                      <w:kern w:val="24"/>
                      <w:sz w:val="21"/>
                      <w:szCs w:val="21"/>
                      <w:vertAlign w:val="superscript"/>
                      <w14:textFill>
                        <w14:solidFill>
                          <w14:schemeClr w14:val="tx1"/>
                        </w14:solidFill>
                      </w14:textFill>
                    </w:rPr>
                    <w:t>-</w:t>
                  </w:r>
                  <w:r>
                    <w:rPr>
                      <w:rFonts w:hint="default" w:ascii="Times New Roman" w:hAnsi="Times New Roman" w:cs="Times New Roman"/>
                      <w:color w:val="000000" w:themeColor="text1"/>
                      <w:kern w:val="24"/>
                      <w:sz w:val="21"/>
                      <w:szCs w:val="21"/>
                      <w:vertAlign w:val="superscript"/>
                      <w:lang w:val="en-US" w:eastAsia="zh-CN"/>
                      <w14:textFill>
                        <w14:solidFill>
                          <w14:schemeClr w14:val="tx1"/>
                        </w14:solidFill>
                      </w14:textFill>
                    </w:rPr>
                    <w:t>10</w:t>
                  </w:r>
                  <w:r>
                    <w:rPr>
                      <w:rFonts w:hint="default" w:ascii="Times New Roman" w:hAnsi="Times New Roman" w:cs="Times New Roman"/>
                      <w:color w:val="000000" w:themeColor="text1"/>
                      <w:kern w:val="24"/>
                      <w:sz w:val="21"/>
                      <w:szCs w:val="21"/>
                      <w14:textFill>
                        <w14:solidFill>
                          <w14:schemeClr w14:val="tx1"/>
                        </w14:solidFill>
                      </w14:textFill>
                    </w:rPr>
                    <w:t>cm/s的黏土层的防渗性能。油罐底砂子和防渗膜防渗，并设置围堰。</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965" w:type="dxa"/>
                  <w:gridSpan w:val="4"/>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总计</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w:t>
                  </w:r>
                </w:p>
              </w:tc>
            </w:tr>
          </w:tbl>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p>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十一、污染物排放清单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本项目污染物排放清单见</w:t>
            </w:r>
            <w:r>
              <w:rPr>
                <w:rFonts w:hint="default" w:ascii="Times New Roman" w:hAnsi="Times New Roman" w:cs="Times New Roman"/>
                <w:color w:val="000000" w:themeColor="text1"/>
                <w:sz w:val="24"/>
                <w:lang w:val="en-US" w:eastAsia="zh-CN"/>
                <w14:textFill>
                  <w14:solidFill>
                    <w14:schemeClr w14:val="tx1"/>
                  </w14:solidFill>
                </w14:textFill>
              </w:rPr>
              <w:t>插表31</w:t>
            </w:r>
            <w:r>
              <w:rPr>
                <w:rFonts w:hint="default" w:ascii="Times New Roman" w:hAnsi="Times New Roman" w:cs="Times New Roman"/>
                <w:color w:val="000000" w:themeColor="text1"/>
                <w:sz w:val="24"/>
                <w14:textFill>
                  <w14:solidFill>
                    <w14:schemeClr w14:val="tx1"/>
                  </w14:solidFill>
                </w14:textFill>
              </w:rPr>
              <w:t>。</w:t>
            </w:r>
          </w:p>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十二、环境管理与监测计划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1. </w:t>
            </w:r>
            <w:r>
              <w:rPr>
                <w:rFonts w:hint="default" w:ascii="Times New Roman" w:hAnsi="Times New Roman" w:cs="Times New Roman"/>
                <w:color w:val="000000" w:themeColor="text1"/>
                <w:sz w:val="24"/>
                <w14:textFill>
                  <w14:solidFill>
                    <w14:schemeClr w14:val="tx1"/>
                  </w14:solidFill>
                </w14:textFill>
              </w:rPr>
              <w:t>建设期各项环保措施的管理计划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本项目建设期环保措施的实施过程制定环境管理计划，主要内容有: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制定详实的施工场地管理细则，内容应包含施工边界的划定、施工场地各功能分区（如生活区、物料堆存区、施工区、通行区等）的划定、各功能分区的环境管理原则和要求。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制定详细的施工行为约束制度，内容应包含施工允许行为、施工禁止行为、施工行为约束奖惩细则。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确定施工期环境管理组织机构，制定施工管理责任分解方案，落实施工阶段巡检巡查的责任主体、检查频次和标准要求，落实施工场地各功能分区环境管理的责任主体、履责要求和责任追究。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确定施工监理方案，履行施工监理制度，包括强噪设备使用时段的合理化安排，施工过程中各工种各工段各设备的调配安排，施工过程中各种影像、图片、数据、文字等施工痕迹的保存、收集和归档工作。</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2. </w:t>
            </w:r>
            <w:r>
              <w:rPr>
                <w:rFonts w:hint="default" w:ascii="Times New Roman" w:hAnsi="Times New Roman" w:cs="Times New Roman"/>
                <w:color w:val="000000" w:themeColor="text1"/>
                <w:sz w:val="24"/>
                <w14:textFill>
                  <w14:solidFill>
                    <w14:schemeClr w14:val="tx1"/>
                  </w14:solidFill>
                </w14:textFill>
              </w:rPr>
              <w:t>工程设施的环境管理要求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本项目运行期工程设施的环境管理计划包括污染物排放清单、执行标准、监测计划、向社会公开的信息内容，详见</w:t>
            </w:r>
            <w:r>
              <w:rPr>
                <w:rFonts w:hint="default" w:ascii="Times New Roman" w:hAnsi="Times New Roman" w:cs="Times New Roman"/>
                <w:color w:val="000000" w:themeColor="text1"/>
                <w:sz w:val="24"/>
                <w:lang w:val="en-US" w:eastAsia="zh-CN"/>
                <w14:textFill>
                  <w14:solidFill>
                    <w14:schemeClr w14:val="tx1"/>
                  </w14:solidFill>
                </w14:textFill>
              </w:rPr>
              <w:t>插</w:t>
            </w:r>
            <w:r>
              <w:rPr>
                <w:rFonts w:hint="default" w:ascii="Times New Roman" w:hAnsi="Times New Roman" w:cs="Times New Roman"/>
                <w:color w:val="000000" w:themeColor="text1"/>
                <w:sz w:val="24"/>
                <w14:textFill>
                  <w14:solidFill>
                    <w14:schemeClr w14:val="tx1"/>
                  </w14:solidFill>
                </w14:textFill>
              </w:rPr>
              <w:t>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插</w:t>
            </w:r>
            <w:r>
              <w:rPr>
                <w:rFonts w:hint="default" w:ascii="Times New Roman" w:hAnsi="Times New Roman" w:cs="Times New Roman"/>
                <w:color w:val="000000" w:themeColor="text1"/>
                <w:sz w:val="24"/>
                <w14:textFill>
                  <w14:solidFill>
                    <w14:schemeClr w14:val="tx1"/>
                  </w14:solidFill>
                </w14:textFill>
              </w:rPr>
              <w:t>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3. </w:t>
            </w:r>
            <w:r>
              <w:rPr>
                <w:rFonts w:hint="default" w:ascii="Times New Roman" w:hAnsi="Times New Roman" w:cs="Times New Roman"/>
                <w:color w:val="000000" w:themeColor="text1"/>
                <w:sz w:val="24"/>
                <w14:textFill>
                  <w14:solidFill>
                    <w14:schemeClr w14:val="tx1"/>
                  </w14:solidFill>
                </w14:textFill>
              </w:rPr>
              <w:t>制度约束的环境管理计划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针对污染防治需求，本项目运行期提出的制度约束主要涉及排采废水处理、噪声控制、固体废物处置和危废转移等。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本次环评要求建设单位在制度约束方面的环境管理计划应涵盖以下内容:</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分别针对噪声影响、生活垃圾收集、危废转移联单、泥浆池固化等防控措施，制定相应的制度约束内容，确定各项制度约束实施的责任主体、监管主体、履责内容和奖惩细则。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分别针对火炬、固废暂存设施等工程措施，制定相应的设施运行操作规则、预期目标、监督实施程序和责任分工。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4. </w:t>
            </w:r>
            <w:r>
              <w:rPr>
                <w:rFonts w:hint="default" w:ascii="Times New Roman" w:hAnsi="Times New Roman" w:cs="Times New Roman"/>
                <w:color w:val="000000" w:themeColor="text1"/>
                <w:sz w:val="24"/>
                <w14:textFill>
                  <w14:solidFill>
                    <w14:schemeClr w14:val="tx1"/>
                  </w14:solidFill>
                </w14:textFill>
              </w:rPr>
              <w:t>环境监测计划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根据本项目的污染物排放的实际情况及企业发展规划，由专职人员负责与有资质的第三方监测单位联系，完成监测计划。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具体检测时间、频率、点位服从监测规范和当地环保部门的规定和要求，监测项目针对本企业的污染特性确定。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建设项目自行监测计划包括污染源监测、周围环境质量监测，污</w:t>
            </w:r>
            <w:r>
              <w:rPr>
                <w:rFonts w:hint="default" w:ascii="Times New Roman" w:hAnsi="Times New Roman" w:cs="Times New Roman"/>
                <w:color w:val="000000" w:themeColor="text1"/>
                <w:sz w:val="24"/>
                <w:lang w:val="en-US"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处理设施效果监测，分别选择相应的监测项目。具体监测内容见</w:t>
            </w:r>
            <w:r>
              <w:rPr>
                <w:rFonts w:hint="default" w:ascii="Times New Roman" w:hAnsi="Times New Roman" w:cs="Times New Roman"/>
                <w:color w:val="000000" w:themeColor="text1"/>
                <w:sz w:val="24"/>
                <w:lang w:val="en-US" w:eastAsia="zh-CN"/>
                <w14:textFill>
                  <w14:solidFill>
                    <w14:schemeClr w14:val="tx1"/>
                  </w14:solidFill>
                </w14:textFill>
              </w:rPr>
              <w:t>插</w:t>
            </w:r>
            <w:r>
              <w:rPr>
                <w:rFonts w:hint="default" w:ascii="Times New Roman" w:hAnsi="Times New Roman" w:cs="Times New Roman"/>
                <w:color w:val="000000" w:themeColor="text1"/>
                <w:sz w:val="24"/>
                <w14:textFill>
                  <w14:solidFill>
                    <w14:schemeClr w14:val="tx1"/>
                  </w14:solidFill>
                </w14:textFill>
              </w:rPr>
              <w:t>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插表3</w:t>
            </w:r>
            <w:r>
              <w:rPr>
                <w:rFonts w:hint="eastAsia" w:cs="Times New Roman" w:eastAsiaTheme="minorEastAsia"/>
                <w:b/>
                <w:bCs w:val="0"/>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项目自行监测计划</w:t>
            </w:r>
          </w:p>
          <w:tbl>
            <w:tblPr>
              <w:tblStyle w:val="44"/>
              <w:tblW w:w="9060"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66"/>
              <w:gridCol w:w="743"/>
              <w:gridCol w:w="1205"/>
              <w:gridCol w:w="2296"/>
              <w:gridCol w:w="34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109" w:type="dxa"/>
                  <w:gridSpan w:val="2"/>
                  <w:tcBorders>
                    <w:tl2br w:val="nil"/>
                    <w:tr2bl w:val="nil"/>
                  </w:tcBorders>
                  <w:vAlign w:val="top"/>
                </w:tcPr>
                <w:p>
                  <w:pPr>
                    <w:spacing w:line="36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205" w:type="dxa"/>
                  <w:tcBorders>
                    <w:tl2br w:val="nil"/>
                    <w:tr2bl w:val="nil"/>
                  </w:tcBorders>
                  <w:vAlign w:val="top"/>
                </w:tcPr>
                <w:p>
                  <w:pPr>
                    <w:spacing w:line="36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w:t>
                  </w:r>
                </w:p>
              </w:tc>
              <w:tc>
                <w:tcPr>
                  <w:tcW w:w="2296" w:type="dxa"/>
                  <w:tcBorders>
                    <w:tl2br w:val="nil"/>
                    <w:tr2bl w:val="nil"/>
                  </w:tcBorders>
                  <w:vAlign w:val="top"/>
                </w:tcPr>
                <w:p>
                  <w:pPr>
                    <w:spacing w:line="36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监测项目</w:t>
                  </w:r>
                </w:p>
              </w:tc>
              <w:tc>
                <w:tcPr>
                  <w:tcW w:w="3450" w:type="dxa"/>
                  <w:tcBorders>
                    <w:tl2br w:val="nil"/>
                    <w:tr2bl w:val="nil"/>
                  </w:tcBorders>
                  <w:vAlign w:val="top"/>
                </w:tcPr>
                <w:p>
                  <w:pPr>
                    <w:spacing w:line="36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监测频率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366" w:type="dxa"/>
                  <w:tcBorders>
                    <w:tl2br w:val="nil"/>
                    <w:tr2bl w:val="nil"/>
                  </w:tcBorders>
                  <w:vAlign w:val="top"/>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污染源监测</w:t>
                  </w:r>
                </w:p>
              </w:tc>
              <w:tc>
                <w:tcPr>
                  <w:tcW w:w="743" w:type="dxa"/>
                  <w:tcBorders>
                    <w:tl2br w:val="nil"/>
                    <w:tr2bl w:val="nil"/>
                  </w:tcBorders>
                  <w:vAlign w:val="top"/>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205" w:type="dxa"/>
                  <w:tcBorders>
                    <w:tl2br w:val="nil"/>
                    <w:tr2bl w:val="nil"/>
                  </w:tcBorders>
                  <w:vAlign w:val="top"/>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厂界四周</w:t>
                  </w:r>
                </w:p>
              </w:tc>
              <w:tc>
                <w:tcPr>
                  <w:tcW w:w="2296" w:type="dxa"/>
                  <w:tcBorders>
                    <w:tl2br w:val="nil"/>
                    <w:tr2bl w:val="nil"/>
                  </w:tcBorders>
                  <w:vAlign w:val="top"/>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Lep、L</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、L</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、L</w:t>
                  </w:r>
                  <w:r>
                    <w:rPr>
                      <w:rFonts w:hint="default" w:ascii="Times New Roman" w:hAnsi="Times New Roman" w:cs="Times New Roman"/>
                      <w:color w:val="000000" w:themeColor="text1"/>
                      <w:sz w:val="21"/>
                      <w:szCs w:val="21"/>
                      <w:vertAlign w:val="subscript"/>
                      <w14:textFill>
                        <w14:solidFill>
                          <w14:schemeClr w14:val="tx1"/>
                        </w14:solidFill>
                      </w14:textFill>
                    </w:rPr>
                    <w:t>90</w:t>
                  </w:r>
                </w:p>
              </w:tc>
              <w:tc>
                <w:tcPr>
                  <w:tcW w:w="3450" w:type="dxa"/>
                  <w:tcBorders>
                    <w:tl2br w:val="nil"/>
                    <w:tr2bl w:val="nil"/>
                  </w:tcBorders>
                  <w:vAlign w:val="top"/>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每季一次，每次一天，昼夜各1次</w:t>
                  </w:r>
                </w:p>
              </w:tc>
            </w:tr>
          </w:tbl>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监测结果反馈</w:t>
            </w:r>
          </w:p>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监测数据必须及时、准确、有代表性。</w:t>
            </w:r>
          </w:p>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有关监测质量的保证要严格按《环境监测技术规范》进行。</w:t>
            </w:r>
          </w:p>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对监测结果进行统计、汇总、造册、存档，上报有关领导和上级主管部门，监测结果如有意常，应及时反馈生产管理部门。查找原因，及时解决。</w:t>
            </w:r>
          </w:p>
          <w:p>
            <w:pPr>
              <w:pStyle w:val="2"/>
              <w:pageBreakBefore w:val="0"/>
              <w:kinsoku/>
              <w:wordWrap/>
              <w:overflowPunct/>
              <w:topLinePunct w:val="0"/>
              <w:autoSpaceDE/>
              <w:autoSpaceDN/>
              <w:bidi w:val="0"/>
              <w:adjustRightInd/>
              <w:snapToGrid/>
              <w:spacing w:beforeLines="0" w:line="300" w:lineRule="auto"/>
              <w:ind w:firstLine="560" w:firstLineChars="200"/>
              <w:textAlignment w:val="auto"/>
              <w:rPr>
                <w:rFonts w:hint="default" w:ascii="Times New Roman" w:hAnsi="Times New Roman" w:cs="Times New Roman"/>
                <w:color w:val="000000" w:themeColor="text1"/>
                <w14:textFill>
                  <w14:solidFill>
                    <w14:schemeClr w14:val="tx1"/>
                  </w14:solidFill>
                </w14:textFill>
              </w:rPr>
            </w:pPr>
          </w:p>
        </w:tc>
      </w:tr>
    </w:tbl>
    <w:p>
      <w:pPr>
        <w:adjustRightInd w:val="0"/>
        <w:snapToGrid w:val="0"/>
        <w:spacing w:line="300" w:lineRule="auto"/>
        <w:jc w:val="center"/>
        <w:rPr>
          <w:rFonts w:hint="default" w:ascii="Times New Roman" w:hAnsi="Times New Roman" w:eastAsia="黑体" w:cs="Times New Roman"/>
          <w:b/>
          <w:color w:val="000000" w:themeColor="text1"/>
          <w:szCs w:val="21"/>
          <w14:textFill>
            <w14:solidFill>
              <w14:schemeClr w14:val="tx1"/>
            </w14:solidFill>
          </w14:textFill>
        </w:rPr>
      </w:pPr>
    </w:p>
    <w:p>
      <w:pPr>
        <w:adjustRightInd w:val="0"/>
        <w:snapToGrid w:val="0"/>
        <w:spacing w:line="300" w:lineRule="auto"/>
        <w:jc w:val="center"/>
        <w:rPr>
          <w:rFonts w:hint="default" w:ascii="Times New Roman" w:hAnsi="Times New Roman" w:eastAsia="黑体" w:cs="Times New Roman"/>
          <w:b/>
          <w:color w:val="000000" w:themeColor="text1"/>
          <w:szCs w:val="2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3"/>
        <w:rPr>
          <w:rFonts w:hint="default" w:ascii="Times New Roman" w:hAnsi="Times New Roman" w:cs="Times New Roman"/>
          <w:color w:val="000000" w:themeColor="text1"/>
          <w14:textFill>
            <w14:solidFill>
              <w14:schemeClr w14:val="tx1"/>
            </w14:solidFill>
          </w14:textFill>
        </w:rPr>
      </w:pPr>
    </w:p>
    <w:bookmarkEnd w:id="13"/>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插表3</w:t>
      </w:r>
      <w:r>
        <w:rPr>
          <w:rFonts w:hint="eastAsia" w:cs="Times New Roman" w:eastAsiaTheme="minorEastAsia"/>
          <w:b/>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建设项目污染物排放清单及管理要求汇总一览表</w:t>
      </w:r>
    </w:p>
    <w:tbl>
      <w:tblPr>
        <w:tblStyle w:val="44"/>
        <w:tblW w:w="141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64"/>
        <w:gridCol w:w="801"/>
        <w:gridCol w:w="1516"/>
        <w:gridCol w:w="669"/>
        <w:gridCol w:w="4086"/>
        <w:gridCol w:w="725"/>
        <w:gridCol w:w="1204"/>
        <w:gridCol w:w="963"/>
        <w:gridCol w:w="33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231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6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40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治理措施及运行参数</w:t>
            </w:r>
          </w:p>
        </w:tc>
        <w:tc>
          <w:tcPr>
            <w:tcW w:w="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处理效率</w:t>
            </w:r>
          </w:p>
        </w:tc>
        <w:tc>
          <w:tcPr>
            <w:tcW w:w="216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排放浓度及排放量</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技术要求及污染排放标准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231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6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w:t>
            </w:r>
          </w:p>
        </w:tc>
        <w:tc>
          <w:tcPr>
            <w:tcW w:w="8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钻井期</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扬尘</w:t>
            </w:r>
          </w:p>
        </w:tc>
        <w:tc>
          <w:tcPr>
            <w:tcW w:w="4086" w:type="dxa"/>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洒水抑尘、</w:t>
            </w:r>
            <w:r>
              <w:rPr>
                <w:rFonts w:hint="default" w:ascii="Times New Roman" w:hAnsi="Times New Roman" w:cs="Times New Roman"/>
                <w:color w:val="000000" w:themeColor="text1"/>
                <w:sz w:val="21"/>
                <w:szCs w:val="21"/>
                <w14:textFill>
                  <w14:solidFill>
                    <w14:schemeClr w14:val="tx1"/>
                  </w14:solidFill>
                </w14:textFill>
              </w:rPr>
              <w:t>以隔尘布完全覆盖、边界围挡</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《大气污染物综合排放标准》（GB16297-1996）表2中无组织排放标准</w:t>
            </w:r>
            <w:r>
              <w:rPr>
                <w:rFonts w:hint="default" w:ascii="Times New Roman" w:hAnsi="Times New Roman" w:cs="Times New Roman"/>
                <w:snapToGrid w:val="0"/>
                <w:color w:val="000000" w:themeColor="text1"/>
                <w:sz w:val="21"/>
                <w:szCs w:val="21"/>
                <w:lang w:eastAsia="zh-CN"/>
                <w14:textFill>
                  <w14:solidFill>
                    <w14:schemeClr w14:val="tx1"/>
                  </w14:solidFill>
                </w14:textFill>
              </w:rPr>
              <w:t>，</w:t>
            </w: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1.0mg/m</w:t>
            </w:r>
            <w:r>
              <w:rPr>
                <w:rFonts w:hint="default" w:ascii="Times New Roman" w:hAnsi="Times New Roman" w:cs="Times New Roman"/>
                <w:snapToGrid w:val="0"/>
                <w:color w:val="000000" w:themeColor="text1"/>
                <w:sz w:val="21"/>
                <w:szCs w:val="21"/>
                <w:vertAlign w:val="superscript"/>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p>
        </w:tc>
        <w:tc>
          <w:tcPr>
            <w:tcW w:w="15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柴油机、发电机组</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4086" w:type="dxa"/>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0.48t</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《非道路移动机械用柴油机排气污染物排放限值及测量方法（中国第三、四阶段）》（GB20891-2014）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NOx</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0.31t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0.09t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0.18t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0.18t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排采期</w:t>
            </w:r>
          </w:p>
        </w:tc>
        <w:tc>
          <w:tcPr>
            <w:tcW w:w="15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发电机组</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4086" w:type="dxa"/>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0.10t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NOx</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0.06t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0.02t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0.04t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0.04t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煤层气点燃</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NOx</w:t>
            </w:r>
          </w:p>
        </w:tc>
        <w:tc>
          <w:tcPr>
            <w:tcW w:w="4086" w:type="dxa"/>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t>全部点燃排空</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不直排</w:t>
            </w:r>
          </w:p>
        </w:tc>
      </w:tr>
    </w:tbl>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插表3</w:t>
      </w:r>
      <w:r>
        <w:rPr>
          <w:rFonts w:hint="eastAsia" w:cs="Times New Roman" w:eastAsiaTheme="minorEastAsia"/>
          <w:b/>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建设项目污染物排放清单及管理要求汇总一览表（续）</w:t>
      </w:r>
    </w:p>
    <w:tbl>
      <w:tblPr>
        <w:tblStyle w:val="44"/>
        <w:tblW w:w="141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64"/>
        <w:gridCol w:w="801"/>
        <w:gridCol w:w="1209"/>
        <w:gridCol w:w="1082"/>
        <w:gridCol w:w="4264"/>
        <w:gridCol w:w="945"/>
        <w:gridCol w:w="1314"/>
        <w:gridCol w:w="993"/>
        <w:gridCol w:w="270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tblHeader/>
          <w:jc w:val="center"/>
        </w:trPr>
        <w:tc>
          <w:tcPr>
            <w:tcW w:w="8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2010"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10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42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治理措施及运行参数</w:t>
            </w:r>
          </w:p>
        </w:tc>
        <w:tc>
          <w:tcPr>
            <w:tcW w:w="9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处理效率</w:t>
            </w:r>
          </w:p>
        </w:tc>
        <w:tc>
          <w:tcPr>
            <w:tcW w:w="2307"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排放浓度及排放量</w:t>
            </w:r>
          </w:p>
        </w:tc>
        <w:tc>
          <w:tcPr>
            <w:tcW w:w="270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技术要求及污染排放标准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2010"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0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42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9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w:t>
            </w:r>
          </w:p>
        </w:tc>
        <w:tc>
          <w:tcPr>
            <w:tcW w:w="27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8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水污染物</w:t>
            </w:r>
          </w:p>
        </w:tc>
        <w:tc>
          <w:tcPr>
            <w:tcW w:w="80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钻井期</w:t>
            </w:r>
          </w:p>
        </w:tc>
        <w:tc>
          <w:tcPr>
            <w:tcW w:w="12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钻井工序</w:t>
            </w:r>
          </w:p>
        </w:tc>
        <w:tc>
          <w:tcPr>
            <w:tcW w:w="1082"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4264"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70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p>
        </w:tc>
        <w:tc>
          <w:tcPr>
            <w:tcW w:w="1082"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泥浆水</w:t>
            </w:r>
          </w:p>
        </w:tc>
        <w:tc>
          <w:tcPr>
            <w:tcW w:w="4264"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井场建设1座500m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的泥浆池；泥浆池地面采用粘土+双层土工膜防渗基础，四周设高度为20㎝的围堰。</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70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0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压裂工序</w:t>
            </w:r>
          </w:p>
        </w:tc>
        <w:tc>
          <w:tcPr>
            <w:tcW w:w="10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压裂废水</w:t>
            </w:r>
          </w:p>
        </w:tc>
        <w:tc>
          <w:tcPr>
            <w:tcW w:w="4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可循环利用于后期钻井压裂，不外排</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70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1082" w:type="dxa"/>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spacing w:line="240" w:lineRule="auto"/>
              <w:ind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4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70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不直排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排采期</w:t>
            </w:r>
          </w:p>
        </w:tc>
        <w:tc>
          <w:tcPr>
            <w:tcW w:w="12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排采工序</w:t>
            </w:r>
          </w:p>
        </w:tc>
        <w:tc>
          <w:tcPr>
            <w:tcW w:w="1082" w:type="dxa"/>
            <w:vMerge w:val="restart"/>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4264" w:type="dxa"/>
            <w:vMerge w:val="restart"/>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建设1座</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定期由罐车运至静乐县污水净化中心进行处理</w:t>
            </w:r>
          </w:p>
        </w:tc>
        <w:tc>
          <w:tcPr>
            <w:tcW w:w="9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COD18mg/l</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both"/>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0.032t/a</w:t>
            </w:r>
          </w:p>
        </w:tc>
        <w:tc>
          <w:tcPr>
            <w:tcW w:w="270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禁止乱排，</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污水排入城镇下水道水质标准</w:t>
            </w:r>
            <w:r>
              <w:rPr>
                <w:rFonts w:hint="default" w:ascii="Times New Roman" w:hAnsi="Times New Roman" w:cs="Times New Roman"/>
                <w:color w:val="000000" w:themeColor="text1"/>
                <w:sz w:val="21"/>
                <w:szCs w:val="21"/>
                <w14:textFill>
                  <w14:solidFill>
                    <w14:schemeClr w14:val="tx1"/>
                  </w14:solidFill>
                </w14:textFill>
              </w:rPr>
              <w:t>》（GB</w:t>
            </w:r>
            <w:r>
              <w:rPr>
                <w:rFonts w:hint="default" w:ascii="Times New Roman" w:hAnsi="Times New Roman" w:cs="Times New Roman"/>
                <w:color w:val="000000" w:themeColor="text1"/>
                <w:sz w:val="21"/>
                <w:szCs w:val="21"/>
                <w:lang w:val="en-US" w:eastAsia="zh-CN"/>
                <w14:textFill>
                  <w14:solidFill>
                    <w14:schemeClr w14:val="tx1"/>
                  </w14:solidFill>
                </w14:textFill>
              </w:rPr>
              <w:t>/T31962-2015</w:t>
            </w:r>
            <w:r>
              <w:rPr>
                <w:rFonts w:hint="default" w:ascii="Times New Roman" w:hAnsi="Times New Roman" w:cs="Times New Roman"/>
                <w:color w:val="000000" w:themeColor="text1"/>
                <w:sz w:val="21"/>
                <w:szCs w:val="21"/>
                <w14:textFill>
                  <w14:solidFill>
                    <w14:schemeClr w14:val="tx1"/>
                  </w14:solidFill>
                </w14:textFill>
              </w:rPr>
              <w:t>）A等级标准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12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10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42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9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NH</w:t>
            </w:r>
            <w:r>
              <w:rPr>
                <w:rFonts w:hint="eastAsia" w:cs="Times New Roman"/>
                <w:color w:val="000000" w:themeColor="text1"/>
                <w:sz w:val="21"/>
                <w:szCs w:val="21"/>
                <w:vertAlign w:val="sub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-N</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0.826mg/L</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0.001t/a</w:t>
            </w:r>
          </w:p>
        </w:tc>
        <w:tc>
          <w:tcPr>
            <w:tcW w:w="27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12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10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42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9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14:textFill>
                  <w14:solidFill>
                    <w14:schemeClr w14:val="tx1"/>
                  </w14:solidFill>
                </w14:textFill>
              </w:rPr>
            </w:pP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总氮</w:t>
            </w:r>
          </w:p>
          <w:p>
            <w:pPr>
              <w:keepNext w:val="0"/>
              <w:keepLines w:val="0"/>
              <w:pageBreakBefore w:val="0"/>
              <w:kinsoku/>
              <w:wordWrap/>
              <w:overflowPunct/>
              <w:topLinePunct w:val="0"/>
              <w:autoSpaceDE/>
              <w:autoSpaceDN/>
              <w:bidi w:val="0"/>
              <w:spacing w:line="240" w:lineRule="auto"/>
              <w:jc w:val="center"/>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1.28mg/l</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0.002t/a</w:t>
            </w:r>
          </w:p>
        </w:tc>
        <w:tc>
          <w:tcPr>
            <w:tcW w:w="27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1082"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4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70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不直排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体</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w:t>
            </w:r>
          </w:p>
        </w:tc>
        <w:tc>
          <w:tcPr>
            <w:tcW w:w="801"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2291"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场地平整土石方</w:t>
            </w:r>
          </w:p>
        </w:tc>
        <w:tc>
          <w:tcPr>
            <w:tcW w:w="4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70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291"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4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井场内设有1个泥浆池，容积约</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5</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00m³，泥浆池釆取粘土防渗和防渗膜双层防渗，防渗系数应小于1.0×l0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埋处理</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w:t>
            </w:r>
          </w:p>
        </w:tc>
        <w:tc>
          <w:tcPr>
            <w:tcW w:w="270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《一般工业固体废物贮存、处置场污染控制标准》（GB18599-2001）及其 2013 修改单的规定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291"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4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94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131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70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outlineLvl w:val="9"/>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插表3</w:t>
      </w:r>
      <w:r>
        <w:rPr>
          <w:rFonts w:hint="eastAsia" w:cs="Times New Roman" w:eastAsiaTheme="minorEastAsia"/>
          <w:b/>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建设项目污染物排放清单及管理要求汇总一览表（续）</w:t>
      </w:r>
    </w:p>
    <w:tbl>
      <w:tblPr>
        <w:tblStyle w:val="44"/>
        <w:tblW w:w="141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64"/>
        <w:gridCol w:w="667"/>
        <w:gridCol w:w="1650"/>
        <w:gridCol w:w="669"/>
        <w:gridCol w:w="1928"/>
        <w:gridCol w:w="2158"/>
        <w:gridCol w:w="725"/>
        <w:gridCol w:w="1204"/>
        <w:gridCol w:w="963"/>
        <w:gridCol w:w="33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restart"/>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2317" w:type="dxa"/>
            <w:gridSpan w:val="2"/>
            <w:vMerge w:val="restart"/>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669" w:type="dxa"/>
            <w:vMerge w:val="restart"/>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4086" w:type="dxa"/>
            <w:gridSpan w:val="2"/>
            <w:vMerge w:val="restart"/>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治理措施及运行参数</w:t>
            </w:r>
          </w:p>
        </w:tc>
        <w:tc>
          <w:tcPr>
            <w:tcW w:w="725" w:type="dxa"/>
            <w:vMerge w:val="restart"/>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处理效率</w:t>
            </w:r>
          </w:p>
        </w:tc>
        <w:tc>
          <w:tcPr>
            <w:tcW w:w="2167" w:type="dxa"/>
            <w:gridSpan w:val="2"/>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排放浓度及排放量</w:t>
            </w:r>
          </w:p>
        </w:tc>
        <w:tc>
          <w:tcPr>
            <w:tcW w:w="3346" w:type="dxa"/>
            <w:vMerge w:val="restart"/>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技术要求及污染排放标准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2317" w:type="dxa"/>
            <w:gridSpan w:val="2"/>
            <w:vMerge w:val="continue"/>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669" w:type="dxa"/>
            <w:vMerge w:val="continue"/>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086" w:type="dxa"/>
            <w:gridSpan w:val="2"/>
            <w:vMerge w:val="continue"/>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25" w:type="dxa"/>
            <w:vMerge w:val="continue"/>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204" w:type="dxa"/>
            <w:tcBorders>
              <w:tl2br w:val="nil"/>
              <w:tr2bl w:val="nil"/>
            </w:tcBorders>
            <w:noWrap w:val="0"/>
            <w:vAlign w:val="center"/>
          </w:tcPr>
          <w:p>
            <w:pPr>
              <w:adjustRightInd w:val="0"/>
              <w:snapToGrid w:val="0"/>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adjustRightInd w:val="0"/>
              <w:snapToGrid w:val="0"/>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w:t>
            </w:r>
          </w:p>
        </w:tc>
        <w:tc>
          <w:tcPr>
            <w:tcW w:w="3346" w:type="dxa"/>
            <w:vMerge w:val="continue"/>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restart"/>
            <w:tcBorders>
              <w:tl2br w:val="nil"/>
              <w:tr2bl w:val="nil"/>
            </w:tcBorders>
            <w:noWrap w:val="0"/>
            <w:vAlign w:val="center"/>
          </w:tcPr>
          <w:p>
            <w:pPr>
              <w:spacing w:line="280" w:lineRule="exact"/>
              <w:jc w:val="center"/>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固体</w:t>
            </w:r>
          </w:p>
          <w:p>
            <w:pPr>
              <w:spacing w:line="280" w:lineRule="exact"/>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废物</w:t>
            </w:r>
          </w:p>
        </w:tc>
        <w:tc>
          <w:tcPr>
            <w:tcW w:w="231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钻井期</w:t>
            </w:r>
          </w:p>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排采期</w:t>
            </w:r>
          </w:p>
        </w:tc>
        <w:tc>
          <w:tcPr>
            <w:tcW w:w="669" w:type="dxa"/>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408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将废矿物油单独收集到一容器中，</w:t>
            </w:r>
            <w:r>
              <w:rPr>
                <w:rFonts w:hint="eastAsia"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暂存于项目新建的</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危废暂存间暂存</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定期由有资质单位收集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c>
          <w:tcPr>
            <w:tcW w:w="725" w:type="dxa"/>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adjustRightInd w:val="0"/>
              <w:snapToGrid w:val="0"/>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adjustRightInd w:val="0"/>
              <w:snapToGrid w:val="0"/>
              <w:spacing w:line="280" w:lineRule="exact"/>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0</w:t>
            </w:r>
          </w:p>
        </w:tc>
        <w:tc>
          <w:tcPr>
            <w:tcW w:w="3346"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《危险废物贮存污染控制标准》（GB18597-2001）</w:t>
            </w:r>
            <w:r>
              <w:rPr>
                <w:rFonts w:hint="default" w:ascii="Times New Roman" w:hAnsi="Times New Roman" w:cs="Times New Roman"/>
                <w:color w:val="000000" w:themeColor="text1"/>
                <w:sz w:val="21"/>
                <w:szCs w:val="21"/>
                <w:lang w:val="en-US" w:eastAsia="zh-CN"/>
                <w14:textFill>
                  <w14:solidFill>
                    <w14:schemeClr w14:val="tx1"/>
                  </w14:solidFill>
                </w14:textFill>
              </w:rPr>
              <w:t>及其</w:t>
            </w:r>
            <w:r>
              <w:rPr>
                <w:rFonts w:hint="default" w:ascii="Times New Roman" w:hAnsi="Times New Roman" w:cs="Times New Roman"/>
                <w:color w:val="000000" w:themeColor="text1"/>
                <w:sz w:val="21"/>
                <w:szCs w:val="21"/>
                <w14:textFill>
                  <w14:solidFill>
                    <w14:schemeClr w14:val="tx1"/>
                  </w14:solidFill>
                </w14:textFill>
              </w:rPr>
              <w:t xml:space="preserve"> 2013</w:t>
            </w:r>
            <w:r>
              <w:rPr>
                <w:rFonts w:hint="default" w:ascii="Times New Roman" w:hAnsi="Times New Roman" w:cs="Times New Roman"/>
                <w:color w:val="000000" w:themeColor="text1"/>
                <w:sz w:val="21"/>
                <w:szCs w:val="21"/>
                <w:lang w:val="en-US" w:eastAsia="zh-CN"/>
                <w14:textFill>
                  <w14:solidFill>
                    <w14:schemeClr w14:val="tx1"/>
                  </w14:solidFill>
                </w14:textFill>
              </w:rPr>
              <w:t>修改单的规定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231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钻井期</w:t>
            </w:r>
          </w:p>
          <w:p>
            <w:pPr>
              <w:keepNext w:val="0"/>
              <w:keepLines w:val="0"/>
              <w:pageBreakBefore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排采期</w:t>
            </w:r>
          </w:p>
        </w:tc>
        <w:tc>
          <w:tcPr>
            <w:tcW w:w="669"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4086" w:type="dxa"/>
            <w:gridSpan w:val="2"/>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72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0.47</w:t>
            </w:r>
          </w:p>
        </w:tc>
        <w:tc>
          <w:tcPr>
            <w:tcW w:w="3346"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667" w:type="dxa"/>
            <w:tcBorders>
              <w:tl2br w:val="nil"/>
              <w:tr2bl w:val="nil"/>
            </w:tcBorders>
            <w:noWrap w:val="0"/>
            <w:vAlign w:val="center"/>
          </w:tcPr>
          <w:p>
            <w:pPr>
              <w:tabs>
                <w:tab w:val="left" w:pos="3495"/>
              </w:tabs>
              <w:spacing w:line="28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650" w:type="dxa"/>
            <w:tcBorders>
              <w:tl2br w:val="nil"/>
              <w:tr2bl w:val="nil"/>
            </w:tcBorders>
            <w:noWrap w:val="0"/>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4755" w:type="dxa"/>
            <w:gridSpan w:val="3"/>
            <w:tcBorders>
              <w:tl2br w:val="nil"/>
              <w:tr2bl w:val="nil"/>
            </w:tcBorders>
            <w:noWrap w:val="0"/>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725" w:type="dxa"/>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right="-105" w:rightChars="-50"/>
              <w:jc w:val="both"/>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《工业企业厂界环境噪声排放标准》GB12348-2008中2类标准限值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排采期</w:t>
            </w:r>
          </w:p>
        </w:tc>
        <w:tc>
          <w:tcPr>
            <w:tcW w:w="1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三相分离器、燃油发电机运行噪声</w:t>
            </w:r>
          </w:p>
        </w:tc>
        <w:tc>
          <w:tcPr>
            <w:tcW w:w="4755" w:type="dxa"/>
            <w:gridSpan w:val="3"/>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连接采用柔性连接</w:t>
            </w:r>
          </w:p>
        </w:tc>
        <w:tc>
          <w:tcPr>
            <w:tcW w:w="725"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continue"/>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生态环境</w:t>
            </w:r>
          </w:p>
        </w:tc>
        <w:tc>
          <w:tcPr>
            <w:tcW w:w="2317" w:type="dxa"/>
            <w:gridSpan w:val="2"/>
            <w:tcBorders>
              <w:tl2br w:val="nil"/>
              <w:tr2bl w:val="nil"/>
            </w:tcBorders>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临时封井</w:t>
            </w:r>
            <w:r>
              <w:rPr>
                <w:rFonts w:hint="default" w:ascii="Times New Roman" w:hAnsi="Times New Roman" w:cs="Times New Roman"/>
                <w:color w:val="000000" w:themeColor="text1"/>
                <w:szCs w:val="21"/>
                <w:highlight w:val="none"/>
                <w:shd w:val="clear" w:color="auto" w:fill="auto"/>
                <w14:textFill>
                  <w14:solidFill>
                    <w14:schemeClr w14:val="tx1"/>
                  </w14:solidFill>
                </w14:textFill>
              </w:rPr>
              <w:t>井场的生态恢复措施</w:t>
            </w:r>
          </w:p>
        </w:tc>
        <w:tc>
          <w:tcPr>
            <w:tcW w:w="4755" w:type="dxa"/>
            <w:gridSpan w:val="3"/>
            <w:tcBorders>
              <w:tl2br w:val="nil"/>
              <w:tr2bl w:val="nil"/>
            </w:tcBorders>
            <w:noWrap w:val="0"/>
            <w:vAlign w:val="center"/>
          </w:tcPr>
          <w:p>
            <w:pPr>
              <w:spacing w:line="24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临时关井井场生态恢复采用自然恢复、撒播草籽、种植植被等的方式，植被优先选用本土植物物种</w:t>
            </w:r>
          </w:p>
        </w:tc>
        <w:tc>
          <w:tcPr>
            <w:tcW w:w="725"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restart"/>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保护农田、植被、防止水土流失</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pStyle w:val="74"/>
              <w:adjustRightInd/>
              <w:ind w:right="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317" w:type="dxa"/>
            <w:gridSpan w:val="2"/>
            <w:vMerge w:val="restart"/>
            <w:tcBorders>
              <w:tl2br w:val="nil"/>
              <w:tr2bl w:val="nil"/>
            </w:tcBorders>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永久关井井场生态恢复措施</w:t>
            </w:r>
          </w:p>
        </w:tc>
        <w:tc>
          <w:tcPr>
            <w:tcW w:w="4755" w:type="dxa"/>
            <w:gridSpan w:val="3"/>
            <w:vMerge w:val="restart"/>
            <w:tcBorders>
              <w:tl2br w:val="nil"/>
              <w:tr2bl w:val="nil"/>
            </w:tcBorders>
            <w:noWrap w:val="0"/>
            <w:vAlign w:val="center"/>
          </w:tcPr>
          <w:p>
            <w:pPr>
              <w:spacing w:line="240" w:lineRule="exact"/>
              <w:ind w:firstLine="420" w:firstLineChars="20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采用在井筒注入水泥关井，拆除井场内的所有设施，井场外要求按照原有土地使用功能进行生态恢复，植物物种优先选用本土植物物种。</w:t>
            </w:r>
          </w:p>
        </w:tc>
        <w:tc>
          <w:tcPr>
            <w:tcW w:w="725"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continue"/>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pStyle w:val="74"/>
              <w:adjustRightInd/>
              <w:ind w:right="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317" w:type="dxa"/>
            <w:gridSpan w:val="2"/>
            <w:vMerge w:val="continue"/>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4755" w:type="dxa"/>
            <w:gridSpan w:val="3"/>
            <w:vMerge w:val="continue"/>
            <w:tcBorders>
              <w:tl2br w:val="nil"/>
              <w:tr2bl w:val="nil"/>
            </w:tcBorders>
            <w:noWrap w:val="0"/>
            <w:vAlign w:val="center"/>
          </w:tcPr>
          <w:p>
            <w:pPr>
              <w:spacing w:line="240" w:lineRule="exact"/>
              <w:ind w:firstLine="420" w:firstLineChars="200"/>
              <w:rPr>
                <w:rFonts w:hint="default" w:ascii="Times New Roman" w:hAnsi="Times New Roman" w:cs="Times New Roman"/>
                <w:color w:val="000000" w:themeColor="text1"/>
                <w:sz w:val="21"/>
                <w:szCs w:val="21"/>
                <w14:textFill>
                  <w14:solidFill>
                    <w14:schemeClr w14:val="tx1"/>
                  </w14:solidFill>
                </w14:textFill>
              </w:rPr>
            </w:pPr>
          </w:p>
        </w:tc>
        <w:tc>
          <w:tcPr>
            <w:tcW w:w="725"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continue"/>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总平面布置</w:t>
            </w:r>
          </w:p>
        </w:tc>
        <w:tc>
          <w:tcPr>
            <w:tcW w:w="7072" w:type="dxa"/>
            <w:gridSpan w:val="5"/>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井场</w:t>
            </w:r>
            <w:r>
              <w:rPr>
                <w:rFonts w:hint="default" w:ascii="Times New Roman" w:hAnsi="Times New Roman" w:cs="Times New Roman"/>
                <w:color w:val="000000" w:themeColor="text1"/>
                <w:sz w:val="21"/>
                <w:szCs w:val="21"/>
                <w14:textFill>
                  <w14:solidFill>
                    <w14:schemeClr w14:val="tx1"/>
                  </w14:solidFill>
                </w14:textFill>
              </w:rPr>
              <w:t>合理布局，设备位置集中布置</w:t>
            </w:r>
          </w:p>
        </w:tc>
        <w:tc>
          <w:tcPr>
            <w:tcW w:w="2892" w:type="dxa"/>
            <w:gridSpan w:val="3"/>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tcBorders>
              <w:tl2br w:val="nil"/>
              <w:tr2bl w:val="nil"/>
            </w:tcBorders>
            <w:noWrap w:val="0"/>
            <w:vAlign w:val="center"/>
          </w:tcPr>
          <w:p>
            <w:pPr>
              <w:spacing w:line="28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合理布局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环境监测</w:t>
            </w:r>
          </w:p>
        </w:tc>
        <w:tc>
          <w:tcPr>
            <w:tcW w:w="2317" w:type="dxa"/>
            <w:gridSpan w:val="2"/>
            <w:tcBorders>
              <w:tl2br w:val="nil"/>
              <w:tr2bl w:val="nil"/>
            </w:tcBorders>
            <w:noWrap w:val="0"/>
            <w:vAlign w:val="center"/>
          </w:tcPr>
          <w:p>
            <w:pPr>
              <w:tabs>
                <w:tab w:val="left" w:pos="4480"/>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snapToGrid w:val="0"/>
                <w:color w:val="000000" w:themeColor="text1"/>
                <w:kern w:val="0"/>
                <w:sz w:val="21"/>
                <w:szCs w:val="21"/>
                <w14:textFill>
                  <w14:solidFill>
                    <w14:schemeClr w14:val="tx1"/>
                  </w14:solidFill>
                </w14:textFill>
              </w:rPr>
              <w:t>噪声</w:t>
            </w:r>
          </w:p>
        </w:tc>
        <w:tc>
          <w:tcPr>
            <w:tcW w:w="2597" w:type="dxa"/>
            <w:gridSpan w:val="2"/>
            <w:tcBorders>
              <w:tl2br w:val="nil"/>
              <w:tr2bl w:val="nil"/>
            </w:tcBorders>
            <w:noWrap w:val="0"/>
            <w:vAlign w:val="center"/>
          </w:tcPr>
          <w:p>
            <w:pPr>
              <w:tabs>
                <w:tab w:val="left" w:pos="4480"/>
              </w:tabs>
              <w:spacing w:line="280" w:lineRule="exact"/>
              <w:jc w:val="center"/>
              <w:rPr>
                <w:rFonts w:hint="default" w:ascii="Times New Roman" w:hAnsi="Times New Roman" w:cs="Times New Roman"/>
                <w:bCs/>
                <w:snapToGrid w:val="0"/>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采气井场场界外1m</w:t>
            </w:r>
          </w:p>
        </w:tc>
        <w:tc>
          <w:tcPr>
            <w:tcW w:w="2158" w:type="dxa"/>
            <w:tcBorders>
              <w:tl2br w:val="nil"/>
              <w:tr2bl w:val="nil"/>
            </w:tcBorders>
            <w:noWrap w:val="0"/>
            <w:vAlign w:val="center"/>
          </w:tcPr>
          <w:p>
            <w:pPr>
              <w:tabs>
                <w:tab w:val="left" w:pos="4480"/>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snapToGrid w:val="0"/>
                <w:color w:val="000000" w:themeColor="text1"/>
                <w:kern w:val="0"/>
                <w:sz w:val="21"/>
                <w:szCs w:val="21"/>
                <w14:textFill>
                  <w14:solidFill>
                    <w14:schemeClr w14:val="tx1"/>
                  </w14:solidFill>
                </w14:textFill>
              </w:rPr>
              <w:t>厂界噪声监测</w:t>
            </w:r>
          </w:p>
        </w:tc>
        <w:tc>
          <w:tcPr>
            <w:tcW w:w="2892" w:type="dxa"/>
            <w:gridSpan w:val="3"/>
            <w:tcBorders>
              <w:tl2br w:val="nil"/>
              <w:tr2bl w:val="nil"/>
            </w:tcBorders>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tcBorders>
              <w:tl2br w:val="nil"/>
              <w:tr2bl w:val="nil"/>
            </w:tcBorders>
            <w:noWrap w:val="0"/>
            <w:vAlign w:val="center"/>
          </w:tcPr>
          <w:p>
            <w:pPr>
              <w:tabs>
                <w:tab w:val="left" w:pos="4480"/>
              </w:tabs>
              <w:spacing w:line="280" w:lineRule="exact"/>
              <w:jc w:val="center"/>
              <w:rPr>
                <w:rFonts w:hint="default" w:ascii="Times New Roman" w:hAnsi="Times New Roman" w:cs="Times New Roman"/>
                <w:bCs/>
                <w:snapToGrid w:val="0"/>
                <w:color w:val="000000" w:themeColor="text1"/>
                <w:kern w:val="0"/>
                <w:sz w:val="21"/>
                <w:szCs w:val="21"/>
                <w14:textFill>
                  <w14:solidFill>
                    <w14:schemeClr w14:val="tx1"/>
                  </w14:solidFill>
                </w14:textFill>
              </w:rPr>
            </w:pPr>
            <w:r>
              <w:rPr>
                <w:rFonts w:hint="default" w:ascii="Times New Roman" w:hAnsi="Times New Roman" w:cs="Times New Roman"/>
                <w:bCs/>
                <w:snapToGrid w:val="0"/>
                <w:color w:val="000000" w:themeColor="text1"/>
                <w:kern w:val="0"/>
                <w:sz w:val="21"/>
                <w:szCs w:val="21"/>
                <w14:textFill>
                  <w14:solidFill>
                    <w14:schemeClr w14:val="tx1"/>
                  </w14:solidFill>
                </w14:textFill>
              </w:rPr>
              <w:t>按监测计划实施监测</w:t>
            </w:r>
          </w:p>
        </w:tc>
      </w:tr>
    </w:tbl>
    <w:p>
      <w:pPr>
        <w:pStyle w:val="43"/>
        <w:rPr>
          <w:rFonts w:hint="default" w:ascii="Times New Roman" w:hAnsi="Times New Roman" w:cs="Times New Roman"/>
          <w:color w:val="000000" w:themeColor="text1"/>
          <w:lang w:val="en-US" w:eastAsia="zh-CN"/>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6" w:name="_Toc27313"/>
      <w:r>
        <w:rPr>
          <w:rFonts w:hint="default" w:ascii="Times New Roman" w:hAnsi="Times New Roman" w:cs="Times New Roman"/>
          <w:color w:val="000000" w:themeColor="text1"/>
          <w14:textFill>
            <w14:solidFill>
              <w14:schemeClr w14:val="tx1"/>
            </w14:solidFill>
          </w14:textFill>
        </w:rPr>
        <w:t>建设项目拟采取的防治措施及预期治理效果</w:t>
      </w:r>
      <w:bookmarkEnd w:id="16"/>
    </w:p>
    <w:tbl>
      <w:tblPr>
        <w:tblStyle w:val="44"/>
        <w:tblW w:w="90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8"/>
        <w:gridCol w:w="716"/>
        <w:gridCol w:w="1106"/>
        <w:gridCol w:w="850"/>
        <w:gridCol w:w="3544"/>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838" w:type="dxa"/>
            <w:vMerge w:val="restart"/>
            <w:tcBorders>
              <w:tl2br w:val="single" w:color="auto" w:sz="4" w:space="0"/>
            </w:tcBorders>
            <w:vAlign w:val="center"/>
          </w:tcPr>
          <w:p>
            <w:pPr>
              <w:spacing w:line="320" w:lineRule="exact"/>
              <w:ind w:left="-108" w:right="3"/>
              <w:jc w:val="righ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内容</w:t>
            </w:r>
          </w:p>
          <w:p>
            <w:pPr>
              <w:spacing w:line="320" w:lineRule="exact"/>
              <w:ind w:left="-108" w:right="-102" w:firstLine="10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类型</w:t>
            </w:r>
          </w:p>
        </w:tc>
        <w:tc>
          <w:tcPr>
            <w:tcW w:w="1822" w:type="dxa"/>
            <w:gridSpan w:val="2"/>
            <w:tcBorders>
              <w:bottom w:val="single" w:color="auto" w:sz="2" w:space="0"/>
            </w:tcBorders>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排放源</w:t>
            </w:r>
          </w:p>
        </w:tc>
        <w:tc>
          <w:tcPr>
            <w:tcW w:w="850" w:type="dxa"/>
            <w:vMerge w:val="restart"/>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3544" w:type="dxa"/>
            <w:vMerge w:val="restart"/>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防治措施</w:t>
            </w:r>
          </w:p>
        </w:tc>
        <w:tc>
          <w:tcPr>
            <w:tcW w:w="1950" w:type="dxa"/>
            <w:vMerge w:val="restart"/>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1822" w:type="dxa"/>
            <w:gridSpan w:val="2"/>
            <w:tcBorders>
              <w:top w:val="single" w:color="auto" w:sz="2" w:space="0"/>
            </w:tcBorders>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名称编号</w:t>
            </w:r>
          </w:p>
        </w:tc>
        <w:tc>
          <w:tcPr>
            <w:tcW w:w="850"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3544"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838" w:type="dxa"/>
            <w:vMerge w:val="restart"/>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w:t>
            </w:r>
          </w:p>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染物</w:t>
            </w:r>
          </w:p>
        </w:tc>
        <w:tc>
          <w:tcPr>
            <w:tcW w:w="716"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p>
        </w:tc>
        <w:tc>
          <w:tcPr>
            <w:tcW w:w="850"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扬尘</w:t>
            </w:r>
          </w:p>
        </w:tc>
        <w:tc>
          <w:tcPr>
            <w:tcW w:w="3544"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洒水抑尘、以隔尘布完全覆盖、边界围挡</w:t>
            </w:r>
          </w:p>
        </w:tc>
        <w:tc>
          <w:tcPr>
            <w:tcW w:w="1950" w:type="dxa"/>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《大气污染物综合排放标准》（GB16297-1996）</w:t>
            </w:r>
            <w:r>
              <w:rPr>
                <w:rFonts w:hint="default" w:ascii="Times New Roman" w:hAnsi="Times New Roman" w:cs="Times New Roman"/>
                <w:color w:val="000000" w:themeColor="text1"/>
                <w:sz w:val="21"/>
                <w:szCs w:val="21"/>
                <w:lang w:val="en-US" w:eastAsia="zh-CN"/>
                <w14:textFill>
                  <w14:solidFill>
                    <w14:schemeClr w14:val="tx1"/>
                  </w14:solidFill>
                </w14:textFill>
              </w:rPr>
              <w:t>无组织排放标准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p>
        </w:tc>
        <w:tc>
          <w:tcPr>
            <w:tcW w:w="850" w:type="dxa"/>
            <w:vMerge w:val="restart"/>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NOx、SO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、烟尘、CO、烃类</w:t>
            </w:r>
          </w:p>
        </w:tc>
        <w:tc>
          <w:tcPr>
            <w:tcW w:w="3544" w:type="dxa"/>
            <w:vAlign w:val="center"/>
          </w:tcPr>
          <w:p>
            <w:pPr>
              <w:pStyle w:val="24"/>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1950" w:type="dxa"/>
            <w:vMerge w:val="restart"/>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《非道路移动机械用柴油机排气污染物排放限值及测量方法（中国第三、四阶段）》（GB20891-2014）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发电机组</w:t>
            </w:r>
          </w:p>
        </w:tc>
        <w:tc>
          <w:tcPr>
            <w:tcW w:w="850" w:type="dxa"/>
            <w:vMerge w:val="continue"/>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544" w:type="dxa"/>
            <w:vAlign w:val="center"/>
          </w:tcPr>
          <w:p>
            <w:pPr>
              <w:pStyle w:val="24"/>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1950" w:type="dxa"/>
            <w:vMerge w:val="continue"/>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煤层气</w:t>
            </w:r>
            <w:r>
              <w:rPr>
                <w:rFonts w:hint="default" w:ascii="Times New Roman" w:hAnsi="Times New Roman" w:cs="Times New Roman"/>
                <w:color w:val="000000" w:themeColor="text1"/>
                <w:sz w:val="21"/>
                <w:szCs w:val="21"/>
                <w14:textFill>
                  <w14:solidFill>
                    <w14:schemeClr w14:val="tx1"/>
                  </w14:solidFill>
                </w14:textFill>
              </w:rPr>
              <w:t>点燃</w:t>
            </w:r>
          </w:p>
        </w:tc>
        <w:tc>
          <w:tcPr>
            <w:tcW w:w="850"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NOx</w:t>
            </w:r>
          </w:p>
        </w:tc>
        <w:tc>
          <w:tcPr>
            <w:tcW w:w="3544"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点火完全燃烧后排放</w:t>
            </w:r>
          </w:p>
        </w:tc>
        <w:tc>
          <w:tcPr>
            <w:tcW w:w="1950" w:type="dxa"/>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不直排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exact"/>
          <w:jc w:val="center"/>
        </w:trPr>
        <w:tc>
          <w:tcPr>
            <w:tcW w:w="838" w:type="dxa"/>
            <w:vMerge w:val="restart"/>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w:t>
            </w:r>
          </w:p>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染物</w:t>
            </w:r>
          </w:p>
        </w:tc>
        <w:tc>
          <w:tcPr>
            <w:tcW w:w="716" w:type="dxa"/>
            <w:vMerge w:val="restart"/>
            <w:tcBorders>
              <w:right w:val="single" w:color="auto" w:sz="4" w:space="0"/>
            </w:tcBorders>
            <w:vAlign w:val="center"/>
          </w:tcPr>
          <w:p>
            <w:pPr>
              <w:tabs>
                <w:tab w:val="left" w:pos="3495"/>
              </w:tabs>
              <w:spacing w:line="240" w:lineRule="exact"/>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钻井期</w:t>
            </w:r>
          </w:p>
        </w:tc>
        <w:tc>
          <w:tcPr>
            <w:tcW w:w="1106" w:type="dxa"/>
            <w:vMerge w:val="restart"/>
            <w:tcBorders>
              <w:lef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钻井工序</w:t>
            </w: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1950" w:type="dxa"/>
            <w:vMerge w:val="restart"/>
            <w:vAlign w:val="center"/>
          </w:tcPr>
          <w:p>
            <w:pPr>
              <w:autoSpaceDE w:val="0"/>
              <w:autoSpaceDN w:val="0"/>
              <w:adjustRightInd w:val="0"/>
              <w:spacing w:line="240" w:lineRule="exact"/>
              <w:ind w:left="10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8"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vMerge w:val="continue"/>
            <w:tcBorders>
              <w:lef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泥浆水</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井场建设1座500m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的泥浆池；泥浆池地面采用粘土+双层土工膜防渗基础，四周设高度为20㎝的围堰。</w:t>
            </w:r>
          </w:p>
        </w:tc>
        <w:tc>
          <w:tcPr>
            <w:tcW w:w="1950" w:type="dxa"/>
            <w:vMerge w:val="continue"/>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6"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tcBorders>
              <w:left w:val="single" w:color="auto" w:sz="4" w:space="0"/>
            </w:tcBorders>
            <w:vAlign w:val="center"/>
          </w:tcPr>
          <w:p>
            <w:pPr>
              <w:adjustRightInd w:val="0"/>
              <w:snapToGrid w:val="0"/>
              <w:spacing w:line="32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压裂工序</w:t>
            </w:r>
          </w:p>
        </w:tc>
        <w:tc>
          <w:tcPr>
            <w:tcW w:w="850" w:type="dxa"/>
            <w:tcBorders>
              <w:left w:val="single" w:color="auto" w:sz="2"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压裂废水</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可循环利用于后期钻井压裂，不外排</w:t>
            </w:r>
          </w:p>
        </w:tc>
        <w:tc>
          <w:tcPr>
            <w:tcW w:w="1950" w:type="dxa"/>
            <w:vMerge w:val="continue"/>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105" w:rightChars="-5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850" w:type="dxa"/>
            <w:tcBorders>
              <w:left w:val="single" w:color="auto" w:sz="2" w:space="0"/>
            </w:tcBorders>
            <w:vAlign w:val="center"/>
          </w:tcPr>
          <w:p>
            <w:pPr>
              <w:keepNext w:val="0"/>
              <w:keepLines w:val="0"/>
              <w:pageBreakBefore w:val="0"/>
              <w:widowControl w:val="0"/>
              <w:tabs>
                <w:tab w:val="left" w:pos="3495"/>
              </w:tabs>
              <w:kinsoku/>
              <w:wordWrap/>
              <w:overflowPunct/>
              <w:topLinePunct w:val="0"/>
              <w:autoSpaceDE/>
              <w:autoSpaceDN/>
              <w:bidi w:val="0"/>
              <w:spacing w:line="280" w:lineRule="exact"/>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950" w:type="dxa"/>
            <w:vMerge w:val="continue"/>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5"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restart"/>
            <w:tcBorders>
              <w:right w:val="single" w:color="auto" w:sz="4" w:space="0"/>
            </w:tcBorders>
            <w:vAlign w:val="center"/>
          </w:tcPr>
          <w:p>
            <w:pPr>
              <w:tabs>
                <w:tab w:val="left" w:pos="3495"/>
              </w:tabs>
              <w:spacing w:line="240" w:lineRule="exact"/>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排采期</w:t>
            </w:r>
          </w:p>
        </w:tc>
        <w:tc>
          <w:tcPr>
            <w:tcW w:w="1106" w:type="dxa"/>
            <w:tcBorders>
              <w:left w:val="single" w:color="auto" w:sz="4" w:space="0"/>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排采工序</w:t>
            </w: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建设1座</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定期由罐车运至静乐县污水净化中心进行处理</w:t>
            </w:r>
          </w:p>
        </w:tc>
        <w:tc>
          <w:tcPr>
            <w:tcW w:w="1950" w:type="dxa"/>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5"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950" w:type="dxa"/>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838" w:type="dxa"/>
            <w:vMerge w:val="restart"/>
            <w:tcBorders>
              <w:top w:val="single" w:color="auto" w:sz="4"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w:t>
            </w:r>
          </w:p>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废物</w:t>
            </w:r>
          </w:p>
        </w:tc>
        <w:tc>
          <w:tcPr>
            <w:tcW w:w="716" w:type="dxa"/>
            <w:vMerge w:val="restart"/>
            <w:tcBorders>
              <w:right w:val="single" w:color="auto" w:sz="4" w:space="0"/>
            </w:tcBorders>
            <w:vAlign w:val="center"/>
          </w:tcPr>
          <w:p>
            <w:pPr>
              <w:spacing w:line="32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956" w:type="dxa"/>
            <w:gridSpan w:val="2"/>
            <w:tcBorders>
              <w:left w:val="single" w:color="auto" w:sz="4"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场地平整土石方</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1950" w:type="dxa"/>
            <w:tcBorders>
              <w:top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6" w:hRule="exac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956" w:type="dxa"/>
            <w:gridSpan w:val="2"/>
            <w:tcBorders>
              <w:left w:val="single" w:color="auto" w:sz="4" w:space="0"/>
              <w:bottom w:val="single" w:color="auto" w:sz="6"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本项目在井场内设有1个泥浆池，容积约</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5</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00m³，泥浆池釆取</w:t>
            </w:r>
            <w:r>
              <w:rPr>
                <w:rFonts w:hint="default" w:ascii="Times New Roman" w:hAnsi="Times New Roman" w:cs="Times New Roman"/>
                <w:color w:val="000000" w:themeColor="text1"/>
                <w:sz w:val="21"/>
                <w:szCs w:val="21"/>
                <w14:textFill>
                  <w14:solidFill>
                    <w14:schemeClr w14:val="tx1"/>
                  </w14:solidFill>
                </w14:textFill>
              </w:rPr>
              <w:t>粘土+双层土工膜</w:t>
            </w:r>
            <w:r>
              <w:rPr>
                <w:rFonts w:hint="eastAsia" w:cs="Times New Roman"/>
                <w:color w:val="000000" w:themeColor="text1"/>
                <w:sz w:val="21"/>
                <w:szCs w:val="21"/>
                <w:lang w:eastAsia="zh-CN"/>
                <w14:textFill>
                  <w14:solidFill>
                    <w14:schemeClr w14:val="tx1"/>
                  </w14:solidFill>
                </w14:textFill>
              </w:rPr>
              <w:t>防渗</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埋处理</w:t>
            </w:r>
          </w:p>
        </w:tc>
        <w:tc>
          <w:tcPr>
            <w:tcW w:w="1950" w:type="dxa"/>
            <w:vMerge w:val="restart"/>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《一般工业固体废物贮存、处置场污染控制标准》（GB18599-2001）及其 2013 修改单的规定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bottom w:val="single" w:color="auto" w:sz="12" w:space="0"/>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956" w:type="dxa"/>
            <w:gridSpan w:val="2"/>
            <w:tcBorders>
              <w:left w:val="single" w:color="auto" w:sz="4" w:space="0"/>
              <w:bottom w:val="single" w:color="auto" w:sz="12"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1950" w:type="dxa"/>
            <w:vMerge w:val="continue"/>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8" w:hRule="exac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tcBorders>
              <w:top w:val="single" w:color="auto" w:sz="12"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left="-105" w:leftChars="-50" w:right="-105" w:rightChar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钻井期</w:t>
            </w:r>
          </w:p>
          <w:p>
            <w:pPr>
              <w:pStyle w:val="43"/>
              <w:keepNext w:val="0"/>
              <w:keepLines w:val="0"/>
              <w:pageBreakBefore w:val="0"/>
              <w:kinsoku/>
              <w:wordWrap/>
              <w:overflowPunct/>
              <w:topLinePunct w:val="0"/>
              <w:autoSpaceDE/>
              <w:autoSpaceDN/>
              <w:bidi w:val="0"/>
              <w:adjustRightInd/>
              <w:snapToGrid/>
              <w:ind w:left="-105" w:leftChars="-50" w:right="-105" w:rightChars="-50" w:firstLine="0" w:firstLineChars="0"/>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排采期</w:t>
            </w:r>
          </w:p>
        </w:tc>
        <w:tc>
          <w:tcPr>
            <w:tcW w:w="1956" w:type="dxa"/>
            <w:gridSpan w:val="2"/>
            <w:tcBorders>
              <w:top w:val="single" w:color="auto" w:sz="12" w:space="0"/>
              <w:left w:val="single" w:color="auto" w:sz="4" w:space="0"/>
              <w:bottom w:val="single" w:color="auto" w:sz="6"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将废矿物油单独收集到一容器中，</w:t>
            </w:r>
            <w:r>
              <w:rPr>
                <w:rFonts w:hint="eastAsia"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运至项目</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新建的1座10m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危废暂存间暂存</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定期由有资质单位收集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c>
          <w:tcPr>
            <w:tcW w:w="1950" w:type="dxa"/>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《危险废物贮存污染控制标准》（GB18597-2001）</w:t>
            </w:r>
            <w:r>
              <w:rPr>
                <w:rFonts w:hint="default" w:ascii="Times New Roman" w:hAnsi="Times New Roman" w:cs="Times New Roman"/>
                <w:color w:val="000000" w:themeColor="text1"/>
                <w:sz w:val="21"/>
                <w:szCs w:val="21"/>
                <w:lang w:val="en-US" w:eastAsia="zh-CN"/>
                <w14:textFill>
                  <w14:solidFill>
                    <w14:schemeClr w14:val="tx1"/>
                  </w14:solidFill>
                </w14:textFill>
              </w:rPr>
              <w:t>及其</w:t>
            </w:r>
            <w:r>
              <w:rPr>
                <w:rFonts w:hint="default" w:ascii="Times New Roman" w:hAnsi="Times New Roman" w:cs="Times New Roman"/>
                <w:color w:val="000000" w:themeColor="text1"/>
                <w:sz w:val="21"/>
                <w:szCs w:val="21"/>
                <w14:textFill>
                  <w14:solidFill>
                    <w14:schemeClr w14:val="tx1"/>
                  </w14:solidFill>
                </w14:textFill>
              </w:rPr>
              <w:t xml:space="preserve"> 2013</w:t>
            </w:r>
            <w:r>
              <w:rPr>
                <w:rFonts w:hint="default" w:ascii="Times New Roman" w:hAnsi="Times New Roman" w:cs="Times New Roman"/>
                <w:color w:val="000000" w:themeColor="text1"/>
                <w:sz w:val="21"/>
                <w:szCs w:val="21"/>
                <w:lang w:val="en-US" w:eastAsia="zh-CN"/>
                <w14:textFill>
                  <w14:solidFill>
                    <w14:schemeClr w14:val="tx1"/>
                  </w14:solidFill>
                </w14:textFill>
              </w:rPr>
              <w:t>修改单的规定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838" w:type="dxa"/>
            <w:vMerge w:val="continue"/>
            <w:tcBorders>
              <w:bottom w:val="single" w:color="auto" w:sz="6"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tcBorders>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left="-105" w:leftChars="-50" w:right="-105" w:rightChar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钻井期</w:t>
            </w:r>
          </w:p>
          <w:p>
            <w:pPr>
              <w:keepNext w:val="0"/>
              <w:keepLines w:val="0"/>
              <w:pageBreakBefore w:val="0"/>
              <w:tabs>
                <w:tab w:val="left" w:pos="3495"/>
              </w:tabs>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排采期</w:t>
            </w:r>
          </w:p>
        </w:tc>
        <w:tc>
          <w:tcPr>
            <w:tcW w:w="1956" w:type="dxa"/>
            <w:gridSpan w:val="2"/>
            <w:tcBorders>
              <w:left w:val="single" w:color="auto" w:sz="4" w:space="0"/>
              <w:bottom w:val="single" w:color="auto" w:sz="6"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3544" w:type="dxa"/>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80" w:lineRule="exact"/>
              <w:ind w:left="-105" w:leftChars="-50" w:right="-105" w:rightChars="-5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1950" w:type="dxa"/>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38" w:type="dxa"/>
            <w:vMerge w:val="restart"/>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716" w:type="dxa"/>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956" w:type="dxa"/>
            <w:gridSpan w:val="2"/>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1950" w:type="dxa"/>
            <w:vMerge w:val="restart"/>
            <w:vAlign w:val="center"/>
          </w:tcPr>
          <w:p>
            <w:pPr>
              <w:spacing w:line="240" w:lineRule="exact"/>
              <w:ind w:right="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Align w:val="center"/>
          </w:tcPr>
          <w:p>
            <w:pPr>
              <w:keepNext w:val="0"/>
              <w:keepLines w:val="0"/>
              <w:pageBreakBefore w:val="0"/>
              <w:widowControl w:val="0"/>
              <w:kinsoku/>
              <w:wordWrap/>
              <w:overflowPunct/>
              <w:topLinePunct w:val="0"/>
              <w:autoSpaceDE/>
              <w:autoSpaceDN/>
              <w:bidi w:val="0"/>
              <w:adjustRightInd/>
              <w:snapToGrid/>
              <w:spacing w:line="280" w:lineRule="exact"/>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排采期</w:t>
            </w:r>
          </w:p>
        </w:tc>
        <w:tc>
          <w:tcPr>
            <w:tcW w:w="1956" w:type="dxa"/>
            <w:gridSpan w:val="2"/>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三相分离器、燃油发电机运行噪声</w:t>
            </w:r>
          </w:p>
        </w:tc>
        <w:tc>
          <w:tcPr>
            <w:tcW w:w="3544" w:type="dxa"/>
            <w:vAlign w:val="center"/>
          </w:tcPr>
          <w:p>
            <w:pPr>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连接采用柔性连接</w:t>
            </w:r>
          </w:p>
        </w:tc>
        <w:tc>
          <w:tcPr>
            <w:tcW w:w="1950" w:type="dxa"/>
            <w:vMerge w:val="continue"/>
            <w:vAlign w:val="center"/>
          </w:tcPr>
          <w:p>
            <w:pPr>
              <w:spacing w:line="240" w:lineRule="exact"/>
              <w:ind w:right="3"/>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3" w:hRule="atLeast"/>
          <w:jc w:val="center"/>
        </w:trPr>
        <w:tc>
          <w:tcPr>
            <w:tcW w:w="9004" w:type="dxa"/>
            <w:gridSpan w:val="6"/>
            <w:vAlign w:val="top"/>
          </w:tcPr>
          <w:p>
            <w:pPr>
              <w:spacing w:line="320" w:lineRule="exac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生态保护措施及预期效果：</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在施工期按规定合理施工，尽量减少土石方开挖量，施工过程中注意土方的调配，充分移挖作填，尽量避免深填深挖以减少其对地表的破坏，严禁对周围灌木林进行滥砍滥伐，施工完毕后对施工过程中破坏的植被应及时恢复；施工完毕后，及时拆除临时工程，恢复原有的自然生态。</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本项目</w:t>
            </w:r>
            <w:r>
              <w:rPr>
                <w:rFonts w:hint="default" w:ascii="Times New Roman" w:hAnsi="Times New Roman" w:cs="Times New Roman"/>
                <w:color w:val="000000" w:themeColor="text1"/>
                <w:sz w:val="24"/>
                <w:szCs w:val="24"/>
                <w14:textFill>
                  <w14:solidFill>
                    <w14:schemeClr w14:val="tx1"/>
                  </w14:solidFill>
                </w14:textFill>
              </w:rPr>
              <w:t>投产后排放的污染物较少，对评价区土壤、植被的影响不大，在采取以上措施后，基本不会对周围生态环境造成影响。</w:t>
            </w: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pStyle w:val="43"/>
              <w:rPr>
                <w:rFonts w:hint="default" w:ascii="Times New Roman" w:hAnsi="Times New Roman" w:cs="Times New Roman"/>
                <w:color w:val="000000" w:themeColor="text1"/>
                <w14:textFill>
                  <w14:solidFill>
                    <w14:schemeClr w14:val="tx1"/>
                  </w14:solidFill>
                </w14:textFill>
              </w:rPr>
            </w:pPr>
          </w:p>
          <w:p>
            <w:pPr>
              <w:adjustRightInd w:val="0"/>
              <w:snapToGrid w:val="0"/>
              <w:spacing w:line="440" w:lineRule="exact"/>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tc>
      </w:tr>
    </w:tbl>
    <w:p>
      <w:pPr>
        <w:pStyle w:val="2"/>
        <w:rPr>
          <w:rFonts w:hint="default" w:ascii="Times New Roman" w:hAnsi="Times New Roman" w:cs="Times New Roman"/>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AndChar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7" w:name="_Toc25852"/>
      <w:r>
        <w:rPr>
          <w:rFonts w:hint="default" w:ascii="Times New Roman" w:hAnsi="Times New Roman" w:cs="Times New Roman"/>
          <w:color w:val="000000" w:themeColor="text1"/>
          <w14:textFill>
            <w14:solidFill>
              <w14:schemeClr w14:val="tx1"/>
            </w14:solidFill>
          </w14:textFill>
        </w:rPr>
        <w:t>结论与建议</w:t>
      </w:r>
      <w:bookmarkEnd w:id="17"/>
    </w:p>
    <w:tbl>
      <w:tblPr>
        <w:tblStyle w:val="44"/>
        <w:tblW w:w="9004"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04"/>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153" w:hRule="atLeast"/>
          <w:jc w:val="center"/>
        </w:trPr>
        <w:tc>
          <w:tcPr>
            <w:tcW w:w="9004" w:type="dxa"/>
            <w:tcBorders>
              <w:tl2br w:val="nil"/>
              <w:tr2bl w:val="nil"/>
            </w:tcBorders>
            <w:vAlign w:val="top"/>
          </w:tcPr>
          <w:p>
            <w:pPr>
              <w:autoSpaceDE w:val="0"/>
              <w:autoSpaceDN w:val="0"/>
              <w:adjustRightInd w:val="0"/>
              <w:spacing w:line="500" w:lineRule="exact"/>
              <w:ind w:firstLine="48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一、结论</w:t>
            </w:r>
          </w:p>
          <w:p>
            <w:pPr>
              <w:keepNext w:val="0"/>
              <w:keepLines w:val="0"/>
              <w:pageBreakBefore w:val="0"/>
              <w:widowControl w:val="0"/>
              <w:kinsoku/>
              <w:wordWrap/>
              <w:overflowPunct/>
              <w:topLinePunct w:val="0"/>
              <w:autoSpaceDE/>
              <w:autoSpaceDN/>
              <w:bidi w:val="0"/>
              <w:spacing w:line="300" w:lineRule="auto"/>
              <w:ind w:left="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w:t>
            </w:r>
            <w:r>
              <w:rPr>
                <w:rFonts w:hint="default"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项目概况</w:t>
            </w:r>
          </w:p>
          <w:p>
            <w:pPr>
              <w:keepNext w:val="0"/>
              <w:keepLines w:val="0"/>
              <w:pageBreakBefore w:val="0"/>
              <w:widowControl w:val="0"/>
              <w:kinsoku/>
              <w:wordWrap/>
              <w:overflowPunct/>
              <w:topLinePunct w:val="0"/>
              <w:autoSpaceDE/>
              <w:autoSpaceDN/>
              <w:bidi w:val="0"/>
              <w:adjustRightInd w:val="0"/>
              <w:snapToGrid w:val="0"/>
              <w:spacing w:line="300" w:lineRule="auto"/>
              <w:ind w:left="0"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本项目拟建</w:t>
            </w:r>
            <w:r>
              <w:rPr>
                <w:rFonts w:hint="default" w:ascii="Times New Roman" w:hAnsi="Times New Roman" w:cs="Times New Roman"/>
                <w:bCs/>
                <w:color w:val="000000" w:themeColor="text1"/>
                <w:sz w:val="24"/>
                <w:lang w:val="en-US" w:eastAsia="zh-CN"/>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个勘查井场，位于</w:t>
            </w:r>
            <w:r>
              <w:rPr>
                <w:rFonts w:hint="default" w:ascii="Times New Roman" w:hAnsi="Times New Roman" w:cs="Times New Roman"/>
                <w:bCs/>
                <w:color w:val="000000" w:themeColor="text1"/>
                <w:sz w:val="24"/>
                <w:lang w:eastAsia="zh-CN"/>
                <w14:textFill>
                  <w14:solidFill>
                    <w14:schemeClr w14:val="tx1"/>
                  </w14:solidFill>
                </w14:textFill>
              </w:rPr>
              <w:t>静乐县</w:t>
            </w:r>
            <w:r>
              <w:rPr>
                <w:rFonts w:hint="default" w:ascii="Times New Roman" w:hAnsi="Times New Roman" w:cs="Times New Roman"/>
                <w:bCs/>
                <w:color w:val="000000" w:themeColor="text1"/>
                <w:sz w:val="24"/>
                <w:lang w:val="en-US" w:eastAsia="zh-CN"/>
                <w14:textFill>
                  <w14:solidFill>
                    <w14:schemeClr w14:val="tx1"/>
                  </w14:solidFill>
                </w14:textFill>
              </w:rPr>
              <w:t>王村乡</w:t>
            </w:r>
            <w:r>
              <w:rPr>
                <w:rFonts w:hint="default" w:ascii="Times New Roman" w:hAnsi="Times New Roman" w:cs="Times New Roman"/>
                <w:bCs/>
                <w:color w:val="000000" w:themeColor="text1"/>
                <w:sz w:val="24"/>
                <w14:textFill>
                  <w14:solidFill>
                    <w14:schemeClr w14:val="tx1"/>
                  </w14:solidFill>
                </w14:textFill>
              </w:rPr>
              <w:t>境内</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井型为直井，井深为2095m</w:t>
            </w:r>
            <w:r>
              <w:rPr>
                <w:rFonts w:hint="default" w:ascii="Times New Roman" w:hAnsi="Times New Roman" w:cs="Times New Roman"/>
                <w:bCs/>
                <w:color w:val="000000" w:themeColor="text1"/>
                <w:sz w:val="24"/>
                <w14:textFill>
                  <w14:solidFill>
                    <w14:schemeClr w14:val="tx1"/>
                  </w14:solidFill>
                </w14:textFill>
              </w:rPr>
              <w:t>勘查面积为</w:t>
            </w:r>
            <w:r>
              <w:rPr>
                <w:rFonts w:hint="eastAsia" w:cs="Times New Roman"/>
                <w:bCs/>
                <w:color w:val="000000" w:themeColor="text1"/>
                <w:sz w:val="24"/>
                <w:lang w:val="en-US" w:eastAsia="zh-CN"/>
                <w14:textFill>
                  <w14:solidFill>
                    <w14:schemeClr w14:val="tx1"/>
                  </w14:solidFill>
                </w14:textFill>
              </w:rPr>
              <w:t>2~3</w:t>
            </w:r>
            <w:r>
              <w:rPr>
                <w:rFonts w:hint="default" w:ascii="Times New Roman" w:hAnsi="Times New Roman" w:cs="Times New Roman"/>
                <w:bCs/>
                <w:color w:val="000000" w:themeColor="text1"/>
                <w:sz w:val="24"/>
                <w14:textFill>
                  <w14:solidFill>
                    <w14:schemeClr w14:val="tx1"/>
                  </w14:solidFill>
                </w14:textFill>
              </w:rPr>
              <w:t>km</w:t>
            </w:r>
            <w:r>
              <w:rPr>
                <w:rFonts w:hint="default" w:ascii="Times New Roman" w:hAnsi="Times New Roman" w:cs="Times New Roman"/>
                <w:bCs/>
                <w:color w:val="000000" w:themeColor="text1"/>
                <w:sz w:val="24"/>
                <w:vertAlign w:val="superscript"/>
                <w14:textFill>
                  <w14:solidFill>
                    <w14:schemeClr w14:val="tx1"/>
                  </w14:solidFill>
                </w14:textFill>
              </w:rPr>
              <w:t>2</w:t>
            </w:r>
            <w:r>
              <w:rPr>
                <w:rFonts w:hint="default" w:ascii="Times New Roman" w:hAnsi="Times New Roman" w:cs="Times New Roman"/>
                <w:bCs/>
                <w:color w:val="000000" w:themeColor="text1"/>
                <w:sz w:val="24"/>
                <w:lang w:val="en-US" w:eastAsia="zh-CN"/>
                <w14:textFill>
                  <w14:solidFill>
                    <w14:schemeClr w14:val="tx1"/>
                  </w14:solidFill>
                </w14:textFill>
              </w:rPr>
              <w:t>。</w:t>
            </w:r>
          </w:p>
          <w:p>
            <w:pPr>
              <w:keepNext w:val="0"/>
              <w:keepLines w:val="0"/>
              <w:pageBreakBefore w:val="0"/>
              <w:widowControl w:val="0"/>
              <w:numPr>
                <w:ilvl w:val="0"/>
                <w:numId w:val="17"/>
              </w:numPr>
              <w:kinsoku/>
              <w:wordWrap/>
              <w:overflowPunct/>
              <w:topLinePunct w:val="0"/>
              <w:autoSpaceDE/>
              <w:autoSpaceDN/>
              <w:bidi w:val="0"/>
              <w:spacing w:line="300" w:lineRule="auto"/>
              <w:ind w:left="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环境质量现状</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1）环境空气</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left="0" w:firstLine="480" w:firstLineChars="200"/>
              <w:jc w:val="both"/>
              <w:textAlignment w:val="auto"/>
              <w:outlineLvl w:val="9"/>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本次利用</w:t>
            </w:r>
            <w:r>
              <w:rPr>
                <w:rFonts w:hint="default" w:ascii="Times New Roman" w:hAnsi="Times New Roman" w:cs="Times New Roman"/>
                <w:color w:val="000000" w:themeColor="text1"/>
                <w:sz w:val="24"/>
                <w:lang w:eastAsia="zh-CN"/>
                <w14:textFill>
                  <w14:solidFill>
                    <w14:schemeClr w14:val="tx1"/>
                  </w14:solidFill>
                </w14:textFill>
              </w:rPr>
              <w:t>静乐县</w:t>
            </w: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年例行监测数据来说明区域环境质量状况。根据例行监测数据统计结果，</w:t>
            </w:r>
            <w:r>
              <w:rPr>
                <w:rFonts w:hint="default" w:ascii="Times New Roman" w:hAnsi="Times New Roman" w:cs="Times New Roman"/>
                <w:snapToGrid w:val="0"/>
                <w:color w:val="000000" w:themeColor="text1"/>
                <w:kern w:val="0"/>
                <w:sz w:val="24"/>
                <w:szCs w:val="24"/>
                <w14:textFill>
                  <w14:solidFill>
                    <w14:schemeClr w14:val="tx1"/>
                  </w14:solidFill>
                </w14:textFill>
              </w:rPr>
              <w:t>项目所在地区域各污染物质量浓度除PM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超标外，其余各项均无超标现象，其余监测因子质量浓度满足《环境空气质量标准》（GB3095-2012）中的二级标准限值要求，PM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出现超标主要是因为北方气候干燥，扬尘天气较多所致。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left="0" w:firstLine="480" w:firstLineChars="200"/>
              <w:jc w:val="both"/>
              <w:textAlignment w:val="auto"/>
              <w:outlineLvl w:val="9"/>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项目评价区属于不达标区。</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2）地表水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根据忻州市2018年1-12月地表水环境质量状况的通报情况可知，2018年1月-12月汾河河西村断面的汾河水质能够达到</w:t>
            </w:r>
            <w:r>
              <w:rPr>
                <w:rFonts w:hint="default" w:ascii="Times New Roman" w:hAnsi="Times New Roman" w:cs="Times New Roman"/>
                <w:color w:val="000000" w:themeColor="text1"/>
                <w14:textFill>
                  <w14:solidFill>
                    <w14:schemeClr w14:val="tx1"/>
                  </w14:solidFill>
                </w14:textFill>
              </w:rPr>
              <w:t>《地表水环境质量标准》（GB3838-2002）中</w:t>
            </w:r>
            <w:r>
              <w:rPr>
                <w:rFonts w:hint="default" w:ascii="Times New Roman" w:hAnsi="Times New Roman" w:cs="Times New Roman"/>
                <w:color w:val="000000" w:themeColor="text1"/>
                <w:lang w:val="en-US" w:eastAsia="zh-CN"/>
                <w14:textFill>
                  <w14:solidFill>
                    <w14:schemeClr w14:val="tx1"/>
                  </w14:solidFill>
                </w14:textFill>
              </w:rPr>
              <w:t>II类水质标准，同比水质有所改善。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无废水外排，不会对地表水体产生明显影响</w:t>
            </w:r>
            <w:r>
              <w:rPr>
                <w:rFonts w:hint="default" w:ascii="Times New Roman" w:hAnsi="Times New Roman" w:cs="Times New Roman"/>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3）声环境现状</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项目所在区域为农村地区，所在区域声环境质量良好。</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）生态环境现状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本项目井场占地为</w:t>
            </w:r>
            <w:r>
              <w:rPr>
                <w:rFonts w:hint="default" w:ascii="Times New Roman" w:hAnsi="Times New Roman" w:cs="Times New Roman"/>
                <w:color w:val="000000" w:themeColor="text1"/>
                <w:sz w:val="24"/>
                <w:lang w:val="en-US" w:eastAsia="zh-CN"/>
                <w14:textFill>
                  <w14:solidFill>
                    <w14:schemeClr w14:val="tx1"/>
                  </w14:solidFill>
                </w14:textFill>
              </w:rPr>
              <w:t>王村乡王村集体林地（一般灌木林地)</w:t>
            </w:r>
            <w:r>
              <w:rPr>
                <w:rFonts w:hint="default" w:ascii="Times New Roman" w:hAnsi="Times New Roman" w:cs="Times New Roman"/>
                <w:color w:val="000000" w:themeColor="text1"/>
                <w:sz w:val="24"/>
                <w14:textFill>
                  <w14:solidFill>
                    <w14:schemeClr w14:val="tx1"/>
                  </w14:solidFill>
                </w14:textFill>
              </w:rPr>
              <w:t>，项目区域以农业生态环境为主，自然植被以田间地头的野草为主，相间有少量灌木丛。</w:t>
            </w:r>
          </w:p>
          <w:p>
            <w:pPr>
              <w:keepNext w:val="0"/>
              <w:keepLines w:val="0"/>
              <w:pageBreakBefore w:val="0"/>
              <w:widowControl w:val="0"/>
              <w:numPr>
                <w:ilvl w:val="0"/>
                <w:numId w:val="17"/>
              </w:numPr>
              <w:kinsoku/>
              <w:wordWrap/>
              <w:overflowPunct/>
              <w:topLinePunct w:val="0"/>
              <w:bidi w:val="0"/>
              <w:snapToGrid/>
              <w:spacing w:line="300" w:lineRule="auto"/>
              <w:ind w:left="0" w:leftChars="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污染物排放</w:t>
            </w:r>
          </w:p>
          <w:p>
            <w:pPr>
              <w:keepNext w:val="0"/>
              <w:keepLines w:val="0"/>
              <w:pageBreakBefore w:val="0"/>
              <w:widowControl w:val="0"/>
              <w:kinsoku/>
              <w:wordWrap/>
              <w:overflowPunct/>
              <w:topLinePunct w:val="0"/>
              <w:bidi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1）达标排放</w:t>
            </w:r>
          </w:p>
          <w:p>
            <w:pPr>
              <w:keepNext w:val="0"/>
              <w:keepLines w:val="0"/>
              <w:pageBreakBefore w:val="0"/>
              <w:widowControl w:val="0"/>
              <w:kinsoku/>
              <w:wordWrap/>
              <w:overflowPunct/>
              <w:topLinePunct w:val="0"/>
              <w:bidi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勘探，勘探过程生产废水和生活污水零外排；</w:t>
            </w:r>
            <w:r>
              <w:rPr>
                <w:rFonts w:hint="eastAsia"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设柴油机，燃用低硫柴油，污染物能做到达标排放，项目井场建有火炬系统，对试排采阶段产生的</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进行点火排空；在对产噪设备采取降噪措施后，井场场界可达标，不造成扰民。项目对勘查过程中产生的固体废物均采取了合理的处置措施，不会对当地环境造成不利影响。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2）总量控制</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勘探，不属于山西省环保厅晋环发</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2015</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25 号《关于印发山西省环境保护厅建设项目主要污染物排放总量核定办法的通知》中（《国民经济行业分类》(GB/T4754)中采矿业、制造业，电力、燃气及水的生产和供应业中的 3 个门类 39 个行业中，不在总量核定范围内，</w:t>
            </w:r>
            <w:r>
              <w:rPr>
                <w:rFonts w:hint="default" w:ascii="Times New Roman" w:hAnsi="Times New Roman" w:cs="Times New Roman"/>
                <w:color w:val="000000" w:themeColor="text1"/>
                <w:sz w:val="24"/>
                <w:lang w:val="en-US" w:eastAsia="zh-CN"/>
                <w14:textFill>
                  <w14:solidFill>
                    <w14:schemeClr w14:val="tx1"/>
                  </w14:solidFill>
                </w14:textFill>
              </w:rPr>
              <w:t>因此，</w:t>
            </w: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未申请</w:t>
            </w:r>
            <w:r>
              <w:rPr>
                <w:rFonts w:hint="default" w:ascii="Times New Roman" w:hAnsi="Times New Roman" w:cs="Times New Roman"/>
                <w:color w:val="000000" w:themeColor="text1"/>
                <w:sz w:val="24"/>
                <w14:textFill>
                  <w14:solidFill>
                    <w14:schemeClr w14:val="tx1"/>
                  </w14:solidFill>
                </w14:textFill>
              </w:rPr>
              <w:t>总量控制指标。</w:t>
            </w:r>
          </w:p>
          <w:p>
            <w:pPr>
              <w:keepNext w:val="0"/>
              <w:keepLines w:val="0"/>
              <w:pageBreakBefore w:val="0"/>
              <w:widowControl w:val="0"/>
              <w:numPr>
                <w:ilvl w:val="0"/>
                <w:numId w:val="17"/>
              </w:numPr>
              <w:kinsoku/>
              <w:wordWrap/>
              <w:overflowPunct/>
              <w:topLinePunct w:val="0"/>
              <w:bidi w:val="0"/>
              <w:snapToGrid/>
              <w:spacing w:line="300" w:lineRule="auto"/>
              <w:ind w:left="0" w:leftChars="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环境保护措施</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废气</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勘探项目，大气污染主要为柴油机、发电机等运行过程产生的废气，通过燃用低硫柴油可以减轻废气污染物排放。</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废水</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废水主要为钻井泥浆废水，另外还有少量的生活污水。钻井泥浆废水全部在泥浆池内收集后复用；生活污水</w:t>
            </w:r>
            <w:r>
              <w:rPr>
                <w:rFonts w:hint="default" w:ascii="Times New Roman" w:hAnsi="Times New Roman" w:cs="Times New Roman"/>
                <w:color w:val="000000" w:themeColor="text1"/>
                <w:sz w:val="24"/>
                <w:lang w:val="en-US" w:eastAsia="zh-CN"/>
                <w14:textFill>
                  <w14:solidFill>
                    <w14:schemeClr w14:val="tx1"/>
                  </w14:solidFill>
                </w14:textFill>
              </w:rPr>
              <w:t>进入环保旱厕，定期由附近居民清掏；</w:t>
            </w:r>
            <w:r>
              <w:rPr>
                <w:rFonts w:hint="default" w:ascii="Times New Roman" w:hAnsi="Times New Roman" w:cs="Times New Roman"/>
                <w:color w:val="000000" w:themeColor="text1"/>
                <w:sz w:val="24"/>
                <w14:textFill>
                  <w14:solidFill>
                    <w14:schemeClr w14:val="tx1"/>
                  </w14:solidFill>
                </w14:textFill>
              </w:rPr>
              <w:t>排水采气阶段产生的排采水全部进入井场内的1座</w:t>
            </w:r>
            <w:r>
              <w:rPr>
                <w:rFonts w:hint="default" w:ascii="Times New Roman" w:hAnsi="Times New Roman"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的排采水池，除自然蒸发外洒水抑尘，全部用罐车，送往</w:t>
            </w:r>
            <w:r>
              <w:rPr>
                <w:rFonts w:hint="default" w:ascii="Times New Roman" w:hAnsi="Times New Roman" w:cs="Times New Roman"/>
                <w:color w:val="000000" w:themeColor="text1"/>
                <w:sz w:val="24"/>
                <w:lang w:eastAsia="zh-CN"/>
                <w14:textFill>
                  <w14:solidFill>
                    <w14:schemeClr w14:val="tx1"/>
                  </w14:solidFill>
                </w14:textFill>
              </w:rPr>
              <w:t>静乐县污水净化中心</w:t>
            </w:r>
            <w:r>
              <w:rPr>
                <w:rFonts w:hint="default" w:ascii="Times New Roman" w:hAnsi="Times New Roman" w:cs="Times New Roman"/>
                <w:color w:val="000000" w:themeColor="text1"/>
                <w:sz w:val="24"/>
                <w14:textFill>
                  <w14:solidFill>
                    <w14:schemeClr w14:val="tx1"/>
                  </w14:solidFill>
                </w14:textFill>
              </w:rPr>
              <w:t>处理。</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固体废物</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项目固体废物为泥浆、岩屑、废机油和生活垃圾。</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泥浆为一般工业固体废物，泥浆全部收集至泥浆池，勘探期结束后，对泥浆池固化后就地填埋；岩屑是钻井过程中岩石经钻头和泥浆研磨而破碎成岩屑，其中 25%岩屑混进泥浆中，剩余岩屑经泥浆循环携带出井口，在地面经振动筛分离出来，</w:t>
            </w:r>
            <w:r>
              <w:rPr>
                <w:rFonts w:hint="default" w:ascii="Times New Roman" w:hAnsi="Times New Roman" w:cs="Times New Roman"/>
                <w:color w:val="000000" w:themeColor="text1"/>
                <w:sz w:val="24"/>
                <w:lang w:val="en-US" w:eastAsia="zh-CN"/>
                <w14:textFill>
                  <w14:solidFill>
                    <w14:schemeClr w14:val="tx1"/>
                  </w14:solidFill>
                </w14:textFill>
              </w:rPr>
              <w:t>进入泥浆池经固化处理后填埋处置。</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废机油为危险废物，由专用容器收集后，置于</w:t>
            </w:r>
            <w:r>
              <w:rPr>
                <w:rFonts w:hint="default" w:ascii="Times New Roman" w:hAnsi="Times New Roman" w:cs="Times New Roman"/>
                <w:color w:val="000000" w:themeColor="text1"/>
                <w:sz w:val="24"/>
                <w:lang w:val="en-US" w:eastAsia="zh-CN"/>
                <w14:textFill>
                  <w14:solidFill>
                    <w14:schemeClr w14:val="tx1"/>
                  </w14:solidFill>
                </w14:textFill>
              </w:rPr>
              <w:t>静乐县宁1宁2井组煤层气勘探项目</w:t>
            </w:r>
            <w:r>
              <w:rPr>
                <w:rFonts w:hint="default" w:ascii="Times New Roman" w:hAnsi="Times New Roman" w:cs="Times New Roman"/>
                <w:color w:val="000000" w:themeColor="text1"/>
                <w:sz w:val="24"/>
                <w14:textFill>
                  <w14:solidFill>
                    <w14:schemeClr w14:val="tx1"/>
                  </w14:solidFill>
                </w14:textFill>
              </w:rPr>
              <w:t>井场新建的危险废物暂存间暂存，最后全部交由有资质的单位统一处置。生活垃圾经收集后定期由封闭式车辆运至环保部门指定的垃圾场统一处理，对周围外环境影响较小。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left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柴油机、发电机等噪声设备设置基础减振、隔声措施后，对项目区域声环境影响并不明显。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生态</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勘探期结束后对废弃井封井，对井场等覆土并井行生态环境恢复。</w:t>
            </w:r>
          </w:p>
          <w:p>
            <w:pPr>
              <w:keepNext w:val="0"/>
              <w:keepLines w:val="0"/>
              <w:pageBreakBefore w:val="0"/>
              <w:widowControl w:val="0"/>
              <w:numPr>
                <w:ilvl w:val="0"/>
                <w:numId w:val="17"/>
              </w:numPr>
              <w:kinsoku/>
              <w:wordWrap/>
              <w:overflowPunct/>
              <w:topLinePunct w:val="0"/>
              <w:bidi w:val="0"/>
              <w:snapToGrid/>
              <w:spacing w:line="300" w:lineRule="auto"/>
              <w:ind w:left="0" w:leftChars="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对区域环境的影响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勘探过程中污染物排放量小，在采取环评规定的防治措施后，对所在区域环境和关心点环境影响并不明显。另外，本项目对区域环境的影响为短期、局部影响，随着项目结束闭井后，对井场进行整体生态恢复，项目对环境的影响也将随之消除。</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综上所</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述，</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山西宁武盆地南部地区煤层气勘查宁探1井勘探项目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的建设符合国家和地方产业政策，虽会对环境空气、声环境、生态环境、地表水环境、地下水环境产生一定的不利影响，但项目在严格落实评价提出的污染防治措施和生态保护措施后，环境影响可以得到有效控制，对周围居民、地表水、地下水和生态环境影响较小，项目在严格按要求落实评价提出的防渗措施后，环境风险在可接受范围内。综合分析，本项目从环境保护角度是可行的。</w:t>
            </w:r>
          </w:p>
          <w:p>
            <w:pPr>
              <w:autoSpaceDE w:val="0"/>
              <w:autoSpaceDN w:val="0"/>
              <w:adjustRightInd w:val="0"/>
              <w:spacing w:line="500" w:lineRule="exact"/>
              <w:ind w:firstLine="480"/>
              <w:rPr>
                <w:rFonts w:hint="default" w:ascii="Times New Roman" w:hAnsi="Times New Roman" w:cs="Times New Roman"/>
                <w:b/>
                <w:color w:val="000000" w:themeColor="text1"/>
                <w:sz w:val="28"/>
                <w:szCs w:val="28"/>
                <w:lang w:val="en-US" w:eastAsia="zh-CN"/>
                <w14:textFill>
                  <w14:solidFill>
                    <w14:schemeClr w14:val="tx1"/>
                  </w14:solidFill>
                </w14:textFill>
              </w:rPr>
            </w:pPr>
            <w:r>
              <w:rPr>
                <w:rFonts w:hint="default" w:ascii="Times New Roman" w:hAnsi="Times New Roman" w:cs="Times New Roman"/>
                <w:b/>
                <w:color w:val="000000" w:themeColor="text1"/>
                <w:sz w:val="28"/>
                <w:szCs w:val="28"/>
                <w:lang w:val="en-US" w:eastAsia="zh-CN"/>
                <w14:textFill>
                  <w14:solidFill>
                    <w14:schemeClr w14:val="tx1"/>
                  </w14:solidFill>
                </w14:textFill>
              </w:rPr>
              <w:t>二、建议</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加强职工安全生产及教育，提高职工环保意识，严格生产管理。</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植树种草，加大绿化弥补项目建设过程中对生态环境的破坏。</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施工期加强管理，防治水土流失和扬尘等对周围环境的影响。</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加强环境管理，建设单位要严格执行“三同时”制度，加强环境宣传教育，提高管理人员及职工的环保意识。</w:t>
            </w:r>
          </w:p>
          <w:p>
            <w:pPr>
              <w:jc w:val="left"/>
              <w:rPr>
                <w:rFonts w:hint="default" w:ascii="Times New Roman" w:hAnsi="Times New Roman" w:cs="Times New Roman"/>
                <w:color w:val="000000" w:themeColor="text1"/>
                <w:sz w:val="24"/>
                <w14:textFill>
                  <w14:solidFill>
                    <w14:schemeClr w14:val="tx1"/>
                  </w14:solidFill>
                </w14:textFill>
              </w:rPr>
            </w:pPr>
          </w:p>
        </w:tc>
      </w:tr>
    </w:tbl>
    <w:p>
      <w:pPr>
        <w:rPr>
          <w:rFonts w:hint="default" w:ascii="Times New Roman" w:hAnsi="Times New Roman" w:cs="Times New Roman"/>
          <w:color w:val="000000" w:themeColor="text1"/>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sectPr>
          <w:headerReference r:id="rId12" w:type="default"/>
          <w:footerReference r:id="rId13" w:type="default"/>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AndChars" w:linePitch="312" w:charSpace="0"/>
        </w:sectPr>
      </w:pPr>
    </w:p>
    <w:tbl>
      <w:tblPr>
        <w:tblStyle w:val="44"/>
        <w:tblpPr w:leftFromText="180" w:rightFromText="180" w:vertAnchor="text" w:tblpX="53" w:tblpY="1"/>
        <w:tblOverlap w:val="never"/>
        <w:tblW w:w="896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13" w:hRule="atLeast"/>
        </w:trPr>
        <w:tc>
          <w:tcPr>
            <w:tcW w:w="8969" w:type="dxa"/>
            <w:tcBorders>
              <w:top w:val="single" w:color="auto" w:sz="12" w:space="0"/>
              <w:bottom w:val="single" w:color="auto" w:sz="12" w:space="0"/>
            </w:tcBorders>
          </w:tcPr>
          <w:p>
            <w:pPr>
              <w:adjustRightInd w:val="0"/>
              <w:snapToGrid w:val="0"/>
              <w:spacing w:line="300" w:lineRule="auto"/>
              <w:rPr>
                <w:rFonts w:hint="default" w:ascii="Times New Roman" w:hAnsi="Times New Roman" w:cs="Times New Roman" w:eastAsiaTheme="minorEastAsia"/>
                <w:b/>
                <w:color w:val="000000" w:themeColor="text1"/>
                <w:sz w:val="22"/>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br w:type="page"/>
            </w:r>
            <w:r>
              <w:rPr>
                <w:rFonts w:hint="default" w:ascii="Times New Roman" w:hAnsi="Times New Roman" w:cs="Times New Roman" w:eastAsiaTheme="minorEastAsia"/>
                <w:b/>
                <w:color w:val="000000" w:themeColor="text1"/>
                <w:sz w:val="28"/>
                <w14:textFill>
                  <w14:solidFill>
                    <w14:schemeClr w14:val="tx1"/>
                  </w14:solidFill>
                </w14:textFill>
              </w:rPr>
              <w:t>预审意见：</w:t>
            </w: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7140" w:firstLineChars="2550"/>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公章</w:t>
            </w: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经办人：                                         年  月  日</w:t>
            </w:r>
          </w:p>
          <w:p>
            <w:pPr>
              <w:adjustRightInd w:val="0"/>
              <w:snapToGrid w:val="0"/>
              <w:spacing w:line="300" w:lineRule="auto"/>
              <w:ind w:firstLine="5460" w:firstLineChars="2600"/>
              <w:rPr>
                <w:rFonts w:hint="default" w:ascii="Times New Roman" w:hAnsi="Times New Roman" w:cs="Times New Roman" w:eastAsiaTheme="minorEastAsia"/>
                <w:b/>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969" w:type="dxa"/>
            <w:tcBorders>
              <w:top w:val="single" w:color="auto" w:sz="12" w:space="0"/>
              <w:bottom w:val="single" w:color="auto" w:sz="12" w:space="0"/>
            </w:tcBorders>
          </w:tcPr>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下一级环境保护行政主管部门审查意见：</w:t>
            </w: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jc w:val="right"/>
              <w:rPr>
                <w:rFonts w:hint="default" w:ascii="Times New Roman" w:hAnsi="Times New Roman" w:cs="Times New Roman" w:eastAsiaTheme="minorEastAsia"/>
                <w:b/>
                <w:color w:val="000000" w:themeColor="text1"/>
                <w:sz w:val="28"/>
                <w14:textFill>
                  <w14:solidFill>
                    <w14:schemeClr w14:val="tx1"/>
                  </w14:solidFill>
                </w14:textFill>
              </w:rPr>
            </w:pPr>
          </w:p>
          <w:p>
            <w:pPr>
              <w:wordWrap w:val="0"/>
              <w:adjustRightInd w:val="0"/>
              <w:snapToGrid w:val="0"/>
              <w:spacing w:line="300" w:lineRule="auto"/>
              <w:ind w:right="1120" w:firstLine="560" w:firstLineChars="200"/>
              <w:jc w:val="center"/>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 xml:space="preserve">                                        公章</w:t>
            </w:r>
          </w:p>
          <w:p>
            <w:pPr>
              <w:wordWrap w:val="0"/>
              <w:adjustRightInd w:val="0"/>
              <w:snapToGrid w:val="0"/>
              <w:spacing w:line="300" w:lineRule="auto"/>
              <w:ind w:right="1120" w:firstLine="560" w:firstLineChars="200"/>
              <w:jc w:val="center"/>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经办人：                                        年  月  日</w:t>
            </w:r>
          </w:p>
          <w:p>
            <w:pPr>
              <w:adjustRightInd w:val="0"/>
              <w:snapToGrid w:val="0"/>
              <w:spacing w:line="300" w:lineRule="auto"/>
              <w:rPr>
                <w:rFonts w:hint="default" w:ascii="Times New Roman" w:hAnsi="Times New Roman" w:cs="Times New Roman" w:eastAsiaTheme="minorEastAsia"/>
                <w:b/>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4"/>
                <w14:textFill>
                  <w14:solidFill>
                    <w14:schemeClr w14:val="tx1"/>
                  </w14:solidFill>
                </w14:textFill>
              </w:rPr>
            </w:pPr>
          </w:p>
        </w:tc>
      </w:tr>
    </w:tbl>
    <w:p>
      <w:pPr>
        <w:jc w:val="left"/>
        <w:rPr>
          <w:rFonts w:hint="default" w:ascii="Times New Roman" w:hAnsi="Times New Roman" w:cs="Times New Roman"/>
          <w:b/>
          <w:color w:val="000000" w:themeColor="text1"/>
          <w:sz w:val="30"/>
          <w14:textFill>
            <w14:solidFill>
              <w14:schemeClr w14:val="tx1"/>
            </w14:solidFill>
          </w14:textFill>
        </w:rPr>
        <w:sectPr>
          <w:headerReference r:id="rId14" w:type="default"/>
          <w:footerReference r:id="rId15" w:type="default"/>
          <w:pgSz w:w="11906" w:h="16838"/>
          <w:pgMar w:top="1418" w:right="1418" w:bottom="1418" w:left="1418" w:header="851" w:footer="851" w:gutter="0"/>
          <w:pgBorders>
            <w:top w:val="none" w:sz="0" w:space="0"/>
            <w:left w:val="none" w:sz="0" w:space="0"/>
            <w:bottom w:val="none" w:sz="0" w:space="0"/>
            <w:right w:val="none" w:sz="0" w:space="0"/>
          </w:pgBorders>
          <w:pgNumType w:start="1"/>
          <w:cols w:space="425" w:num="1"/>
          <w:docGrid w:type="linesAndChars" w:linePitch="312" w:charSpace="0"/>
        </w:sectPr>
      </w:pPr>
    </w:p>
    <w:tbl>
      <w:tblPr>
        <w:tblStyle w:val="44"/>
        <w:tblpPr w:leftFromText="180" w:rightFromText="180" w:vertAnchor="text" w:tblpX="53" w:tblpY="1"/>
        <w:tblOverlap w:val="never"/>
        <w:tblW w:w="896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31" w:hRule="atLeast"/>
        </w:trPr>
        <w:tc>
          <w:tcPr>
            <w:tcW w:w="8969" w:type="dxa"/>
            <w:tcBorders>
              <w:top w:val="single" w:color="auto" w:sz="12" w:space="0"/>
              <w:bottom w:val="single" w:color="auto" w:sz="12" w:space="0"/>
            </w:tcBorders>
          </w:tcPr>
          <w:p>
            <w:pPr>
              <w:jc w:val="left"/>
              <w:rPr>
                <w:rFonts w:hint="default" w:ascii="Times New Roman" w:hAnsi="Times New Roman" w:cs="Times New Roman"/>
                <w:b/>
                <w:color w:val="000000" w:themeColor="text1"/>
                <w:sz w:val="30"/>
                <w14:textFill>
                  <w14:solidFill>
                    <w14:schemeClr w14:val="tx1"/>
                  </w14:solidFill>
                </w14:textFill>
              </w:rPr>
            </w:pPr>
            <w:r>
              <w:rPr>
                <w:rFonts w:hint="default" w:ascii="Times New Roman" w:hAnsi="Times New Roman" w:cs="Times New Roman"/>
                <w:b/>
                <w:color w:val="000000" w:themeColor="text1"/>
                <w:sz w:val="30"/>
                <w14:textFill>
                  <w14:solidFill>
                    <w14:schemeClr w14:val="tx1"/>
                  </w14:solidFill>
                </w14:textFill>
              </w:rPr>
              <w:t>审批意见:</w:t>
            </w: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ind w:right="1260" w:rightChars="600" w:firstLine="6603" w:firstLineChars="2201"/>
              <w:rPr>
                <w:rFonts w:hint="default" w:ascii="Times New Roman" w:hAnsi="Times New Roman" w:cs="Times New Roman"/>
                <w:b/>
                <w:color w:val="000000" w:themeColor="text1"/>
                <w:sz w:val="30"/>
                <w14:textFill>
                  <w14:solidFill>
                    <w14:schemeClr w14:val="tx1"/>
                  </w14:solidFill>
                </w14:textFill>
              </w:rPr>
            </w:pPr>
            <w:r>
              <w:rPr>
                <w:rFonts w:hint="default" w:ascii="Times New Roman" w:hAnsi="Times New Roman" w:cs="Times New Roman"/>
                <w:b/>
                <w:color w:val="000000" w:themeColor="text1"/>
                <w:sz w:val="30"/>
                <w14:textFill>
                  <w14:solidFill>
                    <w14:schemeClr w14:val="tx1"/>
                  </w14:solidFill>
                </w14:textFill>
              </w:rPr>
              <w:t>公章</w:t>
            </w:r>
          </w:p>
          <w:p>
            <w:pPr>
              <w:jc w:val="left"/>
              <w:rPr>
                <w:rFonts w:hint="default" w:ascii="Times New Roman" w:hAnsi="Times New Roman" w:cs="Times New Roman"/>
                <w:b/>
                <w:color w:val="000000" w:themeColor="text1"/>
                <w:sz w:val="30"/>
                <w14:textFill>
                  <w14:solidFill>
                    <w14:schemeClr w14:val="tx1"/>
                  </w14:solidFill>
                </w14:textFill>
              </w:rPr>
            </w:pPr>
            <w:r>
              <w:rPr>
                <w:rFonts w:hint="default" w:ascii="Times New Roman" w:hAnsi="Times New Roman" w:cs="Times New Roman"/>
                <w:b/>
                <w:color w:val="000000" w:themeColor="text1"/>
                <w:sz w:val="30"/>
                <w14:textFill>
                  <w14:solidFill>
                    <w14:schemeClr w14:val="tx1"/>
                  </w14:solidFill>
                </w14:textFill>
              </w:rPr>
              <w:t>经办人:                                   年  月  日</w:t>
            </w:r>
          </w:p>
        </w:tc>
      </w:tr>
    </w:tbl>
    <w:p>
      <w:pPr>
        <w:keepNext w:val="0"/>
        <w:keepLines w:val="0"/>
        <w:pageBreakBefore w:val="0"/>
        <w:widowControl/>
        <w:shd w:val="clear" w:color="auto" w:fill="FFFFFF"/>
        <w:kinsoku/>
        <w:wordWrap/>
        <w:overflowPunct/>
        <w:topLinePunct w:val="0"/>
        <w:autoSpaceDE/>
        <w:autoSpaceDN/>
        <w:bidi w:val="0"/>
        <w:adjustRightInd/>
        <w:snapToGrid/>
        <w:spacing w:before="157" w:beforeLines="50" w:after="313" w:afterLines="100" w:line="300" w:lineRule="auto"/>
        <w:jc w:val="center"/>
        <w:textAlignment w:val="auto"/>
        <w:outlineLvl w:val="9"/>
        <w:rPr>
          <w:rFonts w:hint="default" w:ascii="Times New Roman" w:hAnsi="Times New Roman" w:eastAsia="黑体" w:cs="Times New Roman"/>
          <w:bCs/>
          <w:color w:val="000000" w:themeColor="text1"/>
          <w:sz w:val="32"/>
          <w:szCs w:val="32"/>
          <w14:textFill>
            <w14:solidFill>
              <w14:schemeClr w14:val="tx1"/>
            </w14:solidFill>
          </w14:textFill>
        </w:rPr>
        <w:sectPr>
          <w:footerReference r:id="rId16" w:type="default"/>
          <w:pgSz w:w="11906" w:h="16838"/>
          <w:pgMar w:top="1418" w:right="1418" w:bottom="1418" w:left="1418" w:header="851" w:footer="851" w:gutter="0"/>
          <w:pgBorders>
            <w:top w:val="none" w:sz="0" w:space="0"/>
            <w:left w:val="none" w:sz="0" w:space="0"/>
            <w:bottom w:val="none" w:sz="0" w:space="0"/>
            <w:right w:val="none" w:sz="0" w:space="0"/>
          </w:pgBorders>
          <w:pgNumType w:start="1"/>
          <w:cols w:space="425" w:num="1"/>
          <w:docGrid w:type="linesAndChars" w:linePitch="312" w:charSpace="0"/>
        </w:sectPr>
      </w:pPr>
      <w:bookmarkStart w:id="18" w:name="_Toc65576852"/>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313" w:afterLines="100" w:line="300" w:lineRule="auto"/>
        <w:jc w:val="center"/>
        <w:textAlignment w:val="auto"/>
        <w:outlineLvl w:val="9"/>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lang w:val="en-US" w:eastAsia="zh-CN"/>
          <w14:textFill>
            <w14:solidFill>
              <w14:schemeClr w14:val="tx1"/>
            </w14:solidFill>
          </w14:textFill>
        </w:rPr>
        <w:t xml:space="preserve">1  </w:t>
      </w:r>
      <w:r>
        <w:rPr>
          <w:rFonts w:hint="default" w:ascii="Times New Roman" w:hAnsi="Times New Roman" w:eastAsia="黑体" w:cs="Times New Roman"/>
          <w:bCs/>
          <w:color w:val="000000" w:themeColor="text1"/>
          <w:sz w:val="32"/>
          <w:szCs w:val="32"/>
          <w14:textFill>
            <w14:solidFill>
              <w14:schemeClr w14:val="tx1"/>
            </w14:solidFill>
          </w14:textFill>
        </w:rPr>
        <w:t>生态环境影响评价专题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生态环境影响评价</w:t>
      </w:r>
      <w:r>
        <w:rPr>
          <w:rFonts w:hint="default" w:ascii="Times New Roman" w:hAnsi="Times New Roman" w:cs="Times New Roman"/>
          <w:bCs/>
          <w:color w:val="000000" w:themeColor="text1"/>
          <w:sz w:val="24"/>
          <w14:textFill>
            <w14:solidFill>
              <w14:schemeClr w14:val="tx1"/>
            </w14:solidFill>
          </w14:textFill>
        </w:rPr>
        <w:t>以可持续发展为指导思想，贯彻“预防为主、保护优先”</w:t>
      </w:r>
      <w:r>
        <w:rPr>
          <w:rFonts w:hint="default"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“开发与保护并重”的原则，从保护生态环境的要求出发，以</w:t>
      </w:r>
      <w:r>
        <w:rPr>
          <w:rFonts w:hint="default" w:ascii="Times New Roman" w:hAnsi="Times New Roman" w:cs="Times New Roman"/>
          <w:bCs/>
          <w:color w:val="000000" w:themeColor="text1"/>
          <w:sz w:val="24"/>
          <w:lang w:eastAsia="zh-CN"/>
          <w14:textFill>
            <w14:solidFill>
              <w14:schemeClr w14:val="tx1"/>
            </w14:solidFill>
          </w14:textFill>
        </w:rPr>
        <w:t>勘探井场、</w:t>
      </w:r>
      <w:r>
        <w:rPr>
          <w:rFonts w:hint="default" w:ascii="Times New Roman" w:hAnsi="Times New Roman" w:cs="Times New Roman"/>
          <w:bCs/>
          <w:color w:val="000000" w:themeColor="text1"/>
          <w:sz w:val="24"/>
          <w14:textFill>
            <w14:solidFill>
              <w14:schemeClr w14:val="tx1"/>
            </w14:solidFill>
          </w14:textFill>
        </w:rPr>
        <w:t>施工营地等临时占地区域为评价重点，注重保护土地资源，防治水土流失，维护生态系统健康、完整及丰富的生物多样性，主要原则如下：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1）坚持重点与全面相结合的原则，既要突出本项目所涉及的重点区域、关键时段和主导生态因子，又要从整体上兼顾本项目所涉及的生态系统和生态因子，在不同时空等级尺度上结构与功能的完整性。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2）坚持预防与恢复相结合的原则</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防治优先，恢复补偿为辅。恢复、补偿等措施必须与项目所在地的生态功能区的要求相适应。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3）坚持定量与定性相结合的原则。生态影响评价尽量采取定量方法进行描述和分析，当现有科学方法不能满足定量需要或因其他原因无法实现定量测定时，可通过定性或类比的方法进行描述和分析。</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1.1 生态影响评价等级及评价范围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（1）评价等级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根据《环境影响评价技术导则  生态影响》（HJ19-2011）要求，本项目总占地面积为</w:t>
      </w:r>
      <w:r>
        <w:rPr>
          <w:rFonts w:hint="default" w:ascii="Times New Roman" w:hAnsi="Times New Roman" w:cs="Times New Roman"/>
          <w:bCs/>
          <w:color w:val="000000" w:themeColor="text1"/>
          <w:sz w:val="24"/>
          <w:lang w:eastAsia="zh-CN"/>
          <w14:textFill>
            <w14:solidFill>
              <w14:schemeClr w14:val="tx1"/>
            </w14:solidFill>
          </w14:textFill>
        </w:rPr>
        <w:t>8000</w:t>
      </w: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per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eastAsia="zh-CN"/>
          <w14:textFill>
            <w14:solidFill>
              <w14:schemeClr w14:val="tx1"/>
            </w14:solidFill>
          </w14:textFill>
        </w:rPr>
        <w:t>占地类型为一般灌木林地，</w:t>
      </w:r>
      <w:r>
        <w:rPr>
          <w:rFonts w:hint="default" w:ascii="Times New Roman" w:hAnsi="Times New Roman" w:cs="Times New Roman"/>
          <w:bCs/>
          <w:color w:val="000000" w:themeColor="text1"/>
          <w:sz w:val="24"/>
          <w14:textFill>
            <w14:solidFill>
              <w14:schemeClr w14:val="tx1"/>
            </w14:solidFill>
          </w14:textFill>
        </w:rPr>
        <w:t>区域生态敏感性为一般区域，根据生态影响评价工作等级划分表，确定生态评价等级为三级评价。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详见</w:t>
      </w:r>
      <w:r>
        <w:rPr>
          <w:rFonts w:hint="default" w:ascii="Times New Roman" w:hAnsi="Times New Roman" w:cs="Times New Roman"/>
          <w:bCs/>
          <w:color w:val="000000" w:themeColor="text1"/>
          <w:sz w:val="24"/>
          <w:lang w:val="en-US" w:eastAsia="zh-CN"/>
          <w14:textFill>
            <w14:solidFill>
              <w14:schemeClr w14:val="tx1"/>
            </w14:solidFill>
          </w14:textFill>
        </w:rPr>
        <w:t>插表3</w:t>
      </w:r>
      <w:r>
        <w:rPr>
          <w:rFonts w:hint="eastAsia" w:cs="Times New Roman"/>
          <w:bCs/>
          <w:color w:val="000000" w:themeColor="text1"/>
          <w:sz w:val="24"/>
          <w:lang w:val="en-US" w:eastAsia="zh-CN"/>
          <w14:textFill>
            <w14:solidFill>
              <w14:schemeClr w14:val="tx1"/>
            </w14:solidFill>
          </w14:textFill>
        </w:rPr>
        <w:t>4</w:t>
      </w:r>
      <w:r>
        <w:rPr>
          <w:rFonts w:hint="default" w:ascii="Times New Roman" w:hAnsi="Times New Roman" w:cs="Times New Roman"/>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cs="Times New Roman" w:eastAsiaTheme="minorEastAsia"/>
          <w:b/>
          <w:bCs w:val="0"/>
          <w:color w:val="000000" w:themeColor="text1"/>
          <w:sz w:val="21"/>
          <w:szCs w:val="21"/>
          <w14:textFill>
            <w14:solidFill>
              <w14:schemeClr w14:val="tx1"/>
            </w14:solidFill>
          </w14:textFill>
        </w:rPr>
      </w:pP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插表3</w:t>
      </w:r>
      <w:r>
        <w:rPr>
          <w:rFonts w:hint="eastAsia" w:cs="Times New Roman" w:eastAsiaTheme="minorEastAsia"/>
          <w:b/>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sz w:val="21"/>
          <w:szCs w:val="21"/>
          <w14:textFill>
            <w14:solidFill>
              <w14:schemeClr w14:val="tx1"/>
            </w14:solidFill>
          </w14:textFill>
        </w:rPr>
        <w:t>生态评价等级判定表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971"/>
        <w:gridCol w:w="73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1061"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3938"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判定指标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61"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工程占地范围</w:t>
            </w:r>
          </w:p>
        </w:tc>
        <w:tc>
          <w:tcPr>
            <w:tcW w:w="3938"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项目占地面积</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＜2.0km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61"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区域生态敏感性</w:t>
            </w:r>
          </w:p>
        </w:tc>
        <w:tc>
          <w:tcPr>
            <w:tcW w:w="3938"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一般区域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61"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评价等级</w:t>
            </w:r>
          </w:p>
        </w:tc>
        <w:tc>
          <w:tcPr>
            <w:tcW w:w="3938"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三级评价</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2）评价范围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生态影响评价范围为：</w:t>
      </w:r>
      <w:r>
        <w:rPr>
          <w:rFonts w:hint="default" w:ascii="Times New Roman" w:hAnsi="Times New Roman" w:cs="Times New Roman"/>
          <w:bCs/>
          <w:color w:val="000000" w:themeColor="text1"/>
          <w:sz w:val="24"/>
          <w:lang w:eastAsia="zh-CN"/>
          <w14:textFill>
            <w14:solidFill>
              <w14:schemeClr w14:val="tx1"/>
            </w14:solidFill>
          </w14:textFill>
        </w:rPr>
        <w:t>项目占地范围外扩</w:t>
      </w:r>
      <w:r>
        <w:rPr>
          <w:rFonts w:hint="default" w:ascii="Times New Roman" w:hAnsi="Times New Roman" w:cs="Times New Roman"/>
          <w:bCs/>
          <w:color w:val="000000" w:themeColor="text1"/>
          <w:sz w:val="24"/>
          <w14:textFill>
            <w14:solidFill>
              <w14:schemeClr w14:val="tx1"/>
            </w14:solidFill>
          </w14:textFill>
        </w:rPr>
        <w:t>100m</w:t>
      </w:r>
      <w:r>
        <w:rPr>
          <w:rFonts w:hint="default" w:ascii="Times New Roman" w:hAnsi="Times New Roman" w:cs="Times New Roman"/>
          <w:bCs/>
          <w:color w:val="000000" w:themeColor="text1"/>
          <w:sz w:val="24"/>
          <w:lang w:eastAsia="zh-CN"/>
          <w14:textFill>
            <w14:solidFill>
              <w14:schemeClr w14:val="tx1"/>
            </w14:solidFill>
          </w14:textFill>
        </w:rPr>
        <w:t>范围</w:t>
      </w:r>
      <w:r>
        <w:rPr>
          <w:rFonts w:hint="default" w:ascii="Times New Roman" w:hAnsi="Times New Roman" w:cs="Times New Roman"/>
          <w:bCs/>
          <w:color w:val="000000" w:themeColor="text1"/>
          <w:sz w:val="24"/>
          <w14:textFill>
            <w14:solidFill>
              <w14:schemeClr w14:val="tx1"/>
            </w14:solidFill>
          </w14:textFill>
        </w:rPr>
        <w:t xml:space="preserve">。                                                                                                                                                                                                                                                                                                                                                                                                                                                                                                                                                                                                                                                                                                                                                                                                                                                                                                                                                                                                                                                                                                                                                                                                                                                                                                                                                                                  </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1.2 生态环境现状特征</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本项目井场总占地面积为</w:t>
      </w:r>
      <w:r>
        <w:rPr>
          <w:rFonts w:hint="default" w:ascii="Times New Roman" w:hAnsi="Times New Roman" w:cs="Times New Roman"/>
          <w:color w:val="000000" w:themeColor="text1"/>
          <w:sz w:val="24"/>
          <w:lang w:eastAsia="zh-CN"/>
          <w14:textFill>
            <w14:solidFill>
              <w14:schemeClr w14:val="tx1"/>
            </w14:solidFill>
          </w14:textFill>
        </w:rPr>
        <w:t>8000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，占地范围</w:t>
      </w:r>
      <w:r>
        <w:rPr>
          <w:rFonts w:hint="default" w:ascii="Times New Roman" w:hAnsi="Times New Roman" w:cs="Times New Roman"/>
          <w:color w:val="000000" w:themeColor="text1"/>
          <w:sz w:val="24"/>
          <w:lang w:eastAsia="zh-CN"/>
          <w14:textFill>
            <w14:solidFill>
              <w14:schemeClr w14:val="tx1"/>
            </w14:solidFill>
          </w14:textFill>
        </w:rPr>
        <w:t>内全部为</w:t>
      </w:r>
      <w:r>
        <w:rPr>
          <w:rFonts w:hint="default" w:ascii="Times New Roman" w:hAnsi="Times New Roman" w:cs="Times New Roman"/>
          <w:color w:val="000000" w:themeColor="text1"/>
          <w:sz w:val="24"/>
          <w:lang w:val="en-US" w:eastAsia="zh-CN"/>
          <w14:textFill>
            <w14:solidFill>
              <w14:schemeClr w14:val="tx1"/>
            </w14:solidFill>
          </w14:textFill>
        </w:rPr>
        <w:t>静乐县王村乡王村集体林地（退耕还林后一般灌木林地）</w:t>
      </w:r>
      <w:r>
        <w:rPr>
          <w:rFonts w:hint="default" w:ascii="Times New Roman" w:hAnsi="Times New Roman" w:cs="Times New Roman"/>
          <w:color w:val="000000" w:themeColor="text1"/>
          <w:sz w:val="24"/>
          <w14:textFill>
            <w14:solidFill>
              <w14:schemeClr w14:val="tx1"/>
            </w14:solidFill>
          </w14:textFill>
        </w:rPr>
        <w:t>，所在地区地表植被多样，耕地、草地、林地等交替分布，但大部分地带还是以</w:t>
      </w:r>
      <w:r>
        <w:rPr>
          <w:rFonts w:hint="default" w:ascii="Times New Roman" w:hAnsi="Times New Roman" w:cs="Times New Roman"/>
          <w:color w:val="000000" w:themeColor="text1"/>
          <w:sz w:val="24"/>
          <w:lang w:eastAsia="zh-CN"/>
          <w14:textFill>
            <w14:solidFill>
              <w14:schemeClr w14:val="tx1"/>
            </w14:solidFill>
          </w14:textFill>
        </w:rPr>
        <w:t>退耕还林地</w:t>
      </w:r>
      <w:r>
        <w:rPr>
          <w:rFonts w:hint="default" w:ascii="Times New Roman" w:hAnsi="Times New Roman" w:cs="Times New Roman"/>
          <w:color w:val="000000" w:themeColor="text1"/>
          <w:sz w:val="24"/>
          <w14:textFill>
            <w14:solidFill>
              <w14:schemeClr w14:val="tx1"/>
            </w14:solidFill>
          </w14:textFill>
        </w:rPr>
        <w:t>为主。</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区域内没有发现大型哺乳类野生动物，也没有发现国家和地方重点保护的珍稀濒危动物，分布的动物为普通可见的野鸡、野兔、田鼠以及各种常见昆虫等。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sectPr>
          <w:footerReference r:id="rId17"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76"/>
          <w:cols w:space="425" w:num="1"/>
          <w:docGrid w:type="linesAndChars" w:linePitch="312" w:charSpace="0"/>
        </w:sectPr>
      </w:pP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所在区域以农业生态系统和自然生态系统相结合，自然生态以乔、灌、草结合</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的生态系统。农业生态相对简单，农作物主要为</w:t>
      </w:r>
      <w:r>
        <w:rPr>
          <w:rFonts w:hint="default" w:ascii="Times New Roman" w:hAnsi="Times New Roman" w:cs="Times New Roman"/>
          <w:color w:val="000000" w:themeColor="text1"/>
          <w:sz w:val="24"/>
          <w:lang w:eastAsia="zh-CN"/>
          <w14:textFill>
            <w14:solidFill>
              <w14:schemeClr w14:val="tx1"/>
            </w14:solidFill>
          </w14:textFill>
        </w:rPr>
        <w:t>高粱</w:t>
      </w:r>
      <w:r>
        <w:rPr>
          <w:rFonts w:hint="default" w:ascii="Times New Roman" w:hAnsi="Times New Roman" w:cs="Times New Roman"/>
          <w:color w:val="000000" w:themeColor="text1"/>
          <w:sz w:val="24"/>
          <w14:textFill>
            <w14:solidFill>
              <w14:schemeClr w14:val="tx1"/>
            </w14:solidFill>
          </w14:textFill>
        </w:rPr>
        <w:t>。区域气候和土壤条件适宜植物生长，生态环境较好。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eastAsia="zh-CN"/>
          <w14:textFill>
            <w14:solidFill>
              <w14:schemeClr w14:val="tx1"/>
            </w14:solidFill>
          </w14:textFill>
        </w:rPr>
        <w:t>区域</w:t>
      </w:r>
      <w:r>
        <w:rPr>
          <w:rFonts w:hint="default" w:ascii="Times New Roman" w:hAnsi="Times New Roman" w:cs="Times New Roman"/>
          <w:color w:val="000000" w:themeColor="text1"/>
          <w:sz w:val="24"/>
          <w14:textFill>
            <w14:solidFill>
              <w14:schemeClr w14:val="tx1"/>
            </w14:solidFill>
          </w14:textFill>
        </w:rPr>
        <w:t>植被分布情况为自然植被除小部分山地分布有油松林外，大部分为灌丛、灌草丛和草丛植被。常见的有荆条灌丛、沙棘灌丛、虎榛子灌丛，以及荆条、</w:t>
      </w:r>
      <w:r>
        <w:rPr>
          <w:rFonts w:hint="default" w:ascii="Times New Roman" w:hAnsi="Times New Roman" w:cs="Times New Roman"/>
          <w:color w:val="000000" w:themeColor="text1"/>
          <w:sz w:val="24"/>
          <w:lang w:eastAsia="zh-CN"/>
          <w14:textFill>
            <w14:solidFill>
              <w14:schemeClr w14:val="tx1"/>
            </w14:solidFill>
          </w14:textFill>
        </w:rPr>
        <w:t>柠条、</w:t>
      </w:r>
      <w:r>
        <w:rPr>
          <w:rFonts w:hint="default" w:ascii="Times New Roman" w:hAnsi="Times New Roman" w:cs="Times New Roman"/>
          <w:color w:val="000000" w:themeColor="text1"/>
          <w:sz w:val="24"/>
          <w14:textFill>
            <w14:solidFill>
              <w14:schemeClr w14:val="tx1"/>
            </w14:solidFill>
          </w14:textFill>
        </w:rPr>
        <w:t>白羊草灌草丛等，栽培经济树种有核桃、桑树、黑椋子等，农作物以</w:t>
      </w:r>
      <w:r>
        <w:rPr>
          <w:rFonts w:hint="default" w:ascii="Times New Roman" w:hAnsi="Times New Roman" w:cs="Times New Roman"/>
          <w:color w:val="000000" w:themeColor="text1"/>
          <w:sz w:val="24"/>
          <w:lang w:eastAsia="zh-CN"/>
          <w14:textFill>
            <w14:solidFill>
              <w14:schemeClr w14:val="tx1"/>
            </w14:solidFill>
          </w14:textFill>
        </w:rPr>
        <w:t>高粱</w:t>
      </w:r>
      <w:r>
        <w:rPr>
          <w:rFonts w:hint="default" w:ascii="Times New Roman" w:hAnsi="Times New Roman" w:cs="Times New Roman"/>
          <w:color w:val="000000" w:themeColor="text1"/>
          <w:sz w:val="24"/>
          <w14:textFill>
            <w14:solidFill>
              <w14:schemeClr w14:val="tx1"/>
            </w14:solidFill>
          </w14:textFill>
        </w:rPr>
        <w:t>、谷子等杂粮为主，冬麦栽培面积不大。宁探1井场项目</w:t>
      </w:r>
      <w:r>
        <w:rPr>
          <w:rFonts w:hint="default" w:ascii="Times New Roman" w:hAnsi="Times New Roman" w:cs="Times New Roman"/>
          <w:color w:val="000000" w:themeColor="text1"/>
          <w:sz w:val="24"/>
          <w:lang w:eastAsia="zh-CN"/>
          <w14:textFill>
            <w14:solidFill>
              <w14:schemeClr w14:val="tx1"/>
            </w14:solidFill>
          </w14:textFill>
        </w:rPr>
        <w:t>占地</w:t>
      </w:r>
      <w:r>
        <w:rPr>
          <w:rFonts w:hint="default" w:ascii="Times New Roman" w:hAnsi="Times New Roman" w:cs="Times New Roman"/>
          <w:color w:val="000000" w:themeColor="text1"/>
          <w:sz w:val="24"/>
          <w14:textFill>
            <w14:solidFill>
              <w14:schemeClr w14:val="tx1"/>
            </w14:solidFill>
          </w14:textFill>
        </w:rPr>
        <w:t>主要植被类型以</w:t>
      </w:r>
      <w:r>
        <w:rPr>
          <w:rFonts w:hint="default" w:ascii="Times New Roman" w:hAnsi="Times New Roman" w:cs="Times New Roman"/>
          <w:color w:val="000000" w:themeColor="text1"/>
          <w:sz w:val="24"/>
          <w:lang w:eastAsia="zh-CN"/>
          <w14:textFill>
            <w14:solidFill>
              <w14:schemeClr w14:val="tx1"/>
            </w14:solidFill>
          </w14:textFill>
        </w:rPr>
        <w:t>柠条</w:t>
      </w:r>
      <w:r>
        <w:rPr>
          <w:rFonts w:hint="default" w:ascii="Times New Roman" w:hAnsi="Times New Roman" w:cs="Times New Roman"/>
          <w:color w:val="000000" w:themeColor="text1"/>
          <w:sz w:val="24"/>
          <w14:textFill>
            <w14:solidFill>
              <w14:schemeClr w14:val="tx1"/>
            </w14:solidFill>
          </w14:textFill>
        </w:rPr>
        <w:t>植被为主</w:t>
      </w:r>
      <w:r>
        <w:rPr>
          <w:rFonts w:hint="eastAsia" w:cs="Times New Roman"/>
          <w:color w:val="000000" w:themeColor="text1"/>
          <w:sz w:val="24"/>
          <w:lang w:val="en-US" w:eastAsia="zh-CN"/>
          <w14:textFill>
            <w14:solidFill>
              <w14:schemeClr w14:val="tx1"/>
            </w14:solidFill>
          </w14:textFill>
        </w:rPr>
        <w:t>的灌草丛</w:t>
      </w:r>
      <w:r>
        <w:rPr>
          <w:rFonts w:hint="default" w:ascii="Times New Roman" w:hAnsi="Times New Roman" w:cs="Times New Roman"/>
          <w:color w:val="000000" w:themeColor="text1"/>
          <w:sz w:val="24"/>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1.3 相关规划符合性分析</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山西省主体功能区划符合性分析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根据《山西省主体功能区划》，本项目位于“</w:t>
      </w:r>
      <w:r>
        <w:rPr>
          <w:rFonts w:hint="default" w:ascii="Times New Roman" w:hAnsi="Times New Roman" w:cs="Times New Roman"/>
          <w:color w:val="000000" w:themeColor="text1"/>
          <w:sz w:val="24"/>
          <w:lang w:eastAsia="zh-CN"/>
          <w14:textFill>
            <w14:solidFill>
              <w14:schemeClr w14:val="tx1"/>
            </w14:solidFill>
          </w14:textFill>
        </w:rPr>
        <w:t>省级</w:t>
      </w:r>
      <w:r>
        <w:rPr>
          <w:rFonts w:hint="default" w:ascii="Times New Roman" w:hAnsi="Times New Roman" w:cs="Times New Roman"/>
          <w:color w:val="000000" w:themeColor="text1"/>
          <w:sz w:val="24"/>
          <w14:textFill>
            <w14:solidFill>
              <w14:schemeClr w14:val="tx1"/>
            </w14:solidFill>
          </w14:textFill>
        </w:rPr>
        <w:t>限制开发的重点生态功能区——</w:t>
      </w:r>
      <w:r>
        <w:rPr>
          <w:rFonts w:hint="default" w:ascii="Times New Roman" w:hAnsi="Times New Roman" w:cs="Times New Roman"/>
          <w:color w:val="000000" w:themeColor="text1"/>
          <w:sz w:val="24"/>
          <w:lang w:eastAsia="zh-CN"/>
          <w14:textFill>
            <w14:solidFill>
              <w14:schemeClr w14:val="tx1"/>
            </w14:solidFill>
          </w14:textFill>
        </w:rPr>
        <w:t>吕梁山水源涵养及水土保持</w:t>
      </w:r>
      <w:r>
        <w:rPr>
          <w:rFonts w:hint="default" w:ascii="Times New Roman" w:hAnsi="Times New Roman" w:cs="Times New Roman"/>
          <w:color w:val="000000" w:themeColor="text1"/>
          <w:sz w:val="24"/>
          <w14:textFill>
            <w14:solidFill>
              <w14:schemeClr w14:val="tx1"/>
            </w14:solidFill>
          </w14:textFill>
        </w:rPr>
        <w:t>生态功能区”。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功能定位：</w:t>
      </w:r>
      <w:r>
        <w:rPr>
          <w:rFonts w:hint="default" w:ascii="Times New Roman" w:hAnsi="Times New Roman" w:eastAsia="宋体" w:cs="Times New Roman"/>
          <w:color w:val="000000" w:themeColor="text1"/>
          <w:sz w:val="24"/>
          <w:szCs w:val="24"/>
          <w14:textFill>
            <w14:solidFill>
              <w14:schemeClr w14:val="tx1"/>
            </w14:solidFill>
          </w14:textFill>
        </w:rPr>
        <w:t>汾河、北川河、桑</w:t>
      </w:r>
      <w:r>
        <w:rPr>
          <w:rFonts w:hint="default" w:ascii="Times New Roman" w:hAnsi="Times New Roman" w:cs="Times New Roman"/>
          <w:color w:val="000000" w:themeColor="text1"/>
          <w:sz w:val="24"/>
          <w:szCs w:val="24"/>
          <w:lang w:eastAsia="zh-CN"/>
          <w14:textFill>
            <w14:solidFill>
              <w14:schemeClr w14:val="tx1"/>
            </w14:solidFill>
          </w14:textFill>
        </w:rPr>
        <w:t>干</w:t>
      </w:r>
      <w:r>
        <w:rPr>
          <w:rFonts w:hint="default" w:ascii="Times New Roman" w:hAnsi="Times New Roman" w:eastAsia="宋体" w:cs="Times New Roman"/>
          <w:color w:val="000000" w:themeColor="text1"/>
          <w:sz w:val="24"/>
          <w:szCs w:val="24"/>
          <w14:textFill>
            <w14:solidFill>
              <w14:schemeClr w14:val="tx1"/>
            </w14:solidFill>
          </w14:textFill>
        </w:rPr>
        <w:t>河水源涵养区。该区域北部植被覆盖较好，东部、南部水土流失严重，煤炭开采点较多，自然环境破坏严重。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发展方向：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1）开展小流域综合治理和淤地坝系建设，实施封山禁牧，恢复退化植被。加强幼林抚育管护，巩固和扩大退耕还林（草）成果，促进生态系统恢复。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实施天然林保护工程，全面保护森林及草地，根据南北、东西生态特征，采取不同的管护措施。管涔山建立以水源涵养林为主体的生态公益林体系</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东、南部加强吕梁山林区的保护，积极营造水土保持林和水源涵养林</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低山丘陵地区适当发展经济果木。</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勘探项目，项目建设会占用土地和破坏植被，进而引发一定程度的水土流失，但项目占地均为临时占地，</w:t>
      </w:r>
      <w:r>
        <w:rPr>
          <w:rFonts w:hint="default" w:ascii="Times New Roman" w:hAnsi="Times New Roman" w:cs="Times New Roman"/>
          <w:color w:val="000000" w:themeColor="text1"/>
          <w:sz w:val="24"/>
          <w:lang w:eastAsia="zh-CN"/>
          <w14:textFill>
            <w14:solidFill>
              <w14:schemeClr w14:val="tx1"/>
            </w14:solidFill>
          </w14:textFill>
        </w:rPr>
        <w:t>占地类型为一般灌木林地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呈点状分布；扰动区植被均为本区域常见的种类，项目建设前期制定严格的生态保护措施和水土保持措施，施工结束后及时对扰动区域按照批复的方案进行相应的恢复。因此，项目建设运营不会影响区域水土保持的主体功能定位，而且勘探区当地生态环境良好，区域生态系统稳定，抗干扰能力强，当地资源环境可承载，项目闭井后，通过植被恢复，可以恢复区域主体功能。</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与《静乐县生态功能区划》和《静乐县生态经济区划》符合性分析</w:t>
      </w:r>
      <w:r>
        <w:rPr>
          <w:rFonts w:hint="eastAsia" w:cs="Times New Roman" w:eastAsiaTheme="minorEastAsia"/>
          <w:b/>
          <w:bCs/>
          <w:color w:val="000000" w:themeColor="text1"/>
          <w:sz w:val="24"/>
          <w:szCs w:val="24"/>
          <w:lang w:val="en-US" w:eastAsia="zh-CN"/>
          <w14:textFill>
            <w14:solidFill>
              <w14:schemeClr w14:val="tx1"/>
            </w14:solidFill>
          </w14:textFill>
        </w:rPr>
        <w:t>（略）</w:t>
      </w:r>
    </w:p>
    <w:bookmarkEnd w:id="18"/>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1.4 生态现状调查与评价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生态现状调查是生态现状评价、影响预测的基础和依据，为保证调查的内容和指标能准确反映本项目生态评价范围内的生态背景特征。</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调查与评价方法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月项目组对评价区内的生态环境现状进行了第1次现场调查，201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月，项目组对评价区进行了第2次调查，采取的调查方法均为资料收集和现场踏勘，主要调查评价区生态环境状况、植被状况、野生动物分布情况、生物多样性状况、生态敏感目标分布状况，以及勘探场地及周边生态环境状况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  生态影响》（HJ19-2011）推荐的生态评价方法，本次生态环境现状调查与评价主要采用现场调查、生物多样性评价相结合的方法，对评价区生态环境现状作出评价。利用该区域卫星影像及收集的相关资料，初步判断项目区周围土地利用、植被分布和敏感目标分布状况。</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生态系统类型调查与评价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本次生态系统现状调查采用实地调查，经实地调查，评价</w:t>
      </w:r>
      <w:r>
        <w:rPr>
          <w:rFonts w:hint="default" w:ascii="Times New Roman" w:hAnsi="Times New Roman" w:cs="Times New Roman"/>
          <w:color w:val="000000" w:themeColor="text1"/>
          <w:sz w:val="24"/>
          <w:lang w:eastAsia="zh-CN"/>
          <w14:textFill>
            <w14:solidFill>
              <w14:schemeClr w14:val="tx1"/>
            </w14:solidFill>
          </w14:textFill>
        </w:rPr>
        <w:t>区域</w:t>
      </w:r>
      <w:r>
        <w:rPr>
          <w:rFonts w:hint="default" w:ascii="Times New Roman" w:hAnsi="Times New Roman" w:cs="Times New Roman"/>
          <w:color w:val="000000" w:themeColor="text1"/>
          <w:sz w:val="24"/>
          <w14:textFill>
            <w14:solidFill>
              <w14:schemeClr w14:val="tx1"/>
            </w14:solidFill>
          </w14:textFill>
        </w:rPr>
        <w:t>主要生态系统类型为林地生态系统和草地生态系统。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林地生态系统：疏林地植被主要有油松、侧柏、刺槐、核桃、杨柳树等；灌木有连翘、黄栌、沙棘、荆条等灌丛，草本植物主要有禾本科和菊科的植物等。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草地生态系统：评价区草地生态系统以荒草地为主，主要为灌草。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区域内没有大型哺乳类野生动物，也没有国家和地方重点保护的珍稀濒危动物，只有野兔、野鸡、田鼠以及各种常见昆虫等生活在区域内。</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4.3 </w:t>
      </w:r>
      <w:r>
        <w:rPr>
          <w:rFonts w:hint="default" w:ascii="Times New Roman" w:hAnsi="Times New Roman" w:cs="Times New Roman" w:eastAsiaTheme="minorEastAsia"/>
          <w:b/>
          <w:bCs/>
          <w:color w:val="000000" w:themeColor="text1"/>
          <w:sz w:val="24"/>
          <w:szCs w:val="24"/>
          <w14:textFill>
            <w14:solidFill>
              <w14:schemeClr w14:val="tx1"/>
            </w14:solidFill>
          </w14:textFill>
        </w:rPr>
        <w:t>利用现状调查与评价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1）土地利用现状调查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本项目总占地面积为</w:t>
      </w:r>
      <w:r>
        <w:rPr>
          <w:rFonts w:hint="default" w:ascii="Times New Roman" w:hAnsi="Times New Roman" w:cs="Times New Roman"/>
          <w:color w:val="000000" w:themeColor="text1"/>
          <w:sz w:val="24"/>
          <w:lang w:eastAsia="zh-CN"/>
          <w14:textFill>
            <w14:solidFill>
              <w14:schemeClr w14:val="tx1"/>
            </w14:solidFill>
          </w14:textFill>
        </w:rPr>
        <w:t>8000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，项目占地类型为</w:t>
      </w:r>
      <w:r>
        <w:rPr>
          <w:rFonts w:hint="default" w:ascii="Times New Roman" w:hAnsi="Times New Roman" w:cs="Times New Roman"/>
          <w:color w:val="000000" w:themeColor="text1"/>
          <w:sz w:val="24"/>
          <w:lang w:eastAsia="zh-CN"/>
          <w14:textFill>
            <w14:solidFill>
              <w14:schemeClr w14:val="tx1"/>
            </w14:solidFill>
          </w14:textFill>
        </w:rPr>
        <w:t>退耕还林（一般灌木林）</w:t>
      </w:r>
      <w:r>
        <w:rPr>
          <w:rFonts w:hint="default" w:ascii="Times New Roman" w:hAnsi="Times New Roman" w:cs="Times New Roman"/>
          <w:color w:val="000000" w:themeColor="text1"/>
          <w:sz w:val="24"/>
          <w14:textFill>
            <w14:solidFill>
              <w14:schemeClr w14:val="tx1"/>
            </w14:solidFill>
          </w14:textFill>
        </w:rPr>
        <w:t>，井场周边居民稀疏，人类活动的主要形式为农业生产活动。</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2）土地利用现状评价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本项目本项目宁探1井场占用土地</w:t>
      </w:r>
      <w:r>
        <w:rPr>
          <w:rFonts w:hint="default" w:ascii="Times New Roman" w:hAnsi="Times New Roman" w:cs="Times New Roman"/>
          <w:color w:val="000000" w:themeColor="text1"/>
          <w:sz w:val="24"/>
          <w:lang w:eastAsia="zh-CN"/>
          <w14:textFill>
            <w14:solidFill>
              <w14:schemeClr w14:val="tx1"/>
            </w14:solidFill>
          </w14:textFill>
        </w:rPr>
        <w:t>8000</w:t>
      </w:r>
      <w:r>
        <w:rPr>
          <w:rFonts w:hint="default" w:ascii="Times New Roman" w:hAnsi="Times New Roman" w:cs="Times New Roman"/>
          <w:color w:val="000000" w:themeColor="text1"/>
          <w:sz w:val="24"/>
          <w14:textFill>
            <w14:solidFill>
              <w14:schemeClr w14:val="tx1"/>
            </w14:solidFill>
          </w14:textFill>
        </w:rPr>
        <w:t xml:space="preserve"> 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全部为退耕还林地（一般灌木林地），属于其他地方公益林地</w:t>
      </w:r>
      <w:r>
        <w:rPr>
          <w:rFonts w:hint="default" w:ascii="Times New Roman" w:hAnsi="Times New Roman" w:cs="Times New Roman"/>
          <w:color w:val="000000" w:themeColor="text1"/>
          <w:sz w:val="24"/>
          <w:lang w:val="en-US" w:eastAsia="zh-CN"/>
          <w14:textFill>
            <w14:solidFill>
              <w14:schemeClr w14:val="tx1"/>
            </w14:solidFill>
          </w14:textFill>
        </w:rPr>
        <w:t>-IV</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宁探1井</w:t>
      </w:r>
      <w:r>
        <w:rPr>
          <w:rFonts w:hint="default" w:ascii="Times New Roman" w:hAnsi="Times New Roman" w:cs="Times New Roman"/>
          <w:color w:val="000000" w:themeColor="text1"/>
          <w:sz w:val="24"/>
          <w14:textFill>
            <w14:solidFill>
              <w14:schemeClr w14:val="tx1"/>
            </w14:solidFill>
          </w14:textFill>
        </w:rPr>
        <w:t>井场周边的土地利用现状见附图1</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3）植被生物量和生产力</w:t>
      </w:r>
    </w:p>
    <w:p>
      <w:pPr>
        <w:spacing w:line="30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根据国内有关植被生物量研究成果，对</w:t>
      </w:r>
      <w:r>
        <w:rPr>
          <w:rFonts w:hint="eastAsia"/>
          <w:color w:val="000000" w:themeColor="text1"/>
          <w:kern w:val="0"/>
          <w:sz w:val="24"/>
          <w:szCs w:val="20"/>
          <w:lang w:val="en-US" w:eastAsia="zh-CN"/>
          <w14:textFill>
            <w14:solidFill>
              <w14:schemeClr w14:val="tx1"/>
            </w14:solidFill>
          </w14:textFill>
        </w:rPr>
        <w:t>本项目</w:t>
      </w:r>
      <w:r>
        <w:rPr>
          <w:color w:val="000000" w:themeColor="text1"/>
          <w:kern w:val="0"/>
          <w:sz w:val="24"/>
          <w:szCs w:val="20"/>
          <w14:textFill>
            <w14:solidFill>
              <w14:schemeClr w14:val="tx1"/>
            </w14:solidFill>
          </w14:textFill>
        </w:rPr>
        <w:t>评价范围内的植被生物量进行了估算，结果见</w:t>
      </w:r>
      <w:r>
        <w:rPr>
          <w:rFonts w:hint="eastAsia"/>
          <w:color w:val="000000" w:themeColor="text1"/>
          <w:kern w:val="0"/>
          <w:sz w:val="24"/>
          <w:szCs w:val="20"/>
          <w:lang w:val="en-US" w:eastAsia="zh-CN"/>
          <w14:textFill>
            <w14:solidFill>
              <w14:schemeClr w14:val="tx1"/>
            </w14:solidFill>
          </w14:textFill>
        </w:rPr>
        <w:t>插</w:t>
      </w:r>
      <w:r>
        <w:rPr>
          <w:color w:val="000000" w:themeColor="text1"/>
          <w:kern w:val="0"/>
          <w:sz w:val="24"/>
          <w:szCs w:val="20"/>
          <w14:textFill>
            <w14:solidFill>
              <w14:schemeClr w14:val="tx1"/>
            </w14:solidFill>
          </w14:textFill>
        </w:rPr>
        <w:t>表</w:t>
      </w:r>
      <w:r>
        <w:rPr>
          <w:rFonts w:hint="eastAsia"/>
          <w:color w:val="000000" w:themeColor="text1"/>
          <w:kern w:val="0"/>
          <w:sz w:val="24"/>
          <w:szCs w:val="20"/>
          <w:lang w:val="en-US" w:eastAsia="zh-CN"/>
          <w14:textFill>
            <w14:solidFill>
              <w14:schemeClr w14:val="tx1"/>
            </w14:solidFill>
          </w14:textFill>
        </w:rPr>
        <w:t>35</w:t>
      </w:r>
      <w:r>
        <w:rPr>
          <w:color w:val="000000" w:themeColor="text1"/>
          <w:kern w:val="0"/>
          <w:sz w:val="24"/>
          <w:szCs w:val="20"/>
          <w14:textFill>
            <w14:solidFill>
              <w14:schemeClr w14:val="tx1"/>
            </w14:solidFill>
          </w14:textFill>
        </w:rPr>
        <w:t>。</w:t>
      </w:r>
    </w:p>
    <w:p>
      <w:pPr>
        <w:tabs>
          <w:tab w:val="left" w:pos="2760"/>
        </w:tabs>
        <w:adjustRightInd w:val="0"/>
        <w:snapToGrid w:val="0"/>
        <w:jc w:val="center"/>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插</w:t>
      </w:r>
      <w:r>
        <w:rPr>
          <w:b/>
          <w:color w:val="000000" w:themeColor="text1"/>
          <w14:textFill>
            <w14:solidFill>
              <w14:schemeClr w14:val="tx1"/>
            </w14:solidFill>
          </w14:textFill>
        </w:rPr>
        <w:t>表</w:t>
      </w:r>
      <w:r>
        <w:rPr>
          <w:rFonts w:hint="eastAsia"/>
          <w:b/>
          <w:color w:val="000000" w:themeColor="text1"/>
          <w:lang w:val="en-US" w:eastAsia="zh-CN"/>
          <w14:textFill>
            <w14:solidFill>
              <w14:schemeClr w14:val="tx1"/>
            </w14:solidFill>
          </w14:textFill>
        </w:rPr>
        <w:t xml:space="preserve">35  </w:t>
      </w:r>
      <w:r>
        <w:rPr>
          <w:b/>
          <w:color w:val="000000" w:themeColor="text1"/>
          <w14:textFill>
            <w14:solidFill>
              <w14:schemeClr w14:val="tx1"/>
            </w14:solidFill>
          </w14:textFill>
        </w:rPr>
        <w:t>评价范围植被生物量估算表</w:t>
      </w:r>
    </w:p>
    <w:tbl>
      <w:tblPr>
        <w:tblStyle w:val="44"/>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5"/>
        <w:gridCol w:w="1537"/>
        <w:gridCol w:w="1553"/>
        <w:gridCol w:w="1546"/>
        <w:gridCol w:w="1550"/>
        <w:gridCol w:w="15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22"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植被类型</w:t>
            </w:r>
          </w:p>
        </w:tc>
        <w:tc>
          <w:tcPr>
            <w:tcW w:w="828"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平均生物量（t/hm</w:t>
            </w:r>
            <w:r>
              <w:rPr>
                <w:b/>
                <w:bCs/>
                <w:snapToGrid w:val="0"/>
                <w:color w:val="000000" w:themeColor="text1"/>
                <w:kern w:val="0"/>
                <w:szCs w:val="21"/>
                <w:vertAlign w:val="superscript"/>
                <w14:textFill>
                  <w14:solidFill>
                    <w14:schemeClr w14:val="tx1"/>
                  </w14:solidFill>
                </w14:textFill>
              </w:rPr>
              <w:t>2</w:t>
            </w:r>
            <w:r>
              <w:rPr>
                <w:b/>
                <w:bCs/>
                <w:snapToGrid w:val="0"/>
                <w:color w:val="000000" w:themeColor="text1"/>
                <w:kern w:val="0"/>
                <w:szCs w:val="21"/>
                <w14:textFill>
                  <w14:solidFill>
                    <w14:schemeClr w14:val="tx1"/>
                  </w14:solidFill>
                </w14:textFill>
              </w:rPr>
              <w:t>）</w:t>
            </w:r>
          </w:p>
        </w:tc>
        <w:tc>
          <w:tcPr>
            <w:tcW w:w="837" w:type="pct"/>
            <w:vAlign w:val="center"/>
          </w:tcPr>
          <w:p>
            <w:pPr>
              <w:tabs>
                <w:tab w:val="left" w:pos="2760"/>
              </w:tabs>
              <w:adjustRightInd w:val="0"/>
              <w:snapToGrid w:val="0"/>
              <w:jc w:val="center"/>
              <w:rPr>
                <w:rFonts w:hint="default" w:eastAsia="宋体"/>
                <w:b/>
                <w:bCs/>
                <w:snapToGrid w:val="0"/>
                <w:color w:val="000000" w:themeColor="text1"/>
                <w:kern w:val="0"/>
                <w:szCs w:val="2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平均生产力</w:t>
            </w:r>
            <w:r>
              <w:rPr>
                <w:b/>
                <w:bCs/>
                <w:snapToGrid w:val="0"/>
                <w:color w:val="000000" w:themeColor="text1"/>
                <w:kern w:val="0"/>
                <w:szCs w:val="21"/>
                <w14:textFill>
                  <w14:solidFill>
                    <w14:schemeClr w14:val="tx1"/>
                  </w14:solidFill>
                </w14:textFill>
              </w:rPr>
              <w:t>（t/hm</w:t>
            </w:r>
            <w:r>
              <w:rPr>
                <w:b/>
                <w:bCs/>
                <w:snapToGrid w:val="0"/>
                <w:color w:val="000000" w:themeColor="text1"/>
                <w:kern w:val="0"/>
                <w:szCs w:val="21"/>
                <w:vertAlign w:val="superscript"/>
                <w14:textFill>
                  <w14:solidFill>
                    <w14:schemeClr w14:val="tx1"/>
                  </w14:solidFill>
                </w14:textFill>
              </w:rPr>
              <w:t>2</w:t>
            </w:r>
            <w:r>
              <w:rPr>
                <w:b/>
                <w:bCs/>
                <w:snapToGrid w:val="0"/>
                <w:color w:val="000000" w:themeColor="text1"/>
                <w:kern w:val="0"/>
                <w:szCs w:val="21"/>
                <w14:textFill>
                  <w14:solidFill>
                    <w14:schemeClr w14:val="tx1"/>
                  </w14:solidFill>
                </w14:textFill>
              </w:rPr>
              <w:t>·a）</w:t>
            </w:r>
          </w:p>
        </w:tc>
        <w:tc>
          <w:tcPr>
            <w:tcW w:w="833"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面积（hm</w:t>
            </w:r>
            <w:r>
              <w:rPr>
                <w:b/>
                <w:bCs/>
                <w:snapToGrid w:val="0"/>
                <w:color w:val="000000" w:themeColor="text1"/>
                <w:kern w:val="0"/>
                <w:szCs w:val="21"/>
                <w:vertAlign w:val="superscript"/>
                <w14:textFill>
                  <w14:solidFill>
                    <w14:schemeClr w14:val="tx1"/>
                  </w14:solidFill>
                </w14:textFill>
              </w:rPr>
              <w:t>2</w:t>
            </w:r>
            <w:r>
              <w:rPr>
                <w:b/>
                <w:bCs/>
                <w:snapToGrid w:val="0"/>
                <w:color w:val="000000" w:themeColor="text1"/>
                <w:kern w:val="0"/>
                <w:szCs w:val="21"/>
                <w14:textFill>
                  <w14:solidFill>
                    <w14:schemeClr w14:val="tx1"/>
                  </w14:solidFill>
                </w14:textFill>
              </w:rPr>
              <w:t>）</w:t>
            </w:r>
          </w:p>
        </w:tc>
        <w:tc>
          <w:tcPr>
            <w:tcW w:w="835" w:type="pct"/>
            <w:vAlign w:val="center"/>
          </w:tcPr>
          <w:p>
            <w:pPr>
              <w:tabs>
                <w:tab w:val="left" w:pos="2760"/>
              </w:tabs>
              <w:adjustRightInd w:val="0"/>
              <w:snapToGrid w:val="0"/>
              <w:jc w:val="center"/>
              <w:rPr>
                <w:rFonts w:hint="eastAsia" w:eastAsia="宋体"/>
                <w:b/>
                <w:bCs/>
                <w:snapToGrid w:val="0"/>
                <w:color w:val="000000" w:themeColor="text1"/>
                <w:kern w:val="0"/>
                <w:szCs w:val="2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生产力</w:t>
            </w:r>
            <w:r>
              <w:rPr>
                <w:b/>
                <w:bCs/>
                <w:snapToGrid w:val="0"/>
                <w:color w:val="000000" w:themeColor="text1"/>
                <w:kern w:val="0"/>
                <w:szCs w:val="21"/>
                <w14:textFill>
                  <w14:solidFill>
                    <w14:schemeClr w14:val="tx1"/>
                  </w14:solidFill>
                </w14:textFill>
              </w:rPr>
              <w:t>（t/a）</w:t>
            </w:r>
          </w:p>
        </w:tc>
        <w:tc>
          <w:tcPr>
            <w:tcW w:w="842"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生物量（t）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pPr>
              <w:tabs>
                <w:tab w:val="left" w:pos="2760"/>
              </w:tabs>
              <w:adjustRightInd w:val="0"/>
              <w:snapToGrid w:val="0"/>
              <w:jc w:val="center"/>
              <w:rPr>
                <w:rFonts w:hint="default" w:eastAsia="宋体"/>
                <w:b/>
                <w:bCs/>
                <w:snapToGrid w:val="0"/>
                <w:color w:val="000000" w:themeColor="text1"/>
                <w:kern w:val="0"/>
                <w:szCs w:val="2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井场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22"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灌草丛</w:t>
            </w:r>
          </w:p>
        </w:tc>
        <w:tc>
          <w:tcPr>
            <w:tcW w:w="828"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13.14</w:t>
            </w:r>
          </w:p>
        </w:tc>
        <w:tc>
          <w:tcPr>
            <w:tcW w:w="837"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8.779</w:t>
            </w:r>
          </w:p>
        </w:tc>
        <w:tc>
          <w:tcPr>
            <w:tcW w:w="833"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0.8</w:t>
            </w:r>
          </w:p>
        </w:tc>
        <w:tc>
          <w:tcPr>
            <w:tcW w:w="835" w:type="pct"/>
            <w:vAlign w:val="center"/>
          </w:tcPr>
          <w:p>
            <w:pPr>
              <w:tabs>
                <w:tab w:val="left" w:pos="2760"/>
              </w:tabs>
              <w:adjustRightInd w:val="0"/>
              <w:snapToGrid w:val="0"/>
              <w:jc w:val="center"/>
              <w:textAlignment w:val="center"/>
              <w:rPr>
                <w:rFonts w:hint="default"/>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7.04</w:t>
            </w:r>
          </w:p>
        </w:tc>
        <w:tc>
          <w:tcPr>
            <w:tcW w:w="842"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10.51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22" w:type="pct"/>
            <w:vAlign w:val="center"/>
          </w:tcPr>
          <w:p>
            <w:pPr>
              <w:tabs>
                <w:tab w:val="left" w:pos="2760"/>
              </w:tabs>
              <w:adjustRightInd w:val="0"/>
              <w:snapToGrid w:val="0"/>
              <w:jc w:val="center"/>
              <w:textAlignment w:val="center"/>
              <w:rPr>
                <w:snapToGrid w:val="0"/>
                <w:color w:val="000000" w:themeColor="text1"/>
                <w:kern w:val="0"/>
                <w:szCs w:val="28"/>
                <w14:textFill>
                  <w14:solidFill>
                    <w14:schemeClr w14:val="tx1"/>
                  </w14:solidFill>
                </w14:textFill>
              </w:rPr>
            </w:pPr>
            <w:r>
              <w:rPr>
                <w:snapToGrid w:val="0"/>
                <w:color w:val="000000" w:themeColor="text1"/>
                <w:kern w:val="0"/>
                <w:szCs w:val="28"/>
                <w14:textFill>
                  <w14:solidFill>
                    <w14:schemeClr w14:val="tx1"/>
                  </w14:solidFill>
                </w14:textFill>
              </w:rPr>
              <w:t>合计</w:t>
            </w:r>
          </w:p>
        </w:tc>
        <w:tc>
          <w:tcPr>
            <w:tcW w:w="828" w:type="pct"/>
            <w:vAlign w:val="center"/>
          </w:tcPr>
          <w:p>
            <w:pPr>
              <w:tabs>
                <w:tab w:val="left" w:pos="2760"/>
              </w:tabs>
              <w:adjustRightInd w:val="0"/>
              <w:snapToGrid w:val="0"/>
              <w:jc w:val="center"/>
              <w:textAlignment w:val="center"/>
              <w:rPr>
                <w:snapToGrid w:val="0"/>
                <w:color w:val="000000" w:themeColor="text1"/>
                <w:kern w:val="0"/>
                <w:szCs w:val="28"/>
                <w14:textFill>
                  <w14:solidFill>
                    <w14:schemeClr w14:val="tx1"/>
                  </w14:solidFill>
                </w14:textFill>
              </w:rPr>
            </w:pPr>
            <w:r>
              <w:rPr>
                <w:snapToGrid w:val="0"/>
                <w:color w:val="000000" w:themeColor="text1"/>
                <w:kern w:val="0"/>
                <w:szCs w:val="28"/>
                <w14:textFill>
                  <w14:solidFill>
                    <w14:schemeClr w14:val="tx1"/>
                  </w14:solidFill>
                </w14:textFill>
              </w:rPr>
              <w:t>/</w:t>
            </w:r>
          </w:p>
        </w:tc>
        <w:tc>
          <w:tcPr>
            <w:tcW w:w="837" w:type="pct"/>
            <w:vAlign w:val="center"/>
          </w:tcPr>
          <w:p>
            <w:pPr>
              <w:tabs>
                <w:tab w:val="left" w:pos="2760"/>
              </w:tabs>
              <w:adjustRightInd w:val="0"/>
              <w:snapToGrid w:val="0"/>
              <w:jc w:val="center"/>
              <w:textAlignment w:val="center"/>
              <w:rPr>
                <w:rFonts w:hint="eastAsia"/>
                <w:snapToGrid w:val="0"/>
                <w:color w:val="000000" w:themeColor="text1"/>
                <w:kern w:val="0"/>
                <w:szCs w:val="28"/>
                <w:lang w:val="en-US" w:eastAsia="zh-CN"/>
                <w14:textFill>
                  <w14:solidFill>
                    <w14:schemeClr w14:val="tx1"/>
                  </w14:solidFill>
                </w14:textFill>
              </w:rPr>
            </w:pPr>
            <w:r>
              <w:rPr>
                <w:snapToGrid w:val="0"/>
                <w:color w:val="000000" w:themeColor="text1"/>
                <w:kern w:val="0"/>
                <w:szCs w:val="28"/>
                <w14:textFill>
                  <w14:solidFill>
                    <w14:schemeClr w14:val="tx1"/>
                  </w14:solidFill>
                </w14:textFill>
              </w:rPr>
              <w:t>/</w:t>
            </w:r>
          </w:p>
        </w:tc>
        <w:tc>
          <w:tcPr>
            <w:tcW w:w="833" w:type="pct"/>
            <w:vAlign w:val="center"/>
          </w:tcPr>
          <w:p>
            <w:pPr>
              <w:tabs>
                <w:tab w:val="left" w:pos="2760"/>
              </w:tabs>
              <w:adjustRightInd w:val="0"/>
              <w:snapToGrid w:val="0"/>
              <w:jc w:val="center"/>
              <w:textAlignment w:val="center"/>
              <w:rPr>
                <w:rFonts w:hint="default" w:eastAsia="宋体"/>
                <w:b/>
                <w:bCs/>
                <w:snapToGrid w:val="0"/>
                <w:color w:val="000000" w:themeColor="text1"/>
                <w:kern w:val="0"/>
                <w:szCs w:val="28"/>
                <w:lang w:val="en-US" w:eastAsia="zh-CN"/>
                <w14:textFill>
                  <w14:solidFill>
                    <w14:schemeClr w14:val="tx1"/>
                  </w14:solidFill>
                </w14:textFill>
              </w:rPr>
            </w:pPr>
            <w:r>
              <w:rPr>
                <w:snapToGrid w:val="0"/>
                <w:color w:val="000000" w:themeColor="text1"/>
                <w:kern w:val="0"/>
                <w:szCs w:val="28"/>
                <w14:textFill>
                  <w14:solidFill>
                    <w14:schemeClr w14:val="tx1"/>
                  </w14:solidFill>
                </w14:textFill>
              </w:rPr>
              <w:t>/</w:t>
            </w:r>
          </w:p>
        </w:tc>
        <w:tc>
          <w:tcPr>
            <w:tcW w:w="1550" w:type="dxa"/>
            <w:vAlign w:val="center"/>
          </w:tcPr>
          <w:p>
            <w:pPr>
              <w:tabs>
                <w:tab w:val="left" w:pos="2760"/>
              </w:tabs>
              <w:adjustRightInd w:val="0"/>
              <w:snapToGrid w:val="0"/>
              <w:jc w:val="center"/>
              <w:textAlignment w:val="center"/>
              <w:rPr>
                <w:rFonts w:hint="default"/>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7.04</w:t>
            </w:r>
          </w:p>
        </w:tc>
        <w:tc>
          <w:tcPr>
            <w:tcW w:w="1568" w:type="dxa"/>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10.51</w:t>
            </w:r>
          </w:p>
        </w:tc>
      </w:tr>
    </w:tbl>
    <w:p>
      <w:pPr>
        <w:tabs>
          <w:tab w:val="left" w:pos="3000"/>
        </w:tabs>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注：表中自然植被的平均生物量参照方精云等《我国森林植被的生物量和净生产量》（生态学报，16（5）：497-508）和黄玫等《中国区域植被地上与地下生物量模拟》（生态学报，26（12）：4156-4163）中有关数据</w:t>
      </w:r>
      <w:r>
        <w:rPr>
          <w:color w:val="000000" w:themeColor="text1"/>
          <w:spacing w:val="5"/>
          <w:kern w:val="0"/>
          <w:szCs w:val="21"/>
          <w14:textFill>
            <w14:solidFill>
              <w14:schemeClr w14:val="tx1"/>
            </w14:solidFill>
          </w14:textFill>
        </w:rPr>
        <w:t>，其中针叶林参照油松的平均生物量，阔叶林参照杨树的平均生物量</w:t>
      </w:r>
      <w:r>
        <w:rPr>
          <w:color w:val="000000" w:themeColor="text1"/>
          <w:szCs w:val="21"/>
          <w14:textFill>
            <w14:solidFill>
              <w14:schemeClr w14:val="tx1"/>
            </w14:solidFill>
          </w14:textFill>
        </w:rPr>
        <w:t>。</w:t>
      </w:r>
    </w:p>
    <w:p>
      <w:pPr>
        <w:spacing w:line="30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从</w:t>
      </w:r>
      <w:r>
        <w:rPr>
          <w:rFonts w:hint="eastAsia"/>
          <w:color w:val="000000" w:themeColor="text1"/>
          <w:kern w:val="0"/>
          <w:sz w:val="24"/>
          <w:szCs w:val="20"/>
          <w:lang w:val="en-US" w:eastAsia="zh-CN"/>
          <w14:textFill>
            <w14:solidFill>
              <w14:schemeClr w14:val="tx1"/>
            </w14:solidFill>
          </w14:textFill>
        </w:rPr>
        <w:t>插</w:t>
      </w:r>
      <w:r>
        <w:rPr>
          <w:color w:val="000000" w:themeColor="text1"/>
          <w:kern w:val="0"/>
          <w:sz w:val="24"/>
          <w:szCs w:val="20"/>
          <w14:textFill>
            <w14:solidFill>
              <w14:schemeClr w14:val="tx1"/>
            </w14:solidFill>
          </w14:textFill>
        </w:rPr>
        <w:t>表</w:t>
      </w:r>
      <w:r>
        <w:rPr>
          <w:rFonts w:hint="eastAsia"/>
          <w:color w:val="000000" w:themeColor="text1"/>
          <w:kern w:val="0"/>
          <w:sz w:val="24"/>
          <w:szCs w:val="20"/>
          <w:lang w:val="en-US" w:eastAsia="zh-CN"/>
          <w14:textFill>
            <w14:solidFill>
              <w14:schemeClr w14:val="tx1"/>
            </w14:solidFill>
          </w14:textFill>
        </w:rPr>
        <w:t>37</w:t>
      </w:r>
      <w:r>
        <w:rPr>
          <w:color w:val="000000" w:themeColor="text1"/>
          <w:kern w:val="0"/>
          <w:sz w:val="24"/>
          <w:szCs w:val="20"/>
          <w14:textFill>
            <w14:solidFill>
              <w14:schemeClr w14:val="tx1"/>
            </w14:solidFill>
          </w14:textFill>
        </w:rPr>
        <w:t>中可见，拟建公路评价范围内植被生物量为</w:t>
      </w:r>
      <w:r>
        <w:rPr>
          <w:rFonts w:hint="eastAsia"/>
          <w:color w:val="000000" w:themeColor="text1"/>
          <w:kern w:val="0"/>
          <w:sz w:val="24"/>
          <w:szCs w:val="20"/>
          <w:lang w:val="en-US" w:eastAsia="zh-CN"/>
          <w14:textFill>
            <w14:solidFill>
              <w14:schemeClr w14:val="tx1"/>
            </w14:solidFill>
          </w14:textFill>
        </w:rPr>
        <w:t>10.51</w:t>
      </w:r>
      <w:r>
        <w:rPr>
          <w:color w:val="000000" w:themeColor="text1"/>
          <w:kern w:val="0"/>
          <w:sz w:val="24"/>
          <w:szCs w:val="20"/>
          <w14:textFill>
            <w14:solidFill>
              <w14:schemeClr w14:val="tx1"/>
            </w14:solidFill>
          </w14:textFill>
        </w:rPr>
        <w:t>t。</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1.5 生态环境影响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本项目主要建设内容为井场的建设(井场平整、泥浆池和清水池的建设及营房的安装等)、钻井的施工等。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施工过程中平整场地、开挖地表，造成直接施工区域内地表植被完全破坏，以及施工区一定范围内植被不同程度的破坏和水土流失。项目建设期对生态环境带来的不利影响主要体现在项目井场占地以及破坏植被引发水土流失两个方面。</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生态影响主要是井场占地范围占地破坏了占地范围内原有地貌和植被的破坏、扰动表土结构，造成土壤抗蚀能力降低。同时施工结束前后一段时间内地表绿化工作尚未完成时，都将造成土壤裸露。遇雨时，尤其是暴雨时，将会造成水土流失。但由于项目所在区域原生态系统较简单，主要以</w:t>
      </w:r>
      <w:r>
        <w:rPr>
          <w:rFonts w:hint="default" w:ascii="Times New Roman" w:hAnsi="Times New Roman" w:cs="Times New Roman"/>
          <w:color w:val="000000" w:themeColor="text1"/>
          <w:sz w:val="24"/>
          <w:lang w:eastAsia="zh-CN"/>
          <w14:textFill>
            <w14:solidFill>
              <w14:schemeClr w14:val="tx1"/>
            </w14:solidFill>
          </w14:textFill>
        </w:rPr>
        <w:t>一般灌木林地</w:t>
      </w:r>
      <w:r>
        <w:rPr>
          <w:rFonts w:hint="default" w:ascii="Times New Roman" w:hAnsi="Times New Roman" w:cs="Times New Roman"/>
          <w:color w:val="000000" w:themeColor="text1"/>
          <w:sz w:val="24"/>
          <w14:textFill>
            <w14:solidFill>
              <w14:schemeClr w14:val="tx1"/>
            </w14:solidFill>
          </w14:textFill>
        </w:rPr>
        <w:t>为主，地面系统扰动有限，所以对生态环境的影响并不明显。</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施工期对生态环境的影响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工程建设占用土地影响分析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本项目施工过程中，会占用</w:t>
      </w:r>
      <w:r>
        <w:rPr>
          <w:rFonts w:hint="default" w:ascii="Times New Roman" w:hAnsi="Times New Roman" w:cs="Times New Roman"/>
          <w:color w:val="000000" w:themeColor="text1"/>
          <w:sz w:val="24"/>
          <w:lang w:eastAsia="zh-CN"/>
          <w14:textFill>
            <w14:solidFill>
              <w14:schemeClr w14:val="tx1"/>
            </w14:solidFill>
          </w14:textFill>
        </w:rPr>
        <w:t>林地</w:t>
      </w:r>
      <w:r>
        <w:rPr>
          <w:rFonts w:hint="default" w:ascii="Times New Roman" w:hAnsi="Times New Roman" w:cs="Times New Roman"/>
          <w:color w:val="000000" w:themeColor="text1"/>
          <w:sz w:val="24"/>
          <w14:textFill>
            <w14:solidFill>
              <w14:schemeClr w14:val="tx1"/>
            </w14:solidFill>
          </w14:textFill>
        </w:rPr>
        <w:t>(以</w:t>
      </w:r>
      <w:r>
        <w:rPr>
          <w:rFonts w:hint="default" w:ascii="Times New Roman" w:hAnsi="Times New Roman" w:cs="Times New Roman"/>
          <w:color w:val="000000" w:themeColor="text1"/>
          <w:sz w:val="24"/>
          <w:lang w:eastAsia="zh-CN"/>
          <w14:textFill>
            <w14:solidFill>
              <w14:schemeClr w14:val="tx1"/>
            </w14:solidFill>
          </w14:textFill>
        </w:rPr>
        <w:t>一般灌木林</w:t>
      </w:r>
      <w:r>
        <w:rPr>
          <w:rFonts w:hint="default" w:ascii="Times New Roman" w:hAnsi="Times New Roman" w:cs="Times New Roman"/>
          <w:color w:val="000000" w:themeColor="text1"/>
          <w:sz w:val="24"/>
          <w14:textFill>
            <w14:solidFill>
              <w14:schemeClr w14:val="tx1"/>
            </w14:solidFill>
          </w14:textFill>
        </w:rPr>
        <w:t>为主)，并且临时破坏了</w:t>
      </w:r>
      <w:r>
        <w:rPr>
          <w:rFonts w:hint="default" w:ascii="Times New Roman" w:hAnsi="Times New Roman" w:cs="Times New Roman"/>
          <w:color w:val="000000" w:themeColor="text1"/>
          <w:sz w:val="24"/>
          <w:lang w:eastAsia="zh-CN"/>
          <w14:textFill>
            <w14:solidFill>
              <w14:schemeClr w14:val="tx1"/>
            </w14:solidFill>
          </w14:textFill>
        </w:rPr>
        <w:t>林地的植被</w:t>
      </w:r>
      <w:r>
        <w:rPr>
          <w:rFonts w:hint="default" w:ascii="Times New Roman" w:hAnsi="Times New Roman" w:cs="Times New Roman"/>
          <w:color w:val="000000" w:themeColor="text1"/>
          <w:sz w:val="24"/>
          <w14:textFill>
            <w14:solidFill>
              <w14:schemeClr w14:val="tx1"/>
            </w14:solidFill>
          </w14:textFill>
        </w:rPr>
        <w:t>。本项目井场主要建设内容为井场的建设(井场平整、泥浆池、清水池的建设及营房的安装等)、钻井的施工等。项目施工过程中平整场地、开挖地表，造成直接施工区域内地表植被完全破坏，对占地范围内土地利用性质造成影响，由于本项目为勘探期，在勘探期结束后，建设单位在按评价要求对废弃泥浆池覆土填埋、井场废弃井闭井、营房搬离施工现场，并恢复临时施工占地后，即可恢复土地利用。并且由于本项目占地面积在整体区域范围内较小，为此项目对区域的土地利用性质并不明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对土壤环境的破坏分析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本项目施工区域的泥浆池、清水池开挖等将</w:t>
      </w:r>
      <w:r>
        <w:rPr>
          <w:rFonts w:hint="default" w:ascii="Times New Roman" w:hAnsi="Times New Roman" w:cs="Times New Roman"/>
          <w:color w:val="000000" w:themeColor="text1"/>
          <w:sz w:val="24"/>
          <w:lang w:eastAsia="zh-CN"/>
          <w14:textFill>
            <w14:solidFill>
              <w14:schemeClr w14:val="tx1"/>
            </w14:solidFill>
          </w14:textFill>
        </w:rPr>
        <w:t>对占地</w:t>
      </w:r>
      <w:r>
        <w:rPr>
          <w:rFonts w:hint="default" w:ascii="Times New Roman" w:hAnsi="Times New Roman" w:cs="Times New Roman"/>
          <w:color w:val="000000" w:themeColor="text1"/>
          <w:sz w:val="24"/>
          <w14:textFill>
            <w14:solidFill>
              <w14:schemeClr w14:val="tx1"/>
            </w14:solidFill>
          </w14:textFill>
        </w:rPr>
        <w:t>范围内的不同土壤类型上进行开挖和填埋，</w:t>
      </w:r>
      <w:r>
        <w:rPr>
          <w:rFonts w:hint="default" w:ascii="Times New Roman" w:hAnsi="Times New Roman" w:cs="Times New Roman"/>
          <w:color w:val="000000" w:themeColor="text1"/>
          <w:sz w:val="24"/>
          <w:lang w:eastAsia="zh-CN"/>
          <w14:textFill>
            <w14:solidFill>
              <w14:schemeClr w14:val="tx1"/>
            </w14:solidFill>
          </w14:textFill>
        </w:rPr>
        <w:t>项目占地面积</w:t>
      </w:r>
      <w:r>
        <w:rPr>
          <w:rFonts w:hint="default" w:ascii="Times New Roman" w:hAnsi="Times New Roman" w:cs="Times New Roman"/>
          <w:color w:val="000000" w:themeColor="text1"/>
          <w:sz w:val="24"/>
          <w:lang w:val="en-US" w:eastAsia="zh-CN"/>
          <w14:textFill>
            <w14:solidFill>
              <w14:schemeClr w14:val="tx1"/>
            </w14:solidFill>
          </w14:textFill>
        </w:rPr>
        <w:t>8000m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，占地面积较小，</w:t>
      </w:r>
      <w:r>
        <w:rPr>
          <w:rFonts w:hint="default" w:ascii="Times New Roman" w:hAnsi="Times New Roman" w:cs="Times New Roman"/>
          <w:color w:val="000000" w:themeColor="text1"/>
          <w:sz w:val="24"/>
          <w:lang w:eastAsia="zh-CN"/>
          <w14:textFill>
            <w14:solidFill>
              <w14:schemeClr w14:val="tx1"/>
            </w14:solidFill>
          </w14:textFill>
        </w:rPr>
        <w:t>因此，</w:t>
      </w:r>
      <w:r>
        <w:rPr>
          <w:rFonts w:hint="default" w:ascii="Times New Roman" w:hAnsi="Times New Roman" w:cs="Times New Roman"/>
          <w:color w:val="000000" w:themeColor="text1"/>
          <w:sz w:val="24"/>
          <w14:textFill>
            <w14:solidFill>
              <w14:schemeClr w14:val="tx1"/>
            </w14:solidFill>
          </w14:textFill>
        </w:rPr>
        <w:t>项目对区内土壤不会造成大面积的破坏，项目对土壤和生态的破坏呈斑状破坏，它对土壤环境的影响表现在：破坏土壤结构：土壤结构的形成需要漫长的时间，土壤结构是土壤质量好坏的重要指标，特别是团粒结构是土壤质量的重要指标，团粒结构占的比例越高，表明土壤质量越好，团粒结构一旦破坏，恢复需要较长时间，而且比较困难。施工现场在开挖和填埋时，不仅很容易破坏团粒结构，而且干扰了团粒结构的自然形成过程。施工过程中的机械碾压、人员践踏等活动都会对土壤结构产生不良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破坏土壤层次改变土壤质地：土壤在形成过程中具有一定的分层特性，土壤表层为腐殖质层，中层为淋溶淀积层，底层为成土母质层。本项目占用的耕作区，土壤经过人类改造，其土壤层次、深度与自然条件下形成的土壤还有一定区别，表层为耕作层，深度约为15.25cm，中层为犁底层20-40cm，40cm以下为母质层。开挖和回填过程中，必然会对土壤原有层次产生扰动和破坏，使不同层次、不同质地的土体产生混合，特别是耕作层土壤被混合后，直接影响农作物的生长和产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影响土壤的紧实度：紧实度是表征土壤物理性质的指标之一。在施工机械作业中，机械设备的碾压，施工人员的践踏都会对土壤的紧实度产生影响，机械碾压的结果是使土壤紧密度增高，地表水入渗减少，土体过于紧密不利于农作物生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土壤养分流失：在土壤各个土层中，就养分状况而言，表土层(腐殖质层、耕作层)远较心土层好，其有机质、全氮、全磷均较其它层次高。施工作业对原有的土体构型产生扰动，使土壤性质发生变化，土壤养分状况受到影响，从而影响农作物生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要求建设项目井场、泥浆池、清水池等施工时将要将表层土按要求堆存，施工结束后进行分层回填，将表层耕作土置于最上层，最大限度的减少施工时土壤的影响。项目施工对土壤环境的影响在经过几年的自然沉降和爬犁将恢复原状。不会影响将来土壤耕作和农作物的生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）林地的</w:t>
      </w:r>
      <w:r>
        <w:rPr>
          <w:rFonts w:hint="default" w:ascii="Times New Roman" w:hAnsi="Times New Roman" w:cs="Times New Roman"/>
          <w:color w:val="000000" w:themeColor="text1"/>
          <w:sz w:val="24"/>
          <w14:textFill>
            <w14:solidFill>
              <w14:schemeClr w14:val="tx1"/>
            </w14:solidFill>
          </w14:textFill>
        </w:rPr>
        <w:t>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由于项目施工开挖填埋、机械与车辆碾压，人员践踏等影响，将会破坏</w:t>
      </w:r>
      <w:r>
        <w:rPr>
          <w:rFonts w:hint="default" w:ascii="Times New Roman" w:hAnsi="Times New Roman" w:cs="Times New Roman"/>
          <w:color w:val="000000" w:themeColor="text1"/>
          <w:sz w:val="24"/>
          <w:lang w:eastAsia="zh-CN"/>
          <w14:textFill>
            <w14:solidFill>
              <w14:schemeClr w14:val="tx1"/>
            </w14:solidFill>
          </w14:textFill>
        </w:rPr>
        <w:t>占地植被</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项目造成的</w:t>
      </w:r>
      <w:r>
        <w:rPr>
          <w:rFonts w:hint="default" w:ascii="Times New Roman" w:hAnsi="Times New Roman" w:cs="Times New Roman"/>
          <w:color w:val="000000" w:themeColor="text1"/>
          <w:sz w:val="24"/>
          <w:lang w:eastAsia="zh-CN"/>
          <w14:textFill>
            <w14:solidFill>
              <w14:schemeClr w14:val="tx1"/>
            </w14:solidFill>
          </w14:textFill>
        </w:rPr>
        <w:t>退耕还林地（一般灌木林地）</w:t>
      </w:r>
      <w:r>
        <w:rPr>
          <w:rFonts w:hint="default" w:ascii="Times New Roman" w:hAnsi="Times New Roman" w:cs="Times New Roman"/>
          <w:color w:val="000000" w:themeColor="text1"/>
          <w:sz w:val="24"/>
          <w14:textFill>
            <w14:solidFill>
              <w14:schemeClr w14:val="tx1"/>
            </w14:solidFill>
          </w14:textFill>
        </w:rPr>
        <w:t>破坏面积约</w:t>
      </w:r>
      <w:r>
        <w:rPr>
          <w:rFonts w:hint="default" w:ascii="Times New Roman" w:hAnsi="Times New Roman" w:cs="Times New Roman"/>
          <w:color w:val="000000" w:themeColor="text1"/>
          <w:sz w:val="24"/>
          <w:lang w:val="en-US" w:eastAsia="zh-CN"/>
          <w14:textFill>
            <w14:solidFill>
              <w14:schemeClr w14:val="tx1"/>
            </w14:solidFill>
          </w14:textFill>
        </w:rPr>
        <w:t>8000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，本项目勘探期施工时年限最多不超过</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年，勘探期满后随着废弃井场的生态恢复后，将重新</w:t>
      </w:r>
      <w:r>
        <w:rPr>
          <w:rFonts w:hint="default" w:ascii="Times New Roman" w:hAnsi="Times New Roman" w:cs="Times New Roman"/>
          <w:color w:val="000000" w:themeColor="text1"/>
          <w:sz w:val="24"/>
          <w:lang w:eastAsia="zh-CN"/>
          <w14:textFill>
            <w14:solidFill>
              <w14:schemeClr w14:val="tx1"/>
            </w14:solidFill>
          </w14:textFill>
        </w:rPr>
        <w:t>退耕还林</w:t>
      </w:r>
      <w:r>
        <w:rPr>
          <w:rFonts w:hint="default" w:ascii="Times New Roman" w:hAnsi="Times New Roman" w:cs="Times New Roman"/>
          <w:color w:val="000000" w:themeColor="text1"/>
          <w:sz w:val="24"/>
          <w14:textFill>
            <w14:solidFill>
              <w14:schemeClr w14:val="tx1"/>
            </w14:solidFill>
          </w14:textFill>
        </w:rPr>
        <w:t>，不会</w:t>
      </w:r>
      <w:r>
        <w:rPr>
          <w:rFonts w:hint="default" w:ascii="Times New Roman" w:hAnsi="Times New Roman" w:cs="Times New Roman"/>
          <w:color w:val="000000" w:themeColor="text1"/>
          <w:sz w:val="24"/>
          <w:lang w:eastAsia="zh-CN"/>
          <w14:textFill>
            <w14:solidFill>
              <w14:schemeClr w14:val="tx1"/>
            </w14:solidFill>
          </w14:textFill>
        </w:rPr>
        <w:t>对</w:t>
      </w:r>
      <w:r>
        <w:rPr>
          <w:rFonts w:hint="default" w:ascii="Times New Roman" w:hAnsi="Times New Roman" w:cs="Times New Roman"/>
          <w:color w:val="000000" w:themeColor="text1"/>
          <w:sz w:val="24"/>
          <w14:textFill>
            <w14:solidFill>
              <w14:schemeClr w14:val="tx1"/>
            </w14:solidFill>
          </w14:textFill>
        </w:rPr>
        <w:t>区内整体农作物生产造成明显影响，施工对农作物的影响不大。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施工对动植物生态环境影响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本项目所在区域无自然保护区，无珍稀动、植物分布。项目所在大部分地区生态系统较为简单,多为人工干扰强烈的</w:t>
      </w:r>
      <w:r>
        <w:rPr>
          <w:rFonts w:hint="default" w:ascii="Times New Roman" w:hAnsi="Times New Roman" w:cs="Times New Roman"/>
          <w:color w:val="000000" w:themeColor="text1"/>
          <w:sz w:val="24"/>
          <w:lang w:eastAsia="zh-CN"/>
          <w14:textFill>
            <w14:solidFill>
              <w14:schemeClr w14:val="tx1"/>
            </w14:solidFill>
          </w14:textFill>
        </w:rPr>
        <w:t>退耕还林林业</w:t>
      </w:r>
      <w:r>
        <w:rPr>
          <w:rFonts w:hint="default" w:ascii="Times New Roman" w:hAnsi="Times New Roman" w:cs="Times New Roman"/>
          <w:color w:val="000000" w:themeColor="text1"/>
          <w:sz w:val="24"/>
          <w14:textFill>
            <w14:solidFill>
              <w14:schemeClr w14:val="tx1"/>
            </w14:solidFill>
          </w14:textFill>
        </w:rPr>
        <w:t>生态系统，项目施工时在加强管理，严格控制占地范围，限制施工范围外的其他生态破坏和干扰后，施工对区域生态环境不会产生明显影响。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本项目占地为</w:t>
      </w:r>
      <w:r>
        <w:rPr>
          <w:rFonts w:hint="default" w:ascii="Times New Roman" w:hAnsi="Times New Roman" w:cs="Times New Roman"/>
          <w:color w:val="000000" w:themeColor="text1"/>
          <w:sz w:val="24"/>
          <w:lang w:eastAsia="zh-CN"/>
          <w14:textFill>
            <w14:solidFill>
              <w14:schemeClr w14:val="tx1"/>
            </w14:solidFill>
          </w14:textFill>
        </w:rPr>
        <w:t>林地（一般灌木林地）</w:t>
      </w:r>
      <w:r>
        <w:rPr>
          <w:rFonts w:hint="default" w:ascii="Times New Roman" w:hAnsi="Times New Roman" w:cs="Times New Roman"/>
          <w:color w:val="000000" w:themeColor="text1"/>
          <w:sz w:val="24"/>
          <w14:textFill>
            <w14:solidFill>
              <w14:schemeClr w14:val="tx1"/>
            </w14:solidFill>
          </w14:textFill>
        </w:rPr>
        <w:t>等，临时占地将造成区内</w:t>
      </w:r>
      <w:r>
        <w:rPr>
          <w:rFonts w:hint="default" w:ascii="Times New Roman" w:hAnsi="Times New Roman" w:cs="Times New Roman"/>
          <w:color w:val="000000" w:themeColor="text1"/>
          <w:sz w:val="24"/>
          <w:lang w:eastAsia="zh-CN"/>
          <w14:textFill>
            <w14:solidFill>
              <w14:schemeClr w14:val="tx1"/>
            </w14:solidFill>
          </w14:textFill>
        </w:rPr>
        <w:t>林地的破坏</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林地</w:t>
      </w:r>
      <w:r>
        <w:rPr>
          <w:rFonts w:hint="default" w:ascii="Times New Roman" w:hAnsi="Times New Roman" w:cs="Times New Roman"/>
          <w:color w:val="000000" w:themeColor="text1"/>
          <w:sz w:val="24"/>
          <w14:textFill>
            <w14:solidFill>
              <w14:schemeClr w14:val="tx1"/>
            </w14:solidFill>
          </w14:textFill>
        </w:rPr>
        <w:t>、生物生产力损失或降低。但从整体范围来看，因项目占地及施工占地而造成的</w:t>
      </w:r>
      <w:r>
        <w:rPr>
          <w:rFonts w:hint="default" w:ascii="Times New Roman" w:hAnsi="Times New Roman" w:cs="Times New Roman"/>
          <w:color w:val="000000" w:themeColor="text1"/>
          <w:sz w:val="24"/>
          <w:lang w:eastAsia="zh-CN"/>
          <w14:textFill>
            <w14:solidFill>
              <w14:schemeClr w14:val="tx1"/>
            </w14:solidFill>
          </w14:textFill>
        </w:rPr>
        <w:t>林地</w:t>
      </w:r>
      <w:r>
        <w:rPr>
          <w:rFonts w:hint="default" w:ascii="Times New Roman" w:hAnsi="Times New Roman" w:cs="Times New Roman"/>
          <w:color w:val="000000" w:themeColor="text1"/>
          <w:sz w:val="24"/>
          <w14:textFill>
            <w14:solidFill>
              <w14:schemeClr w14:val="tx1"/>
            </w14:solidFill>
          </w14:textFill>
        </w:rPr>
        <w:t>减少或平均生物生产力变化很小，随着勘探期结束，井场生态恢复、水土保持措施的实施及项目占地补偿，可以弥补这部分</w:t>
      </w:r>
      <w:r>
        <w:rPr>
          <w:rFonts w:hint="default" w:ascii="Times New Roman" w:hAnsi="Times New Roman" w:cs="Times New Roman"/>
          <w:color w:val="000000" w:themeColor="text1"/>
          <w:sz w:val="24"/>
          <w:lang w:eastAsia="zh-CN"/>
          <w14:textFill>
            <w14:solidFill>
              <w14:schemeClr w14:val="tx1"/>
            </w14:solidFill>
          </w14:textFill>
        </w:rPr>
        <w:t>林地损失</w:t>
      </w:r>
      <w:r>
        <w:rPr>
          <w:rFonts w:hint="default" w:ascii="Times New Roman" w:hAnsi="Times New Roman" w:cs="Times New Roman"/>
          <w:color w:val="000000" w:themeColor="text1"/>
          <w:sz w:val="24"/>
          <w14:textFill>
            <w14:solidFill>
              <w14:schemeClr w14:val="tx1"/>
            </w14:solidFill>
          </w14:textFill>
        </w:rPr>
        <w:t>和生物生产力的损失。因此，项目临时占地和建设对区域生态体系生产能力的影响是自然体系可以承受的。</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1.6 生态影响的防治措施</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生态影响防护原则</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1）本项目勘探区域必须以保护生态为前提，项目建设应突出“保护中开发、开发中保护”“点上开发、面上保护”的原则，促进经济发展，提高人民生活水平，保护生态环境。</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2）本项目勘探区域要控制在尽可能小的空间范围之内，并做到林地、草地等绿色生态空间面积不减少。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3）严格管制项目建设的占地空间、开发强度，尽可能减少对自然生态系统的干扰，最大限度地维护生态系统的稳定性和完整性。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4）控制新建道路，尽量利用原有道路；必须新建的，应做好水土保持工作。</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避让措施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为了从源头减小对区域生态环境的影响，针对该区域生态环境特点，提出生态影响的避让措施：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1）勘探场地避让</w:t>
      </w:r>
      <w:r>
        <w:rPr>
          <w:rFonts w:hint="default" w:ascii="Times New Roman" w:hAnsi="Times New Roman" w:cs="Times New Roman"/>
          <w:color w:val="000000" w:themeColor="text1"/>
          <w:sz w:val="24"/>
          <w:lang w:eastAsia="zh-CN"/>
          <w14:textFill>
            <w14:solidFill>
              <w14:schemeClr w14:val="tx1"/>
            </w14:solidFill>
          </w14:textFill>
        </w:rPr>
        <w:t>静乐县</w:t>
      </w:r>
      <w:r>
        <w:rPr>
          <w:rFonts w:hint="default" w:ascii="Times New Roman" w:hAnsi="Times New Roman" w:cs="Times New Roman"/>
          <w:color w:val="000000" w:themeColor="text1"/>
          <w:sz w:val="24"/>
          <w14:textFill>
            <w14:solidFill>
              <w14:schemeClr w14:val="tx1"/>
            </w14:solidFill>
          </w14:textFill>
        </w:rPr>
        <w:t>集中供水水源地、</w:t>
      </w:r>
      <w:r>
        <w:rPr>
          <w:rFonts w:hint="default" w:ascii="Times New Roman" w:hAnsi="Times New Roman" w:cs="Times New Roman"/>
          <w:color w:val="000000" w:themeColor="text1"/>
          <w:sz w:val="24"/>
          <w:lang w:eastAsia="zh-CN"/>
          <w14:textFill>
            <w14:solidFill>
              <w14:schemeClr w14:val="tx1"/>
            </w14:solidFill>
          </w14:textFill>
        </w:rPr>
        <w:t>王村乡</w:t>
      </w:r>
      <w:r>
        <w:rPr>
          <w:rFonts w:hint="default" w:ascii="Times New Roman" w:hAnsi="Times New Roman" w:cs="Times New Roman"/>
          <w:color w:val="000000" w:themeColor="text1"/>
          <w:sz w:val="24"/>
          <w14:textFill>
            <w14:solidFill>
              <w14:schemeClr w14:val="tx1"/>
            </w14:solidFill>
          </w14:textFill>
        </w:rPr>
        <w:t>集中供水水源地。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2）井场应避开永久性生态公益林、基本农田、覆盖度高的森林植被。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3）施工道路选线尽量利用现有道路，不随意开设施工便道，减少施工井场道路临时用地。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4）钻井过程中应该严格控制钻井作业面积，减少工程占地及建设的影响范围。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5）合理安排工作时段，避开村民休息时间段，并尽量缩短工期，减小噪声，降低对区域被栖息的野生动物的影响。</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生态影响的防护措施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态影响的防护是指采取对生态影响起到避免、削减和补偿作用的措施。本项目井场建设会改变区域土地利用格局，降低区域自然体系的生产能力，因此，应采取必要的生态防护措施，尽可能的减少对原有生态结构的改变，恢复和改善原生生态系统的功能。在各井场建设时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强化施工阶段的环境管理，为了保证环境保护措施得到落实，项目单位应将环境保护内容作为合同条款纳入到合同中，要求施工单位按评价要求科学、合理施工，项目单位定期对工程施工情况进行监督。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加强施工队伍职工环境教育，规范施工人员行为。教育职工爱护生态环境，保护施工场所周围一草一木，不随意摘花折木，严禁砍伐、破坏施工带以外的作物和树木,尽量减少对植被的破坏。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单位要聘请有资质的监理单位进行工程监理，监理单位即要做好工程质量监理，更要做好环保监理，要求施工单位在规定的施工作业面内文明施工，禁止在施工人员进入作业面以外区域，以尽可能减小施工期对土地和植被的破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在职工中宣传环境保护法规，加强施工生产和生活用火管理，要防止引起火灾，避免造成不必要的损失和破坏。加强员工的环保意识，制定和完善企业内部环境保护工作的规章制度；宣传清洁生产技术思想，进行清洁生产技术培训；积极建立清洁生产环境管理体系；同时建立安全监督机制，进行安全考核等。加强施工期环境管理，为保证环保措施的落实，项目单位应将环境保护内容作为合同条款纳入合同中，要求施工单位按评价要求进行操作。</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5</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加强井场内绿化，井场内在树种、草种的选择上，既要考虑水土保持防护功能，还要考虑环境美化。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6</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施工结束后对于对于废弃井，应采用套管+水泥砂浆予以恰当封孔并留地面标记进行封井。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7</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对于临时占地应按照《中华人民共和国森林法实施条例》，施工结束后临时占地应及时进行植被重建工作，以免造成新的水土流失。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项目勘探期结束后，废弃的井场全部进行生态恢复，项目因占地</w:t>
      </w:r>
      <w:r>
        <w:rPr>
          <w:rFonts w:hint="default" w:ascii="Times New Roman" w:hAnsi="Times New Roman" w:cs="Times New Roman"/>
          <w:color w:val="000000" w:themeColor="text1"/>
          <w:sz w:val="24"/>
          <w:lang w:eastAsia="zh-CN"/>
          <w14:textFill>
            <w14:solidFill>
              <w14:schemeClr w14:val="tx1"/>
            </w14:solidFill>
          </w14:textFill>
        </w:rPr>
        <w:t>植被</w:t>
      </w:r>
      <w:r>
        <w:rPr>
          <w:rFonts w:hint="default" w:ascii="Times New Roman" w:hAnsi="Times New Roman" w:cs="Times New Roman"/>
          <w:color w:val="000000" w:themeColor="text1"/>
          <w:sz w:val="24"/>
          <w14:textFill>
            <w14:solidFill>
              <w14:schemeClr w14:val="tx1"/>
            </w14:solidFill>
          </w14:textFill>
        </w:rPr>
        <w:t>减少、土壤扰动和水土流失等生态问题和生态扰动都将恢复。</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.4</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生态影响的恢复措施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本项目的生态防护与恢复措施体系分为</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eastAsia="zh-CN"/>
          <w14:textFill>
            <w14:solidFill>
              <w14:schemeClr w14:val="tx1"/>
            </w14:solidFill>
          </w14:textFill>
        </w:rPr>
        <w:t>个防治区，即井场防治区。根据</w:t>
      </w:r>
      <w:r>
        <w:rPr>
          <w:rFonts w:hint="eastAsia"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eastAsia="zh-CN"/>
          <w14:textFill>
            <w14:solidFill>
              <w14:schemeClr w14:val="tx1"/>
            </w14:solidFill>
          </w14:textFill>
        </w:rPr>
        <w:t>特点，结合区域自然条件，</w:t>
      </w:r>
      <w:r>
        <w:rPr>
          <w:rFonts w:hint="eastAsia"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eastAsia="zh-CN"/>
          <w14:textFill>
            <w14:solidFill>
              <w14:schemeClr w14:val="tx1"/>
            </w14:solidFill>
          </w14:textFill>
        </w:rPr>
        <w:t>采取的主要防治措施包括工程措施、植物措施和施工临时防护措施等。本项目</w:t>
      </w:r>
      <w:r>
        <w:rPr>
          <w:rFonts w:hint="eastAsia" w:cs="Times New Roman"/>
          <w:color w:val="000000" w:themeColor="text1"/>
          <w:sz w:val="24"/>
          <w:lang w:eastAsia="zh-CN"/>
          <w14:textFill>
            <w14:solidFill>
              <w14:schemeClr w14:val="tx1"/>
            </w14:solidFill>
          </w14:textFill>
        </w:rPr>
        <w:t>井场</w:t>
      </w:r>
      <w:r>
        <w:rPr>
          <w:rFonts w:hint="eastAsia" w:ascii="Times New Roman" w:hAnsi="Times New Roman" w:cs="Times New Roman"/>
          <w:color w:val="000000" w:themeColor="text1"/>
          <w:sz w:val="24"/>
          <w:lang w:eastAsia="zh-CN"/>
          <w14:textFill>
            <w14:solidFill>
              <w14:schemeClr w14:val="tx1"/>
            </w14:solidFill>
          </w14:textFill>
        </w:rPr>
        <w:t>防治区植被恢复面积及具体恢复措施见</w:t>
      </w:r>
      <w:r>
        <w:rPr>
          <w:rFonts w:hint="eastAsia" w:cs="Times New Roman"/>
          <w:color w:val="000000" w:themeColor="text1"/>
          <w:sz w:val="24"/>
          <w:lang w:eastAsia="zh-CN"/>
          <w14:textFill>
            <w14:solidFill>
              <w14:schemeClr w14:val="tx1"/>
            </w14:solidFill>
          </w14:textFill>
        </w:rPr>
        <w:t>插</w:t>
      </w:r>
      <w:r>
        <w:rPr>
          <w:rFonts w:hint="eastAsia" w:ascii="Times New Roman" w:hAnsi="Times New Roman" w:cs="Times New Roman"/>
          <w:color w:val="000000" w:themeColor="text1"/>
          <w:sz w:val="24"/>
          <w:lang w:eastAsia="zh-CN"/>
          <w14:textFill>
            <w14:solidFill>
              <w14:schemeClr w14:val="tx1"/>
            </w14:solidFill>
          </w14:textFill>
        </w:rPr>
        <w:t>表</w:t>
      </w:r>
      <w:r>
        <w:rPr>
          <w:rFonts w:hint="eastAsia" w:cs="Times New Roman"/>
          <w:color w:val="000000" w:themeColor="text1"/>
          <w:sz w:val="24"/>
          <w:lang w:val="en-US" w:eastAsia="zh-CN"/>
          <w14:textFill>
            <w14:solidFill>
              <w14:schemeClr w14:val="tx1"/>
            </w14:solidFill>
          </w14:textFill>
        </w:rPr>
        <w:t>35</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井场</w:t>
      </w:r>
      <w:r>
        <w:rPr>
          <w:rFonts w:hint="eastAsia" w:ascii="Times New Roman" w:hAnsi="Times New Roman" w:cs="Times New Roman"/>
          <w:color w:val="000000" w:themeColor="text1"/>
          <w:sz w:val="24"/>
          <w:lang w:eastAsia="zh-CN"/>
          <w14:textFill>
            <w14:solidFill>
              <w14:schemeClr w14:val="tx1"/>
            </w14:solidFill>
          </w14:textFill>
        </w:rPr>
        <w:t>防治区典型生态保护措施平面布置见附图</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4</w:t>
      </w:r>
      <w:r>
        <w:rPr>
          <w:rFonts w:hint="eastAsia"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本项目井场共占地</w:t>
      </w:r>
      <w:r>
        <w:rPr>
          <w:rFonts w:hint="default" w:ascii="Times New Roman" w:hAnsi="Times New Roman" w:cs="Times New Roman"/>
          <w:color w:val="000000" w:themeColor="text1"/>
          <w:sz w:val="24"/>
          <w:lang w:eastAsia="zh-CN"/>
          <w14:textFill>
            <w14:solidFill>
              <w14:schemeClr w14:val="tx1"/>
            </w14:solidFill>
          </w14:textFill>
        </w:rPr>
        <w:t>8000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，全部为临时占用，</w:t>
      </w:r>
      <w:r>
        <w:rPr>
          <w:rFonts w:hint="default" w:ascii="Times New Roman" w:hAnsi="Times New Roman" w:cs="Times New Roman"/>
          <w:color w:val="000000" w:themeColor="text1"/>
          <w:sz w:val="24"/>
          <w:lang w:eastAsia="zh-CN"/>
          <w14:textFill>
            <w14:solidFill>
              <w14:schemeClr w14:val="tx1"/>
            </w14:solidFill>
          </w14:textFill>
        </w:rPr>
        <w:t>全部为</w:t>
      </w:r>
      <w:r>
        <w:rPr>
          <w:rFonts w:hint="default" w:ascii="Times New Roman" w:hAnsi="Times New Roman" w:cs="Times New Roman"/>
          <w:color w:val="000000" w:themeColor="text1"/>
          <w:sz w:val="24"/>
          <w:lang w:val="en-US" w:eastAsia="zh-CN"/>
          <w14:textFill>
            <w14:solidFill>
              <w14:schemeClr w14:val="tx1"/>
            </w14:solidFill>
          </w14:textFill>
        </w:rPr>
        <w:t>静乐县王村乡王村集体林地（退耕还林后一般灌木林地）</w:t>
      </w:r>
      <w:r>
        <w:rPr>
          <w:rFonts w:hint="default" w:ascii="Times New Roman" w:hAnsi="Times New Roman" w:cs="Times New Roman"/>
          <w:color w:val="000000" w:themeColor="text1"/>
          <w:sz w:val="24"/>
          <w14:textFill>
            <w14:solidFill>
              <w14:schemeClr w14:val="tx1"/>
            </w14:solidFill>
          </w14:textFill>
        </w:rPr>
        <w:t>，钻井完成后实施生态</w:t>
      </w:r>
      <w:r>
        <w:rPr>
          <w:rFonts w:hint="default" w:ascii="Times New Roman" w:hAnsi="Times New Roman" w:cs="Times New Roman"/>
          <w:color w:val="000000" w:themeColor="text1"/>
          <w:sz w:val="24"/>
          <w:lang w:eastAsia="zh-CN"/>
          <w14:textFill>
            <w14:solidFill>
              <w14:schemeClr w14:val="tx1"/>
            </w14:solidFill>
          </w14:textFill>
        </w:rPr>
        <w:t>恢复</w:t>
      </w:r>
      <w:r>
        <w:rPr>
          <w:rFonts w:hint="default" w:ascii="Times New Roman" w:hAnsi="Times New Roman" w:cs="Times New Roman"/>
          <w:color w:val="000000" w:themeColor="text1"/>
          <w:sz w:val="24"/>
          <w14:textFill>
            <w14:solidFill>
              <w14:schemeClr w14:val="tx1"/>
            </w14:solidFill>
          </w14:textFill>
        </w:rPr>
        <w:t>工程。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环评要求应采取针对性的生态环境保护措施。具体措施见如下：</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宁探1</w:t>
      </w:r>
      <w:r>
        <w:rPr>
          <w:rFonts w:hint="default" w:ascii="Times New Roman" w:hAnsi="Times New Roman" w:cs="Times New Roman"/>
          <w:color w:val="000000" w:themeColor="text1"/>
          <w:sz w:val="24"/>
          <w:lang w:eastAsia="zh-CN"/>
          <w14:textFill>
            <w14:solidFill>
              <w14:schemeClr w14:val="tx1"/>
            </w14:solidFill>
          </w14:textFill>
        </w:rPr>
        <w:t>井</w:t>
      </w:r>
      <w:r>
        <w:rPr>
          <w:rFonts w:hint="default" w:ascii="Times New Roman" w:hAnsi="Times New Roman" w:cs="Times New Roman"/>
          <w:color w:val="000000" w:themeColor="text1"/>
          <w:sz w:val="24"/>
          <w14:textFill>
            <w14:solidFill>
              <w14:schemeClr w14:val="tx1"/>
            </w14:solidFill>
          </w14:textFill>
        </w:rPr>
        <w:t>占用</w:t>
      </w:r>
      <w:r>
        <w:rPr>
          <w:rFonts w:hint="default" w:ascii="Times New Roman" w:hAnsi="Times New Roman" w:cs="Times New Roman"/>
          <w:color w:val="000000" w:themeColor="text1"/>
          <w:sz w:val="24"/>
          <w:lang w:eastAsia="zh-CN"/>
          <w14:textFill>
            <w14:solidFill>
              <w14:schemeClr w14:val="tx1"/>
            </w14:solidFill>
          </w14:textFill>
        </w:rPr>
        <w:t>林地</w:t>
      </w:r>
      <w:r>
        <w:rPr>
          <w:rFonts w:hint="default" w:ascii="Times New Roman" w:hAnsi="Times New Roman" w:cs="Times New Roman"/>
          <w:color w:val="000000" w:themeColor="text1"/>
          <w:sz w:val="24"/>
          <w14:textFill>
            <w14:solidFill>
              <w14:schemeClr w14:val="tx1"/>
            </w14:solidFill>
          </w14:textFill>
        </w:rPr>
        <w:t>地的区域生态保护措施：①施工前对表土进行剥离，剥离的表土可堆放于井场占地的空闲处，施工结束后，将剥离的表土及时回填需要进行恢复的临时占地区；②施工结束后进行全面整地，按照原有土地利用类型进行生态恢复；③对临时占用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灌木林地采用灌草结合的方式进行恢复植被，灌木选用柠条，株行距 1</w:t>
      </w:r>
      <w:r>
        <w:rPr>
          <w:rFonts w:hint="eastAsia"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m，草种选用披碱草，撒播量为 10kg/hm</w:t>
      </w:r>
      <w:r>
        <w:rPr>
          <w:rFonts w:hint="default" w:ascii="Times New Roman" w:hAnsi="Times New Roman" w:eastAsia="宋体" w:cs="Times New Roman"/>
          <w:color w:val="000000" w:themeColor="text1"/>
          <w:kern w:val="0"/>
          <w:sz w:val="16"/>
          <w:szCs w:val="16"/>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井场的生态保护和恢复措施：钻井完成后，对井场平面布置进行优化，以井口底法兰顶面标高为±0.00，厂区地坪设计标高为-0.2m，井场场地自然放坡，坡度为0.3%。井场设通透钢网围栏，井场地面采用原土夯实，铺垫10cm厚碎石。井场征地边界外围进行绿化，种植当地植物，美化环境。</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勘探期结束后，经过评价作为开发井使用的按照环保要求完善开发阶段的环保手续后，进行下一步的开发；作为废弃井的采用套管+水泥砂浆予以恰当封孔并留地面标记。将井场内的除值班集中箱式营房以外的其它集装箱式营房等全部撤出井场，并将井场和营房建设时推出的表土回填进行生态恢复。</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1.7 生态补偿措施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项目建设施工时对占用</w:t>
      </w:r>
      <w:r>
        <w:rPr>
          <w:rFonts w:hint="default" w:ascii="Times New Roman" w:hAnsi="Times New Roman" w:cs="Times New Roman"/>
          <w:color w:val="000000" w:themeColor="text1"/>
          <w:sz w:val="24"/>
          <w:lang w:eastAsia="zh-CN"/>
          <w14:textFill>
            <w14:solidFill>
              <w14:schemeClr w14:val="tx1"/>
            </w14:solidFill>
          </w14:textFill>
        </w:rPr>
        <w:t>林地</w:t>
      </w:r>
      <w:r>
        <w:rPr>
          <w:rFonts w:hint="default" w:ascii="Times New Roman" w:hAnsi="Times New Roman" w:cs="Times New Roman"/>
          <w:color w:val="000000" w:themeColor="text1"/>
          <w:sz w:val="24"/>
          <w14:textFill>
            <w14:solidFill>
              <w14:schemeClr w14:val="tx1"/>
            </w14:solidFill>
          </w14:textFill>
        </w:rPr>
        <w:t>，需要缴纳</w:t>
      </w:r>
      <w:r>
        <w:rPr>
          <w:rFonts w:hint="default" w:ascii="Times New Roman" w:hAnsi="Times New Roman" w:cs="Times New Roman"/>
          <w:color w:val="000000" w:themeColor="text1"/>
          <w:sz w:val="24"/>
          <w:lang w:eastAsia="zh-CN"/>
          <w14:textFill>
            <w14:solidFill>
              <w14:schemeClr w14:val="tx1"/>
            </w14:solidFill>
          </w14:textFill>
        </w:rPr>
        <w:t>林地补偿</w:t>
      </w:r>
      <w:r>
        <w:rPr>
          <w:rFonts w:hint="default" w:ascii="Times New Roman" w:hAnsi="Times New Roman" w:cs="Times New Roman"/>
          <w:color w:val="000000" w:themeColor="text1"/>
          <w:sz w:val="24"/>
          <w14:textFill>
            <w14:solidFill>
              <w14:schemeClr w14:val="tx1"/>
            </w14:solidFill>
          </w14:textFill>
        </w:rPr>
        <w:t>相关费用进行生态补偿，专款用于</w:t>
      </w:r>
      <w:r>
        <w:rPr>
          <w:rFonts w:hint="default" w:ascii="Times New Roman" w:hAnsi="Times New Roman" w:cs="Times New Roman"/>
          <w:color w:val="000000" w:themeColor="text1"/>
          <w:sz w:val="24"/>
          <w:lang w:eastAsia="zh-CN"/>
          <w14:textFill>
            <w14:solidFill>
              <w14:schemeClr w14:val="tx1"/>
            </w14:solidFill>
          </w14:textFill>
        </w:rPr>
        <w:t>林地</w:t>
      </w:r>
      <w:r>
        <w:rPr>
          <w:rFonts w:hint="default" w:ascii="Times New Roman" w:hAnsi="Times New Roman" w:cs="Times New Roman"/>
          <w:color w:val="000000" w:themeColor="text1"/>
          <w:sz w:val="24"/>
          <w14:textFill>
            <w14:solidFill>
              <w14:schemeClr w14:val="tx1"/>
            </w14:solidFill>
          </w14:textFill>
        </w:rPr>
        <w:t>的</w:t>
      </w:r>
      <w:r>
        <w:rPr>
          <w:rFonts w:hint="default" w:ascii="Times New Roman" w:hAnsi="Times New Roman" w:cs="Times New Roman"/>
          <w:color w:val="000000" w:themeColor="text1"/>
          <w:sz w:val="24"/>
          <w:lang w:eastAsia="zh-CN"/>
          <w14:textFill>
            <w14:solidFill>
              <w14:schemeClr w14:val="tx1"/>
            </w14:solidFill>
          </w14:textFill>
        </w:rPr>
        <w:t>植被</w:t>
      </w:r>
      <w:r>
        <w:rPr>
          <w:rFonts w:hint="default" w:ascii="Times New Roman" w:hAnsi="Times New Roman" w:cs="Times New Roman"/>
          <w:color w:val="000000" w:themeColor="text1"/>
          <w:sz w:val="24"/>
          <w14:textFill>
            <w14:solidFill>
              <w14:schemeClr w14:val="tx1"/>
            </w14:solidFill>
          </w14:textFill>
        </w:rPr>
        <w:t>恢复，具体费用</w:t>
      </w:r>
      <w:r>
        <w:rPr>
          <w:rFonts w:hint="default" w:ascii="Times New Roman" w:hAnsi="Times New Roman" w:cs="Times New Roman"/>
          <w:color w:val="000000" w:themeColor="text1"/>
          <w:sz w:val="24"/>
          <w:lang w:eastAsia="zh-CN"/>
          <w14:textFill>
            <w14:solidFill>
              <w14:schemeClr w14:val="tx1"/>
            </w14:solidFill>
          </w14:textFill>
        </w:rPr>
        <w:t>按照《财政部 国家林业局关于调整森林 植被恢复费征收标准引导节约集约利用林地的通知》实施。</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themeColor="text1"/>
          <w:lang w:val="en-US" w:eastAsia="zh-CN"/>
          <w14:textFill>
            <w14:solidFill>
              <w14:schemeClr w14:val="tx1"/>
            </w14:solidFill>
          </w14:textFill>
        </w:rPr>
      </w:pP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插表3</w:t>
      </w:r>
      <w:r>
        <w:rPr>
          <w:rFonts w:hint="eastAsia" w:cs="Times New Roman" w:eastAsiaTheme="minorEastAsia"/>
          <w:b/>
          <w:bCs w:val="0"/>
          <w:color w:val="000000" w:themeColor="text1"/>
          <w:kern w:val="0"/>
          <w:szCs w:val="21"/>
          <w:lang w:val="en-US" w:eastAsia="zh-CN"/>
          <w14:textFill>
            <w14:solidFill>
              <w14:schemeClr w14:val="tx1"/>
            </w14:solidFill>
          </w14:textFill>
        </w:rPr>
        <w:t>5   本项目各</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防治区生态防护与恢复措施一览表</w:t>
      </w:r>
      <w:r>
        <w:rPr>
          <w:rFonts w:hint="eastAsia" w:cs="Times New Roman" w:eastAsiaTheme="minorEastAsia"/>
          <w:b/>
          <w:bCs w:val="0"/>
          <w:color w:val="000000" w:themeColor="text1"/>
          <w:kern w:val="0"/>
          <w:szCs w:val="21"/>
          <w:lang w:val="en-US" w:eastAsia="zh-CN"/>
          <w14:textFill>
            <w14:solidFill>
              <w14:schemeClr w14:val="tx1"/>
            </w14:solidFill>
          </w14:textFill>
        </w:rPr>
        <w:t>（略）</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20" w:name="_GoBack"/>
      <w:bookmarkEnd w:id="20"/>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1.8 水土保持</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工程对水土流失影响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水土流失又称土壤侵蚀，本项目在施工时不可避免的造成了土壤的扰动，改变了土壤层的结构，引起一定程度的水土流失。为此评价要求项目在施工期间，在占用</w:t>
      </w:r>
      <w:r>
        <w:rPr>
          <w:rFonts w:hint="default" w:ascii="Times New Roman" w:hAnsi="Times New Roman" w:cs="Times New Roman"/>
          <w:color w:val="000000" w:themeColor="text1"/>
          <w:sz w:val="24"/>
          <w:lang w:eastAsia="zh-CN"/>
          <w14:textFill>
            <w14:solidFill>
              <w14:schemeClr w14:val="tx1"/>
            </w14:solidFill>
          </w14:textFill>
        </w:rPr>
        <w:t>林地</w:t>
      </w:r>
      <w:r>
        <w:rPr>
          <w:rFonts w:hint="default" w:ascii="Times New Roman" w:hAnsi="Times New Roman" w:cs="Times New Roman"/>
          <w:color w:val="000000" w:themeColor="text1"/>
          <w:sz w:val="24"/>
          <w14:textFill>
            <w14:solidFill>
              <w14:schemeClr w14:val="tx1"/>
            </w14:solidFill>
          </w14:textFill>
        </w:rPr>
        <w:t>时采取分层取土、分层开挖、分层回填的保护措施；井场施工在山坡地带时，及时对建设护坡等措施，减轻施工对区内的水土流失影响。</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24"/>
          <w:szCs w:val="24"/>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水土保持措施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本项目应采取如下措施以减少水土流失：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临时开挖面两侧设临时拦挡措施，遇暴雨时及时用草帘等覆盖开挖断面，防止暴雨冲刷。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表土临时剥离堆放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对于施工临时占用林地地段，为了保持该区域的生物多样性，需对表层进行剥离、临时堆放处理。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开挖临时堆积物、建筑材料堆积物临时防护</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对开挖临时堆积物及建筑材料堆积物周边采用装土编织袋围堰防护，在大风、暴雨时其表面采用草帘掩盖，防止水土流失。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设置信息系统，防患于未然。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在施工期间，施工单位应与当地气象部门和水文部门取得联系，获取灾害性天气（暴雨和大风）预报资料，及时调整施工时序，采取各种防护措施，将水土流失控制在最小程度。</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5</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加强管理，提高施工人员水土保持意识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严格按照本方案制定的水土保持防护体系施工。同时，加强对施工人员的水土保持法律、法规的宣传教育，使施工人员了解水土流失的危害和水土保护的重要性，在施工中自觉执行有关规定。</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19" w:name="_Toc361642011"/>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1.9 结论</w:t>
      </w:r>
      <w:bookmarkEnd w:id="19"/>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从以上对评价区生态系统的影响分析可见，项目建设将使本区地貌、土壤等条件发生改变，并直接破坏和摧毁部分植被，造成占地范围内</w:t>
      </w:r>
      <w:r>
        <w:rPr>
          <w:rFonts w:hint="default" w:ascii="Times New Roman" w:hAnsi="Times New Roman" w:cs="Times New Roman"/>
          <w:color w:val="000000" w:themeColor="text1"/>
          <w:sz w:val="24"/>
          <w:lang w:eastAsia="zh-CN"/>
          <w14:textFill>
            <w14:solidFill>
              <w14:schemeClr w14:val="tx1"/>
            </w14:solidFill>
          </w14:textFill>
        </w:rPr>
        <w:t>林地生物量减少</w:t>
      </w:r>
      <w:r>
        <w:rPr>
          <w:rFonts w:hint="default" w:ascii="Times New Roman" w:hAnsi="Times New Roman" w:cs="Times New Roman"/>
          <w:color w:val="000000" w:themeColor="text1"/>
          <w:sz w:val="24"/>
          <w14:textFill>
            <w14:solidFill>
              <w14:schemeClr w14:val="tx1"/>
            </w14:solidFill>
          </w14:textFill>
        </w:rPr>
        <w:t>，土地利用类型将发生改变等。水土流失，土壤恶化等消极影响将增强。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但从项目所在区生态现状及项目建设的生态效益、社会效益进行分析来看，项目建设后可为本地区生态系统的恢复以致重建成更理想的生态系统提供经济补偿，项目所在区从</w:t>
      </w:r>
      <w:r>
        <w:rPr>
          <w:rFonts w:hint="default" w:ascii="Times New Roman" w:hAnsi="Times New Roman" w:cs="Times New Roman"/>
          <w:color w:val="000000" w:themeColor="text1"/>
          <w:sz w:val="24"/>
          <w:lang w:eastAsia="zh-CN"/>
          <w14:textFill>
            <w14:solidFill>
              <w14:schemeClr w14:val="tx1"/>
            </w14:solidFill>
          </w14:textFill>
        </w:rPr>
        <w:t>林</w:t>
      </w:r>
      <w:r>
        <w:rPr>
          <w:rFonts w:hint="default" w:ascii="Times New Roman" w:hAnsi="Times New Roman" w:cs="Times New Roman"/>
          <w:color w:val="000000" w:themeColor="text1"/>
          <w:sz w:val="24"/>
          <w14:textFill>
            <w14:solidFill>
              <w14:schemeClr w14:val="tx1"/>
            </w14:solidFill>
          </w14:textFill>
        </w:rPr>
        <w:t>业生产综合发展出发，采取有效的覆土绿化或</w:t>
      </w:r>
      <w:r>
        <w:rPr>
          <w:rFonts w:hint="default" w:ascii="Times New Roman" w:hAnsi="Times New Roman" w:cs="Times New Roman"/>
          <w:color w:val="000000" w:themeColor="text1"/>
          <w:sz w:val="24"/>
          <w:lang w:eastAsia="zh-CN"/>
          <w14:textFill>
            <w14:solidFill>
              <w14:schemeClr w14:val="tx1"/>
            </w14:solidFill>
          </w14:textFill>
        </w:rPr>
        <w:t>植被恢复</w:t>
      </w:r>
      <w:r>
        <w:rPr>
          <w:rFonts w:hint="default" w:ascii="Times New Roman" w:hAnsi="Times New Roman" w:cs="Times New Roman"/>
          <w:color w:val="000000" w:themeColor="text1"/>
          <w:sz w:val="24"/>
          <w14:textFill>
            <w14:solidFill>
              <w14:schemeClr w14:val="tx1"/>
            </w14:solidFill>
          </w14:textFill>
        </w:rPr>
        <w:t>措施，不仅可以减少或补偿开发带来的消极影响，同时可为项目所在区生态环境的改善起积极促进作用。</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通过采取的环评要求的措施后，评价区域内经项目扰动的地表及项目临时占地得到有效的恢复，可将项目造成的生态影响降至最低限度。</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p>
    <w:sectPr>
      <w:footerReference r:id="rId18"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UVRs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IUVRsVAgAAFwQAAA4AAAAAAAAA&#10;AQAgAAAAHwEAAGRycy9lMm9Eb2MueG1sUEsFBgAAAAAGAAYAWQEAAKYFA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aIKA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AxHr+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45GI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3jkYhQCAAAXBAAADgAAAAAAAAAB&#10;ACAAAAAfAQAAZHJzL2Uyb0RvYy54bWxQSwUGAAAAAAYABgBZAQAApQU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7E189"/>
    <w:multiLevelType w:val="singleLevel"/>
    <w:tmpl w:val="93F7E189"/>
    <w:lvl w:ilvl="0" w:tentative="0">
      <w:start w:val="1"/>
      <w:numFmt w:val="decimal"/>
      <w:suff w:val="space"/>
      <w:lvlText w:val="%1."/>
      <w:lvlJc w:val="left"/>
    </w:lvl>
  </w:abstractNum>
  <w:abstractNum w:abstractNumId="1">
    <w:nsid w:val="AF706CF5"/>
    <w:multiLevelType w:val="singleLevel"/>
    <w:tmpl w:val="AF706CF5"/>
    <w:lvl w:ilvl="0" w:tentative="0">
      <w:start w:val="1"/>
      <w:numFmt w:val="lowerLetter"/>
      <w:suff w:val="space"/>
      <w:lvlText w:val="%1."/>
      <w:lvlJc w:val="left"/>
    </w:lvl>
  </w:abstractNum>
  <w:abstractNum w:abstractNumId="2">
    <w:nsid w:val="B7522E46"/>
    <w:multiLevelType w:val="singleLevel"/>
    <w:tmpl w:val="B7522E46"/>
    <w:lvl w:ilvl="0" w:tentative="0">
      <w:start w:val="1"/>
      <w:numFmt w:val="decimal"/>
      <w:suff w:val="space"/>
      <w:lvlText w:val="%1."/>
      <w:lvlJc w:val="left"/>
    </w:lvl>
  </w:abstractNum>
  <w:abstractNum w:abstractNumId="3">
    <w:nsid w:val="BBA6EB71"/>
    <w:multiLevelType w:val="singleLevel"/>
    <w:tmpl w:val="BBA6EB71"/>
    <w:lvl w:ilvl="0" w:tentative="0">
      <w:start w:val="2"/>
      <w:numFmt w:val="decimal"/>
      <w:suff w:val="space"/>
      <w:lvlText w:val="%1."/>
      <w:lvlJc w:val="left"/>
    </w:lvl>
  </w:abstractNum>
  <w:abstractNum w:abstractNumId="4">
    <w:nsid w:val="BE623DF3"/>
    <w:multiLevelType w:val="singleLevel"/>
    <w:tmpl w:val="BE623DF3"/>
    <w:lvl w:ilvl="0" w:tentative="0">
      <w:start w:val="1"/>
      <w:numFmt w:val="lowerLetter"/>
      <w:suff w:val="space"/>
      <w:lvlText w:val="%1."/>
      <w:lvlJc w:val="left"/>
    </w:lvl>
  </w:abstractNum>
  <w:abstractNum w:abstractNumId="5">
    <w:nsid w:val="C1D4DA45"/>
    <w:multiLevelType w:val="singleLevel"/>
    <w:tmpl w:val="C1D4DA45"/>
    <w:lvl w:ilvl="0" w:tentative="0">
      <w:start w:val="2"/>
      <w:numFmt w:val="decimal"/>
      <w:suff w:val="nothing"/>
      <w:lvlText w:val="（%1）"/>
      <w:lvlJc w:val="left"/>
    </w:lvl>
  </w:abstractNum>
  <w:abstractNum w:abstractNumId="6">
    <w:nsid w:val="E244F96A"/>
    <w:multiLevelType w:val="singleLevel"/>
    <w:tmpl w:val="E244F96A"/>
    <w:lvl w:ilvl="0" w:tentative="0">
      <w:start w:val="1"/>
      <w:numFmt w:val="decimal"/>
      <w:suff w:val="space"/>
      <w:lvlText w:val="%1."/>
      <w:lvlJc w:val="left"/>
    </w:lvl>
  </w:abstractNum>
  <w:abstractNum w:abstractNumId="7">
    <w:nsid w:val="E7EFAD77"/>
    <w:multiLevelType w:val="singleLevel"/>
    <w:tmpl w:val="E7EFAD77"/>
    <w:lvl w:ilvl="0" w:tentative="0">
      <w:start w:val="1"/>
      <w:numFmt w:val="lowerLetter"/>
      <w:suff w:val="space"/>
      <w:lvlText w:val="%1."/>
      <w:lvlJc w:val="left"/>
    </w:lvl>
  </w:abstractNum>
  <w:abstractNum w:abstractNumId="8">
    <w:nsid w:val="EB2B32A0"/>
    <w:multiLevelType w:val="singleLevel"/>
    <w:tmpl w:val="EB2B32A0"/>
    <w:lvl w:ilvl="0" w:tentative="0">
      <w:start w:val="1"/>
      <w:numFmt w:val="chineseCounting"/>
      <w:suff w:val="nothing"/>
      <w:lvlText w:val="（%1）"/>
      <w:lvlJc w:val="left"/>
      <w:rPr>
        <w:rFonts w:hint="eastAsia"/>
      </w:rPr>
    </w:lvl>
  </w:abstractNum>
  <w:abstractNum w:abstractNumId="9">
    <w:nsid w:val="F15B4EDA"/>
    <w:multiLevelType w:val="singleLevel"/>
    <w:tmpl w:val="F15B4EDA"/>
    <w:lvl w:ilvl="0" w:tentative="0">
      <w:start w:val="2"/>
      <w:numFmt w:val="decimal"/>
      <w:suff w:val="space"/>
      <w:lvlText w:val="%1."/>
      <w:lvlJc w:val="left"/>
    </w:lvl>
  </w:abstractNum>
  <w:abstractNum w:abstractNumId="10">
    <w:nsid w:val="F8AF82D0"/>
    <w:multiLevelType w:val="singleLevel"/>
    <w:tmpl w:val="F8AF82D0"/>
    <w:lvl w:ilvl="0" w:tentative="0">
      <w:start w:val="1"/>
      <w:numFmt w:val="lowerLetter"/>
      <w:suff w:val="space"/>
      <w:lvlText w:val="%1."/>
      <w:lvlJc w:val="left"/>
    </w:lvl>
  </w:abstractNum>
  <w:abstractNum w:abstractNumId="11">
    <w:nsid w:val="0DD633B7"/>
    <w:multiLevelType w:val="singleLevel"/>
    <w:tmpl w:val="0DD633B7"/>
    <w:lvl w:ilvl="0" w:tentative="0">
      <w:start w:val="6"/>
      <w:numFmt w:val="decimal"/>
      <w:suff w:val="space"/>
      <w:lvlText w:val="%1."/>
      <w:lvlJc w:val="left"/>
    </w:lvl>
  </w:abstractNum>
  <w:abstractNum w:abstractNumId="12">
    <w:nsid w:val="10D42F6F"/>
    <w:multiLevelType w:val="singleLevel"/>
    <w:tmpl w:val="10D42F6F"/>
    <w:lvl w:ilvl="0" w:tentative="0">
      <w:start w:val="2"/>
      <w:numFmt w:val="decimal"/>
      <w:suff w:val="space"/>
      <w:lvlText w:val="%1."/>
      <w:lvlJc w:val="left"/>
    </w:lvl>
  </w:abstractNum>
  <w:abstractNum w:abstractNumId="13">
    <w:nsid w:val="17AE8E77"/>
    <w:multiLevelType w:val="singleLevel"/>
    <w:tmpl w:val="17AE8E77"/>
    <w:lvl w:ilvl="0" w:tentative="0">
      <w:start w:val="2"/>
      <w:numFmt w:val="decimal"/>
      <w:suff w:val="space"/>
      <w:lvlText w:val="%1."/>
      <w:lvlJc w:val="left"/>
    </w:lvl>
  </w:abstractNum>
  <w:abstractNum w:abstractNumId="14">
    <w:nsid w:val="302B3187"/>
    <w:multiLevelType w:val="singleLevel"/>
    <w:tmpl w:val="302B3187"/>
    <w:lvl w:ilvl="0" w:tentative="0">
      <w:start w:val="2"/>
      <w:numFmt w:val="decimal"/>
      <w:suff w:val="space"/>
      <w:lvlText w:val="%1."/>
      <w:lvlJc w:val="left"/>
    </w:lvl>
  </w:abstractNum>
  <w:abstractNum w:abstractNumId="15">
    <w:nsid w:val="465DA7C3"/>
    <w:multiLevelType w:val="singleLevel"/>
    <w:tmpl w:val="465DA7C3"/>
    <w:lvl w:ilvl="0" w:tentative="0">
      <w:start w:val="2"/>
      <w:numFmt w:val="decimal"/>
      <w:suff w:val="space"/>
      <w:lvlText w:val="%1."/>
      <w:lvlJc w:val="left"/>
    </w:lvl>
  </w:abstractNum>
  <w:abstractNum w:abstractNumId="16">
    <w:nsid w:val="72A1CDDD"/>
    <w:multiLevelType w:val="singleLevel"/>
    <w:tmpl w:val="72A1CDDD"/>
    <w:lvl w:ilvl="0" w:tentative="0">
      <w:start w:val="2"/>
      <w:numFmt w:val="decimal"/>
      <w:suff w:val="space"/>
      <w:lvlText w:val="%1."/>
      <w:lvlJc w:val="left"/>
    </w:lvl>
  </w:abstractNum>
  <w:num w:numId="1">
    <w:abstractNumId w:val="0"/>
  </w:num>
  <w:num w:numId="2">
    <w:abstractNumId w:val="3"/>
  </w:num>
  <w:num w:numId="3">
    <w:abstractNumId w:val="10"/>
  </w:num>
  <w:num w:numId="4">
    <w:abstractNumId w:val="12"/>
  </w:num>
  <w:num w:numId="5">
    <w:abstractNumId w:val="11"/>
  </w:num>
  <w:num w:numId="6">
    <w:abstractNumId w:val="8"/>
  </w:num>
  <w:num w:numId="7">
    <w:abstractNumId w:val="9"/>
  </w:num>
  <w:num w:numId="8">
    <w:abstractNumId w:val="1"/>
  </w:num>
  <w:num w:numId="9">
    <w:abstractNumId w:val="4"/>
  </w:num>
  <w:num w:numId="10">
    <w:abstractNumId w:val="6"/>
  </w:num>
  <w:num w:numId="11">
    <w:abstractNumId w:val="13"/>
  </w:num>
  <w:num w:numId="12">
    <w:abstractNumId w:val="15"/>
  </w:num>
  <w:num w:numId="13">
    <w:abstractNumId w:val="2"/>
  </w:num>
  <w:num w:numId="14">
    <w:abstractNumId w:val="5"/>
  </w:num>
  <w:num w:numId="15">
    <w:abstractNumId w:val="7"/>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71C"/>
    <w:rsid w:val="00000D41"/>
    <w:rsid w:val="000018E2"/>
    <w:rsid w:val="000020E6"/>
    <w:rsid w:val="000021B9"/>
    <w:rsid w:val="0000347D"/>
    <w:rsid w:val="0000454C"/>
    <w:rsid w:val="000045DD"/>
    <w:rsid w:val="0000469B"/>
    <w:rsid w:val="00004BAD"/>
    <w:rsid w:val="000051A8"/>
    <w:rsid w:val="0000638F"/>
    <w:rsid w:val="0000740A"/>
    <w:rsid w:val="00007EC3"/>
    <w:rsid w:val="00010C60"/>
    <w:rsid w:val="00010CC0"/>
    <w:rsid w:val="000115F3"/>
    <w:rsid w:val="0001203A"/>
    <w:rsid w:val="00012572"/>
    <w:rsid w:val="00013104"/>
    <w:rsid w:val="000131EF"/>
    <w:rsid w:val="000136FB"/>
    <w:rsid w:val="000138D2"/>
    <w:rsid w:val="00013D0E"/>
    <w:rsid w:val="0001403C"/>
    <w:rsid w:val="00014B70"/>
    <w:rsid w:val="00014C35"/>
    <w:rsid w:val="0001562A"/>
    <w:rsid w:val="000158BD"/>
    <w:rsid w:val="00015A46"/>
    <w:rsid w:val="00015B86"/>
    <w:rsid w:val="00016030"/>
    <w:rsid w:val="000167AE"/>
    <w:rsid w:val="00016DC3"/>
    <w:rsid w:val="00016DD6"/>
    <w:rsid w:val="0001772E"/>
    <w:rsid w:val="00017FF7"/>
    <w:rsid w:val="00020AAB"/>
    <w:rsid w:val="00020B63"/>
    <w:rsid w:val="00020C35"/>
    <w:rsid w:val="000213B6"/>
    <w:rsid w:val="00021876"/>
    <w:rsid w:val="00021C24"/>
    <w:rsid w:val="00022533"/>
    <w:rsid w:val="000228E3"/>
    <w:rsid w:val="00022FDF"/>
    <w:rsid w:val="00024486"/>
    <w:rsid w:val="000265AB"/>
    <w:rsid w:val="00026637"/>
    <w:rsid w:val="00027796"/>
    <w:rsid w:val="00030EA5"/>
    <w:rsid w:val="00030FC3"/>
    <w:rsid w:val="00031760"/>
    <w:rsid w:val="00031CB7"/>
    <w:rsid w:val="000327D7"/>
    <w:rsid w:val="0003298B"/>
    <w:rsid w:val="00032C51"/>
    <w:rsid w:val="00034052"/>
    <w:rsid w:val="00034173"/>
    <w:rsid w:val="000342FE"/>
    <w:rsid w:val="00034432"/>
    <w:rsid w:val="00034DEA"/>
    <w:rsid w:val="000364C1"/>
    <w:rsid w:val="000367AF"/>
    <w:rsid w:val="00036BEB"/>
    <w:rsid w:val="000376E7"/>
    <w:rsid w:val="00040F29"/>
    <w:rsid w:val="000413D1"/>
    <w:rsid w:val="00041FD2"/>
    <w:rsid w:val="00042364"/>
    <w:rsid w:val="000423B0"/>
    <w:rsid w:val="000428E3"/>
    <w:rsid w:val="00042F99"/>
    <w:rsid w:val="000431A8"/>
    <w:rsid w:val="00043A2C"/>
    <w:rsid w:val="00043F22"/>
    <w:rsid w:val="00044378"/>
    <w:rsid w:val="00045582"/>
    <w:rsid w:val="00047C3F"/>
    <w:rsid w:val="000502EE"/>
    <w:rsid w:val="00050A65"/>
    <w:rsid w:val="00050D47"/>
    <w:rsid w:val="00051A1C"/>
    <w:rsid w:val="00051FB0"/>
    <w:rsid w:val="00052583"/>
    <w:rsid w:val="00052B03"/>
    <w:rsid w:val="00052BBC"/>
    <w:rsid w:val="000533B6"/>
    <w:rsid w:val="000535C7"/>
    <w:rsid w:val="0005391B"/>
    <w:rsid w:val="00053C9B"/>
    <w:rsid w:val="00053D2B"/>
    <w:rsid w:val="000549D4"/>
    <w:rsid w:val="00054D90"/>
    <w:rsid w:val="00055117"/>
    <w:rsid w:val="0005531A"/>
    <w:rsid w:val="00055A7E"/>
    <w:rsid w:val="0005604B"/>
    <w:rsid w:val="00056067"/>
    <w:rsid w:val="000563FD"/>
    <w:rsid w:val="000571C1"/>
    <w:rsid w:val="000575C9"/>
    <w:rsid w:val="00057CA4"/>
    <w:rsid w:val="00057DA1"/>
    <w:rsid w:val="00060118"/>
    <w:rsid w:val="0006100A"/>
    <w:rsid w:val="000613AC"/>
    <w:rsid w:val="000614AB"/>
    <w:rsid w:val="000624EC"/>
    <w:rsid w:val="00062536"/>
    <w:rsid w:val="0006260F"/>
    <w:rsid w:val="00062F72"/>
    <w:rsid w:val="000630F6"/>
    <w:rsid w:val="0006386B"/>
    <w:rsid w:val="000642C0"/>
    <w:rsid w:val="000648FB"/>
    <w:rsid w:val="00064B05"/>
    <w:rsid w:val="00065C5B"/>
    <w:rsid w:val="00065D1D"/>
    <w:rsid w:val="000662B9"/>
    <w:rsid w:val="00066F08"/>
    <w:rsid w:val="00067D47"/>
    <w:rsid w:val="00067F91"/>
    <w:rsid w:val="00070AC1"/>
    <w:rsid w:val="000713EF"/>
    <w:rsid w:val="00071A88"/>
    <w:rsid w:val="00072133"/>
    <w:rsid w:val="00072D75"/>
    <w:rsid w:val="00073C14"/>
    <w:rsid w:val="0007436C"/>
    <w:rsid w:val="000743D2"/>
    <w:rsid w:val="00074495"/>
    <w:rsid w:val="00074BF9"/>
    <w:rsid w:val="00074D2D"/>
    <w:rsid w:val="00074EB2"/>
    <w:rsid w:val="00074FF2"/>
    <w:rsid w:val="00075435"/>
    <w:rsid w:val="0007548A"/>
    <w:rsid w:val="000755AF"/>
    <w:rsid w:val="00075ED1"/>
    <w:rsid w:val="0007664F"/>
    <w:rsid w:val="0007759A"/>
    <w:rsid w:val="0007769A"/>
    <w:rsid w:val="00080B9E"/>
    <w:rsid w:val="00080EE0"/>
    <w:rsid w:val="00082110"/>
    <w:rsid w:val="000821D5"/>
    <w:rsid w:val="00082903"/>
    <w:rsid w:val="000832B5"/>
    <w:rsid w:val="00083473"/>
    <w:rsid w:val="00083AFF"/>
    <w:rsid w:val="00083C79"/>
    <w:rsid w:val="00084680"/>
    <w:rsid w:val="00084CE8"/>
    <w:rsid w:val="000856D4"/>
    <w:rsid w:val="0008599A"/>
    <w:rsid w:val="00085B9F"/>
    <w:rsid w:val="00085E6A"/>
    <w:rsid w:val="00086111"/>
    <w:rsid w:val="000862E1"/>
    <w:rsid w:val="00086752"/>
    <w:rsid w:val="00086928"/>
    <w:rsid w:val="00087A83"/>
    <w:rsid w:val="000904DE"/>
    <w:rsid w:val="00090579"/>
    <w:rsid w:val="000905AC"/>
    <w:rsid w:val="00090A8B"/>
    <w:rsid w:val="00090EDB"/>
    <w:rsid w:val="000916B4"/>
    <w:rsid w:val="00091716"/>
    <w:rsid w:val="00092D5E"/>
    <w:rsid w:val="0009375C"/>
    <w:rsid w:val="0009387E"/>
    <w:rsid w:val="000939B0"/>
    <w:rsid w:val="00093A6B"/>
    <w:rsid w:val="00093BE5"/>
    <w:rsid w:val="00093CA4"/>
    <w:rsid w:val="00094B47"/>
    <w:rsid w:val="00094CE0"/>
    <w:rsid w:val="00094F12"/>
    <w:rsid w:val="0009593D"/>
    <w:rsid w:val="00095A19"/>
    <w:rsid w:val="000964E4"/>
    <w:rsid w:val="00096582"/>
    <w:rsid w:val="0009658D"/>
    <w:rsid w:val="00097384"/>
    <w:rsid w:val="00097B7C"/>
    <w:rsid w:val="000A001E"/>
    <w:rsid w:val="000A0411"/>
    <w:rsid w:val="000A0F5A"/>
    <w:rsid w:val="000A1223"/>
    <w:rsid w:val="000A134C"/>
    <w:rsid w:val="000A1632"/>
    <w:rsid w:val="000A1CCE"/>
    <w:rsid w:val="000A267B"/>
    <w:rsid w:val="000A33B2"/>
    <w:rsid w:val="000A36E7"/>
    <w:rsid w:val="000A43C4"/>
    <w:rsid w:val="000A456F"/>
    <w:rsid w:val="000A468F"/>
    <w:rsid w:val="000A4F00"/>
    <w:rsid w:val="000A5280"/>
    <w:rsid w:val="000A5FD8"/>
    <w:rsid w:val="000A6644"/>
    <w:rsid w:val="000A66BE"/>
    <w:rsid w:val="000A695E"/>
    <w:rsid w:val="000A75DE"/>
    <w:rsid w:val="000A7E70"/>
    <w:rsid w:val="000B02AE"/>
    <w:rsid w:val="000B0FBE"/>
    <w:rsid w:val="000B1220"/>
    <w:rsid w:val="000B22CD"/>
    <w:rsid w:val="000B388D"/>
    <w:rsid w:val="000B3959"/>
    <w:rsid w:val="000B3A86"/>
    <w:rsid w:val="000B4323"/>
    <w:rsid w:val="000B4434"/>
    <w:rsid w:val="000B4838"/>
    <w:rsid w:val="000B4ABB"/>
    <w:rsid w:val="000B5FDF"/>
    <w:rsid w:val="000B61DA"/>
    <w:rsid w:val="000B6361"/>
    <w:rsid w:val="000B71D5"/>
    <w:rsid w:val="000B7F64"/>
    <w:rsid w:val="000C01F7"/>
    <w:rsid w:val="000C03BE"/>
    <w:rsid w:val="000C19AD"/>
    <w:rsid w:val="000C2042"/>
    <w:rsid w:val="000C2099"/>
    <w:rsid w:val="000C27EF"/>
    <w:rsid w:val="000C2D87"/>
    <w:rsid w:val="000C2F38"/>
    <w:rsid w:val="000C3CB9"/>
    <w:rsid w:val="000C40BE"/>
    <w:rsid w:val="000C4FEF"/>
    <w:rsid w:val="000C5463"/>
    <w:rsid w:val="000C577F"/>
    <w:rsid w:val="000C5C34"/>
    <w:rsid w:val="000C61F3"/>
    <w:rsid w:val="000C65F4"/>
    <w:rsid w:val="000C67D7"/>
    <w:rsid w:val="000C6DBD"/>
    <w:rsid w:val="000C740B"/>
    <w:rsid w:val="000C7D86"/>
    <w:rsid w:val="000D1198"/>
    <w:rsid w:val="000D1625"/>
    <w:rsid w:val="000D1E75"/>
    <w:rsid w:val="000D2723"/>
    <w:rsid w:val="000D2993"/>
    <w:rsid w:val="000D2D0E"/>
    <w:rsid w:val="000D3AE5"/>
    <w:rsid w:val="000D5BD7"/>
    <w:rsid w:val="000D6AC5"/>
    <w:rsid w:val="000D79AE"/>
    <w:rsid w:val="000D7C85"/>
    <w:rsid w:val="000E0753"/>
    <w:rsid w:val="000E0835"/>
    <w:rsid w:val="000E08D4"/>
    <w:rsid w:val="000E0C01"/>
    <w:rsid w:val="000E0C07"/>
    <w:rsid w:val="000E265C"/>
    <w:rsid w:val="000E2C71"/>
    <w:rsid w:val="000E360C"/>
    <w:rsid w:val="000E3BC8"/>
    <w:rsid w:val="000E49B2"/>
    <w:rsid w:val="000E4AD5"/>
    <w:rsid w:val="000E4C69"/>
    <w:rsid w:val="000E5574"/>
    <w:rsid w:val="000E56A4"/>
    <w:rsid w:val="000E57D7"/>
    <w:rsid w:val="000E5AA3"/>
    <w:rsid w:val="000E5BC3"/>
    <w:rsid w:val="000E6EF9"/>
    <w:rsid w:val="000E7A24"/>
    <w:rsid w:val="000F0A9C"/>
    <w:rsid w:val="000F10C6"/>
    <w:rsid w:val="000F1154"/>
    <w:rsid w:val="000F1351"/>
    <w:rsid w:val="000F26DA"/>
    <w:rsid w:val="000F2C17"/>
    <w:rsid w:val="000F3901"/>
    <w:rsid w:val="000F3B61"/>
    <w:rsid w:val="000F3B9A"/>
    <w:rsid w:val="000F42BD"/>
    <w:rsid w:val="000F5286"/>
    <w:rsid w:val="000F5689"/>
    <w:rsid w:val="000F5E43"/>
    <w:rsid w:val="000F5F22"/>
    <w:rsid w:val="000F62A7"/>
    <w:rsid w:val="000F6651"/>
    <w:rsid w:val="000F6803"/>
    <w:rsid w:val="000F6EA3"/>
    <w:rsid w:val="000F758B"/>
    <w:rsid w:val="000F7BEC"/>
    <w:rsid w:val="001006D3"/>
    <w:rsid w:val="001014EF"/>
    <w:rsid w:val="001016C0"/>
    <w:rsid w:val="001017CE"/>
    <w:rsid w:val="0010230D"/>
    <w:rsid w:val="0010238D"/>
    <w:rsid w:val="001025EE"/>
    <w:rsid w:val="00102672"/>
    <w:rsid w:val="00102D60"/>
    <w:rsid w:val="00102E34"/>
    <w:rsid w:val="00103662"/>
    <w:rsid w:val="00104121"/>
    <w:rsid w:val="0010447B"/>
    <w:rsid w:val="00104886"/>
    <w:rsid w:val="00105DA2"/>
    <w:rsid w:val="00105EC2"/>
    <w:rsid w:val="001061D1"/>
    <w:rsid w:val="0010671D"/>
    <w:rsid w:val="0010766E"/>
    <w:rsid w:val="0011062E"/>
    <w:rsid w:val="00111146"/>
    <w:rsid w:val="001117EA"/>
    <w:rsid w:val="00111A98"/>
    <w:rsid w:val="00111BD8"/>
    <w:rsid w:val="001130FB"/>
    <w:rsid w:val="001132B1"/>
    <w:rsid w:val="00113A4C"/>
    <w:rsid w:val="00113BA2"/>
    <w:rsid w:val="00114326"/>
    <w:rsid w:val="00115AC3"/>
    <w:rsid w:val="00115F9C"/>
    <w:rsid w:val="0011608B"/>
    <w:rsid w:val="00116235"/>
    <w:rsid w:val="001162BE"/>
    <w:rsid w:val="001162BF"/>
    <w:rsid w:val="001164D0"/>
    <w:rsid w:val="001166ED"/>
    <w:rsid w:val="001176E1"/>
    <w:rsid w:val="00120069"/>
    <w:rsid w:val="00120A02"/>
    <w:rsid w:val="001213E3"/>
    <w:rsid w:val="00121402"/>
    <w:rsid w:val="00121FF8"/>
    <w:rsid w:val="00122A71"/>
    <w:rsid w:val="00122BC8"/>
    <w:rsid w:val="00122C9E"/>
    <w:rsid w:val="00122FDC"/>
    <w:rsid w:val="00124803"/>
    <w:rsid w:val="00124F55"/>
    <w:rsid w:val="0012524D"/>
    <w:rsid w:val="001252DD"/>
    <w:rsid w:val="001255A1"/>
    <w:rsid w:val="00125FC8"/>
    <w:rsid w:val="00126251"/>
    <w:rsid w:val="001263E8"/>
    <w:rsid w:val="00126C23"/>
    <w:rsid w:val="00127019"/>
    <w:rsid w:val="001278D6"/>
    <w:rsid w:val="00127982"/>
    <w:rsid w:val="00127ABA"/>
    <w:rsid w:val="00127E31"/>
    <w:rsid w:val="0013062F"/>
    <w:rsid w:val="0013079D"/>
    <w:rsid w:val="00130825"/>
    <w:rsid w:val="00131C3E"/>
    <w:rsid w:val="0013214D"/>
    <w:rsid w:val="001322B3"/>
    <w:rsid w:val="0013272F"/>
    <w:rsid w:val="00132B8C"/>
    <w:rsid w:val="00132C20"/>
    <w:rsid w:val="00133282"/>
    <w:rsid w:val="001339D0"/>
    <w:rsid w:val="00133F7F"/>
    <w:rsid w:val="00134146"/>
    <w:rsid w:val="00134CE9"/>
    <w:rsid w:val="0013551C"/>
    <w:rsid w:val="001355CA"/>
    <w:rsid w:val="00135ECF"/>
    <w:rsid w:val="0013610A"/>
    <w:rsid w:val="00136382"/>
    <w:rsid w:val="00136CF1"/>
    <w:rsid w:val="00136CF2"/>
    <w:rsid w:val="00136F46"/>
    <w:rsid w:val="001370A0"/>
    <w:rsid w:val="001371C9"/>
    <w:rsid w:val="001375D0"/>
    <w:rsid w:val="00137AE9"/>
    <w:rsid w:val="00137C63"/>
    <w:rsid w:val="001408E6"/>
    <w:rsid w:val="00140F0B"/>
    <w:rsid w:val="00142A48"/>
    <w:rsid w:val="00142D47"/>
    <w:rsid w:val="00142D93"/>
    <w:rsid w:val="00143DC6"/>
    <w:rsid w:val="0014498A"/>
    <w:rsid w:val="00144B25"/>
    <w:rsid w:val="00144E1F"/>
    <w:rsid w:val="00144EDD"/>
    <w:rsid w:val="00145279"/>
    <w:rsid w:val="00146DEE"/>
    <w:rsid w:val="0014731D"/>
    <w:rsid w:val="00147427"/>
    <w:rsid w:val="001504ED"/>
    <w:rsid w:val="0015076C"/>
    <w:rsid w:val="00150DA0"/>
    <w:rsid w:val="001521AB"/>
    <w:rsid w:val="00152507"/>
    <w:rsid w:val="00153268"/>
    <w:rsid w:val="0015415A"/>
    <w:rsid w:val="001542D8"/>
    <w:rsid w:val="00154339"/>
    <w:rsid w:val="00154BE7"/>
    <w:rsid w:val="00154C52"/>
    <w:rsid w:val="00154D73"/>
    <w:rsid w:val="00154FDF"/>
    <w:rsid w:val="001559DA"/>
    <w:rsid w:val="00155AA7"/>
    <w:rsid w:val="00156C2C"/>
    <w:rsid w:val="001571E3"/>
    <w:rsid w:val="00157434"/>
    <w:rsid w:val="00157626"/>
    <w:rsid w:val="0015769B"/>
    <w:rsid w:val="00160830"/>
    <w:rsid w:val="00161317"/>
    <w:rsid w:val="00161C3D"/>
    <w:rsid w:val="00162184"/>
    <w:rsid w:val="001621C1"/>
    <w:rsid w:val="001623E6"/>
    <w:rsid w:val="00162428"/>
    <w:rsid w:val="001632B0"/>
    <w:rsid w:val="00163757"/>
    <w:rsid w:val="00163A2A"/>
    <w:rsid w:val="00163CA2"/>
    <w:rsid w:val="001647FA"/>
    <w:rsid w:val="001648F2"/>
    <w:rsid w:val="00164A5C"/>
    <w:rsid w:val="00164C0C"/>
    <w:rsid w:val="001657A7"/>
    <w:rsid w:val="00165D02"/>
    <w:rsid w:val="001664EB"/>
    <w:rsid w:val="00166638"/>
    <w:rsid w:val="0016723B"/>
    <w:rsid w:val="00171119"/>
    <w:rsid w:val="001715A2"/>
    <w:rsid w:val="001724B3"/>
    <w:rsid w:val="0017278C"/>
    <w:rsid w:val="00172DED"/>
    <w:rsid w:val="00173A8D"/>
    <w:rsid w:val="00174126"/>
    <w:rsid w:val="00174BB4"/>
    <w:rsid w:val="00174EDE"/>
    <w:rsid w:val="001753FC"/>
    <w:rsid w:val="00176053"/>
    <w:rsid w:val="001763F2"/>
    <w:rsid w:val="001766B5"/>
    <w:rsid w:val="001779C4"/>
    <w:rsid w:val="00177AB3"/>
    <w:rsid w:val="00180D6F"/>
    <w:rsid w:val="00180EFC"/>
    <w:rsid w:val="00182859"/>
    <w:rsid w:val="00182900"/>
    <w:rsid w:val="00182E0B"/>
    <w:rsid w:val="00183880"/>
    <w:rsid w:val="00183DC7"/>
    <w:rsid w:val="00183E03"/>
    <w:rsid w:val="00183F69"/>
    <w:rsid w:val="00184720"/>
    <w:rsid w:val="00184A0C"/>
    <w:rsid w:val="001859D5"/>
    <w:rsid w:val="001864D1"/>
    <w:rsid w:val="0018688E"/>
    <w:rsid w:val="00186C75"/>
    <w:rsid w:val="00186E2A"/>
    <w:rsid w:val="00187766"/>
    <w:rsid w:val="001925F4"/>
    <w:rsid w:val="001929BE"/>
    <w:rsid w:val="001931F8"/>
    <w:rsid w:val="00193317"/>
    <w:rsid w:val="0019399F"/>
    <w:rsid w:val="00193CA8"/>
    <w:rsid w:val="00193CAB"/>
    <w:rsid w:val="00193EEA"/>
    <w:rsid w:val="00194CF9"/>
    <w:rsid w:val="00194FAC"/>
    <w:rsid w:val="0019516B"/>
    <w:rsid w:val="00195608"/>
    <w:rsid w:val="001956E4"/>
    <w:rsid w:val="00195E5C"/>
    <w:rsid w:val="001964CD"/>
    <w:rsid w:val="001967FC"/>
    <w:rsid w:val="00196B19"/>
    <w:rsid w:val="00196C0A"/>
    <w:rsid w:val="00196EC0"/>
    <w:rsid w:val="0019775A"/>
    <w:rsid w:val="001A090E"/>
    <w:rsid w:val="001A0E02"/>
    <w:rsid w:val="001A0FBD"/>
    <w:rsid w:val="001A119E"/>
    <w:rsid w:val="001A1269"/>
    <w:rsid w:val="001A17EF"/>
    <w:rsid w:val="001A1CDA"/>
    <w:rsid w:val="001A2266"/>
    <w:rsid w:val="001A252A"/>
    <w:rsid w:val="001A2757"/>
    <w:rsid w:val="001A297A"/>
    <w:rsid w:val="001A3013"/>
    <w:rsid w:val="001A33B8"/>
    <w:rsid w:val="001A3CD3"/>
    <w:rsid w:val="001A40F9"/>
    <w:rsid w:val="001A42B3"/>
    <w:rsid w:val="001A440E"/>
    <w:rsid w:val="001A4CED"/>
    <w:rsid w:val="001A4D65"/>
    <w:rsid w:val="001A5038"/>
    <w:rsid w:val="001A589B"/>
    <w:rsid w:val="001A5FC7"/>
    <w:rsid w:val="001A69A8"/>
    <w:rsid w:val="001B00EE"/>
    <w:rsid w:val="001B0BDA"/>
    <w:rsid w:val="001B12E2"/>
    <w:rsid w:val="001B14E9"/>
    <w:rsid w:val="001B183E"/>
    <w:rsid w:val="001B1B9A"/>
    <w:rsid w:val="001B1F19"/>
    <w:rsid w:val="001B24F4"/>
    <w:rsid w:val="001B2A82"/>
    <w:rsid w:val="001B2BBE"/>
    <w:rsid w:val="001B5FA9"/>
    <w:rsid w:val="001B7696"/>
    <w:rsid w:val="001B79D6"/>
    <w:rsid w:val="001C0C08"/>
    <w:rsid w:val="001C122D"/>
    <w:rsid w:val="001C1799"/>
    <w:rsid w:val="001C1E53"/>
    <w:rsid w:val="001C2646"/>
    <w:rsid w:val="001C281D"/>
    <w:rsid w:val="001C3172"/>
    <w:rsid w:val="001C3ED7"/>
    <w:rsid w:val="001C3F5B"/>
    <w:rsid w:val="001C4280"/>
    <w:rsid w:val="001C4E95"/>
    <w:rsid w:val="001C5427"/>
    <w:rsid w:val="001C54D5"/>
    <w:rsid w:val="001C6267"/>
    <w:rsid w:val="001C62CC"/>
    <w:rsid w:val="001C6C50"/>
    <w:rsid w:val="001C79AF"/>
    <w:rsid w:val="001D0609"/>
    <w:rsid w:val="001D10D2"/>
    <w:rsid w:val="001D1299"/>
    <w:rsid w:val="001D3428"/>
    <w:rsid w:val="001D348D"/>
    <w:rsid w:val="001D3FF8"/>
    <w:rsid w:val="001D46BD"/>
    <w:rsid w:val="001D4B10"/>
    <w:rsid w:val="001D5F90"/>
    <w:rsid w:val="001D781A"/>
    <w:rsid w:val="001D7BDD"/>
    <w:rsid w:val="001E0DC1"/>
    <w:rsid w:val="001E0DFC"/>
    <w:rsid w:val="001E1223"/>
    <w:rsid w:val="001E1384"/>
    <w:rsid w:val="001E224B"/>
    <w:rsid w:val="001E2360"/>
    <w:rsid w:val="001E24F6"/>
    <w:rsid w:val="001E2681"/>
    <w:rsid w:val="001E2837"/>
    <w:rsid w:val="001E3643"/>
    <w:rsid w:val="001E3A84"/>
    <w:rsid w:val="001E3B16"/>
    <w:rsid w:val="001E3E04"/>
    <w:rsid w:val="001E4754"/>
    <w:rsid w:val="001E4DBB"/>
    <w:rsid w:val="001E66C7"/>
    <w:rsid w:val="001E6DF5"/>
    <w:rsid w:val="001E7A0C"/>
    <w:rsid w:val="001E7D5F"/>
    <w:rsid w:val="001E7E9F"/>
    <w:rsid w:val="001E7FF7"/>
    <w:rsid w:val="001F00B9"/>
    <w:rsid w:val="001F00F1"/>
    <w:rsid w:val="001F022A"/>
    <w:rsid w:val="001F0535"/>
    <w:rsid w:val="001F0B02"/>
    <w:rsid w:val="001F0D7F"/>
    <w:rsid w:val="001F0F8E"/>
    <w:rsid w:val="001F2656"/>
    <w:rsid w:val="001F2A3B"/>
    <w:rsid w:val="001F2BBF"/>
    <w:rsid w:val="001F2F0C"/>
    <w:rsid w:val="001F3557"/>
    <w:rsid w:val="001F3602"/>
    <w:rsid w:val="001F3B1D"/>
    <w:rsid w:val="001F3D96"/>
    <w:rsid w:val="001F4087"/>
    <w:rsid w:val="001F440C"/>
    <w:rsid w:val="001F4DF8"/>
    <w:rsid w:val="001F5F5C"/>
    <w:rsid w:val="001F6A0B"/>
    <w:rsid w:val="001F6A49"/>
    <w:rsid w:val="001F6FED"/>
    <w:rsid w:val="001F72C5"/>
    <w:rsid w:val="001F7AD2"/>
    <w:rsid w:val="001F7D29"/>
    <w:rsid w:val="001F7E99"/>
    <w:rsid w:val="00200090"/>
    <w:rsid w:val="00200157"/>
    <w:rsid w:val="0020027F"/>
    <w:rsid w:val="00200686"/>
    <w:rsid w:val="002016A9"/>
    <w:rsid w:val="00201A83"/>
    <w:rsid w:val="00202F80"/>
    <w:rsid w:val="00203FED"/>
    <w:rsid w:val="002040F9"/>
    <w:rsid w:val="002048B7"/>
    <w:rsid w:val="00204926"/>
    <w:rsid w:val="002057FA"/>
    <w:rsid w:val="00205AFE"/>
    <w:rsid w:val="00205E8E"/>
    <w:rsid w:val="002063F0"/>
    <w:rsid w:val="00207534"/>
    <w:rsid w:val="002076DE"/>
    <w:rsid w:val="002077AE"/>
    <w:rsid w:val="00210B85"/>
    <w:rsid w:val="00210FDD"/>
    <w:rsid w:val="00211149"/>
    <w:rsid w:val="00211228"/>
    <w:rsid w:val="002118A1"/>
    <w:rsid w:val="00212165"/>
    <w:rsid w:val="0021391E"/>
    <w:rsid w:val="00214D9F"/>
    <w:rsid w:val="00215D66"/>
    <w:rsid w:val="002168FF"/>
    <w:rsid w:val="00216CA8"/>
    <w:rsid w:val="0021799F"/>
    <w:rsid w:val="00220153"/>
    <w:rsid w:val="002204D8"/>
    <w:rsid w:val="002218DE"/>
    <w:rsid w:val="00221D7B"/>
    <w:rsid w:val="0022277C"/>
    <w:rsid w:val="00223024"/>
    <w:rsid w:val="002230D8"/>
    <w:rsid w:val="00223294"/>
    <w:rsid w:val="00223452"/>
    <w:rsid w:val="00223558"/>
    <w:rsid w:val="0022381D"/>
    <w:rsid w:val="00224FC6"/>
    <w:rsid w:val="00225B82"/>
    <w:rsid w:val="002263BC"/>
    <w:rsid w:val="0022690F"/>
    <w:rsid w:val="00227049"/>
    <w:rsid w:val="00227E5B"/>
    <w:rsid w:val="002304DD"/>
    <w:rsid w:val="00230E43"/>
    <w:rsid w:val="002310BE"/>
    <w:rsid w:val="00232580"/>
    <w:rsid w:val="00232A9F"/>
    <w:rsid w:val="00233975"/>
    <w:rsid w:val="00233A84"/>
    <w:rsid w:val="00234694"/>
    <w:rsid w:val="002353E2"/>
    <w:rsid w:val="00235BD2"/>
    <w:rsid w:val="00236101"/>
    <w:rsid w:val="002361A4"/>
    <w:rsid w:val="00236401"/>
    <w:rsid w:val="00236959"/>
    <w:rsid w:val="0023752E"/>
    <w:rsid w:val="002377B7"/>
    <w:rsid w:val="0023785A"/>
    <w:rsid w:val="00240B1C"/>
    <w:rsid w:val="00242691"/>
    <w:rsid w:val="00242E7E"/>
    <w:rsid w:val="002436E8"/>
    <w:rsid w:val="00243995"/>
    <w:rsid w:val="00244470"/>
    <w:rsid w:val="00245D35"/>
    <w:rsid w:val="00246C53"/>
    <w:rsid w:val="00247FEE"/>
    <w:rsid w:val="00250058"/>
    <w:rsid w:val="002504CF"/>
    <w:rsid w:val="0025054D"/>
    <w:rsid w:val="00250E62"/>
    <w:rsid w:val="00250FCC"/>
    <w:rsid w:val="00251371"/>
    <w:rsid w:val="00251444"/>
    <w:rsid w:val="0025182C"/>
    <w:rsid w:val="00252321"/>
    <w:rsid w:val="00252372"/>
    <w:rsid w:val="0025313E"/>
    <w:rsid w:val="002546BC"/>
    <w:rsid w:val="0025474E"/>
    <w:rsid w:val="002547B4"/>
    <w:rsid w:val="002560DB"/>
    <w:rsid w:val="002565A5"/>
    <w:rsid w:val="002574AC"/>
    <w:rsid w:val="002575F1"/>
    <w:rsid w:val="002576F5"/>
    <w:rsid w:val="00257F29"/>
    <w:rsid w:val="0026023E"/>
    <w:rsid w:val="00260393"/>
    <w:rsid w:val="002605E0"/>
    <w:rsid w:val="00260C76"/>
    <w:rsid w:val="00261165"/>
    <w:rsid w:val="002614A7"/>
    <w:rsid w:val="002614D8"/>
    <w:rsid w:val="002616A4"/>
    <w:rsid w:val="002629F3"/>
    <w:rsid w:val="00262D5B"/>
    <w:rsid w:val="00262F62"/>
    <w:rsid w:val="002643D1"/>
    <w:rsid w:val="00264E2A"/>
    <w:rsid w:val="00265637"/>
    <w:rsid w:val="00265B99"/>
    <w:rsid w:val="00265D11"/>
    <w:rsid w:val="002669A4"/>
    <w:rsid w:val="0026772A"/>
    <w:rsid w:val="0026776A"/>
    <w:rsid w:val="0027007F"/>
    <w:rsid w:val="00270856"/>
    <w:rsid w:val="00270A23"/>
    <w:rsid w:val="00271C6B"/>
    <w:rsid w:val="00271F22"/>
    <w:rsid w:val="002723D5"/>
    <w:rsid w:val="002724E0"/>
    <w:rsid w:val="00273364"/>
    <w:rsid w:val="002749C1"/>
    <w:rsid w:val="00274CAA"/>
    <w:rsid w:val="0027544E"/>
    <w:rsid w:val="0027573E"/>
    <w:rsid w:val="002758F4"/>
    <w:rsid w:val="00275F44"/>
    <w:rsid w:val="002762E9"/>
    <w:rsid w:val="00277BFE"/>
    <w:rsid w:val="00277D4B"/>
    <w:rsid w:val="0028018B"/>
    <w:rsid w:val="002801CB"/>
    <w:rsid w:val="002808F6"/>
    <w:rsid w:val="002810E0"/>
    <w:rsid w:val="0028160B"/>
    <w:rsid w:val="002818D4"/>
    <w:rsid w:val="00281A04"/>
    <w:rsid w:val="00281EEB"/>
    <w:rsid w:val="00282E8B"/>
    <w:rsid w:val="00283CEB"/>
    <w:rsid w:val="00283DB4"/>
    <w:rsid w:val="00283DFD"/>
    <w:rsid w:val="00284347"/>
    <w:rsid w:val="00284755"/>
    <w:rsid w:val="00284828"/>
    <w:rsid w:val="002850C5"/>
    <w:rsid w:val="0028516D"/>
    <w:rsid w:val="0028570E"/>
    <w:rsid w:val="0028573A"/>
    <w:rsid w:val="00286D50"/>
    <w:rsid w:val="00286F8E"/>
    <w:rsid w:val="002879C3"/>
    <w:rsid w:val="00290614"/>
    <w:rsid w:val="0029073B"/>
    <w:rsid w:val="00290CE3"/>
    <w:rsid w:val="0029147B"/>
    <w:rsid w:val="00291C3E"/>
    <w:rsid w:val="0029209D"/>
    <w:rsid w:val="00292141"/>
    <w:rsid w:val="0029215B"/>
    <w:rsid w:val="00292994"/>
    <w:rsid w:val="00292BC9"/>
    <w:rsid w:val="00292DBA"/>
    <w:rsid w:val="00292EE4"/>
    <w:rsid w:val="002931AF"/>
    <w:rsid w:val="00293232"/>
    <w:rsid w:val="00293B6F"/>
    <w:rsid w:val="00293C3F"/>
    <w:rsid w:val="00294B27"/>
    <w:rsid w:val="00295262"/>
    <w:rsid w:val="00295390"/>
    <w:rsid w:val="002955AB"/>
    <w:rsid w:val="00295F70"/>
    <w:rsid w:val="0029621E"/>
    <w:rsid w:val="00296728"/>
    <w:rsid w:val="0029687D"/>
    <w:rsid w:val="0029763E"/>
    <w:rsid w:val="00297677"/>
    <w:rsid w:val="00297D96"/>
    <w:rsid w:val="002A1544"/>
    <w:rsid w:val="002A1685"/>
    <w:rsid w:val="002A1BA3"/>
    <w:rsid w:val="002A1BC0"/>
    <w:rsid w:val="002A21B1"/>
    <w:rsid w:val="002A27B2"/>
    <w:rsid w:val="002A27B9"/>
    <w:rsid w:val="002A2A38"/>
    <w:rsid w:val="002A2A53"/>
    <w:rsid w:val="002A333F"/>
    <w:rsid w:val="002A3BC6"/>
    <w:rsid w:val="002A426B"/>
    <w:rsid w:val="002A54A7"/>
    <w:rsid w:val="002A5A2A"/>
    <w:rsid w:val="002A5FEE"/>
    <w:rsid w:val="002A645E"/>
    <w:rsid w:val="002A650C"/>
    <w:rsid w:val="002A66FA"/>
    <w:rsid w:val="002A6EE4"/>
    <w:rsid w:val="002A7443"/>
    <w:rsid w:val="002A7A94"/>
    <w:rsid w:val="002A7BD1"/>
    <w:rsid w:val="002A7E7E"/>
    <w:rsid w:val="002B073F"/>
    <w:rsid w:val="002B0F51"/>
    <w:rsid w:val="002B169B"/>
    <w:rsid w:val="002B16F6"/>
    <w:rsid w:val="002B1EE4"/>
    <w:rsid w:val="002B1F5F"/>
    <w:rsid w:val="002B1FFC"/>
    <w:rsid w:val="002B211D"/>
    <w:rsid w:val="002B22F2"/>
    <w:rsid w:val="002B344F"/>
    <w:rsid w:val="002B361F"/>
    <w:rsid w:val="002B36E9"/>
    <w:rsid w:val="002B3A93"/>
    <w:rsid w:val="002B3BE2"/>
    <w:rsid w:val="002B40E6"/>
    <w:rsid w:val="002B4BD3"/>
    <w:rsid w:val="002B5654"/>
    <w:rsid w:val="002B6E6B"/>
    <w:rsid w:val="002B7140"/>
    <w:rsid w:val="002B7E39"/>
    <w:rsid w:val="002C0037"/>
    <w:rsid w:val="002C04DA"/>
    <w:rsid w:val="002C0EF1"/>
    <w:rsid w:val="002C13C1"/>
    <w:rsid w:val="002C223F"/>
    <w:rsid w:val="002C2651"/>
    <w:rsid w:val="002C2FC3"/>
    <w:rsid w:val="002C333B"/>
    <w:rsid w:val="002C35A2"/>
    <w:rsid w:val="002C3F05"/>
    <w:rsid w:val="002C47E8"/>
    <w:rsid w:val="002C47F8"/>
    <w:rsid w:val="002C4CB2"/>
    <w:rsid w:val="002C5383"/>
    <w:rsid w:val="002C56E1"/>
    <w:rsid w:val="002C5932"/>
    <w:rsid w:val="002C625D"/>
    <w:rsid w:val="002C6E2D"/>
    <w:rsid w:val="002C78A5"/>
    <w:rsid w:val="002C7F2D"/>
    <w:rsid w:val="002D2302"/>
    <w:rsid w:val="002D2392"/>
    <w:rsid w:val="002D23CB"/>
    <w:rsid w:val="002D24C2"/>
    <w:rsid w:val="002D2B95"/>
    <w:rsid w:val="002D348F"/>
    <w:rsid w:val="002D39FF"/>
    <w:rsid w:val="002D4384"/>
    <w:rsid w:val="002D6B4C"/>
    <w:rsid w:val="002D6DB1"/>
    <w:rsid w:val="002D792B"/>
    <w:rsid w:val="002D79D0"/>
    <w:rsid w:val="002D7E37"/>
    <w:rsid w:val="002E091D"/>
    <w:rsid w:val="002E0ED1"/>
    <w:rsid w:val="002E185C"/>
    <w:rsid w:val="002E2256"/>
    <w:rsid w:val="002E24B9"/>
    <w:rsid w:val="002E28A2"/>
    <w:rsid w:val="002E2F54"/>
    <w:rsid w:val="002E3E0C"/>
    <w:rsid w:val="002E4719"/>
    <w:rsid w:val="002E4817"/>
    <w:rsid w:val="002E5171"/>
    <w:rsid w:val="002E586F"/>
    <w:rsid w:val="002E5C1F"/>
    <w:rsid w:val="002E671E"/>
    <w:rsid w:val="002E6F40"/>
    <w:rsid w:val="002E78D7"/>
    <w:rsid w:val="002F0F6B"/>
    <w:rsid w:val="002F110B"/>
    <w:rsid w:val="002F151E"/>
    <w:rsid w:val="002F1725"/>
    <w:rsid w:val="002F1A4F"/>
    <w:rsid w:val="002F2317"/>
    <w:rsid w:val="002F2757"/>
    <w:rsid w:val="002F29D1"/>
    <w:rsid w:val="002F2DDC"/>
    <w:rsid w:val="002F2E49"/>
    <w:rsid w:val="002F3B83"/>
    <w:rsid w:val="002F41B8"/>
    <w:rsid w:val="002F471B"/>
    <w:rsid w:val="002F4CC0"/>
    <w:rsid w:val="002F50AF"/>
    <w:rsid w:val="002F6489"/>
    <w:rsid w:val="002F75BD"/>
    <w:rsid w:val="002F7B7C"/>
    <w:rsid w:val="002F7B93"/>
    <w:rsid w:val="002F7C1E"/>
    <w:rsid w:val="002F7D7C"/>
    <w:rsid w:val="0030046F"/>
    <w:rsid w:val="00300492"/>
    <w:rsid w:val="003006A8"/>
    <w:rsid w:val="00300945"/>
    <w:rsid w:val="003013C6"/>
    <w:rsid w:val="003014A9"/>
    <w:rsid w:val="0030159B"/>
    <w:rsid w:val="00301BEE"/>
    <w:rsid w:val="003022A7"/>
    <w:rsid w:val="00302448"/>
    <w:rsid w:val="00302863"/>
    <w:rsid w:val="0030292D"/>
    <w:rsid w:val="00302AB5"/>
    <w:rsid w:val="0030380D"/>
    <w:rsid w:val="00303E47"/>
    <w:rsid w:val="0030563E"/>
    <w:rsid w:val="00306216"/>
    <w:rsid w:val="003067F4"/>
    <w:rsid w:val="003070A9"/>
    <w:rsid w:val="00307345"/>
    <w:rsid w:val="00307F67"/>
    <w:rsid w:val="003122CD"/>
    <w:rsid w:val="0031332E"/>
    <w:rsid w:val="00314039"/>
    <w:rsid w:val="003142FD"/>
    <w:rsid w:val="00314A48"/>
    <w:rsid w:val="00316723"/>
    <w:rsid w:val="00317376"/>
    <w:rsid w:val="00317FCB"/>
    <w:rsid w:val="00320112"/>
    <w:rsid w:val="0032031F"/>
    <w:rsid w:val="00320B89"/>
    <w:rsid w:val="00320D37"/>
    <w:rsid w:val="00320E01"/>
    <w:rsid w:val="00321367"/>
    <w:rsid w:val="00321B55"/>
    <w:rsid w:val="003221DA"/>
    <w:rsid w:val="003228AB"/>
    <w:rsid w:val="0032303F"/>
    <w:rsid w:val="003234F1"/>
    <w:rsid w:val="00323898"/>
    <w:rsid w:val="0032421A"/>
    <w:rsid w:val="0032451C"/>
    <w:rsid w:val="0032487A"/>
    <w:rsid w:val="003248D6"/>
    <w:rsid w:val="0032505F"/>
    <w:rsid w:val="00325634"/>
    <w:rsid w:val="00325722"/>
    <w:rsid w:val="00325E1C"/>
    <w:rsid w:val="00327AB8"/>
    <w:rsid w:val="003301AA"/>
    <w:rsid w:val="00330650"/>
    <w:rsid w:val="00331353"/>
    <w:rsid w:val="003313B2"/>
    <w:rsid w:val="003313B4"/>
    <w:rsid w:val="0033165B"/>
    <w:rsid w:val="003316E3"/>
    <w:rsid w:val="00331E05"/>
    <w:rsid w:val="00331E26"/>
    <w:rsid w:val="00331E96"/>
    <w:rsid w:val="00332613"/>
    <w:rsid w:val="00332B79"/>
    <w:rsid w:val="00332B97"/>
    <w:rsid w:val="00332F0B"/>
    <w:rsid w:val="00333123"/>
    <w:rsid w:val="0033351A"/>
    <w:rsid w:val="003338FD"/>
    <w:rsid w:val="003339FA"/>
    <w:rsid w:val="00333BBF"/>
    <w:rsid w:val="00333DCC"/>
    <w:rsid w:val="0033400A"/>
    <w:rsid w:val="00334A47"/>
    <w:rsid w:val="00334E91"/>
    <w:rsid w:val="00334FC3"/>
    <w:rsid w:val="003351FA"/>
    <w:rsid w:val="003353B9"/>
    <w:rsid w:val="0033543E"/>
    <w:rsid w:val="003354E2"/>
    <w:rsid w:val="0033570C"/>
    <w:rsid w:val="00335817"/>
    <w:rsid w:val="0033615E"/>
    <w:rsid w:val="00336768"/>
    <w:rsid w:val="00336D61"/>
    <w:rsid w:val="00337087"/>
    <w:rsid w:val="00337F33"/>
    <w:rsid w:val="00340112"/>
    <w:rsid w:val="003407D2"/>
    <w:rsid w:val="0034129A"/>
    <w:rsid w:val="0034177C"/>
    <w:rsid w:val="00341D93"/>
    <w:rsid w:val="00341FEC"/>
    <w:rsid w:val="0034226C"/>
    <w:rsid w:val="00342784"/>
    <w:rsid w:val="00342AC6"/>
    <w:rsid w:val="003438F1"/>
    <w:rsid w:val="00344862"/>
    <w:rsid w:val="00344D1B"/>
    <w:rsid w:val="0034539A"/>
    <w:rsid w:val="003455F2"/>
    <w:rsid w:val="00345730"/>
    <w:rsid w:val="00345B5F"/>
    <w:rsid w:val="00345C83"/>
    <w:rsid w:val="003462F9"/>
    <w:rsid w:val="003477F7"/>
    <w:rsid w:val="0035004D"/>
    <w:rsid w:val="0035092F"/>
    <w:rsid w:val="00351AE1"/>
    <w:rsid w:val="003521E5"/>
    <w:rsid w:val="00352229"/>
    <w:rsid w:val="003523A8"/>
    <w:rsid w:val="0035289A"/>
    <w:rsid w:val="00352D11"/>
    <w:rsid w:val="00354330"/>
    <w:rsid w:val="003543D9"/>
    <w:rsid w:val="0035448F"/>
    <w:rsid w:val="00354D57"/>
    <w:rsid w:val="0035539E"/>
    <w:rsid w:val="00355551"/>
    <w:rsid w:val="0035611B"/>
    <w:rsid w:val="00356141"/>
    <w:rsid w:val="00356FE5"/>
    <w:rsid w:val="0036069F"/>
    <w:rsid w:val="003607D5"/>
    <w:rsid w:val="00360924"/>
    <w:rsid w:val="00360C0D"/>
    <w:rsid w:val="00360C6E"/>
    <w:rsid w:val="00362149"/>
    <w:rsid w:val="00362D1C"/>
    <w:rsid w:val="00362F53"/>
    <w:rsid w:val="00364710"/>
    <w:rsid w:val="00365D64"/>
    <w:rsid w:val="00366096"/>
    <w:rsid w:val="003661F9"/>
    <w:rsid w:val="003663FC"/>
    <w:rsid w:val="0036680C"/>
    <w:rsid w:val="003669C4"/>
    <w:rsid w:val="00366C4D"/>
    <w:rsid w:val="003707AA"/>
    <w:rsid w:val="0037157E"/>
    <w:rsid w:val="00371DE9"/>
    <w:rsid w:val="00371ED7"/>
    <w:rsid w:val="0037246C"/>
    <w:rsid w:val="003729BE"/>
    <w:rsid w:val="003735D2"/>
    <w:rsid w:val="00374475"/>
    <w:rsid w:val="00374A30"/>
    <w:rsid w:val="0037507C"/>
    <w:rsid w:val="003751A2"/>
    <w:rsid w:val="00375277"/>
    <w:rsid w:val="00375758"/>
    <w:rsid w:val="003765AD"/>
    <w:rsid w:val="00376C5A"/>
    <w:rsid w:val="0037733B"/>
    <w:rsid w:val="00377CCA"/>
    <w:rsid w:val="00380151"/>
    <w:rsid w:val="00380343"/>
    <w:rsid w:val="00380524"/>
    <w:rsid w:val="003807BC"/>
    <w:rsid w:val="003807FF"/>
    <w:rsid w:val="00380818"/>
    <w:rsid w:val="003809BC"/>
    <w:rsid w:val="00380D22"/>
    <w:rsid w:val="0038133A"/>
    <w:rsid w:val="00381CE1"/>
    <w:rsid w:val="00381FD0"/>
    <w:rsid w:val="003830DD"/>
    <w:rsid w:val="00383DAD"/>
    <w:rsid w:val="00384187"/>
    <w:rsid w:val="003843E1"/>
    <w:rsid w:val="0038590B"/>
    <w:rsid w:val="00385C97"/>
    <w:rsid w:val="0038635E"/>
    <w:rsid w:val="0038673D"/>
    <w:rsid w:val="00386753"/>
    <w:rsid w:val="00386BAE"/>
    <w:rsid w:val="003870F0"/>
    <w:rsid w:val="00387FAC"/>
    <w:rsid w:val="0039006A"/>
    <w:rsid w:val="00390401"/>
    <w:rsid w:val="00391712"/>
    <w:rsid w:val="00391B06"/>
    <w:rsid w:val="00391BDC"/>
    <w:rsid w:val="00392F71"/>
    <w:rsid w:val="00392F74"/>
    <w:rsid w:val="00393A93"/>
    <w:rsid w:val="00393ABD"/>
    <w:rsid w:val="00394155"/>
    <w:rsid w:val="003943FA"/>
    <w:rsid w:val="00394579"/>
    <w:rsid w:val="00394B42"/>
    <w:rsid w:val="00395311"/>
    <w:rsid w:val="003953D5"/>
    <w:rsid w:val="00395430"/>
    <w:rsid w:val="0039585E"/>
    <w:rsid w:val="00395CB3"/>
    <w:rsid w:val="0039653F"/>
    <w:rsid w:val="00396BE5"/>
    <w:rsid w:val="00397242"/>
    <w:rsid w:val="00397FAD"/>
    <w:rsid w:val="003A00E2"/>
    <w:rsid w:val="003A00E6"/>
    <w:rsid w:val="003A02DD"/>
    <w:rsid w:val="003A1795"/>
    <w:rsid w:val="003A17AF"/>
    <w:rsid w:val="003A1D48"/>
    <w:rsid w:val="003A1DA1"/>
    <w:rsid w:val="003A1F73"/>
    <w:rsid w:val="003A22B0"/>
    <w:rsid w:val="003A240E"/>
    <w:rsid w:val="003A39D1"/>
    <w:rsid w:val="003A3B14"/>
    <w:rsid w:val="003A3CFF"/>
    <w:rsid w:val="003A3D58"/>
    <w:rsid w:val="003A3E78"/>
    <w:rsid w:val="003A4654"/>
    <w:rsid w:val="003A4661"/>
    <w:rsid w:val="003A4BA9"/>
    <w:rsid w:val="003A5729"/>
    <w:rsid w:val="003A658E"/>
    <w:rsid w:val="003A6ECC"/>
    <w:rsid w:val="003A7D55"/>
    <w:rsid w:val="003A7D67"/>
    <w:rsid w:val="003A7FF8"/>
    <w:rsid w:val="003B0023"/>
    <w:rsid w:val="003B0033"/>
    <w:rsid w:val="003B05EF"/>
    <w:rsid w:val="003B062F"/>
    <w:rsid w:val="003B06AC"/>
    <w:rsid w:val="003B0BBA"/>
    <w:rsid w:val="003B0E12"/>
    <w:rsid w:val="003B29C2"/>
    <w:rsid w:val="003B2CC3"/>
    <w:rsid w:val="003B3C86"/>
    <w:rsid w:val="003B4EAA"/>
    <w:rsid w:val="003B55E2"/>
    <w:rsid w:val="003B56C4"/>
    <w:rsid w:val="003B5B24"/>
    <w:rsid w:val="003B6D85"/>
    <w:rsid w:val="003B7385"/>
    <w:rsid w:val="003B7406"/>
    <w:rsid w:val="003B746A"/>
    <w:rsid w:val="003B7AAB"/>
    <w:rsid w:val="003C0735"/>
    <w:rsid w:val="003C0A4B"/>
    <w:rsid w:val="003C0C86"/>
    <w:rsid w:val="003C0D80"/>
    <w:rsid w:val="003C1D80"/>
    <w:rsid w:val="003C25EE"/>
    <w:rsid w:val="003C28FB"/>
    <w:rsid w:val="003C3296"/>
    <w:rsid w:val="003C3E56"/>
    <w:rsid w:val="003C4FAD"/>
    <w:rsid w:val="003C52BA"/>
    <w:rsid w:val="003C5395"/>
    <w:rsid w:val="003C5A7D"/>
    <w:rsid w:val="003C6271"/>
    <w:rsid w:val="003C6C9B"/>
    <w:rsid w:val="003C70D2"/>
    <w:rsid w:val="003D0DD7"/>
    <w:rsid w:val="003D1586"/>
    <w:rsid w:val="003D3013"/>
    <w:rsid w:val="003D3D7C"/>
    <w:rsid w:val="003D4A73"/>
    <w:rsid w:val="003D4E1F"/>
    <w:rsid w:val="003D5474"/>
    <w:rsid w:val="003D584D"/>
    <w:rsid w:val="003D5A3C"/>
    <w:rsid w:val="003D5F86"/>
    <w:rsid w:val="003D67ED"/>
    <w:rsid w:val="003D6A82"/>
    <w:rsid w:val="003D6C78"/>
    <w:rsid w:val="003D6DBF"/>
    <w:rsid w:val="003D70F8"/>
    <w:rsid w:val="003D71DF"/>
    <w:rsid w:val="003D7EAD"/>
    <w:rsid w:val="003E0B14"/>
    <w:rsid w:val="003E16B0"/>
    <w:rsid w:val="003E25B7"/>
    <w:rsid w:val="003E2BFC"/>
    <w:rsid w:val="003E3593"/>
    <w:rsid w:val="003E386A"/>
    <w:rsid w:val="003E3CBC"/>
    <w:rsid w:val="003E415C"/>
    <w:rsid w:val="003E456F"/>
    <w:rsid w:val="003E6072"/>
    <w:rsid w:val="003E65D2"/>
    <w:rsid w:val="003E7020"/>
    <w:rsid w:val="003E70BA"/>
    <w:rsid w:val="003F1367"/>
    <w:rsid w:val="003F1C8C"/>
    <w:rsid w:val="003F21E1"/>
    <w:rsid w:val="003F23C6"/>
    <w:rsid w:val="003F2DC2"/>
    <w:rsid w:val="003F2E47"/>
    <w:rsid w:val="003F44EB"/>
    <w:rsid w:val="003F4D91"/>
    <w:rsid w:val="003F572E"/>
    <w:rsid w:val="003F5C6B"/>
    <w:rsid w:val="003F5FE9"/>
    <w:rsid w:val="003F618D"/>
    <w:rsid w:val="003F6430"/>
    <w:rsid w:val="003F646D"/>
    <w:rsid w:val="003F73FF"/>
    <w:rsid w:val="00400365"/>
    <w:rsid w:val="00400738"/>
    <w:rsid w:val="00401BA9"/>
    <w:rsid w:val="00403029"/>
    <w:rsid w:val="0040364D"/>
    <w:rsid w:val="0040391C"/>
    <w:rsid w:val="004039E5"/>
    <w:rsid w:val="00403D73"/>
    <w:rsid w:val="00404C65"/>
    <w:rsid w:val="00404D34"/>
    <w:rsid w:val="004058E0"/>
    <w:rsid w:val="00405E94"/>
    <w:rsid w:val="00405F77"/>
    <w:rsid w:val="00406627"/>
    <w:rsid w:val="00406973"/>
    <w:rsid w:val="00407023"/>
    <w:rsid w:val="0040704D"/>
    <w:rsid w:val="00407370"/>
    <w:rsid w:val="0040746E"/>
    <w:rsid w:val="00410293"/>
    <w:rsid w:val="004104AF"/>
    <w:rsid w:val="00410C5D"/>
    <w:rsid w:val="004113D8"/>
    <w:rsid w:val="004119FB"/>
    <w:rsid w:val="00411DE8"/>
    <w:rsid w:val="00412656"/>
    <w:rsid w:val="004127DA"/>
    <w:rsid w:val="0041290C"/>
    <w:rsid w:val="00413A30"/>
    <w:rsid w:val="00413CDD"/>
    <w:rsid w:val="0041407E"/>
    <w:rsid w:val="004142A2"/>
    <w:rsid w:val="00414390"/>
    <w:rsid w:val="00414D6A"/>
    <w:rsid w:val="00414E84"/>
    <w:rsid w:val="00415553"/>
    <w:rsid w:val="004158D3"/>
    <w:rsid w:val="00415B61"/>
    <w:rsid w:val="00415E50"/>
    <w:rsid w:val="00415F9B"/>
    <w:rsid w:val="00416E9D"/>
    <w:rsid w:val="004170D1"/>
    <w:rsid w:val="00417933"/>
    <w:rsid w:val="00420872"/>
    <w:rsid w:val="00420F0A"/>
    <w:rsid w:val="00420FD4"/>
    <w:rsid w:val="00422952"/>
    <w:rsid w:val="00423008"/>
    <w:rsid w:val="00423095"/>
    <w:rsid w:val="00423662"/>
    <w:rsid w:val="0042441C"/>
    <w:rsid w:val="00425142"/>
    <w:rsid w:val="004254C5"/>
    <w:rsid w:val="00426E1B"/>
    <w:rsid w:val="00427485"/>
    <w:rsid w:val="004275FC"/>
    <w:rsid w:val="00430CD7"/>
    <w:rsid w:val="00431BEF"/>
    <w:rsid w:val="00432264"/>
    <w:rsid w:val="00432266"/>
    <w:rsid w:val="004338BE"/>
    <w:rsid w:val="00433EB5"/>
    <w:rsid w:val="0043432A"/>
    <w:rsid w:val="00434AC6"/>
    <w:rsid w:val="00434EA6"/>
    <w:rsid w:val="00434EB9"/>
    <w:rsid w:val="004357FF"/>
    <w:rsid w:val="00435943"/>
    <w:rsid w:val="00435BE0"/>
    <w:rsid w:val="00435C13"/>
    <w:rsid w:val="00436CAB"/>
    <w:rsid w:val="004378D2"/>
    <w:rsid w:val="00437F2D"/>
    <w:rsid w:val="004403E3"/>
    <w:rsid w:val="00440468"/>
    <w:rsid w:val="00440541"/>
    <w:rsid w:val="004406FB"/>
    <w:rsid w:val="00440A46"/>
    <w:rsid w:val="00441735"/>
    <w:rsid w:val="00441F15"/>
    <w:rsid w:val="00442666"/>
    <w:rsid w:val="004428EA"/>
    <w:rsid w:val="0044294A"/>
    <w:rsid w:val="00442D62"/>
    <w:rsid w:val="004437CC"/>
    <w:rsid w:val="00443DC3"/>
    <w:rsid w:val="00444087"/>
    <w:rsid w:val="0044422E"/>
    <w:rsid w:val="00444781"/>
    <w:rsid w:val="00444B47"/>
    <w:rsid w:val="00444E1C"/>
    <w:rsid w:val="00446226"/>
    <w:rsid w:val="00446590"/>
    <w:rsid w:val="00446EFE"/>
    <w:rsid w:val="004470B6"/>
    <w:rsid w:val="004471C0"/>
    <w:rsid w:val="004471DE"/>
    <w:rsid w:val="00447AFD"/>
    <w:rsid w:val="00447B7B"/>
    <w:rsid w:val="004504B1"/>
    <w:rsid w:val="004505F5"/>
    <w:rsid w:val="004510EC"/>
    <w:rsid w:val="0045170D"/>
    <w:rsid w:val="004522A6"/>
    <w:rsid w:val="004528C6"/>
    <w:rsid w:val="00452C2A"/>
    <w:rsid w:val="00452CC4"/>
    <w:rsid w:val="00453910"/>
    <w:rsid w:val="00454D1C"/>
    <w:rsid w:val="00454E05"/>
    <w:rsid w:val="00454FCD"/>
    <w:rsid w:val="004553E2"/>
    <w:rsid w:val="004557B0"/>
    <w:rsid w:val="00455C11"/>
    <w:rsid w:val="00455CA9"/>
    <w:rsid w:val="00456209"/>
    <w:rsid w:val="004562CA"/>
    <w:rsid w:val="004566D4"/>
    <w:rsid w:val="00456925"/>
    <w:rsid w:val="00456F29"/>
    <w:rsid w:val="0045707F"/>
    <w:rsid w:val="00460B3D"/>
    <w:rsid w:val="00461028"/>
    <w:rsid w:val="004610E0"/>
    <w:rsid w:val="004617EB"/>
    <w:rsid w:val="00461A48"/>
    <w:rsid w:val="00462575"/>
    <w:rsid w:val="004625E6"/>
    <w:rsid w:val="00462E0F"/>
    <w:rsid w:val="00463013"/>
    <w:rsid w:val="00463075"/>
    <w:rsid w:val="0046333A"/>
    <w:rsid w:val="00463FAF"/>
    <w:rsid w:val="00466577"/>
    <w:rsid w:val="004669BD"/>
    <w:rsid w:val="0047141D"/>
    <w:rsid w:val="00472BCD"/>
    <w:rsid w:val="00472C7C"/>
    <w:rsid w:val="00472EE2"/>
    <w:rsid w:val="00472F79"/>
    <w:rsid w:val="00472FBF"/>
    <w:rsid w:val="00473102"/>
    <w:rsid w:val="00473CB7"/>
    <w:rsid w:val="00473E04"/>
    <w:rsid w:val="00473FC3"/>
    <w:rsid w:val="00474B77"/>
    <w:rsid w:val="0047523E"/>
    <w:rsid w:val="004755AE"/>
    <w:rsid w:val="004757D8"/>
    <w:rsid w:val="00475930"/>
    <w:rsid w:val="00475F1C"/>
    <w:rsid w:val="00475F3C"/>
    <w:rsid w:val="004763B9"/>
    <w:rsid w:val="00476E56"/>
    <w:rsid w:val="00477B6F"/>
    <w:rsid w:val="00480851"/>
    <w:rsid w:val="004815BE"/>
    <w:rsid w:val="0048196A"/>
    <w:rsid w:val="00481A55"/>
    <w:rsid w:val="00481BDB"/>
    <w:rsid w:val="00481BF0"/>
    <w:rsid w:val="00481FA4"/>
    <w:rsid w:val="00482047"/>
    <w:rsid w:val="004822F3"/>
    <w:rsid w:val="00482BFE"/>
    <w:rsid w:val="004846F4"/>
    <w:rsid w:val="0048567F"/>
    <w:rsid w:val="004869DC"/>
    <w:rsid w:val="00486CEB"/>
    <w:rsid w:val="00486F9B"/>
    <w:rsid w:val="0048735D"/>
    <w:rsid w:val="00490E0B"/>
    <w:rsid w:val="00490EDA"/>
    <w:rsid w:val="00491531"/>
    <w:rsid w:val="004917D4"/>
    <w:rsid w:val="00491DAE"/>
    <w:rsid w:val="00492D97"/>
    <w:rsid w:val="00492E6A"/>
    <w:rsid w:val="00492F59"/>
    <w:rsid w:val="0049355B"/>
    <w:rsid w:val="004936BA"/>
    <w:rsid w:val="00493E01"/>
    <w:rsid w:val="004946F0"/>
    <w:rsid w:val="00494D1C"/>
    <w:rsid w:val="0049522C"/>
    <w:rsid w:val="00495AC1"/>
    <w:rsid w:val="00495E8E"/>
    <w:rsid w:val="004961B3"/>
    <w:rsid w:val="004962F5"/>
    <w:rsid w:val="004967F8"/>
    <w:rsid w:val="00496AAA"/>
    <w:rsid w:val="00497034"/>
    <w:rsid w:val="004975F0"/>
    <w:rsid w:val="004A13E7"/>
    <w:rsid w:val="004A1933"/>
    <w:rsid w:val="004A1EAD"/>
    <w:rsid w:val="004A2579"/>
    <w:rsid w:val="004A27E5"/>
    <w:rsid w:val="004A2AA3"/>
    <w:rsid w:val="004A2ED7"/>
    <w:rsid w:val="004A350E"/>
    <w:rsid w:val="004A37B8"/>
    <w:rsid w:val="004A4BCC"/>
    <w:rsid w:val="004A52C7"/>
    <w:rsid w:val="004A5A8C"/>
    <w:rsid w:val="004A61EF"/>
    <w:rsid w:val="004A6380"/>
    <w:rsid w:val="004A6786"/>
    <w:rsid w:val="004A6C03"/>
    <w:rsid w:val="004A6E7D"/>
    <w:rsid w:val="004A74CA"/>
    <w:rsid w:val="004A7985"/>
    <w:rsid w:val="004B06B7"/>
    <w:rsid w:val="004B1919"/>
    <w:rsid w:val="004B1B42"/>
    <w:rsid w:val="004B214E"/>
    <w:rsid w:val="004B2322"/>
    <w:rsid w:val="004B27F1"/>
    <w:rsid w:val="004B280C"/>
    <w:rsid w:val="004B2897"/>
    <w:rsid w:val="004B319E"/>
    <w:rsid w:val="004B3F20"/>
    <w:rsid w:val="004B4D09"/>
    <w:rsid w:val="004B5411"/>
    <w:rsid w:val="004B58D3"/>
    <w:rsid w:val="004B5AEC"/>
    <w:rsid w:val="004B6035"/>
    <w:rsid w:val="004B6541"/>
    <w:rsid w:val="004B70D9"/>
    <w:rsid w:val="004B742E"/>
    <w:rsid w:val="004B7ECA"/>
    <w:rsid w:val="004C06EF"/>
    <w:rsid w:val="004C23F2"/>
    <w:rsid w:val="004C256A"/>
    <w:rsid w:val="004C2B69"/>
    <w:rsid w:val="004C3B57"/>
    <w:rsid w:val="004C4362"/>
    <w:rsid w:val="004C4422"/>
    <w:rsid w:val="004C4D43"/>
    <w:rsid w:val="004C4F29"/>
    <w:rsid w:val="004C53AA"/>
    <w:rsid w:val="004C5ED9"/>
    <w:rsid w:val="004C7848"/>
    <w:rsid w:val="004C7ED3"/>
    <w:rsid w:val="004D0976"/>
    <w:rsid w:val="004D1318"/>
    <w:rsid w:val="004D1D79"/>
    <w:rsid w:val="004D220F"/>
    <w:rsid w:val="004D3733"/>
    <w:rsid w:val="004D3E85"/>
    <w:rsid w:val="004D653A"/>
    <w:rsid w:val="004D681D"/>
    <w:rsid w:val="004D6D56"/>
    <w:rsid w:val="004D6D5E"/>
    <w:rsid w:val="004D6EC3"/>
    <w:rsid w:val="004D7B1B"/>
    <w:rsid w:val="004D7F74"/>
    <w:rsid w:val="004E046A"/>
    <w:rsid w:val="004E17C0"/>
    <w:rsid w:val="004E32C4"/>
    <w:rsid w:val="004E352B"/>
    <w:rsid w:val="004E3903"/>
    <w:rsid w:val="004E453A"/>
    <w:rsid w:val="004E470E"/>
    <w:rsid w:val="004E4D2A"/>
    <w:rsid w:val="004E5252"/>
    <w:rsid w:val="004E6373"/>
    <w:rsid w:val="004E655D"/>
    <w:rsid w:val="004E6EED"/>
    <w:rsid w:val="004E78E1"/>
    <w:rsid w:val="004E7986"/>
    <w:rsid w:val="004F046C"/>
    <w:rsid w:val="004F0BA3"/>
    <w:rsid w:val="004F0CEE"/>
    <w:rsid w:val="004F1B6E"/>
    <w:rsid w:val="004F24B5"/>
    <w:rsid w:val="004F27DC"/>
    <w:rsid w:val="004F2971"/>
    <w:rsid w:val="004F3437"/>
    <w:rsid w:val="004F4359"/>
    <w:rsid w:val="004F4F34"/>
    <w:rsid w:val="004F4FEF"/>
    <w:rsid w:val="004F5022"/>
    <w:rsid w:val="004F699A"/>
    <w:rsid w:val="004F6AA2"/>
    <w:rsid w:val="004F701B"/>
    <w:rsid w:val="004F7B3F"/>
    <w:rsid w:val="00500225"/>
    <w:rsid w:val="00500A84"/>
    <w:rsid w:val="00500A91"/>
    <w:rsid w:val="005010BF"/>
    <w:rsid w:val="00501273"/>
    <w:rsid w:val="00501E5B"/>
    <w:rsid w:val="00502187"/>
    <w:rsid w:val="00502976"/>
    <w:rsid w:val="005034A0"/>
    <w:rsid w:val="00503B50"/>
    <w:rsid w:val="00504746"/>
    <w:rsid w:val="00504C22"/>
    <w:rsid w:val="00505F58"/>
    <w:rsid w:val="005062CF"/>
    <w:rsid w:val="005065BD"/>
    <w:rsid w:val="00506A28"/>
    <w:rsid w:val="00506B5F"/>
    <w:rsid w:val="00507529"/>
    <w:rsid w:val="0050761A"/>
    <w:rsid w:val="005107AA"/>
    <w:rsid w:val="005113BC"/>
    <w:rsid w:val="00511D48"/>
    <w:rsid w:val="00512080"/>
    <w:rsid w:val="00512B5C"/>
    <w:rsid w:val="00512BA4"/>
    <w:rsid w:val="0051333A"/>
    <w:rsid w:val="00513506"/>
    <w:rsid w:val="00514DC8"/>
    <w:rsid w:val="00515937"/>
    <w:rsid w:val="00515B9F"/>
    <w:rsid w:val="005166E0"/>
    <w:rsid w:val="005173BB"/>
    <w:rsid w:val="005214EE"/>
    <w:rsid w:val="0052182B"/>
    <w:rsid w:val="00522788"/>
    <w:rsid w:val="005231DD"/>
    <w:rsid w:val="00523409"/>
    <w:rsid w:val="0052381D"/>
    <w:rsid w:val="00523F2B"/>
    <w:rsid w:val="005247E0"/>
    <w:rsid w:val="00524CF1"/>
    <w:rsid w:val="00525092"/>
    <w:rsid w:val="005251CC"/>
    <w:rsid w:val="00525806"/>
    <w:rsid w:val="00525CAE"/>
    <w:rsid w:val="00526AD3"/>
    <w:rsid w:val="00527151"/>
    <w:rsid w:val="00527A45"/>
    <w:rsid w:val="00527F64"/>
    <w:rsid w:val="005300B2"/>
    <w:rsid w:val="00531051"/>
    <w:rsid w:val="00531A8A"/>
    <w:rsid w:val="00531DEA"/>
    <w:rsid w:val="005322D1"/>
    <w:rsid w:val="0053259C"/>
    <w:rsid w:val="00532671"/>
    <w:rsid w:val="005338BF"/>
    <w:rsid w:val="005339EC"/>
    <w:rsid w:val="00533CCD"/>
    <w:rsid w:val="00533F0E"/>
    <w:rsid w:val="00533F49"/>
    <w:rsid w:val="00534812"/>
    <w:rsid w:val="005349E8"/>
    <w:rsid w:val="00534AFE"/>
    <w:rsid w:val="00534D39"/>
    <w:rsid w:val="00535090"/>
    <w:rsid w:val="005356CB"/>
    <w:rsid w:val="00535881"/>
    <w:rsid w:val="00536A1A"/>
    <w:rsid w:val="005376AB"/>
    <w:rsid w:val="00537FD2"/>
    <w:rsid w:val="00540394"/>
    <w:rsid w:val="00540656"/>
    <w:rsid w:val="00540B2B"/>
    <w:rsid w:val="00541075"/>
    <w:rsid w:val="0054148F"/>
    <w:rsid w:val="00541C95"/>
    <w:rsid w:val="00542473"/>
    <w:rsid w:val="00542C09"/>
    <w:rsid w:val="00543017"/>
    <w:rsid w:val="005434D4"/>
    <w:rsid w:val="005437D3"/>
    <w:rsid w:val="00543B77"/>
    <w:rsid w:val="00543D99"/>
    <w:rsid w:val="00543DC8"/>
    <w:rsid w:val="005446E5"/>
    <w:rsid w:val="00544B99"/>
    <w:rsid w:val="00544BEB"/>
    <w:rsid w:val="005455E6"/>
    <w:rsid w:val="00545B8F"/>
    <w:rsid w:val="0054639B"/>
    <w:rsid w:val="00550D2D"/>
    <w:rsid w:val="00551D0D"/>
    <w:rsid w:val="00551F84"/>
    <w:rsid w:val="00552D6D"/>
    <w:rsid w:val="00553942"/>
    <w:rsid w:val="005545AE"/>
    <w:rsid w:val="00554E43"/>
    <w:rsid w:val="00554F34"/>
    <w:rsid w:val="005550F8"/>
    <w:rsid w:val="005552CE"/>
    <w:rsid w:val="005559EB"/>
    <w:rsid w:val="00555B0B"/>
    <w:rsid w:val="00555B47"/>
    <w:rsid w:val="00555EDA"/>
    <w:rsid w:val="00557EC3"/>
    <w:rsid w:val="00560079"/>
    <w:rsid w:val="005619CE"/>
    <w:rsid w:val="00561EC7"/>
    <w:rsid w:val="005620ED"/>
    <w:rsid w:val="0056216D"/>
    <w:rsid w:val="00562640"/>
    <w:rsid w:val="00562F12"/>
    <w:rsid w:val="00562F13"/>
    <w:rsid w:val="00562FC6"/>
    <w:rsid w:val="0056355C"/>
    <w:rsid w:val="00563845"/>
    <w:rsid w:val="00563ED1"/>
    <w:rsid w:val="00564177"/>
    <w:rsid w:val="00564402"/>
    <w:rsid w:val="00564A50"/>
    <w:rsid w:val="00565460"/>
    <w:rsid w:val="0056588D"/>
    <w:rsid w:val="00565904"/>
    <w:rsid w:val="00566C59"/>
    <w:rsid w:val="00566D6C"/>
    <w:rsid w:val="00566D7A"/>
    <w:rsid w:val="00567567"/>
    <w:rsid w:val="005677E1"/>
    <w:rsid w:val="00567C19"/>
    <w:rsid w:val="00567F9C"/>
    <w:rsid w:val="0057001B"/>
    <w:rsid w:val="005714A3"/>
    <w:rsid w:val="00571BDB"/>
    <w:rsid w:val="00571D1F"/>
    <w:rsid w:val="00572741"/>
    <w:rsid w:val="00573F2F"/>
    <w:rsid w:val="00574961"/>
    <w:rsid w:val="00575091"/>
    <w:rsid w:val="005751C1"/>
    <w:rsid w:val="0057610A"/>
    <w:rsid w:val="00576742"/>
    <w:rsid w:val="00577378"/>
    <w:rsid w:val="005809FC"/>
    <w:rsid w:val="00580E51"/>
    <w:rsid w:val="005811DB"/>
    <w:rsid w:val="00581458"/>
    <w:rsid w:val="005815FA"/>
    <w:rsid w:val="0058216E"/>
    <w:rsid w:val="005822A2"/>
    <w:rsid w:val="005823B6"/>
    <w:rsid w:val="005825D4"/>
    <w:rsid w:val="005827B9"/>
    <w:rsid w:val="0058313B"/>
    <w:rsid w:val="00583377"/>
    <w:rsid w:val="005843E9"/>
    <w:rsid w:val="00584B6B"/>
    <w:rsid w:val="00584BDB"/>
    <w:rsid w:val="00584E48"/>
    <w:rsid w:val="00584EDF"/>
    <w:rsid w:val="005856A5"/>
    <w:rsid w:val="00585A34"/>
    <w:rsid w:val="00585CE5"/>
    <w:rsid w:val="00585F32"/>
    <w:rsid w:val="00586148"/>
    <w:rsid w:val="00586646"/>
    <w:rsid w:val="00587448"/>
    <w:rsid w:val="0058754F"/>
    <w:rsid w:val="0058777F"/>
    <w:rsid w:val="00590F39"/>
    <w:rsid w:val="005918ED"/>
    <w:rsid w:val="005926F4"/>
    <w:rsid w:val="00593182"/>
    <w:rsid w:val="00593867"/>
    <w:rsid w:val="00594988"/>
    <w:rsid w:val="0059504A"/>
    <w:rsid w:val="00595713"/>
    <w:rsid w:val="00595BB0"/>
    <w:rsid w:val="00596A6B"/>
    <w:rsid w:val="0059726B"/>
    <w:rsid w:val="00597985"/>
    <w:rsid w:val="00597B4F"/>
    <w:rsid w:val="005A08E3"/>
    <w:rsid w:val="005A0A0D"/>
    <w:rsid w:val="005A0D04"/>
    <w:rsid w:val="005A11BD"/>
    <w:rsid w:val="005A18A2"/>
    <w:rsid w:val="005A1CFE"/>
    <w:rsid w:val="005A1D7C"/>
    <w:rsid w:val="005A1E62"/>
    <w:rsid w:val="005A2369"/>
    <w:rsid w:val="005A2543"/>
    <w:rsid w:val="005A286E"/>
    <w:rsid w:val="005A288C"/>
    <w:rsid w:val="005A2CA2"/>
    <w:rsid w:val="005A2DB4"/>
    <w:rsid w:val="005A2FD6"/>
    <w:rsid w:val="005A389C"/>
    <w:rsid w:val="005A42BE"/>
    <w:rsid w:val="005A4980"/>
    <w:rsid w:val="005A4ABC"/>
    <w:rsid w:val="005A5124"/>
    <w:rsid w:val="005A5D1F"/>
    <w:rsid w:val="005A60C8"/>
    <w:rsid w:val="005A632E"/>
    <w:rsid w:val="005A63E0"/>
    <w:rsid w:val="005A6F2C"/>
    <w:rsid w:val="005A6FA9"/>
    <w:rsid w:val="005B01D9"/>
    <w:rsid w:val="005B0DA2"/>
    <w:rsid w:val="005B1303"/>
    <w:rsid w:val="005B1B40"/>
    <w:rsid w:val="005B205A"/>
    <w:rsid w:val="005B279D"/>
    <w:rsid w:val="005B3741"/>
    <w:rsid w:val="005B4246"/>
    <w:rsid w:val="005B4255"/>
    <w:rsid w:val="005B4F66"/>
    <w:rsid w:val="005B5AA3"/>
    <w:rsid w:val="005B5D4E"/>
    <w:rsid w:val="005B5EC4"/>
    <w:rsid w:val="005B6257"/>
    <w:rsid w:val="005B6CFD"/>
    <w:rsid w:val="005B7AFA"/>
    <w:rsid w:val="005B7E68"/>
    <w:rsid w:val="005C0CC8"/>
    <w:rsid w:val="005C12CF"/>
    <w:rsid w:val="005C1407"/>
    <w:rsid w:val="005C1E6D"/>
    <w:rsid w:val="005C1F0F"/>
    <w:rsid w:val="005C2587"/>
    <w:rsid w:val="005C2A31"/>
    <w:rsid w:val="005C2A3C"/>
    <w:rsid w:val="005C2BC6"/>
    <w:rsid w:val="005C2CE5"/>
    <w:rsid w:val="005C37E3"/>
    <w:rsid w:val="005C58DE"/>
    <w:rsid w:val="005C6029"/>
    <w:rsid w:val="005C7E69"/>
    <w:rsid w:val="005C7FE1"/>
    <w:rsid w:val="005D156F"/>
    <w:rsid w:val="005D1780"/>
    <w:rsid w:val="005D1981"/>
    <w:rsid w:val="005D1BBC"/>
    <w:rsid w:val="005D1C20"/>
    <w:rsid w:val="005D1DA6"/>
    <w:rsid w:val="005D1EA1"/>
    <w:rsid w:val="005D251E"/>
    <w:rsid w:val="005D333B"/>
    <w:rsid w:val="005D336B"/>
    <w:rsid w:val="005D3C3F"/>
    <w:rsid w:val="005D3ECD"/>
    <w:rsid w:val="005D4AC9"/>
    <w:rsid w:val="005D510F"/>
    <w:rsid w:val="005D5508"/>
    <w:rsid w:val="005D5930"/>
    <w:rsid w:val="005D5963"/>
    <w:rsid w:val="005D5FE6"/>
    <w:rsid w:val="005D6A37"/>
    <w:rsid w:val="005D6F53"/>
    <w:rsid w:val="005D7858"/>
    <w:rsid w:val="005D7DF9"/>
    <w:rsid w:val="005D7E39"/>
    <w:rsid w:val="005D7EDD"/>
    <w:rsid w:val="005E080D"/>
    <w:rsid w:val="005E1207"/>
    <w:rsid w:val="005E13D6"/>
    <w:rsid w:val="005E18A1"/>
    <w:rsid w:val="005E1FF3"/>
    <w:rsid w:val="005E2B5A"/>
    <w:rsid w:val="005E3247"/>
    <w:rsid w:val="005E3332"/>
    <w:rsid w:val="005E417E"/>
    <w:rsid w:val="005E494A"/>
    <w:rsid w:val="005E566A"/>
    <w:rsid w:val="005E5B01"/>
    <w:rsid w:val="005E6438"/>
    <w:rsid w:val="005E71C9"/>
    <w:rsid w:val="005E7606"/>
    <w:rsid w:val="005E788E"/>
    <w:rsid w:val="005E78F7"/>
    <w:rsid w:val="005E79E1"/>
    <w:rsid w:val="005E7E4A"/>
    <w:rsid w:val="005F0236"/>
    <w:rsid w:val="005F0BDB"/>
    <w:rsid w:val="005F0DB2"/>
    <w:rsid w:val="005F172D"/>
    <w:rsid w:val="005F17DC"/>
    <w:rsid w:val="005F25DD"/>
    <w:rsid w:val="005F2CE1"/>
    <w:rsid w:val="005F2D05"/>
    <w:rsid w:val="005F2E33"/>
    <w:rsid w:val="005F3EC2"/>
    <w:rsid w:val="005F4039"/>
    <w:rsid w:val="005F49D5"/>
    <w:rsid w:val="005F5532"/>
    <w:rsid w:val="005F5F9B"/>
    <w:rsid w:val="005F5FA6"/>
    <w:rsid w:val="005F67B9"/>
    <w:rsid w:val="005F6A6B"/>
    <w:rsid w:val="005F7E36"/>
    <w:rsid w:val="005F7E6F"/>
    <w:rsid w:val="00600155"/>
    <w:rsid w:val="006006C4"/>
    <w:rsid w:val="00601FBF"/>
    <w:rsid w:val="00603009"/>
    <w:rsid w:val="00603CC2"/>
    <w:rsid w:val="006044C9"/>
    <w:rsid w:val="00604812"/>
    <w:rsid w:val="00604F0F"/>
    <w:rsid w:val="00607014"/>
    <w:rsid w:val="0060731C"/>
    <w:rsid w:val="0060748A"/>
    <w:rsid w:val="00607CB3"/>
    <w:rsid w:val="0061050E"/>
    <w:rsid w:val="00610F81"/>
    <w:rsid w:val="006111AE"/>
    <w:rsid w:val="006115EA"/>
    <w:rsid w:val="00611851"/>
    <w:rsid w:val="00611D12"/>
    <w:rsid w:val="00612A55"/>
    <w:rsid w:val="006140CB"/>
    <w:rsid w:val="0061433A"/>
    <w:rsid w:val="006149C8"/>
    <w:rsid w:val="00614E83"/>
    <w:rsid w:val="00615B86"/>
    <w:rsid w:val="00616022"/>
    <w:rsid w:val="00616029"/>
    <w:rsid w:val="00616731"/>
    <w:rsid w:val="00616A6B"/>
    <w:rsid w:val="00616AD4"/>
    <w:rsid w:val="00617555"/>
    <w:rsid w:val="0061782B"/>
    <w:rsid w:val="00617E7E"/>
    <w:rsid w:val="0062047C"/>
    <w:rsid w:val="0062086B"/>
    <w:rsid w:val="00620B38"/>
    <w:rsid w:val="00620E3B"/>
    <w:rsid w:val="0062169A"/>
    <w:rsid w:val="00621C10"/>
    <w:rsid w:val="006228AD"/>
    <w:rsid w:val="00622DCD"/>
    <w:rsid w:val="00622F02"/>
    <w:rsid w:val="0062382B"/>
    <w:rsid w:val="00623A74"/>
    <w:rsid w:val="00623DBE"/>
    <w:rsid w:val="0062421B"/>
    <w:rsid w:val="0062536F"/>
    <w:rsid w:val="006265B0"/>
    <w:rsid w:val="0062775E"/>
    <w:rsid w:val="00627B2C"/>
    <w:rsid w:val="00630CFD"/>
    <w:rsid w:val="00630D74"/>
    <w:rsid w:val="00630E91"/>
    <w:rsid w:val="00630F48"/>
    <w:rsid w:val="006310E5"/>
    <w:rsid w:val="00631F31"/>
    <w:rsid w:val="00632AB7"/>
    <w:rsid w:val="00633E6A"/>
    <w:rsid w:val="0063460E"/>
    <w:rsid w:val="006348BA"/>
    <w:rsid w:val="00634D85"/>
    <w:rsid w:val="00634E0E"/>
    <w:rsid w:val="00635E42"/>
    <w:rsid w:val="00635F44"/>
    <w:rsid w:val="006364E6"/>
    <w:rsid w:val="0063687E"/>
    <w:rsid w:val="00637357"/>
    <w:rsid w:val="00637553"/>
    <w:rsid w:val="00637969"/>
    <w:rsid w:val="006404A7"/>
    <w:rsid w:val="00640841"/>
    <w:rsid w:val="00640F47"/>
    <w:rsid w:val="00641343"/>
    <w:rsid w:val="006413F1"/>
    <w:rsid w:val="006422E1"/>
    <w:rsid w:val="00642377"/>
    <w:rsid w:val="00643033"/>
    <w:rsid w:val="00643666"/>
    <w:rsid w:val="006438C7"/>
    <w:rsid w:val="006446B6"/>
    <w:rsid w:val="00644B52"/>
    <w:rsid w:val="00644D9C"/>
    <w:rsid w:val="00644DE7"/>
    <w:rsid w:val="00644E4D"/>
    <w:rsid w:val="00645F7C"/>
    <w:rsid w:val="00646131"/>
    <w:rsid w:val="006463DC"/>
    <w:rsid w:val="00646420"/>
    <w:rsid w:val="00646815"/>
    <w:rsid w:val="0064684F"/>
    <w:rsid w:val="00646E13"/>
    <w:rsid w:val="00646FE7"/>
    <w:rsid w:val="00647501"/>
    <w:rsid w:val="0065041B"/>
    <w:rsid w:val="00650506"/>
    <w:rsid w:val="006509D4"/>
    <w:rsid w:val="00650C17"/>
    <w:rsid w:val="00650D7C"/>
    <w:rsid w:val="00650DFA"/>
    <w:rsid w:val="00651EDD"/>
    <w:rsid w:val="00652401"/>
    <w:rsid w:val="0065266C"/>
    <w:rsid w:val="00652FCB"/>
    <w:rsid w:val="006532D8"/>
    <w:rsid w:val="00653A69"/>
    <w:rsid w:val="00653D6F"/>
    <w:rsid w:val="0065432F"/>
    <w:rsid w:val="00654454"/>
    <w:rsid w:val="00654D1C"/>
    <w:rsid w:val="006558F5"/>
    <w:rsid w:val="00655C39"/>
    <w:rsid w:val="006562D0"/>
    <w:rsid w:val="00660409"/>
    <w:rsid w:val="006604BD"/>
    <w:rsid w:val="006610AA"/>
    <w:rsid w:val="00661A4E"/>
    <w:rsid w:val="00661BEF"/>
    <w:rsid w:val="00663259"/>
    <w:rsid w:val="0066337D"/>
    <w:rsid w:val="0066395A"/>
    <w:rsid w:val="00663E5E"/>
    <w:rsid w:val="00664822"/>
    <w:rsid w:val="00665471"/>
    <w:rsid w:val="00665478"/>
    <w:rsid w:val="00665832"/>
    <w:rsid w:val="00665CD3"/>
    <w:rsid w:val="00667361"/>
    <w:rsid w:val="00667C43"/>
    <w:rsid w:val="00670B89"/>
    <w:rsid w:val="00670E4D"/>
    <w:rsid w:val="00670F91"/>
    <w:rsid w:val="00671232"/>
    <w:rsid w:val="006726A4"/>
    <w:rsid w:val="00672AA9"/>
    <w:rsid w:val="0067306E"/>
    <w:rsid w:val="006734C7"/>
    <w:rsid w:val="00673952"/>
    <w:rsid w:val="006739AA"/>
    <w:rsid w:val="00674AF7"/>
    <w:rsid w:val="00674B45"/>
    <w:rsid w:val="00674E71"/>
    <w:rsid w:val="00674FB5"/>
    <w:rsid w:val="0067516F"/>
    <w:rsid w:val="00675482"/>
    <w:rsid w:val="006755BD"/>
    <w:rsid w:val="00675AB1"/>
    <w:rsid w:val="00675B1A"/>
    <w:rsid w:val="006763F5"/>
    <w:rsid w:val="00676708"/>
    <w:rsid w:val="00676838"/>
    <w:rsid w:val="0067767A"/>
    <w:rsid w:val="00677813"/>
    <w:rsid w:val="00680586"/>
    <w:rsid w:val="00680838"/>
    <w:rsid w:val="00681ACF"/>
    <w:rsid w:val="0068271F"/>
    <w:rsid w:val="0068312C"/>
    <w:rsid w:val="00683143"/>
    <w:rsid w:val="00683402"/>
    <w:rsid w:val="00683A98"/>
    <w:rsid w:val="00683C61"/>
    <w:rsid w:val="00683CB0"/>
    <w:rsid w:val="006840BF"/>
    <w:rsid w:val="0068425E"/>
    <w:rsid w:val="00684610"/>
    <w:rsid w:val="0068468D"/>
    <w:rsid w:val="00685779"/>
    <w:rsid w:val="00685968"/>
    <w:rsid w:val="006867AC"/>
    <w:rsid w:val="00687B4F"/>
    <w:rsid w:val="00690726"/>
    <w:rsid w:val="006913AB"/>
    <w:rsid w:val="00691F78"/>
    <w:rsid w:val="00692321"/>
    <w:rsid w:val="006923DF"/>
    <w:rsid w:val="00692574"/>
    <w:rsid w:val="0069299D"/>
    <w:rsid w:val="006933FA"/>
    <w:rsid w:val="0069382B"/>
    <w:rsid w:val="0069403A"/>
    <w:rsid w:val="006950D9"/>
    <w:rsid w:val="00695476"/>
    <w:rsid w:val="006956B1"/>
    <w:rsid w:val="006956CF"/>
    <w:rsid w:val="0069580A"/>
    <w:rsid w:val="006963EE"/>
    <w:rsid w:val="006964B4"/>
    <w:rsid w:val="0069670D"/>
    <w:rsid w:val="00697171"/>
    <w:rsid w:val="006975F3"/>
    <w:rsid w:val="006A06D9"/>
    <w:rsid w:val="006A0B64"/>
    <w:rsid w:val="006A12A6"/>
    <w:rsid w:val="006A204A"/>
    <w:rsid w:val="006A280C"/>
    <w:rsid w:val="006A2B94"/>
    <w:rsid w:val="006A30F7"/>
    <w:rsid w:val="006A399B"/>
    <w:rsid w:val="006A3DB4"/>
    <w:rsid w:val="006A42F4"/>
    <w:rsid w:val="006A6035"/>
    <w:rsid w:val="006A61DF"/>
    <w:rsid w:val="006A6A9C"/>
    <w:rsid w:val="006A6D2F"/>
    <w:rsid w:val="006A7AA9"/>
    <w:rsid w:val="006B0740"/>
    <w:rsid w:val="006B0992"/>
    <w:rsid w:val="006B0D41"/>
    <w:rsid w:val="006B0D79"/>
    <w:rsid w:val="006B0F1B"/>
    <w:rsid w:val="006B191A"/>
    <w:rsid w:val="006B1A49"/>
    <w:rsid w:val="006B1E30"/>
    <w:rsid w:val="006B2209"/>
    <w:rsid w:val="006B2371"/>
    <w:rsid w:val="006B237C"/>
    <w:rsid w:val="006B2795"/>
    <w:rsid w:val="006B27D8"/>
    <w:rsid w:val="006B2873"/>
    <w:rsid w:val="006B38FD"/>
    <w:rsid w:val="006B3946"/>
    <w:rsid w:val="006B3E3B"/>
    <w:rsid w:val="006B4109"/>
    <w:rsid w:val="006B486A"/>
    <w:rsid w:val="006B4A4C"/>
    <w:rsid w:val="006B4B0B"/>
    <w:rsid w:val="006B5882"/>
    <w:rsid w:val="006B5FD4"/>
    <w:rsid w:val="006B633F"/>
    <w:rsid w:val="006B635B"/>
    <w:rsid w:val="006B69A2"/>
    <w:rsid w:val="006B6C8A"/>
    <w:rsid w:val="006B6D19"/>
    <w:rsid w:val="006B6FA7"/>
    <w:rsid w:val="006B78A7"/>
    <w:rsid w:val="006B7CD6"/>
    <w:rsid w:val="006C02D2"/>
    <w:rsid w:val="006C0B32"/>
    <w:rsid w:val="006C151D"/>
    <w:rsid w:val="006C1A90"/>
    <w:rsid w:val="006C29CC"/>
    <w:rsid w:val="006C39F1"/>
    <w:rsid w:val="006C3D22"/>
    <w:rsid w:val="006C4C00"/>
    <w:rsid w:val="006C510E"/>
    <w:rsid w:val="006C570B"/>
    <w:rsid w:val="006C5BEF"/>
    <w:rsid w:val="006C5E2A"/>
    <w:rsid w:val="006C67FA"/>
    <w:rsid w:val="006C7687"/>
    <w:rsid w:val="006C77BD"/>
    <w:rsid w:val="006C7CC5"/>
    <w:rsid w:val="006D0107"/>
    <w:rsid w:val="006D01C0"/>
    <w:rsid w:val="006D0BFA"/>
    <w:rsid w:val="006D1766"/>
    <w:rsid w:val="006D1B68"/>
    <w:rsid w:val="006D24E2"/>
    <w:rsid w:val="006D2A06"/>
    <w:rsid w:val="006D2D16"/>
    <w:rsid w:val="006D3CEA"/>
    <w:rsid w:val="006D48DA"/>
    <w:rsid w:val="006D70E0"/>
    <w:rsid w:val="006D7333"/>
    <w:rsid w:val="006D7615"/>
    <w:rsid w:val="006D7746"/>
    <w:rsid w:val="006D7999"/>
    <w:rsid w:val="006D7C68"/>
    <w:rsid w:val="006E0A0F"/>
    <w:rsid w:val="006E145A"/>
    <w:rsid w:val="006E16A1"/>
    <w:rsid w:val="006E215D"/>
    <w:rsid w:val="006E3762"/>
    <w:rsid w:val="006E3C8A"/>
    <w:rsid w:val="006E465D"/>
    <w:rsid w:val="006E489D"/>
    <w:rsid w:val="006E4955"/>
    <w:rsid w:val="006E4F3E"/>
    <w:rsid w:val="006E514D"/>
    <w:rsid w:val="006E55FF"/>
    <w:rsid w:val="006E5960"/>
    <w:rsid w:val="006E5DD7"/>
    <w:rsid w:val="006E6100"/>
    <w:rsid w:val="006F090E"/>
    <w:rsid w:val="006F187A"/>
    <w:rsid w:val="006F2998"/>
    <w:rsid w:val="006F30AF"/>
    <w:rsid w:val="006F454F"/>
    <w:rsid w:val="006F480B"/>
    <w:rsid w:val="006F4B0C"/>
    <w:rsid w:val="006F4B88"/>
    <w:rsid w:val="006F58D3"/>
    <w:rsid w:val="006F6857"/>
    <w:rsid w:val="006F688C"/>
    <w:rsid w:val="007001F2"/>
    <w:rsid w:val="00700684"/>
    <w:rsid w:val="00700A61"/>
    <w:rsid w:val="007016E8"/>
    <w:rsid w:val="007023EB"/>
    <w:rsid w:val="00702443"/>
    <w:rsid w:val="00702F3F"/>
    <w:rsid w:val="00703882"/>
    <w:rsid w:val="00703E41"/>
    <w:rsid w:val="00704FE9"/>
    <w:rsid w:val="007053F1"/>
    <w:rsid w:val="00705537"/>
    <w:rsid w:val="00705DC4"/>
    <w:rsid w:val="007063D7"/>
    <w:rsid w:val="0070684F"/>
    <w:rsid w:val="0070717B"/>
    <w:rsid w:val="00707296"/>
    <w:rsid w:val="00707A60"/>
    <w:rsid w:val="00710D79"/>
    <w:rsid w:val="00711D94"/>
    <w:rsid w:val="00711FFB"/>
    <w:rsid w:val="0071220A"/>
    <w:rsid w:val="00712291"/>
    <w:rsid w:val="00712A64"/>
    <w:rsid w:val="00713B20"/>
    <w:rsid w:val="00713E4A"/>
    <w:rsid w:val="00714DCD"/>
    <w:rsid w:val="00714E3A"/>
    <w:rsid w:val="00714EAD"/>
    <w:rsid w:val="007152CE"/>
    <w:rsid w:val="007155E4"/>
    <w:rsid w:val="0071562F"/>
    <w:rsid w:val="0071575C"/>
    <w:rsid w:val="007159AE"/>
    <w:rsid w:val="00715BEC"/>
    <w:rsid w:val="0071658D"/>
    <w:rsid w:val="00716748"/>
    <w:rsid w:val="00716CBA"/>
    <w:rsid w:val="007172B9"/>
    <w:rsid w:val="0071731F"/>
    <w:rsid w:val="007178D0"/>
    <w:rsid w:val="00717BA5"/>
    <w:rsid w:val="00717CD8"/>
    <w:rsid w:val="007202B4"/>
    <w:rsid w:val="00720BDD"/>
    <w:rsid w:val="00721055"/>
    <w:rsid w:val="007214C7"/>
    <w:rsid w:val="0072236E"/>
    <w:rsid w:val="007228EA"/>
    <w:rsid w:val="00722C6A"/>
    <w:rsid w:val="007242BB"/>
    <w:rsid w:val="007244E2"/>
    <w:rsid w:val="00724538"/>
    <w:rsid w:val="00724D87"/>
    <w:rsid w:val="0072575C"/>
    <w:rsid w:val="00725C29"/>
    <w:rsid w:val="00726BD4"/>
    <w:rsid w:val="007272CC"/>
    <w:rsid w:val="0073031B"/>
    <w:rsid w:val="00730964"/>
    <w:rsid w:val="00730B99"/>
    <w:rsid w:val="00730BAE"/>
    <w:rsid w:val="00730E7F"/>
    <w:rsid w:val="00731712"/>
    <w:rsid w:val="00731743"/>
    <w:rsid w:val="00731AF1"/>
    <w:rsid w:val="00731E76"/>
    <w:rsid w:val="00732CCE"/>
    <w:rsid w:val="00732CDA"/>
    <w:rsid w:val="0073356D"/>
    <w:rsid w:val="0073366D"/>
    <w:rsid w:val="00734039"/>
    <w:rsid w:val="0073463D"/>
    <w:rsid w:val="007346C4"/>
    <w:rsid w:val="0073499E"/>
    <w:rsid w:val="00734B8C"/>
    <w:rsid w:val="00734CD4"/>
    <w:rsid w:val="0073516A"/>
    <w:rsid w:val="0073538C"/>
    <w:rsid w:val="00737098"/>
    <w:rsid w:val="0073719A"/>
    <w:rsid w:val="007378AB"/>
    <w:rsid w:val="00740881"/>
    <w:rsid w:val="007411BE"/>
    <w:rsid w:val="00741984"/>
    <w:rsid w:val="007428BE"/>
    <w:rsid w:val="00742B3E"/>
    <w:rsid w:val="00742E94"/>
    <w:rsid w:val="007434E0"/>
    <w:rsid w:val="00743CC1"/>
    <w:rsid w:val="00743E18"/>
    <w:rsid w:val="0074428F"/>
    <w:rsid w:val="007445B4"/>
    <w:rsid w:val="00744718"/>
    <w:rsid w:val="0074496B"/>
    <w:rsid w:val="00744E73"/>
    <w:rsid w:val="00744F0C"/>
    <w:rsid w:val="00744F85"/>
    <w:rsid w:val="00745122"/>
    <w:rsid w:val="007453F2"/>
    <w:rsid w:val="00745737"/>
    <w:rsid w:val="00745B75"/>
    <w:rsid w:val="00745D02"/>
    <w:rsid w:val="007466AC"/>
    <w:rsid w:val="00750480"/>
    <w:rsid w:val="00750894"/>
    <w:rsid w:val="00751309"/>
    <w:rsid w:val="00752486"/>
    <w:rsid w:val="00753579"/>
    <w:rsid w:val="00753DB2"/>
    <w:rsid w:val="00754265"/>
    <w:rsid w:val="00754CF8"/>
    <w:rsid w:val="00755386"/>
    <w:rsid w:val="00755B75"/>
    <w:rsid w:val="00756757"/>
    <w:rsid w:val="00757A35"/>
    <w:rsid w:val="007617D7"/>
    <w:rsid w:val="0076182E"/>
    <w:rsid w:val="00762A14"/>
    <w:rsid w:val="00762C50"/>
    <w:rsid w:val="007631BF"/>
    <w:rsid w:val="0076326E"/>
    <w:rsid w:val="00763300"/>
    <w:rsid w:val="007638A6"/>
    <w:rsid w:val="0076423D"/>
    <w:rsid w:val="00764250"/>
    <w:rsid w:val="00764AC8"/>
    <w:rsid w:val="00764D9B"/>
    <w:rsid w:val="00765208"/>
    <w:rsid w:val="0076558C"/>
    <w:rsid w:val="00765C2F"/>
    <w:rsid w:val="00765FB5"/>
    <w:rsid w:val="00766445"/>
    <w:rsid w:val="00766EAA"/>
    <w:rsid w:val="007672E5"/>
    <w:rsid w:val="007674D3"/>
    <w:rsid w:val="00767707"/>
    <w:rsid w:val="007700EA"/>
    <w:rsid w:val="0077113F"/>
    <w:rsid w:val="0077119F"/>
    <w:rsid w:val="00771CDC"/>
    <w:rsid w:val="00771E63"/>
    <w:rsid w:val="007720FD"/>
    <w:rsid w:val="007721A1"/>
    <w:rsid w:val="0077265F"/>
    <w:rsid w:val="00772695"/>
    <w:rsid w:val="00772CFE"/>
    <w:rsid w:val="007735B2"/>
    <w:rsid w:val="007749EE"/>
    <w:rsid w:val="00774D4E"/>
    <w:rsid w:val="00774DCD"/>
    <w:rsid w:val="007755C0"/>
    <w:rsid w:val="00775841"/>
    <w:rsid w:val="00775C5A"/>
    <w:rsid w:val="0077671F"/>
    <w:rsid w:val="00776A23"/>
    <w:rsid w:val="00776C87"/>
    <w:rsid w:val="00777079"/>
    <w:rsid w:val="00777224"/>
    <w:rsid w:val="00777356"/>
    <w:rsid w:val="00777706"/>
    <w:rsid w:val="00777A91"/>
    <w:rsid w:val="00780313"/>
    <w:rsid w:val="00780B75"/>
    <w:rsid w:val="00780DC7"/>
    <w:rsid w:val="00781435"/>
    <w:rsid w:val="007816F2"/>
    <w:rsid w:val="007817E3"/>
    <w:rsid w:val="00781B1A"/>
    <w:rsid w:val="0078226C"/>
    <w:rsid w:val="00782547"/>
    <w:rsid w:val="007826C7"/>
    <w:rsid w:val="007827F7"/>
    <w:rsid w:val="00782DCE"/>
    <w:rsid w:val="00783DA9"/>
    <w:rsid w:val="00783ED5"/>
    <w:rsid w:val="007840A9"/>
    <w:rsid w:val="00784A2F"/>
    <w:rsid w:val="007850DE"/>
    <w:rsid w:val="00785C99"/>
    <w:rsid w:val="00785E15"/>
    <w:rsid w:val="00786381"/>
    <w:rsid w:val="00786564"/>
    <w:rsid w:val="00786AB0"/>
    <w:rsid w:val="007877C4"/>
    <w:rsid w:val="00787C5C"/>
    <w:rsid w:val="00790071"/>
    <w:rsid w:val="007901CD"/>
    <w:rsid w:val="00791EFD"/>
    <w:rsid w:val="00793C79"/>
    <w:rsid w:val="00793ED2"/>
    <w:rsid w:val="00793FC9"/>
    <w:rsid w:val="007945FD"/>
    <w:rsid w:val="00794B5D"/>
    <w:rsid w:val="00794EE0"/>
    <w:rsid w:val="00794F1D"/>
    <w:rsid w:val="007950A0"/>
    <w:rsid w:val="007952D1"/>
    <w:rsid w:val="007955EB"/>
    <w:rsid w:val="00796806"/>
    <w:rsid w:val="00796A8A"/>
    <w:rsid w:val="00797933"/>
    <w:rsid w:val="00797F2E"/>
    <w:rsid w:val="007A149C"/>
    <w:rsid w:val="007A2259"/>
    <w:rsid w:val="007A2805"/>
    <w:rsid w:val="007A304D"/>
    <w:rsid w:val="007A3200"/>
    <w:rsid w:val="007A326F"/>
    <w:rsid w:val="007A332F"/>
    <w:rsid w:val="007A3757"/>
    <w:rsid w:val="007A37D4"/>
    <w:rsid w:val="007A3D12"/>
    <w:rsid w:val="007A454D"/>
    <w:rsid w:val="007A464D"/>
    <w:rsid w:val="007A4C54"/>
    <w:rsid w:val="007A4F51"/>
    <w:rsid w:val="007A54E7"/>
    <w:rsid w:val="007A5BA9"/>
    <w:rsid w:val="007A5D49"/>
    <w:rsid w:val="007A5F7E"/>
    <w:rsid w:val="007A7C6C"/>
    <w:rsid w:val="007B02E7"/>
    <w:rsid w:val="007B0518"/>
    <w:rsid w:val="007B0818"/>
    <w:rsid w:val="007B1035"/>
    <w:rsid w:val="007B13A3"/>
    <w:rsid w:val="007B1BC6"/>
    <w:rsid w:val="007B231D"/>
    <w:rsid w:val="007B358B"/>
    <w:rsid w:val="007B3610"/>
    <w:rsid w:val="007B379B"/>
    <w:rsid w:val="007B3BD5"/>
    <w:rsid w:val="007B4271"/>
    <w:rsid w:val="007B4490"/>
    <w:rsid w:val="007B59FC"/>
    <w:rsid w:val="007B5D26"/>
    <w:rsid w:val="007B66E6"/>
    <w:rsid w:val="007B7200"/>
    <w:rsid w:val="007B770E"/>
    <w:rsid w:val="007B7D9A"/>
    <w:rsid w:val="007C129E"/>
    <w:rsid w:val="007C21CE"/>
    <w:rsid w:val="007C2A43"/>
    <w:rsid w:val="007C2BC9"/>
    <w:rsid w:val="007C36EA"/>
    <w:rsid w:val="007C37C2"/>
    <w:rsid w:val="007C40C8"/>
    <w:rsid w:val="007C45A9"/>
    <w:rsid w:val="007C45E8"/>
    <w:rsid w:val="007C4644"/>
    <w:rsid w:val="007C5B56"/>
    <w:rsid w:val="007C6740"/>
    <w:rsid w:val="007C69B9"/>
    <w:rsid w:val="007C7929"/>
    <w:rsid w:val="007D0DB6"/>
    <w:rsid w:val="007D151F"/>
    <w:rsid w:val="007D1D77"/>
    <w:rsid w:val="007D30BC"/>
    <w:rsid w:val="007D31E6"/>
    <w:rsid w:val="007D3AEC"/>
    <w:rsid w:val="007D45C4"/>
    <w:rsid w:val="007D468C"/>
    <w:rsid w:val="007D46E6"/>
    <w:rsid w:val="007D516E"/>
    <w:rsid w:val="007D5293"/>
    <w:rsid w:val="007D5675"/>
    <w:rsid w:val="007D571D"/>
    <w:rsid w:val="007D5AE7"/>
    <w:rsid w:val="007D5D83"/>
    <w:rsid w:val="007D62DD"/>
    <w:rsid w:val="007D676F"/>
    <w:rsid w:val="007D6EEA"/>
    <w:rsid w:val="007D71C5"/>
    <w:rsid w:val="007D74D1"/>
    <w:rsid w:val="007E08C4"/>
    <w:rsid w:val="007E0945"/>
    <w:rsid w:val="007E0959"/>
    <w:rsid w:val="007E09E1"/>
    <w:rsid w:val="007E0FBD"/>
    <w:rsid w:val="007E11C6"/>
    <w:rsid w:val="007E2AD9"/>
    <w:rsid w:val="007E36BB"/>
    <w:rsid w:val="007E3B0A"/>
    <w:rsid w:val="007E3F32"/>
    <w:rsid w:val="007E4622"/>
    <w:rsid w:val="007E4D1C"/>
    <w:rsid w:val="007E507D"/>
    <w:rsid w:val="007E541C"/>
    <w:rsid w:val="007E5AF7"/>
    <w:rsid w:val="007E69C3"/>
    <w:rsid w:val="007E7920"/>
    <w:rsid w:val="007E79FB"/>
    <w:rsid w:val="007F098D"/>
    <w:rsid w:val="007F099B"/>
    <w:rsid w:val="007F1A1D"/>
    <w:rsid w:val="007F1B99"/>
    <w:rsid w:val="007F38D0"/>
    <w:rsid w:val="007F3AAB"/>
    <w:rsid w:val="007F460E"/>
    <w:rsid w:val="007F4CFD"/>
    <w:rsid w:val="007F546B"/>
    <w:rsid w:val="007F57BE"/>
    <w:rsid w:val="007F62CA"/>
    <w:rsid w:val="007F6E2D"/>
    <w:rsid w:val="007F7A69"/>
    <w:rsid w:val="007F7AB3"/>
    <w:rsid w:val="00800B0F"/>
    <w:rsid w:val="00801042"/>
    <w:rsid w:val="008016B3"/>
    <w:rsid w:val="008017CE"/>
    <w:rsid w:val="00801BBA"/>
    <w:rsid w:val="00802519"/>
    <w:rsid w:val="00802A36"/>
    <w:rsid w:val="00802D15"/>
    <w:rsid w:val="00802E5D"/>
    <w:rsid w:val="008036B0"/>
    <w:rsid w:val="00803AB5"/>
    <w:rsid w:val="0080433D"/>
    <w:rsid w:val="0080482C"/>
    <w:rsid w:val="008052ED"/>
    <w:rsid w:val="008052F2"/>
    <w:rsid w:val="00805663"/>
    <w:rsid w:val="008061D0"/>
    <w:rsid w:val="00806BCB"/>
    <w:rsid w:val="008100C3"/>
    <w:rsid w:val="008102A0"/>
    <w:rsid w:val="008105C4"/>
    <w:rsid w:val="008109F2"/>
    <w:rsid w:val="00810C03"/>
    <w:rsid w:val="00811123"/>
    <w:rsid w:val="0081119A"/>
    <w:rsid w:val="0081189A"/>
    <w:rsid w:val="00811B6C"/>
    <w:rsid w:val="008122F3"/>
    <w:rsid w:val="00812963"/>
    <w:rsid w:val="00812C93"/>
    <w:rsid w:val="0081330D"/>
    <w:rsid w:val="00813A34"/>
    <w:rsid w:val="00813DA4"/>
    <w:rsid w:val="00813F53"/>
    <w:rsid w:val="0081400C"/>
    <w:rsid w:val="0081453C"/>
    <w:rsid w:val="00814B16"/>
    <w:rsid w:val="00814C3A"/>
    <w:rsid w:val="008154EE"/>
    <w:rsid w:val="008157BC"/>
    <w:rsid w:val="00815A71"/>
    <w:rsid w:val="00815C7C"/>
    <w:rsid w:val="00815FA9"/>
    <w:rsid w:val="0081786B"/>
    <w:rsid w:val="00817BE1"/>
    <w:rsid w:val="00817BFA"/>
    <w:rsid w:val="0082041A"/>
    <w:rsid w:val="00820648"/>
    <w:rsid w:val="00820B02"/>
    <w:rsid w:val="00820D30"/>
    <w:rsid w:val="00821797"/>
    <w:rsid w:val="00821F23"/>
    <w:rsid w:val="00822DE1"/>
    <w:rsid w:val="00823422"/>
    <w:rsid w:val="00823702"/>
    <w:rsid w:val="00823AB9"/>
    <w:rsid w:val="00823C21"/>
    <w:rsid w:val="00824BB3"/>
    <w:rsid w:val="008255F1"/>
    <w:rsid w:val="00825C7D"/>
    <w:rsid w:val="00826005"/>
    <w:rsid w:val="00826F87"/>
    <w:rsid w:val="008273C8"/>
    <w:rsid w:val="00827C5E"/>
    <w:rsid w:val="0083027F"/>
    <w:rsid w:val="00830FD1"/>
    <w:rsid w:val="00831927"/>
    <w:rsid w:val="00833B5D"/>
    <w:rsid w:val="00833D7E"/>
    <w:rsid w:val="00834198"/>
    <w:rsid w:val="00834DEE"/>
    <w:rsid w:val="00834E05"/>
    <w:rsid w:val="008365AD"/>
    <w:rsid w:val="00836EE6"/>
    <w:rsid w:val="0083740D"/>
    <w:rsid w:val="00840404"/>
    <w:rsid w:val="0084041B"/>
    <w:rsid w:val="008404EE"/>
    <w:rsid w:val="008408BE"/>
    <w:rsid w:val="00840DF3"/>
    <w:rsid w:val="008414D0"/>
    <w:rsid w:val="008416CB"/>
    <w:rsid w:val="00842609"/>
    <w:rsid w:val="00842CCC"/>
    <w:rsid w:val="008436C8"/>
    <w:rsid w:val="00843BE4"/>
    <w:rsid w:val="00843D41"/>
    <w:rsid w:val="00844004"/>
    <w:rsid w:val="0084487E"/>
    <w:rsid w:val="00844895"/>
    <w:rsid w:val="00844E94"/>
    <w:rsid w:val="00845D7F"/>
    <w:rsid w:val="00845D91"/>
    <w:rsid w:val="0084614B"/>
    <w:rsid w:val="008464A3"/>
    <w:rsid w:val="00846A65"/>
    <w:rsid w:val="00846F38"/>
    <w:rsid w:val="0084782F"/>
    <w:rsid w:val="00847F93"/>
    <w:rsid w:val="0085042E"/>
    <w:rsid w:val="00850D85"/>
    <w:rsid w:val="00851214"/>
    <w:rsid w:val="008515B5"/>
    <w:rsid w:val="00852B0A"/>
    <w:rsid w:val="00853516"/>
    <w:rsid w:val="00853545"/>
    <w:rsid w:val="008536D7"/>
    <w:rsid w:val="00853BE6"/>
    <w:rsid w:val="00854083"/>
    <w:rsid w:val="008545C4"/>
    <w:rsid w:val="00855196"/>
    <w:rsid w:val="00855FD3"/>
    <w:rsid w:val="00856195"/>
    <w:rsid w:val="008562B0"/>
    <w:rsid w:val="0085663C"/>
    <w:rsid w:val="00856E01"/>
    <w:rsid w:val="008570ED"/>
    <w:rsid w:val="008600D1"/>
    <w:rsid w:val="00860DA8"/>
    <w:rsid w:val="00860E61"/>
    <w:rsid w:val="0086109A"/>
    <w:rsid w:val="00861E28"/>
    <w:rsid w:val="008627A7"/>
    <w:rsid w:val="0086282B"/>
    <w:rsid w:val="00862C53"/>
    <w:rsid w:val="00862EAF"/>
    <w:rsid w:val="00863355"/>
    <w:rsid w:val="00863696"/>
    <w:rsid w:val="00863A66"/>
    <w:rsid w:val="00863E45"/>
    <w:rsid w:val="00863F5D"/>
    <w:rsid w:val="00864939"/>
    <w:rsid w:val="00864D35"/>
    <w:rsid w:val="0086564A"/>
    <w:rsid w:val="00865ACD"/>
    <w:rsid w:val="008669C4"/>
    <w:rsid w:val="008669CB"/>
    <w:rsid w:val="008669E6"/>
    <w:rsid w:val="00866B21"/>
    <w:rsid w:val="008674E9"/>
    <w:rsid w:val="00867B31"/>
    <w:rsid w:val="00867CBF"/>
    <w:rsid w:val="0087050B"/>
    <w:rsid w:val="008709B4"/>
    <w:rsid w:val="00870D5E"/>
    <w:rsid w:val="00871A2A"/>
    <w:rsid w:val="00871C28"/>
    <w:rsid w:val="00871D85"/>
    <w:rsid w:val="00871F81"/>
    <w:rsid w:val="0087217B"/>
    <w:rsid w:val="00872FB9"/>
    <w:rsid w:val="008731FD"/>
    <w:rsid w:val="0087335E"/>
    <w:rsid w:val="008734B8"/>
    <w:rsid w:val="00873EF7"/>
    <w:rsid w:val="008747A6"/>
    <w:rsid w:val="00874D3F"/>
    <w:rsid w:val="00875436"/>
    <w:rsid w:val="0087599D"/>
    <w:rsid w:val="00876F10"/>
    <w:rsid w:val="008770EB"/>
    <w:rsid w:val="00877490"/>
    <w:rsid w:val="00880760"/>
    <w:rsid w:val="008808DA"/>
    <w:rsid w:val="00880BD8"/>
    <w:rsid w:val="00880EF3"/>
    <w:rsid w:val="00881BE4"/>
    <w:rsid w:val="00881E6F"/>
    <w:rsid w:val="008825F6"/>
    <w:rsid w:val="00882982"/>
    <w:rsid w:val="008829D8"/>
    <w:rsid w:val="00883F8C"/>
    <w:rsid w:val="00884202"/>
    <w:rsid w:val="00884FD7"/>
    <w:rsid w:val="0088655F"/>
    <w:rsid w:val="00886F5E"/>
    <w:rsid w:val="00887E88"/>
    <w:rsid w:val="008901D6"/>
    <w:rsid w:val="00891560"/>
    <w:rsid w:val="0089187A"/>
    <w:rsid w:val="00892D78"/>
    <w:rsid w:val="008930D0"/>
    <w:rsid w:val="008931B1"/>
    <w:rsid w:val="00893205"/>
    <w:rsid w:val="00893BA2"/>
    <w:rsid w:val="00894699"/>
    <w:rsid w:val="008950D0"/>
    <w:rsid w:val="00895919"/>
    <w:rsid w:val="00895EA5"/>
    <w:rsid w:val="00896417"/>
    <w:rsid w:val="0089738C"/>
    <w:rsid w:val="00897C34"/>
    <w:rsid w:val="008A11F9"/>
    <w:rsid w:val="008A1383"/>
    <w:rsid w:val="008A16F1"/>
    <w:rsid w:val="008A2117"/>
    <w:rsid w:val="008A3508"/>
    <w:rsid w:val="008A45A7"/>
    <w:rsid w:val="008A481C"/>
    <w:rsid w:val="008A4B50"/>
    <w:rsid w:val="008A4ECF"/>
    <w:rsid w:val="008A54F3"/>
    <w:rsid w:val="008A5D75"/>
    <w:rsid w:val="008A6752"/>
    <w:rsid w:val="008A735F"/>
    <w:rsid w:val="008A778D"/>
    <w:rsid w:val="008A7F6A"/>
    <w:rsid w:val="008B0033"/>
    <w:rsid w:val="008B0810"/>
    <w:rsid w:val="008B0FF2"/>
    <w:rsid w:val="008B13AE"/>
    <w:rsid w:val="008B167E"/>
    <w:rsid w:val="008B1B0F"/>
    <w:rsid w:val="008B1D13"/>
    <w:rsid w:val="008B28F9"/>
    <w:rsid w:val="008B4281"/>
    <w:rsid w:val="008B44AC"/>
    <w:rsid w:val="008B4A62"/>
    <w:rsid w:val="008B54F6"/>
    <w:rsid w:val="008B5B15"/>
    <w:rsid w:val="008B60AD"/>
    <w:rsid w:val="008B6282"/>
    <w:rsid w:val="008B7DBE"/>
    <w:rsid w:val="008C049B"/>
    <w:rsid w:val="008C0864"/>
    <w:rsid w:val="008C0C8B"/>
    <w:rsid w:val="008C143E"/>
    <w:rsid w:val="008C19A0"/>
    <w:rsid w:val="008C1CF1"/>
    <w:rsid w:val="008C22D7"/>
    <w:rsid w:val="008C2319"/>
    <w:rsid w:val="008C2DE3"/>
    <w:rsid w:val="008C38B5"/>
    <w:rsid w:val="008C42E3"/>
    <w:rsid w:val="008C45D1"/>
    <w:rsid w:val="008C5422"/>
    <w:rsid w:val="008C6D37"/>
    <w:rsid w:val="008C70FA"/>
    <w:rsid w:val="008C75F7"/>
    <w:rsid w:val="008C78FB"/>
    <w:rsid w:val="008D0291"/>
    <w:rsid w:val="008D0695"/>
    <w:rsid w:val="008D0B88"/>
    <w:rsid w:val="008D0CD8"/>
    <w:rsid w:val="008D0FEF"/>
    <w:rsid w:val="008D14D3"/>
    <w:rsid w:val="008D153D"/>
    <w:rsid w:val="008D206F"/>
    <w:rsid w:val="008D272D"/>
    <w:rsid w:val="008D2BA5"/>
    <w:rsid w:val="008D3469"/>
    <w:rsid w:val="008D4531"/>
    <w:rsid w:val="008D49CA"/>
    <w:rsid w:val="008D4F61"/>
    <w:rsid w:val="008D5056"/>
    <w:rsid w:val="008D5408"/>
    <w:rsid w:val="008D5C6C"/>
    <w:rsid w:val="008D5C7B"/>
    <w:rsid w:val="008D6C07"/>
    <w:rsid w:val="008D727C"/>
    <w:rsid w:val="008D7963"/>
    <w:rsid w:val="008E0481"/>
    <w:rsid w:val="008E0520"/>
    <w:rsid w:val="008E0DE9"/>
    <w:rsid w:val="008E0FA9"/>
    <w:rsid w:val="008E103B"/>
    <w:rsid w:val="008E1C7B"/>
    <w:rsid w:val="008E2263"/>
    <w:rsid w:val="008E253E"/>
    <w:rsid w:val="008E268D"/>
    <w:rsid w:val="008E2B99"/>
    <w:rsid w:val="008E2DE4"/>
    <w:rsid w:val="008E3743"/>
    <w:rsid w:val="008E392A"/>
    <w:rsid w:val="008E410E"/>
    <w:rsid w:val="008E44F5"/>
    <w:rsid w:val="008E4523"/>
    <w:rsid w:val="008E4A83"/>
    <w:rsid w:val="008E5390"/>
    <w:rsid w:val="008E5E92"/>
    <w:rsid w:val="008E6765"/>
    <w:rsid w:val="008E6C79"/>
    <w:rsid w:val="008E6D47"/>
    <w:rsid w:val="008E7AC5"/>
    <w:rsid w:val="008E7B23"/>
    <w:rsid w:val="008E7C41"/>
    <w:rsid w:val="008E7E39"/>
    <w:rsid w:val="008F0A35"/>
    <w:rsid w:val="008F0C52"/>
    <w:rsid w:val="008F106D"/>
    <w:rsid w:val="008F1648"/>
    <w:rsid w:val="008F181C"/>
    <w:rsid w:val="008F1865"/>
    <w:rsid w:val="008F1C83"/>
    <w:rsid w:val="008F1E4F"/>
    <w:rsid w:val="008F3BFE"/>
    <w:rsid w:val="008F477F"/>
    <w:rsid w:val="008F5B07"/>
    <w:rsid w:val="008F64E7"/>
    <w:rsid w:val="008F64FE"/>
    <w:rsid w:val="008F6500"/>
    <w:rsid w:val="008F6637"/>
    <w:rsid w:val="008F6656"/>
    <w:rsid w:val="008F67E7"/>
    <w:rsid w:val="008F6BB9"/>
    <w:rsid w:val="008F6C42"/>
    <w:rsid w:val="008F6E4D"/>
    <w:rsid w:val="008F6FA7"/>
    <w:rsid w:val="008F71C4"/>
    <w:rsid w:val="008F733D"/>
    <w:rsid w:val="008F74FD"/>
    <w:rsid w:val="0090011D"/>
    <w:rsid w:val="00900463"/>
    <w:rsid w:val="00900C02"/>
    <w:rsid w:val="0090107F"/>
    <w:rsid w:val="0090111A"/>
    <w:rsid w:val="0090160F"/>
    <w:rsid w:val="00901E73"/>
    <w:rsid w:val="00901F60"/>
    <w:rsid w:val="00902B39"/>
    <w:rsid w:val="00902BE7"/>
    <w:rsid w:val="00902FC7"/>
    <w:rsid w:val="009033D9"/>
    <w:rsid w:val="009042EE"/>
    <w:rsid w:val="009042F1"/>
    <w:rsid w:val="00904FCC"/>
    <w:rsid w:val="009052B9"/>
    <w:rsid w:val="0090640F"/>
    <w:rsid w:val="009065CB"/>
    <w:rsid w:val="00906B6F"/>
    <w:rsid w:val="00906C9C"/>
    <w:rsid w:val="00907213"/>
    <w:rsid w:val="00907296"/>
    <w:rsid w:val="009076BD"/>
    <w:rsid w:val="00907C0C"/>
    <w:rsid w:val="0091061C"/>
    <w:rsid w:val="00910E88"/>
    <w:rsid w:val="00911848"/>
    <w:rsid w:val="0091206C"/>
    <w:rsid w:val="009121C5"/>
    <w:rsid w:val="009133DC"/>
    <w:rsid w:val="0091364B"/>
    <w:rsid w:val="009139C4"/>
    <w:rsid w:val="00914002"/>
    <w:rsid w:val="00914104"/>
    <w:rsid w:val="00914261"/>
    <w:rsid w:val="009146A0"/>
    <w:rsid w:val="00914A40"/>
    <w:rsid w:val="00914C5C"/>
    <w:rsid w:val="00914C84"/>
    <w:rsid w:val="00915217"/>
    <w:rsid w:val="009174DC"/>
    <w:rsid w:val="0091783D"/>
    <w:rsid w:val="00920B1C"/>
    <w:rsid w:val="00920E95"/>
    <w:rsid w:val="00921501"/>
    <w:rsid w:val="009216B7"/>
    <w:rsid w:val="0092196B"/>
    <w:rsid w:val="0092298B"/>
    <w:rsid w:val="00922DA4"/>
    <w:rsid w:val="00923218"/>
    <w:rsid w:val="00923CE0"/>
    <w:rsid w:val="00923DFF"/>
    <w:rsid w:val="0092481A"/>
    <w:rsid w:val="00925052"/>
    <w:rsid w:val="00925542"/>
    <w:rsid w:val="0092598D"/>
    <w:rsid w:val="00926623"/>
    <w:rsid w:val="00926FE8"/>
    <w:rsid w:val="00930256"/>
    <w:rsid w:val="00930A9E"/>
    <w:rsid w:val="00931045"/>
    <w:rsid w:val="009311E5"/>
    <w:rsid w:val="0093123C"/>
    <w:rsid w:val="00932C5C"/>
    <w:rsid w:val="00933069"/>
    <w:rsid w:val="009330A0"/>
    <w:rsid w:val="00933900"/>
    <w:rsid w:val="00933C60"/>
    <w:rsid w:val="0093485C"/>
    <w:rsid w:val="00934EC6"/>
    <w:rsid w:val="00934ECF"/>
    <w:rsid w:val="00935DD8"/>
    <w:rsid w:val="00936069"/>
    <w:rsid w:val="009365F7"/>
    <w:rsid w:val="0093676E"/>
    <w:rsid w:val="00936A7A"/>
    <w:rsid w:val="00940496"/>
    <w:rsid w:val="00940735"/>
    <w:rsid w:val="00941063"/>
    <w:rsid w:val="00941123"/>
    <w:rsid w:val="00942307"/>
    <w:rsid w:val="009424EC"/>
    <w:rsid w:val="0094252F"/>
    <w:rsid w:val="00942C9A"/>
    <w:rsid w:val="00942FA4"/>
    <w:rsid w:val="0094327F"/>
    <w:rsid w:val="009433A5"/>
    <w:rsid w:val="00943568"/>
    <w:rsid w:val="0094384E"/>
    <w:rsid w:val="00943DE2"/>
    <w:rsid w:val="00944FC7"/>
    <w:rsid w:val="009455DA"/>
    <w:rsid w:val="0094564E"/>
    <w:rsid w:val="00946E45"/>
    <w:rsid w:val="009471A3"/>
    <w:rsid w:val="0094726E"/>
    <w:rsid w:val="009474C3"/>
    <w:rsid w:val="00947502"/>
    <w:rsid w:val="009479D3"/>
    <w:rsid w:val="0095027A"/>
    <w:rsid w:val="009509DB"/>
    <w:rsid w:val="0095107C"/>
    <w:rsid w:val="0095220B"/>
    <w:rsid w:val="00952912"/>
    <w:rsid w:val="00952A43"/>
    <w:rsid w:val="00952B31"/>
    <w:rsid w:val="009535DC"/>
    <w:rsid w:val="009546C7"/>
    <w:rsid w:val="00954DEE"/>
    <w:rsid w:val="0095505E"/>
    <w:rsid w:val="009556D4"/>
    <w:rsid w:val="0095626A"/>
    <w:rsid w:val="00956FC7"/>
    <w:rsid w:val="0095708F"/>
    <w:rsid w:val="009575C9"/>
    <w:rsid w:val="00957E56"/>
    <w:rsid w:val="00960DEB"/>
    <w:rsid w:val="00960F09"/>
    <w:rsid w:val="00961818"/>
    <w:rsid w:val="00961A47"/>
    <w:rsid w:val="00961D07"/>
    <w:rsid w:val="00961DEA"/>
    <w:rsid w:val="00962708"/>
    <w:rsid w:val="00963299"/>
    <w:rsid w:val="00963AF1"/>
    <w:rsid w:val="00963CA0"/>
    <w:rsid w:val="0096481E"/>
    <w:rsid w:val="00964A02"/>
    <w:rsid w:val="00964A70"/>
    <w:rsid w:val="00964B13"/>
    <w:rsid w:val="00965A72"/>
    <w:rsid w:val="00965D1D"/>
    <w:rsid w:val="00970AEB"/>
    <w:rsid w:val="009717CB"/>
    <w:rsid w:val="0097190E"/>
    <w:rsid w:val="00972B0C"/>
    <w:rsid w:val="00972DAE"/>
    <w:rsid w:val="0097367A"/>
    <w:rsid w:val="00973D39"/>
    <w:rsid w:val="00973E28"/>
    <w:rsid w:val="00974E29"/>
    <w:rsid w:val="00975078"/>
    <w:rsid w:val="00975BFE"/>
    <w:rsid w:val="0097653E"/>
    <w:rsid w:val="00977641"/>
    <w:rsid w:val="00977885"/>
    <w:rsid w:val="00977A3D"/>
    <w:rsid w:val="00980770"/>
    <w:rsid w:val="00980810"/>
    <w:rsid w:val="00980967"/>
    <w:rsid w:val="00980FCA"/>
    <w:rsid w:val="009813F2"/>
    <w:rsid w:val="00981E2B"/>
    <w:rsid w:val="00981F8A"/>
    <w:rsid w:val="0098212C"/>
    <w:rsid w:val="0098228B"/>
    <w:rsid w:val="0098256F"/>
    <w:rsid w:val="0098315A"/>
    <w:rsid w:val="00983733"/>
    <w:rsid w:val="00983931"/>
    <w:rsid w:val="00983E1D"/>
    <w:rsid w:val="009842FB"/>
    <w:rsid w:val="00984E9E"/>
    <w:rsid w:val="00985783"/>
    <w:rsid w:val="00985F2A"/>
    <w:rsid w:val="00986003"/>
    <w:rsid w:val="00986199"/>
    <w:rsid w:val="0098648C"/>
    <w:rsid w:val="0098697B"/>
    <w:rsid w:val="009873D8"/>
    <w:rsid w:val="00987B6B"/>
    <w:rsid w:val="00987C63"/>
    <w:rsid w:val="00987CA4"/>
    <w:rsid w:val="009907C2"/>
    <w:rsid w:val="00990825"/>
    <w:rsid w:val="0099094C"/>
    <w:rsid w:val="00990A4D"/>
    <w:rsid w:val="00990A5A"/>
    <w:rsid w:val="00990CB8"/>
    <w:rsid w:val="009912E1"/>
    <w:rsid w:val="009919F5"/>
    <w:rsid w:val="00991C3E"/>
    <w:rsid w:val="00991E9B"/>
    <w:rsid w:val="009926AF"/>
    <w:rsid w:val="00992BC3"/>
    <w:rsid w:val="00993157"/>
    <w:rsid w:val="00993D55"/>
    <w:rsid w:val="00995980"/>
    <w:rsid w:val="00995B37"/>
    <w:rsid w:val="00995BAC"/>
    <w:rsid w:val="00995C7B"/>
    <w:rsid w:val="009A199B"/>
    <w:rsid w:val="009A30F1"/>
    <w:rsid w:val="009A32EE"/>
    <w:rsid w:val="009A3545"/>
    <w:rsid w:val="009A3D26"/>
    <w:rsid w:val="009A3F5D"/>
    <w:rsid w:val="009A5E82"/>
    <w:rsid w:val="009A6A39"/>
    <w:rsid w:val="009A7680"/>
    <w:rsid w:val="009A784E"/>
    <w:rsid w:val="009A7A24"/>
    <w:rsid w:val="009A7FA2"/>
    <w:rsid w:val="009B0FE7"/>
    <w:rsid w:val="009B12E8"/>
    <w:rsid w:val="009B2104"/>
    <w:rsid w:val="009B223D"/>
    <w:rsid w:val="009B2E82"/>
    <w:rsid w:val="009B381E"/>
    <w:rsid w:val="009B3F0E"/>
    <w:rsid w:val="009B3FE9"/>
    <w:rsid w:val="009B42A1"/>
    <w:rsid w:val="009B45B0"/>
    <w:rsid w:val="009B46E1"/>
    <w:rsid w:val="009B50F3"/>
    <w:rsid w:val="009B5248"/>
    <w:rsid w:val="009B6386"/>
    <w:rsid w:val="009B6491"/>
    <w:rsid w:val="009B698A"/>
    <w:rsid w:val="009B7346"/>
    <w:rsid w:val="009B7392"/>
    <w:rsid w:val="009B77F4"/>
    <w:rsid w:val="009B7A23"/>
    <w:rsid w:val="009B7B10"/>
    <w:rsid w:val="009C08A7"/>
    <w:rsid w:val="009C0C86"/>
    <w:rsid w:val="009C164E"/>
    <w:rsid w:val="009C1A14"/>
    <w:rsid w:val="009C23C1"/>
    <w:rsid w:val="009C2AA6"/>
    <w:rsid w:val="009C3163"/>
    <w:rsid w:val="009C31C5"/>
    <w:rsid w:val="009C3A68"/>
    <w:rsid w:val="009C4476"/>
    <w:rsid w:val="009C48C1"/>
    <w:rsid w:val="009C502D"/>
    <w:rsid w:val="009C56A3"/>
    <w:rsid w:val="009C74DB"/>
    <w:rsid w:val="009C7C72"/>
    <w:rsid w:val="009D027E"/>
    <w:rsid w:val="009D0307"/>
    <w:rsid w:val="009D052F"/>
    <w:rsid w:val="009D10AD"/>
    <w:rsid w:val="009D1E47"/>
    <w:rsid w:val="009D1E98"/>
    <w:rsid w:val="009D221E"/>
    <w:rsid w:val="009D2BBE"/>
    <w:rsid w:val="009D2C2F"/>
    <w:rsid w:val="009D2D36"/>
    <w:rsid w:val="009D3968"/>
    <w:rsid w:val="009D42DC"/>
    <w:rsid w:val="009D48B9"/>
    <w:rsid w:val="009D5313"/>
    <w:rsid w:val="009D6187"/>
    <w:rsid w:val="009D754D"/>
    <w:rsid w:val="009D7A03"/>
    <w:rsid w:val="009D7F04"/>
    <w:rsid w:val="009D7FF1"/>
    <w:rsid w:val="009E0331"/>
    <w:rsid w:val="009E03B0"/>
    <w:rsid w:val="009E054D"/>
    <w:rsid w:val="009E0906"/>
    <w:rsid w:val="009E0A9B"/>
    <w:rsid w:val="009E119B"/>
    <w:rsid w:val="009E14F5"/>
    <w:rsid w:val="009E16C1"/>
    <w:rsid w:val="009E1E79"/>
    <w:rsid w:val="009E1F5A"/>
    <w:rsid w:val="009E2013"/>
    <w:rsid w:val="009E25AD"/>
    <w:rsid w:val="009E2743"/>
    <w:rsid w:val="009E2828"/>
    <w:rsid w:val="009E298D"/>
    <w:rsid w:val="009E2B4C"/>
    <w:rsid w:val="009E2BB0"/>
    <w:rsid w:val="009E3B26"/>
    <w:rsid w:val="009E4029"/>
    <w:rsid w:val="009E515E"/>
    <w:rsid w:val="009E529B"/>
    <w:rsid w:val="009E660B"/>
    <w:rsid w:val="009E6EAB"/>
    <w:rsid w:val="009E73DA"/>
    <w:rsid w:val="009E7AE8"/>
    <w:rsid w:val="009E7BFE"/>
    <w:rsid w:val="009E7C59"/>
    <w:rsid w:val="009E7DAC"/>
    <w:rsid w:val="009F0145"/>
    <w:rsid w:val="009F02B9"/>
    <w:rsid w:val="009F03EF"/>
    <w:rsid w:val="009F050B"/>
    <w:rsid w:val="009F0820"/>
    <w:rsid w:val="009F10FE"/>
    <w:rsid w:val="009F14D4"/>
    <w:rsid w:val="009F1555"/>
    <w:rsid w:val="009F2F87"/>
    <w:rsid w:val="009F2FB3"/>
    <w:rsid w:val="009F2FC0"/>
    <w:rsid w:val="009F30C2"/>
    <w:rsid w:val="009F3167"/>
    <w:rsid w:val="009F333C"/>
    <w:rsid w:val="009F4B7C"/>
    <w:rsid w:val="009F4C86"/>
    <w:rsid w:val="009F4ECB"/>
    <w:rsid w:val="009F5692"/>
    <w:rsid w:val="009F5CB9"/>
    <w:rsid w:val="009F5EFB"/>
    <w:rsid w:val="009F620B"/>
    <w:rsid w:val="009F625F"/>
    <w:rsid w:val="009F62F2"/>
    <w:rsid w:val="009F6D57"/>
    <w:rsid w:val="009F7147"/>
    <w:rsid w:val="009F7F8E"/>
    <w:rsid w:val="00A001A9"/>
    <w:rsid w:val="00A001AE"/>
    <w:rsid w:val="00A00593"/>
    <w:rsid w:val="00A011F5"/>
    <w:rsid w:val="00A02112"/>
    <w:rsid w:val="00A023BB"/>
    <w:rsid w:val="00A02457"/>
    <w:rsid w:val="00A02700"/>
    <w:rsid w:val="00A02DA9"/>
    <w:rsid w:val="00A03356"/>
    <w:rsid w:val="00A0342C"/>
    <w:rsid w:val="00A036DB"/>
    <w:rsid w:val="00A03898"/>
    <w:rsid w:val="00A0396A"/>
    <w:rsid w:val="00A04415"/>
    <w:rsid w:val="00A04CE5"/>
    <w:rsid w:val="00A04F6A"/>
    <w:rsid w:val="00A05F3E"/>
    <w:rsid w:val="00A06671"/>
    <w:rsid w:val="00A06DAB"/>
    <w:rsid w:val="00A0745E"/>
    <w:rsid w:val="00A0751E"/>
    <w:rsid w:val="00A1084E"/>
    <w:rsid w:val="00A1109D"/>
    <w:rsid w:val="00A11371"/>
    <w:rsid w:val="00A11D86"/>
    <w:rsid w:val="00A12C02"/>
    <w:rsid w:val="00A1419F"/>
    <w:rsid w:val="00A14579"/>
    <w:rsid w:val="00A1487D"/>
    <w:rsid w:val="00A14C4A"/>
    <w:rsid w:val="00A158E1"/>
    <w:rsid w:val="00A15C37"/>
    <w:rsid w:val="00A1676C"/>
    <w:rsid w:val="00A17191"/>
    <w:rsid w:val="00A171D2"/>
    <w:rsid w:val="00A1726C"/>
    <w:rsid w:val="00A17448"/>
    <w:rsid w:val="00A1768F"/>
    <w:rsid w:val="00A20B78"/>
    <w:rsid w:val="00A20C04"/>
    <w:rsid w:val="00A22215"/>
    <w:rsid w:val="00A2289E"/>
    <w:rsid w:val="00A22C20"/>
    <w:rsid w:val="00A2364E"/>
    <w:rsid w:val="00A23833"/>
    <w:rsid w:val="00A24CC9"/>
    <w:rsid w:val="00A24DFD"/>
    <w:rsid w:val="00A255FA"/>
    <w:rsid w:val="00A25751"/>
    <w:rsid w:val="00A25955"/>
    <w:rsid w:val="00A25A44"/>
    <w:rsid w:val="00A26C3A"/>
    <w:rsid w:val="00A27BA8"/>
    <w:rsid w:val="00A30621"/>
    <w:rsid w:val="00A3070B"/>
    <w:rsid w:val="00A31195"/>
    <w:rsid w:val="00A3154E"/>
    <w:rsid w:val="00A31E9A"/>
    <w:rsid w:val="00A32130"/>
    <w:rsid w:val="00A326D7"/>
    <w:rsid w:val="00A32F03"/>
    <w:rsid w:val="00A32F73"/>
    <w:rsid w:val="00A3382C"/>
    <w:rsid w:val="00A338B0"/>
    <w:rsid w:val="00A33C5D"/>
    <w:rsid w:val="00A3420C"/>
    <w:rsid w:val="00A34D02"/>
    <w:rsid w:val="00A34D40"/>
    <w:rsid w:val="00A34EA8"/>
    <w:rsid w:val="00A350CE"/>
    <w:rsid w:val="00A35B55"/>
    <w:rsid w:val="00A36720"/>
    <w:rsid w:val="00A36875"/>
    <w:rsid w:val="00A36FD7"/>
    <w:rsid w:val="00A37243"/>
    <w:rsid w:val="00A3742C"/>
    <w:rsid w:val="00A379EB"/>
    <w:rsid w:val="00A37EC4"/>
    <w:rsid w:val="00A37F97"/>
    <w:rsid w:val="00A401A4"/>
    <w:rsid w:val="00A408F7"/>
    <w:rsid w:val="00A41085"/>
    <w:rsid w:val="00A41680"/>
    <w:rsid w:val="00A41AD4"/>
    <w:rsid w:val="00A420DE"/>
    <w:rsid w:val="00A422D1"/>
    <w:rsid w:val="00A4401D"/>
    <w:rsid w:val="00A44970"/>
    <w:rsid w:val="00A457CE"/>
    <w:rsid w:val="00A45B2B"/>
    <w:rsid w:val="00A46BBD"/>
    <w:rsid w:val="00A47244"/>
    <w:rsid w:val="00A4735E"/>
    <w:rsid w:val="00A477AB"/>
    <w:rsid w:val="00A4786A"/>
    <w:rsid w:val="00A5092A"/>
    <w:rsid w:val="00A525DE"/>
    <w:rsid w:val="00A527D2"/>
    <w:rsid w:val="00A533E0"/>
    <w:rsid w:val="00A5377E"/>
    <w:rsid w:val="00A53A2B"/>
    <w:rsid w:val="00A5412B"/>
    <w:rsid w:val="00A54209"/>
    <w:rsid w:val="00A54B80"/>
    <w:rsid w:val="00A55102"/>
    <w:rsid w:val="00A55488"/>
    <w:rsid w:val="00A55D1D"/>
    <w:rsid w:val="00A572B5"/>
    <w:rsid w:val="00A57304"/>
    <w:rsid w:val="00A575DA"/>
    <w:rsid w:val="00A57CA4"/>
    <w:rsid w:val="00A608ED"/>
    <w:rsid w:val="00A60A97"/>
    <w:rsid w:val="00A613FF"/>
    <w:rsid w:val="00A618B7"/>
    <w:rsid w:val="00A61AF1"/>
    <w:rsid w:val="00A62312"/>
    <w:rsid w:val="00A63AA0"/>
    <w:rsid w:val="00A641CE"/>
    <w:rsid w:val="00A64638"/>
    <w:rsid w:val="00A656EC"/>
    <w:rsid w:val="00A65988"/>
    <w:rsid w:val="00A66995"/>
    <w:rsid w:val="00A67404"/>
    <w:rsid w:val="00A67753"/>
    <w:rsid w:val="00A67BA3"/>
    <w:rsid w:val="00A67C16"/>
    <w:rsid w:val="00A70011"/>
    <w:rsid w:val="00A70C27"/>
    <w:rsid w:val="00A71357"/>
    <w:rsid w:val="00A72229"/>
    <w:rsid w:val="00A72321"/>
    <w:rsid w:val="00A728C8"/>
    <w:rsid w:val="00A72C50"/>
    <w:rsid w:val="00A72D54"/>
    <w:rsid w:val="00A7326A"/>
    <w:rsid w:val="00A73368"/>
    <w:rsid w:val="00A73375"/>
    <w:rsid w:val="00A735C7"/>
    <w:rsid w:val="00A73E8B"/>
    <w:rsid w:val="00A74187"/>
    <w:rsid w:val="00A75290"/>
    <w:rsid w:val="00A75903"/>
    <w:rsid w:val="00A75C17"/>
    <w:rsid w:val="00A76708"/>
    <w:rsid w:val="00A76F84"/>
    <w:rsid w:val="00A80374"/>
    <w:rsid w:val="00A80DF7"/>
    <w:rsid w:val="00A81318"/>
    <w:rsid w:val="00A826A9"/>
    <w:rsid w:val="00A82E85"/>
    <w:rsid w:val="00A8355E"/>
    <w:rsid w:val="00A83F99"/>
    <w:rsid w:val="00A84FAE"/>
    <w:rsid w:val="00A85E2F"/>
    <w:rsid w:val="00A869F7"/>
    <w:rsid w:val="00A86B12"/>
    <w:rsid w:val="00A86F84"/>
    <w:rsid w:val="00A87164"/>
    <w:rsid w:val="00A87842"/>
    <w:rsid w:val="00A87DAF"/>
    <w:rsid w:val="00A912D9"/>
    <w:rsid w:val="00A912F5"/>
    <w:rsid w:val="00A91402"/>
    <w:rsid w:val="00A915C6"/>
    <w:rsid w:val="00A91903"/>
    <w:rsid w:val="00A91B44"/>
    <w:rsid w:val="00A91B6C"/>
    <w:rsid w:val="00A92638"/>
    <w:rsid w:val="00A92BC2"/>
    <w:rsid w:val="00A92E1C"/>
    <w:rsid w:val="00A92E3A"/>
    <w:rsid w:val="00A93213"/>
    <w:rsid w:val="00A93D2C"/>
    <w:rsid w:val="00A945AC"/>
    <w:rsid w:val="00A94B97"/>
    <w:rsid w:val="00A94C4C"/>
    <w:rsid w:val="00A94C99"/>
    <w:rsid w:val="00A952F1"/>
    <w:rsid w:val="00A95FEB"/>
    <w:rsid w:val="00A96350"/>
    <w:rsid w:val="00A9746E"/>
    <w:rsid w:val="00A97A39"/>
    <w:rsid w:val="00A97D0C"/>
    <w:rsid w:val="00AA00CD"/>
    <w:rsid w:val="00AA07EF"/>
    <w:rsid w:val="00AA0ECC"/>
    <w:rsid w:val="00AA126E"/>
    <w:rsid w:val="00AA238F"/>
    <w:rsid w:val="00AA3A1A"/>
    <w:rsid w:val="00AA3EE3"/>
    <w:rsid w:val="00AA483E"/>
    <w:rsid w:val="00AA4AC6"/>
    <w:rsid w:val="00AA4BE3"/>
    <w:rsid w:val="00AA4D2E"/>
    <w:rsid w:val="00AA5AA8"/>
    <w:rsid w:val="00AA5C3C"/>
    <w:rsid w:val="00AA5CB6"/>
    <w:rsid w:val="00AA6220"/>
    <w:rsid w:val="00AA633D"/>
    <w:rsid w:val="00AA67CE"/>
    <w:rsid w:val="00AA69C7"/>
    <w:rsid w:val="00AA6DD4"/>
    <w:rsid w:val="00AA6FE4"/>
    <w:rsid w:val="00AA7318"/>
    <w:rsid w:val="00AA749F"/>
    <w:rsid w:val="00AA7684"/>
    <w:rsid w:val="00AA7F42"/>
    <w:rsid w:val="00AB0C6F"/>
    <w:rsid w:val="00AB13D0"/>
    <w:rsid w:val="00AB1C14"/>
    <w:rsid w:val="00AB2707"/>
    <w:rsid w:val="00AB2795"/>
    <w:rsid w:val="00AB27A0"/>
    <w:rsid w:val="00AB2AE0"/>
    <w:rsid w:val="00AB31BE"/>
    <w:rsid w:val="00AB328E"/>
    <w:rsid w:val="00AB3941"/>
    <w:rsid w:val="00AB3BF0"/>
    <w:rsid w:val="00AB472F"/>
    <w:rsid w:val="00AB477D"/>
    <w:rsid w:val="00AB4B05"/>
    <w:rsid w:val="00AB5106"/>
    <w:rsid w:val="00AB5AEF"/>
    <w:rsid w:val="00AB7797"/>
    <w:rsid w:val="00AC068E"/>
    <w:rsid w:val="00AC2D0C"/>
    <w:rsid w:val="00AC2ED8"/>
    <w:rsid w:val="00AC3702"/>
    <w:rsid w:val="00AC4285"/>
    <w:rsid w:val="00AC4D98"/>
    <w:rsid w:val="00AC51A0"/>
    <w:rsid w:val="00AC5C6F"/>
    <w:rsid w:val="00AC6495"/>
    <w:rsid w:val="00AC69EE"/>
    <w:rsid w:val="00AC6DF1"/>
    <w:rsid w:val="00AC7C9F"/>
    <w:rsid w:val="00AD04B4"/>
    <w:rsid w:val="00AD095F"/>
    <w:rsid w:val="00AD0A93"/>
    <w:rsid w:val="00AD0AC7"/>
    <w:rsid w:val="00AD0FC3"/>
    <w:rsid w:val="00AD1BF0"/>
    <w:rsid w:val="00AD2971"/>
    <w:rsid w:val="00AD3BEB"/>
    <w:rsid w:val="00AD41C7"/>
    <w:rsid w:val="00AD43B5"/>
    <w:rsid w:val="00AD4CB2"/>
    <w:rsid w:val="00AD4F2E"/>
    <w:rsid w:val="00AD50E4"/>
    <w:rsid w:val="00AD53E7"/>
    <w:rsid w:val="00AD563C"/>
    <w:rsid w:val="00AD566E"/>
    <w:rsid w:val="00AD5934"/>
    <w:rsid w:val="00AD5D62"/>
    <w:rsid w:val="00AD640F"/>
    <w:rsid w:val="00AD7415"/>
    <w:rsid w:val="00AD7C72"/>
    <w:rsid w:val="00AE0832"/>
    <w:rsid w:val="00AE0A46"/>
    <w:rsid w:val="00AE0EDF"/>
    <w:rsid w:val="00AE1644"/>
    <w:rsid w:val="00AE1826"/>
    <w:rsid w:val="00AE1E28"/>
    <w:rsid w:val="00AE2968"/>
    <w:rsid w:val="00AE31D6"/>
    <w:rsid w:val="00AE3335"/>
    <w:rsid w:val="00AE4413"/>
    <w:rsid w:val="00AE4BA6"/>
    <w:rsid w:val="00AE5191"/>
    <w:rsid w:val="00AE51FE"/>
    <w:rsid w:val="00AE63CE"/>
    <w:rsid w:val="00AE796A"/>
    <w:rsid w:val="00AF10E0"/>
    <w:rsid w:val="00AF1828"/>
    <w:rsid w:val="00AF1B5B"/>
    <w:rsid w:val="00AF2199"/>
    <w:rsid w:val="00AF30CA"/>
    <w:rsid w:val="00AF31B0"/>
    <w:rsid w:val="00AF360B"/>
    <w:rsid w:val="00AF36B0"/>
    <w:rsid w:val="00AF3E8F"/>
    <w:rsid w:val="00AF4068"/>
    <w:rsid w:val="00AF4350"/>
    <w:rsid w:val="00AF44EA"/>
    <w:rsid w:val="00AF44FA"/>
    <w:rsid w:val="00AF47B9"/>
    <w:rsid w:val="00AF49DB"/>
    <w:rsid w:val="00AF50DA"/>
    <w:rsid w:val="00AF54C6"/>
    <w:rsid w:val="00AF5E05"/>
    <w:rsid w:val="00AF5E2C"/>
    <w:rsid w:val="00AF6030"/>
    <w:rsid w:val="00AF640C"/>
    <w:rsid w:val="00AF6A5D"/>
    <w:rsid w:val="00AF74A8"/>
    <w:rsid w:val="00AF7D51"/>
    <w:rsid w:val="00B00442"/>
    <w:rsid w:val="00B015EB"/>
    <w:rsid w:val="00B016EA"/>
    <w:rsid w:val="00B01BD5"/>
    <w:rsid w:val="00B01CA0"/>
    <w:rsid w:val="00B020C7"/>
    <w:rsid w:val="00B024AE"/>
    <w:rsid w:val="00B02641"/>
    <w:rsid w:val="00B02732"/>
    <w:rsid w:val="00B0301A"/>
    <w:rsid w:val="00B053CE"/>
    <w:rsid w:val="00B057C1"/>
    <w:rsid w:val="00B05A54"/>
    <w:rsid w:val="00B05B7A"/>
    <w:rsid w:val="00B05C59"/>
    <w:rsid w:val="00B06852"/>
    <w:rsid w:val="00B06860"/>
    <w:rsid w:val="00B06B8E"/>
    <w:rsid w:val="00B07975"/>
    <w:rsid w:val="00B07AD3"/>
    <w:rsid w:val="00B10404"/>
    <w:rsid w:val="00B10AB1"/>
    <w:rsid w:val="00B11219"/>
    <w:rsid w:val="00B1189E"/>
    <w:rsid w:val="00B11990"/>
    <w:rsid w:val="00B11D8B"/>
    <w:rsid w:val="00B12E0D"/>
    <w:rsid w:val="00B130EC"/>
    <w:rsid w:val="00B132B7"/>
    <w:rsid w:val="00B13BBB"/>
    <w:rsid w:val="00B13F17"/>
    <w:rsid w:val="00B13F65"/>
    <w:rsid w:val="00B14555"/>
    <w:rsid w:val="00B145D3"/>
    <w:rsid w:val="00B148CF"/>
    <w:rsid w:val="00B15859"/>
    <w:rsid w:val="00B16147"/>
    <w:rsid w:val="00B1649C"/>
    <w:rsid w:val="00B209C9"/>
    <w:rsid w:val="00B2148D"/>
    <w:rsid w:val="00B217B8"/>
    <w:rsid w:val="00B21AE8"/>
    <w:rsid w:val="00B22287"/>
    <w:rsid w:val="00B222A4"/>
    <w:rsid w:val="00B225FF"/>
    <w:rsid w:val="00B22D3A"/>
    <w:rsid w:val="00B236C7"/>
    <w:rsid w:val="00B244D3"/>
    <w:rsid w:val="00B24BE2"/>
    <w:rsid w:val="00B24CCF"/>
    <w:rsid w:val="00B25888"/>
    <w:rsid w:val="00B258EC"/>
    <w:rsid w:val="00B25DBC"/>
    <w:rsid w:val="00B2640E"/>
    <w:rsid w:val="00B26467"/>
    <w:rsid w:val="00B26A54"/>
    <w:rsid w:val="00B2728F"/>
    <w:rsid w:val="00B27514"/>
    <w:rsid w:val="00B2766F"/>
    <w:rsid w:val="00B27984"/>
    <w:rsid w:val="00B27AC9"/>
    <w:rsid w:val="00B27E76"/>
    <w:rsid w:val="00B3045B"/>
    <w:rsid w:val="00B30DC2"/>
    <w:rsid w:val="00B30EF7"/>
    <w:rsid w:val="00B3106C"/>
    <w:rsid w:val="00B317A5"/>
    <w:rsid w:val="00B317BB"/>
    <w:rsid w:val="00B31AC8"/>
    <w:rsid w:val="00B31D93"/>
    <w:rsid w:val="00B31E27"/>
    <w:rsid w:val="00B32434"/>
    <w:rsid w:val="00B32BAF"/>
    <w:rsid w:val="00B33994"/>
    <w:rsid w:val="00B339EC"/>
    <w:rsid w:val="00B33A3D"/>
    <w:rsid w:val="00B34314"/>
    <w:rsid w:val="00B344BB"/>
    <w:rsid w:val="00B34AE3"/>
    <w:rsid w:val="00B34BD7"/>
    <w:rsid w:val="00B350C7"/>
    <w:rsid w:val="00B35FAA"/>
    <w:rsid w:val="00B37F9F"/>
    <w:rsid w:val="00B4001C"/>
    <w:rsid w:val="00B405F7"/>
    <w:rsid w:val="00B40686"/>
    <w:rsid w:val="00B40825"/>
    <w:rsid w:val="00B410FB"/>
    <w:rsid w:val="00B41245"/>
    <w:rsid w:val="00B413F8"/>
    <w:rsid w:val="00B41A00"/>
    <w:rsid w:val="00B41EAB"/>
    <w:rsid w:val="00B42420"/>
    <w:rsid w:val="00B437E0"/>
    <w:rsid w:val="00B439CE"/>
    <w:rsid w:val="00B43FA1"/>
    <w:rsid w:val="00B4428D"/>
    <w:rsid w:val="00B4438B"/>
    <w:rsid w:val="00B4451D"/>
    <w:rsid w:val="00B4582A"/>
    <w:rsid w:val="00B45E13"/>
    <w:rsid w:val="00B45EC9"/>
    <w:rsid w:val="00B46096"/>
    <w:rsid w:val="00B46CB5"/>
    <w:rsid w:val="00B46E6B"/>
    <w:rsid w:val="00B46FC7"/>
    <w:rsid w:val="00B47AB3"/>
    <w:rsid w:val="00B507D2"/>
    <w:rsid w:val="00B51AD3"/>
    <w:rsid w:val="00B51F40"/>
    <w:rsid w:val="00B526A4"/>
    <w:rsid w:val="00B5378A"/>
    <w:rsid w:val="00B54477"/>
    <w:rsid w:val="00B549D5"/>
    <w:rsid w:val="00B5539F"/>
    <w:rsid w:val="00B5597B"/>
    <w:rsid w:val="00B562C8"/>
    <w:rsid w:val="00B57A6E"/>
    <w:rsid w:val="00B57AC9"/>
    <w:rsid w:val="00B60598"/>
    <w:rsid w:val="00B60A41"/>
    <w:rsid w:val="00B60E8D"/>
    <w:rsid w:val="00B61335"/>
    <w:rsid w:val="00B618DA"/>
    <w:rsid w:val="00B61A30"/>
    <w:rsid w:val="00B625F4"/>
    <w:rsid w:val="00B62B41"/>
    <w:rsid w:val="00B62CEF"/>
    <w:rsid w:val="00B62E3F"/>
    <w:rsid w:val="00B63CA1"/>
    <w:rsid w:val="00B63E63"/>
    <w:rsid w:val="00B64799"/>
    <w:rsid w:val="00B64C5F"/>
    <w:rsid w:val="00B6558D"/>
    <w:rsid w:val="00B655E1"/>
    <w:rsid w:val="00B66162"/>
    <w:rsid w:val="00B661D9"/>
    <w:rsid w:val="00B66405"/>
    <w:rsid w:val="00B66905"/>
    <w:rsid w:val="00B66C0E"/>
    <w:rsid w:val="00B70B66"/>
    <w:rsid w:val="00B70C03"/>
    <w:rsid w:val="00B71511"/>
    <w:rsid w:val="00B72355"/>
    <w:rsid w:val="00B72C58"/>
    <w:rsid w:val="00B72F47"/>
    <w:rsid w:val="00B740A8"/>
    <w:rsid w:val="00B740AA"/>
    <w:rsid w:val="00B741A3"/>
    <w:rsid w:val="00B74638"/>
    <w:rsid w:val="00B75717"/>
    <w:rsid w:val="00B75B99"/>
    <w:rsid w:val="00B75BDC"/>
    <w:rsid w:val="00B763D3"/>
    <w:rsid w:val="00B77AB1"/>
    <w:rsid w:val="00B77F53"/>
    <w:rsid w:val="00B81767"/>
    <w:rsid w:val="00B8195E"/>
    <w:rsid w:val="00B81C74"/>
    <w:rsid w:val="00B82795"/>
    <w:rsid w:val="00B82827"/>
    <w:rsid w:val="00B82CEC"/>
    <w:rsid w:val="00B831B9"/>
    <w:rsid w:val="00B83449"/>
    <w:rsid w:val="00B8364A"/>
    <w:rsid w:val="00B84184"/>
    <w:rsid w:val="00B84416"/>
    <w:rsid w:val="00B84930"/>
    <w:rsid w:val="00B84BF2"/>
    <w:rsid w:val="00B84E5B"/>
    <w:rsid w:val="00B84F3A"/>
    <w:rsid w:val="00B85200"/>
    <w:rsid w:val="00B86BB5"/>
    <w:rsid w:val="00B86D92"/>
    <w:rsid w:val="00B8704B"/>
    <w:rsid w:val="00B87236"/>
    <w:rsid w:val="00B87B1A"/>
    <w:rsid w:val="00B903EB"/>
    <w:rsid w:val="00B908E2"/>
    <w:rsid w:val="00B90CE2"/>
    <w:rsid w:val="00B91402"/>
    <w:rsid w:val="00B91CBD"/>
    <w:rsid w:val="00B92128"/>
    <w:rsid w:val="00B9387B"/>
    <w:rsid w:val="00B938E7"/>
    <w:rsid w:val="00B93C98"/>
    <w:rsid w:val="00B9418B"/>
    <w:rsid w:val="00B94959"/>
    <w:rsid w:val="00B94A65"/>
    <w:rsid w:val="00B95B80"/>
    <w:rsid w:val="00B95CAA"/>
    <w:rsid w:val="00B95D18"/>
    <w:rsid w:val="00B9625F"/>
    <w:rsid w:val="00B9638E"/>
    <w:rsid w:val="00B96F65"/>
    <w:rsid w:val="00B97167"/>
    <w:rsid w:val="00B978D7"/>
    <w:rsid w:val="00BA0255"/>
    <w:rsid w:val="00BA0314"/>
    <w:rsid w:val="00BA07C3"/>
    <w:rsid w:val="00BA0845"/>
    <w:rsid w:val="00BA0D8E"/>
    <w:rsid w:val="00BA108E"/>
    <w:rsid w:val="00BA1220"/>
    <w:rsid w:val="00BA1221"/>
    <w:rsid w:val="00BA1978"/>
    <w:rsid w:val="00BA2054"/>
    <w:rsid w:val="00BA329F"/>
    <w:rsid w:val="00BA351B"/>
    <w:rsid w:val="00BA3843"/>
    <w:rsid w:val="00BA3C8C"/>
    <w:rsid w:val="00BA402D"/>
    <w:rsid w:val="00BA4368"/>
    <w:rsid w:val="00BA4E36"/>
    <w:rsid w:val="00BA5808"/>
    <w:rsid w:val="00BA5B2D"/>
    <w:rsid w:val="00BA617A"/>
    <w:rsid w:val="00BA6D00"/>
    <w:rsid w:val="00BA6FF2"/>
    <w:rsid w:val="00BA7D00"/>
    <w:rsid w:val="00BB0C5D"/>
    <w:rsid w:val="00BB119D"/>
    <w:rsid w:val="00BB123B"/>
    <w:rsid w:val="00BB1786"/>
    <w:rsid w:val="00BB21A6"/>
    <w:rsid w:val="00BB3B75"/>
    <w:rsid w:val="00BB3B7F"/>
    <w:rsid w:val="00BB5850"/>
    <w:rsid w:val="00BB6295"/>
    <w:rsid w:val="00BB6537"/>
    <w:rsid w:val="00BB698A"/>
    <w:rsid w:val="00BB6B3D"/>
    <w:rsid w:val="00BB6DD0"/>
    <w:rsid w:val="00BB7D82"/>
    <w:rsid w:val="00BC01DB"/>
    <w:rsid w:val="00BC123C"/>
    <w:rsid w:val="00BC1D13"/>
    <w:rsid w:val="00BC27CD"/>
    <w:rsid w:val="00BC291D"/>
    <w:rsid w:val="00BC2BB2"/>
    <w:rsid w:val="00BC3DC1"/>
    <w:rsid w:val="00BC3F5F"/>
    <w:rsid w:val="00BC483F"/>
    <w:rsid w:val="00BC4B51"/>
    <w:rsid w:val="00BC4BCC"/>
    <w:rsid w:val="00BC5413"/>
    <w:rsid w:val="00BC5563"/>
    <w:rsid w:val="00BC5693"/>
    <w:rsid w:val="00BC63EA"/>
    <w:rsid w:val="00BC661B"/>
    <w:rsid w:val="00BC6720"/>
    <w:rsid w:val="00BC6AFF"/>
    <w:rsid w:val="00BC6DB3"/>
    <w:rsid w:val="00BC77C7"/>
    <w:rsid w:val="00BC7BF1"/>
    <w:rsid w:val="00BD0F70"/>
    <w:rsid w:val="00BD11EA"/>
    <w:rsid w:val="00BD18D6"/>
    <w:rsid w:val="00BD1B03"/>
    <w:rsid w:val="00BD1DAD"/>
    <w:rsid w:val="00BD2794"/>
    <w:rsid w:val="00BD2A80"/>
    <w:rsid w:val="00BD3049"/>
    <w:rsid w:val="00BD30C9"/>
    <w:rsid w:val="00BD3CA5"/>
    <w:rsid w:val="00BD3F07"/>
    <w:rsid w:val="00BD3FB6"/>
    <w:rsid w:val="00BD42FD"/>
    <w:rsid w:val="00BD45AE"/>
    <w:rsid w:val="00BD4834"/>
    <w:rsid w:val="00BD49A3"/>
    <w:rsid w:val="00BD56EF"/>
    <w:rsid w:val="00BD5B46"/>
    <w:rsid w:val="00BD62E4"/>
    <w:rsid w:val="00BD7078"/>
    <w:rsid w:val="00BD765A"/>
    <w:rsid w:val="00BD7C70"/>
    <w:rsid w:val="00BE04FF"/>
    <w:rsid w:val="00BE0550"/>
    <w:rsid w:val="00BE077F"/>
    <w:rsid w:val="00BE08FD"/>
    <w:rsid w:val="00BE090E"/>
    <w:rsid w:val="00BE0E85"/>
    <w:rsid w:val="00BE20A9"/>
    <w:rsid w:val="00BE2B43"/>
    <w:rsid w:val="00BE5091"/>
    <w:rsid w:val="00BE5321"/>
    <w:rsid w:val="00BE6163"/>
    <w:rsid w:val="00BE641A"/>
    <w:rsid w:val="00BE646B"/>
    <w:rsid w:val="00BE64DF"/>
    <w:rsid w:val="00BE655A"/>
    <w:rsid w:val="00BE6929"/>
    <w:rsid w:val="00BE6E12"/>
    <w:rsid w:val="00BE73CD"/>
    <w:rsid w:val="00BE7D47"/>
    <w:rsid w:val="00BE7E47"/>
    <w:rsid w:val="00BF0D1B"/>
    <w:rsid w:val="00BF0DFC"/>
    <w:rsid w:val="00BF0F70"/>
    <w:rsid w:val="00BF1120"/>
    <w:rsid w:val="00BF1500"/>
    <w:rsid w:val="00BF150E"/>
    <w:rsid w:val="00BF16BD"/>
    <w:rsid w:val="00BF1CEC"/>
    <w:rsid w:val="00BF29E6"/>
    <w:rsid w:val="00BF3128"/>
    <w:rsid w:val="00BF366C"/>
    <w:rsid w:val="00BF39D0"/>
    <w:rsid w:val="00BF3D56"/>
    <w:rsid w:val="00BF433F"/>
    <w:rsid w:val="00BF47CA"/>
    <w:rsid w:val="00BF5077"/>
    <w:rsid w:val="00BF61C8"/>
    <w:rsid w:val="00BF6BE3"/>
    <w:rsid w:val="00BF73D6"/>
    <w:rsid w:val="00C0009F"/>
    <w:rsid w:val="00C006D3"/>
    <w:rsid w:val="00C00CB8"/>
    <w:rsid w:val="00C01922"/>
    <w:rsid w:val="00C01F17"/>
    <w:rsid w:val="00C02298"/>
    <w:rsid w:val="00C02EFA"/>
    <w:rsid w:val="00C032CB"/>
    <w:rsid w:val="00C0396A"/>
    <w:rsid w:val="00C04626"/>
    <w:rsid w:val="00C04A83"/>
    <w:rsid w:val="00C04ED5"/>
    <w:rsid w:val="00C05210"/>
    <w:rsid w:val="00C055A1"/>
    <w:rsid w:val="00C0769D"/>
    <w:rsid w:val="00C076D9"/>
    <w:rsid w:val="00C07894"/>
    <w:rsid w:val="00C108CD"/>
    <w:rsid w:val="00C1099C"/>
    <w:rsid w:val="00C10CA2"/>
    <w:rsid w:val="00C10EE6"/>
    <w:rsid w:val="00C10F07"/>
    <w:rsid w:val="00C1122E"/>
    <w:rsid w:val="00C1306E"/>
    <w:rsid w:val="00C131C5"/>
    <w:rsid w:val="00C13DD4"/>
    <w:rsid w:val="00C13E96"/>
    <w:rsid w:val="00C14334"/>
    <w:rsid w:val="00C14345"/>
    <w:rsid w:val="00C144E5"/>
    <w:rsid w:val="00C1509A"/>
    <w:rsid w:val="00C157DE"/>
    <w:rsid w:val="00C1598E"/>
    <w:rsid w:val="00C15EF6"/>
    <w:rsid w:val="00C1604F"/>
    <w:rsid w:val="00C1614E"/>
    <w:rsid w:val="00C1641A"/>
    <w:rsid w:val="00C164B5"/>
    <w:rsid w:val="00C1653D"/>
    <w:rsid w:val="00C16A01"/>
    <w:rsid w:val="00C16B32"/>
    <w:rsid w:val="00C1714F"/>
    <w:rsid w:val="00C17A0F"/>
    <w:rsid w:val="00C17BBC"/>
    <w:rsid w:val="00C20412"/>
    <w:rsid w:val="00C207EF"/>
    <w:rsid w:val="00C20C54"/>
    <w:rsid w:val="00C2205D"/>
    <w:rsid w:val="00C22FE2"/>
    <w:rsid w:val="00C2300A"/>
    <w:rsid w:val="00C2363E"/>
    <w:rsid w:val="00C24096"/>
    <w:rsid w:val="00C2451E"/>
    <w:rsid w:val="00C24742"/>
    <w:rsid w:val="00C247C3"/>
    <w:rsid w:val="00C24AC1"/>
    <w:rsid w:val="00C24D1A"/>
    <w:rsid w:val="00C24FCD"/>
    <w:rsid w:val="00C25712"/>
    <w:rsid w:val="00C2593D"/>
    <w:rsid w:val="00C25B73"/>
    <w:rsid w:val="00C25CB2"/>
    <w:rsid w:val="00C26542"/>
    <w:rsid w:val="00C26A18"/>
    <w:rsid w:val="00C27CDE"/>
    <w:rsid w:val="00C27F02"/>
    <w:rsid w:val="00C314DE"/>
    <w:rsid w:val="00C31D08"/>
    <w:rsid w:val="00C323E8"/>
    <w:rsid w:val="00C3250F"/>
    <w:rsid w:val="00C32B62"/>
    <w:rsid w:val="00C3352B"/>
    <w:rsid w:val="00C3359A"/>
    <w:rsid w:val="00C35247"/>
    <w:rsid w:val="00C35398"/>
    <w:rsid w:val="00C36033"/>
    <w:rsid w:val="00C36092"/>
    <w:rsid w:val="00C3657C"/>
    <w:rsid w:val="00C36732"/>
    <w:rsid w:val="00C36889"/>
    <w:rsid w:val="00C36B48"/>
    <w:rsid w:val="00C3711F"/>
    <w:rsid w:val="00C37EE4"/>
    <w:rsid w:val="00C402E8"/>
    <w:rsid w:val="00C40391"/>
    <w:rsid w:val="00C405EF"/>
    <w:rsid w:val="00C4093B"/>
    <w:rsid w:val="00C41BE4"/>
    <w:rsid w:val="00C41FD1"/>
    <w:rsid w:val="00C4200C"/>
    <w:rsid w:val="00C42013"/>
    <w:rsid w:val="00C42212"/>
    <w:rsid w:val="00C42225"/>
    <w:rsid w:val="00C4286C"/>
    <w:rsid w:val="00C4392C"/>
    <w:rsid w:val="00C4445C"/>
    <w:rsid w:val="00C44461"/>
    <w:rsid w:val="00C447FE"/>
    <w:rsid w:val="00C449C7"/>
    <w:rsid w:val="00C44FF0"/>
    <w:rsid w:val="00C4514B"/>
    <w:rsid w:val="00C456BA"/>
    <w:rsid w:val="00C45738"/>
    <w:rsid w:val="00C4615A"/>
    <w:rsid w:val="00C4639A"/>
    <w:rsid w:val="00C465A9"/>
    <w:rsid w:val="00C46F46"/>
    <w:rsid w:val="00C47BC3"/>
    <w:rsid w:val="00C50BCF"/>
    <w:rsid w:val="00C50F63"/>
    <w:rsid w:val="00C50FD0"/>
    <w:rsid w:val="00C51154"/>
    <w:rsid w:val="00C5205C"/>
    <w:rsid w:val="00C5277B"/>
    <w:rsid w:val="00C533F3"/>
    <w:rsid w:val="00C53ED4"/>
    <w:rsid w:val="00C54636"/>
    <w:rsid w:val="00C55005"/>
    <w:rsid w:val="00C553CE"/>
    <w:rsid w:val="00C556D2"/>
    <w:rsid w:val="00C55AB1"/>
    <w:rsid w:val="00C56120"/>
    <w:rsid w:val="00C57282"/>
    <w:rsid w:val="00C57418"/>
    <w:rsid w:val="00C57608"/>
    <w:rsid w:val="00C5761F"/>
    <w:rsid w:val="00C57984"/>
    <w:rsid w:val="00C57E18"/>
    <w:rsid w:val="00C60530"/>
    <w:rsid w:val="00C60D17"/>
    <w:rsid w:val="00C60EC3"/>
    <w:rsid w:val="00C626FC"/>
    <w:rsid w:val="00C62C10"/>
    <w:rsid w:val="00C62D80"/>
    <w:rsid w:val="00C632BC"/>
    <w:rsid w:val="00C63A13"/>
    <w:rsid w:val="00C64015"/>
    <w:rsid w:val="00C6414D"/>
    <w:rsid w:val="00C646F6"/>
    <w:rsid w:val="00C64C98"/>
    <w:rsid w:val="00C64D6D"/>
    <w:rsid w:val="00C65A4C"/>
    <w:rsid w:val="00C65F08"/>
    <w:rsid w:val="00C665CA"/>
    <w:rsid w:val="00C66651"/>
    <w:rsid w:val="00C6666C"/>
    <w:rsid w:val="00C66DBB"/>
    <w:rsid w:val="00C6775D"/>
    <w:rsid w:val="00C70034"/>
    <w:rsid w:val="00C705A2"/>
    <w:rsid w:val="00C706DE"/>
    <w:rsid w:val="00C70913"/>
    <w:rsid w:val="00C7113E"/>
    <w:rsid w:val="00C7224C"/>
    <w:rsid w:val="00C7246C"/>
    <w:rsid w:val="00C73079"/>
    <w:rsid w:val="00C7329B"/>
    <w:rsid w:val="00C74E76"/>
    <w:rsid w:val="00C76C4D"/>
    <w:rsid w:val="00C77489"/>
    <w:rsid w:val="00C77EF8"/>
    <w:rsid w:val="00C80786"/>
    <w:rsid w:val="00C81030"/>
    <w:rsid w:val="00C81218"/>
    <w:rsid w:val="00C81545"/>
    <w:rsid w:val="00C83417"/>
    <w:rsid w:val="00C83C5B"/>
    <w:rsid w:val="00C83CF0"/>
    <w:rsid w:val="00C85C9C"/>
    <w:rsid w:val="00C86063"/>
    <w:rsid w:val="00C863CB"/>
    <w:rsid w:val="00C86FA3"/>
    <w:rsid w:val="00C8758F"/>
    <w:rsid w:val="00C875D8"/>
    <w:rsid w:val="00C9019B"/>
    <w:rsid w:val="00C90470"/>
    <w:rsid w:val="00C909A8"/>
    <w:rsid w:val="00C90C22"/>
    <w:rsid w:val="00C913F8"/>
    <w:rsid w:val="00C916D7"/>
    <w:rsid w:val="00C91750"/>
    <w:rsid w:val="00C917D7"/>
    <w:rsid w:val="00C92710"/>
    <w:rsid w:val="00C92A04"/>
    <w:rsid w:val="00C92A24"/>
    <w:rsid w:val="00C92C88"/>
    <w:rsid w:val="00C93469"/>
    <w:rsid w:val="00C93516"/>
    <w:rsid w:val="00C93860"/>
    <w:rsid w:val="00C94364"/>
    <w:rsid w:val="00C94512"/>
    <w:rsid w:val="00C9498A"/>
    <w:rsid w:val="00C955D9"/>
    <w:rsid w:val="00C95C75"/>
    <w:rsid w:val="00C970EC"/>
    <w:rsid w:val="00C97A7E"/>
    <w:rsid w:val="00C97DFD"/>
    <w:rsid w:val="00CA00E6"/>
    <w:rsid w:val="00CA01E7"/>
    <w:rsid w:val="00CA0852"/>
    <w:rsid w:val="00CA0C09"/>
    <w:rsid w:val="00CA144B"/>
    <w:rsid w:val="00CA156E"/>
    <w:rsid w:val="00CA1595"/>
    <w:rsid w:val="00CA1EDA"/>
    <w:rsid w:val="00CA2A47"/>
    <w:rsid w:val="00CA2E3B"/>
    <w:rsid w:val="00CA3517"/>
    <w:rsid w:val="00CA3E5B"/>
    <w:rsid w:val="00CA423C"/>
    <w:rsid w:val="00CA4247"/>
    <w:rsid w:val="00CA43F5"/>
    <w:rsid w:val="00CA4C93"/>
    <w:rsid w:val="00CA4F00"/>
    <w:rsid w:val="00CA59EF"/>
    <w:rsid w:val="00CA5F57"/>
    <w:rsid w:val="00CA611E"/>
    <w:rsid w:val="00CA6D8B"/>
    <w:rsid w:val="00CA6DC9"/>
    <w:rsid w:val="00CA7284"/>
    <w:rsid w:val="00CA7C6E"/>
    <w:rsid w:val="00CB0B01"/>
    <w:rsid w:val="00CB0C99"/>
    <w:rsid w:val="00CB13C9"/>
    <w:rsid w:val="00CB1536"/>
    <w:rsid w:val="00CB2ECF"/>
    <w:rsid w:val="00CB310F"/>
    <w:rsid w:val="00CB3AC1"/>
    <w:rsid w:val="00CB3E13"/>
    <w:rsid w:val="00CB411E"/>
    <w:rsid w:val="00CB5711"/>
    <w:rsid w:val="00CB57F8"/>
    <w:rsid w:val="00CB5817"/>
    <w:rsid w:val="00CB5A5B"/>
    <w:rsid w:val="00CB644C"/>
    <w:rsid w:val="00CB671A"/>
    <w:rsid w:val="00CB6B8D"/>
    <w:rsid w:val="00CB6DE9"/>
    <w:rsid w:val="00CB6E2E"/>
    <w:rsid w:val="00CC07E9"/>
    <w:rsid w:val="00CC0836"/>
    <w:rsid w:val="00CC0C2B"/>
    <w:rsid w:val="00CC2061"/>
    <w:rsid w:val="00CC29F1"/>
    <w:rsid w:val="00CC382A"/>
    <w:rsid w:val="00CC3AA2"/>
    <w:rsid w:val="00CC3B58"/>
    <w:rsid w:val="00CC49B5"/>
    <w:rsid w:val="00CC4D91"/>
    <w:rsid w:val="00CC5556"/>
    <w:rsid w:val="00CC5962"/>
    <w:rsid w:val="00CC5AA5"/>
    <w:rsid w:val="00CC5C9D"/>
    <w:rsid w:val="00CC5CBB"/>
    <w:rsid w:val="00CC5CF9"/>
    <w:rsid w:val="00CC612F"/>
    <w:rsid w:val="00CC7BF6"/>
    <w:rsid w:val="00CC7F7E"/>
    <w:rsid w:val="00CD039E"/>
    <w:rsid w:val="00CD1A21"/>
    <w:rsid w:val="00CD1F6D"/>
    <w:rsid w:val="00CD25C3"/>
    <w:rsid w:val="00CD376E"/>
    <w:rsid w:val="00CD3980"/>
    <w:rsid w:val="00CD3DA2"/>
    <w:rsid w:val="00CD3F03"/>
    <w:rsid w:val="00CD409A"/>
    <w:rsid w:val="00CD417C"/>
    <w:rsid w:val="00CD45EA"/>
    <w:rsid w:val="00CD53DD"/>
    <w:rsid w:val="00CD55A6"/>
    <w:rsid w:val="00CD58CF"/>
    <w:rsid w:val="00CD5B17"/>
    <w:rsid w:val="00CD60A1"/>
    <w:rsid w:val="00CD68EB"/>
    <w:rsid w:val="00CD6B8F"/>
    <w:rsid w:val="00CD6FD5"/>
    <w:rsid w:val="00CD70EC"/>
    <w:rsid w:val="00CD7BFD"/>
    <w:rsid w:val="00CD7D48"/>
    <w:rsid w:val="00CE0189"/>
    <w:rsid w:val="00CE088E"/>
    <w:rsid w:val="00CE0D09"/>
    <w:rsid w:val="00CE1238"/>
    <w:rsid w:val="00CE12B1"/>
    <w:rsid w:val="00CE1D18"/>
    <w:rsid w:val="00CE1E08"/>
    <w:rsid w:val="00CE2001"/>
    <w:rsid w:val="00CE24E8"/>
    <w:rsid w:val="00CE2918"/>
    <w:rsid w:val="00CE2C23"/>
    <w:rsid w:val="00CE32E7"/>
    <w:rsid w:val="00CE34E7"/>
    <w:rsid w:val="00CE4532"/>
    <w:rsid w:val="00CE4B3C"/>
    <w:rsid w:val="00CE55D5"/>
    <w:rsid w:val="00CE5E0A"/>
    <w:rsid w:val="00CE5E4B"/>
    <w:rsid w:val="00CE6258"/>
    <w:rsid w:val="00CE7B04"/>
    <w:rsid w:val="00CF07F5"/>
    <w:rsid w:val="00CF0CC5"/>
    <w:rsid w:val="00CF1571"/>
    <w:rsid w:val="00CF1632"/>
    <w:rsid w:val="00CF189E"/>
    <w:rsid w:val="00CF1C1B"/>
    <w:rsid w:val="00CF2557"/>
    <w:rsid w:val="00CF2D55"/>
    <w:rsid w:val="00CF2DEB"/>
    <w:rsid w:val="00CF31C7"/>
    <w:rsid w:val="00CF433D"/>
    <w:rsid w:val="00CF4773"/>
    <w:rsid w:val="00CF4E05"/>
    <w:rsid w:val="00CF53A1"/>
    <w:rsid w:val="00CF56FD"/>
    <w:rsid w:val="00CF5D70"/>
    <w:rsid w:val="00CF5FA8"/>
    <w:rsid w:val="00CF748D"/>
    <w:rsid w:val="00CF76A9"/>
    <w:rsid w:val="00CF76DD"/>
    <w:rsid w:val="00D0095B"/>
    <w:rsid w:val="00D01F97"/>
    <w:rsid w:val="00D01FF5"/>
    <w:rsid w:val="00D020C8"/>
    <w:rsid w:val="00D02154"/>
    <w:rsid w:val="00D02345"/>
    <w:rsid w:val="00D02502"/>
    <w:rsid w:val="00D030AD"/>
    <w:rsid w:val="00D034C5"/>
    <w:rsid w:val="00D052C7"/>
    <w:rsid w:val="00D05B62"/>
    <w:rsid w:val="00D05CFE"/>
    <w:rsid w:val="00D061FD"/>
    <w:rsid w:val="00D071CE"/>
    <w:rsid w:val="00D07346"/>
    <w:rsid w:val="00D07ED2"/>
    <w:rsid w:val="00D10445"/>
    <w:rsid w:val="00D1076C"/>
    <w:rsid w:val="00D108BD"/>
    <w:rsid w:val="00D10995"/>
    <w:rsid w:val="00D10EC2"/>
    <w:rsid w:val="00D11077"/>
    <w:rsid w:val="00D11447"/>
    <w:rsid w:val="00D11569"/>
    <w:rsid w:val="00D116B5"/>
    <w:rsid w:val="00D116E6"/>
    <w:rsid w:val="00D12088"/>
    <w:rsid w:val="00D1234E"/>
    <w:rsid w:val="00D13AA4"/>
    <w:rsid w:val="00D146BD"/>
    <w:rsid w:val="00D14C54"/>
    <w:rsid w:val="00D1568D"/>
    <w:rsid w:val="00D15A26"/>
    <w:rsid w:val="00D15DA0"/>
    <w:rsid w:val="00D15E8E"/>
    <w:rsid w:val="00D16066"/>
    <w:rsid w:val="00D160BC"/>
    <w:rsid w:val="00D16901"/>
    <w:rsid w:val="00D17497"/>
    <w:rsid w:val="00D175BF"/>
    <w:rsid w:val="00D17B08"/>
    <w:rsid w:val="00D202AC"/>
    <w:rsid w:val="00D20301"/>
    <w:rsid w:val="00D20ADD"/>
    <w:rsid w:val="00D20F23"/>
    <w:rsid w:val="00D21206"/>
    <w:rsid w:val="00D213E2"/>
    <w:rsid w:val="00D21B21"/>
    <w:rsid w:val="00D21B3B"/>
    <w:rsid w:val="00D21E1D"/>
    <w:rsid w:val="00D226C7"/>
    <w:rsid w:val="00D22E2B"/>
    <w:rsid w:val="00D2336D"/>
    <w:rsid w:val="00D2384F"/>
    <w:rsid w:val="00D23D88"/>
    <w:rsid w:val="00D24484"/>
    <w:rsid w:val="00D25934"/>
    <w:rsid w:val="00D279FF"/>
    <w:rsid w:val="00D3212B"/>
    <w:rsid w:val="00D32CBD"/>
    <w:rsid w:val="00D34186"/>
    <w:rsid w:val="00D3418D"/>
    <w:rsid w:val="00D3543A"/>
    <w:rsid w:val="00D3553A"/>
    <w:rsid w:val="00D36311"/>
    <w:rsid w:val="00D377F5"/>
    <w:rsid w:val="00D412F0"/>
    <w:rsid w:val="00D41949"/>
    <w:rsid w:val="00D42C7F"/>
    <w:rsid w:val="00D42CC2"/>
    <w:rsid w:val="00D42F7E"/>
    <w:rsid w:val="00D4305A"/>
    <w:rsid w:val="00D43503"/>
    <w:rsid w:val="00D437EA"/>
    <w:rsid w:val="00D43B4C"/>
    <w:rsid w:val="00D44734"/>
    <w:rsid w:val="00D44FF4"/>
    <w:rsid w:val="00D45238"/>
    <w:rsid w:val="00D454E3"/>
    <w:rsid w:val="00D45AFF"/>
    <w:rsid w:val="00D465E4"/>
    <w:rsid w:val="00D4670D"/>
    <w:rsid w:val="00D47F18"/>
    <w:rsid w:val="00D51656"/>
    <w:rsid w:val="00D52273"/>
    <w:rsid w:val="00D52B5D"/>
    <w:rsid w:val="00D53308"/>
    <w:rsid w:val="00D53458"/>
    <w:rsid w:val="00D53AB4"/>
    <w:rsid w:val="00D53CEB"/>
    <w:rsid w:val="00D54593"/>
    <w:rsid w:val="00D54B74"/>
    <w:rsid w:val="00D55519"/>
    <w:rsid w:val="00D55751"/>
    <w:rsid w:val="00D55BBB"/>
    <w:rsid w:val="00D56142"/>
    <w:rsid w:val="00D5642F"/>
    <w:rsid w:val="00D56C9B"/>
    <w:rsid w:val="00D56F26"/>
    <w:rsid w:val="00D57012"/>
    <w:rsid w:val="00D57DB0"/>
    <w:rsid w:val="00D57E3C"/>
    <w:rsid w:val="00D57E5B"/>
    <w:rsid w:val="00D60109"/>
    <w:rsid w:val="00D60334"/>
    <w:rsid w:val="00D6067F"/>
    <w:rsid w:val="00D606AC"/>
    <w:rsid w:val="00D60787"/>
    <w:rsid w:val="00D6087C"/>
    <w:rsid w:val="00D60A7A"/>
    <w:rsid w:val="00D60E89"/>
    <w:rsid w:val="00D6129D"/>
    <w:rsid w:val="00D61BEC"/>
    <w:rsid w:val="00D61E18"/>
    <w:rsid w:val="00D61E65"/>
    <w:rsid w:val="00D61F27"/>
    <w:rsid w:val="00D6239C"/>
    <w:rsid w:val="00D6252E"/>
    <w:rsid w:val="00D62909"/>
    <w:rsid w:val="00D62E03"/>
    <w:rsid w:val="00D631FD"/>
    <w:rsid w:val="00D6366D"/>
    <w:rsid w:val="00D637BD"/>
    <w:rsid w:val="00D63D84"/>
    <w:rsid w:val="00D63E91"/>
    <w:rsid w:val="00D640AA"/>
    <w:rsid w:val="00D641CD"/>
    <w:rsid w:val="00D64579"/>
    <w:rsid w:val="00D64C0A"/>
    <w:rsid w:val="00D65735"/>
    <w:rsid w:val="00D65A08"/>
    <w:rsid w:val="00D65ABA"/>
    <w:rsid w:val="00D65ACE"/>
    <w:rsid w:val="00D65AE8"/>
    <w:rsid w:val="00D65BB1"/>
    <w:rsid w:val="00D65E63"/>
    <w:rsid w:val="00D669CF"/>
    <w:rsid w:val="00D66F8E"/>
    <w:rsid w:val="00D67EFA"/>
    <w:rsid w:val="00D706A7"/>
    <w:rsid w:val="00D71F43"/>
    <w:rsid w:val="00D7275D"/>
    <w:rsid w:val="00D72D7B"/>
    <w:rsid w:val="00D72E05"/>
    <w:rsid w:val="00D72FCD"/>
    <w:rsid w:val="00D736D7"/>
    <w:rsid w:val="00D73843"/>
    <w:rsid w:val="00D73C7A"/>
    <w:rsid w:val="00D7424E"/>
    <w:rsid w:val="00D743A8"/>
    <w:rsid w:val="00D74F85"/>
    <w:rsid w:val="00D74F9E"/>
    <w:rsid w:val="00D75356"/>
    <w:rsid w:val="00D75819"/>
    <w:rsid w:val="00D75E1E"/>
    <w:rsid w:val="00D76CE0"/>
    <w:rsid w:val="00D77173"/>
    <w:rsid w:val="00D771AA"/>
    <w:rsid w:val="00D77C36"/>
    <w:rsid w:val="00D77EC4"/>
    <w:rsid w:val="00D8022C"/>
    <w:rsid w:val="00D80A8C"/>
    <w:rsid w:val="00D819C9"/>
    <w:rsid w:val="00D81E46"/>
    <w:rsid w:val="00D81E65"/>
    <w:rsid w:val="00D82432"/>
    <w:rsid w:val="00D82921"/>
    <w:rsid w:val="00D82CE8"/>
    <w:rsid w:val="00D84A63"/>
    <w:rsid w:val="00D853F0"/>
    <w:rsid w:val="00D86961"/>
    <w:rsid w:val="00D86D7F"/>
    <w:rsid w:val="00D8732C"/>
    <w:rsid w:val="00D9144D"/>
    <w:rsid w:val="00D914A5"/>
    <w:rsid w:val="00D91821"/>
    <w:rsid w:val="00D9192F"/>
    <w:rsid w:val="00D919AD"/>
    <w:rsid w:val="00D91FA5"/>
    <w:rsid w:val="00D9247B"/>
    <w:rsid w:val="00D93BB7"/>
    <w:rsid w:val="00D94599"/>
    <w:rsid w:val="00D945D6"/>
    <w:rsid w:val="00D94B09"/>
    <w:rsid w:val="00D952AF"/>
    <w:rsid w:val="00D95445"/>
    <w:rsid w:val="00D974F5"/>
    <w:rsid w:val="00D9781C"/>
    <w:rsid w:val="00D97A77"/>
    <w:rsid w:val="00D97F3D"/>
    <w:rsid w:val="00DA0800"/>
    <w:rsid w:val="00DA19AF"/>
    <w:rsid w:val="00DA236A"/>
    <w:rsid w:val="00DA2E71"/>
    <w:rsid w:val="00DA3B15"/>
    <w:rsid w:val="00DA40E9"/>
    <w:rsid w:val="00DA4E8F"/>
    <w:rsid w:val="00DA544D"/>
    <w:rsid w:val="00DA69A2"/>
    <w:rsid w:val="00DA739A"/>
    <w:rsid w:val="00DA74A0"/>
    <w:rsid w:val="00DA769A"/>
    <w:rsid w:val="00DB0C5D"/>
    <w:rsid w:val="00DB0CE8"/>
    <w:rsid w:val="00DB112C"/>
    <w:rsid w:val="00DB1779"/>
    <w:rsid w:val="00DB1B32"/>
    <w:rsid w:val="00DB1F89"/>
    <w:rsid w:val="00DB380D"/>
    <w:rsid w:val="00DB43F5"/>
    <w:rsid w:val="00DB4564"/>
    <w:rsid w:val="00DB468D"/>
    <w:rsid w:val="00DB4F19"/>
    <w:rsid w:val="00DB529A"/>
    <w:rsid w:val="00DB549B"/>
    <w:rsid w:val="00DB5F12"/>
    <w:rsid w:val="00DB6314"/>
    <w:rsid w:val="00DB7810"/>
    <w:rsid w:val="00DB7E41"/>
    <w:rsid w:val="00DC0006"/>
    <w:rsid w:val="00DC077B"/>
    <w:rsid w:val="00DC0B20"/>
    <w:rsid w:val="00DC0F61"/>
    <w:rsid w:val="00DC1657"/>
    <w:rsid w:val="00DC282A"/>
    <w:rsid w:val="00DC3BE3"/>
    <w:rsid w:val="00DC4420"/>
    <w:rsid w:val="00DC468C"/>
    <w:rsid w:val="00DC4BBC"/>
    <w:rsid w:val="00DC4C45"/>
    <w:rsid w:val="00DC4CE0"/>
    <w:rsid w:val="00DC585C"/>
    <w:rsid w:val="00DC5EE1"/>
    <w:rsid w:val="00DC640A"/>
    <w:rsid w:val="00DC770D"/>
    <w:rsid w:val="00DD0497"/>
    <w:rsid w:val="00DD06C6"/>
    <w:rsid w:val="00DD0FD6"/>
    <w:rsid w:val="00DD1050"/>
    <w:rsid w:val="00DD14BD"/>
    <w:rsid w:val="00DD1F5F"/>
    <w:rsid w:val="00DD2D31"/>
    <w:rsid w:val="00DD39EC"/>
    <w:rsid w:val="00DD3EDB"/>
    <w:rsid w:val="00DD44E4"/>
    <w:rsid w:val="00DD551D"/>
    <w:rsid w:val="00DD5E2E"/>
    <w:rsid w:val="00DD62B4"/>
    <w:rsid w:val="00DD7310"/>
    <w:rsid w:val="00DD77A3"/>
    <w:rsid w:val="00DD7F1A"/>
    <w:rsid w:val="00DE0498"/>
    <w:rsid w:val="00DE0E9D"/>
    <w:rsid w:val="00DE106E"/>
    <w:rsid w:val="00DE1720"/>
    <w:rsid w:val="00DE1D9E"/>
    <w:rsid w:val="00DE2BC0"/>
    <w:rsid w:val="00DE35AA"/>
    <w:rsid w:val="00DE3E43"/>
    <w:rsid w:val="00DE3E85"/>
    <w:rsid w:val="00DE4078"/>
    <w:rsid w:val="00DE4404"/>
    <w:rsid w:val="00DE5038"/>
    <w:rsid w:val="00DE56D1"/>
    <w:rsid w:val="00DE5947"/>
    <w:rsid w:val="00DE5C01"/>
    <w:rsid w:val="00DE5CD2"/>
    <w:rsid w:val="00DE5DB7"/>
    <w:rsid w:val="00DE62FC"/>
    <w:rsid w:val="00DE6332"/>
    <w:rsid w:val="00DE6473"/>
    <w:rsid w:val="00DE66E1"/>
    <w:rsid w:val="00DE6FAD"/>
    <w:rsid w:val="00DE72BB"/>
    <w:rsid w:val="00DE7AFB"/>
    <w:rsid w:val="00DE7D30"/>
    <w:rsid w:val="00DF0E2E"/>
    <w:rsid w:val="00DF1950"/>
    <w:rsid w:val="00DF1A53"/>
    <w:rsid w:val="00DF1B5B"/>
    <w:rsid w:val="00DF31FE"/>
    <w:rsid w:val="00DF4AB3"/>
    <w:rsid w:val="00DF4ED6"/>
    <w:rsid w:val="00DF53D2"/>
    <w:rsid w:val="00DF633C"/>
    <w:rsid w:val="00DF6503"/>
    <w:rsid w:val="00DF6EDD"/>
    <w:rsid w:val="00DF727C"/>
    <w:rsid w:val="00DF7733"/>
    <w:rsid w:val="00DF7F08"/>
    <w:rsid w:val="00E005E8"/>
    <w:rsid w:val="00E007E3"/>
    <w:rsid w:val="00E02384"/>
    <w:rsid w:val="00E02BD5"/>
    <w:rsid w:val="00E0310A"/>
    <w:rsid w:val="00E036CD"/>
    <w:rsid w:val="00E03CD9"/>
    <w:rsid w:val="00E04084"/>
    <w:rsid w:val="00E053E1"/>
    <w:rsid w:val="00E0557B"/>
    <w:rsid w:val="00E0563E"/>
    <w:rsid w:val="00E05B95"/>
    <w:rsid w:val="00E05DC2"/>
    <w:rsid w:val="00E06018"/>
    <w:rsid w:val="00E060F8"/>
    <w:rsid w:val="00E066DE"/>
    <w:rsid w:val="00E10288"/>
    <w:rsid w:val="00E10A60"/>
    <w:rsid w:val="00E110CE"/>
    <w:rsid w:val="00E11644"/>
    <w:rsid w:val="00E11846"/>
    <w:rsid w:val="00E118EB"/>
    <w:rsid w:val="00E125A0"/>
    <w:rsid w:val="00E125E1"/>
    <w:rsid w:val="00E13953"/>
    <w:rsid w:val="00E160F2"/>
    <w:rsid w:val="00E162C1"/>
    <w:rsid w:val="00E1656C"/>
    <w:rsid w:val="00E175F9"/>
    <w:rsid w:val="00E1769E"/>
    <w:rsid w:val="00E204B2"/>
    <w:rsid w:val="00E206C3"/>
    <w:rsid w:val="00E2082C"/>
    <w:rsid w:val="00E20EC7"/>
    <w:rsid w:val="00E213BE"/>
    <w:rsid w:val="00E213D9"/>
    <w:rsid w:val="00E215C9"/>
    <w:rsid w:val="00E2183A"/>
    <w:rsid w:val="00E21BFF"/>
    <w:rsid w:val="00E22A81"/>
    <w:rsid w:val="00E230E0"/>
    <w:rsid w:val="00E23227"/>
    <w:rsid w:val="00E23FD4"/>
    <w:rsid w:val="00E240ED"/>
    <w:rsid w:val="00E24ADB"/>
    <w:rsid w:val="00E255C6"/>
    <w:rsid w:val="00E256CD"/>
    <w:rsid w:val="00E25BA0"/>
    <w:rsid w:val="00E25BAC"/>
    <w:rsid w:val="00E26A0D"/>
    <w:rsid w:val="00E26D6F"/>
    <w:rsid w:val="00E26F16"/>
    <w:rsid w:val="00E276CC"/>
    <w:rsid w:val="00E27829"/>
    <w:rsid w:val="00E278F6"/>
    <w:rsid w:val="00E3010E"/>
    <w:rsid w:val="00E30714"/>
    <w:rsid w:val="00E30A8B"/>
    <w:rsid w:val="00E31321"/>
    <w:rsid w:val="00E3186D"/>
    <w:rsid w:val="00E31EF1"/>
    <w:rsid w:val="00E323DB"/>
    <w:rsid w:val="00E32B40"/>
    <w:rsid w:val="00E32DBA"/>
    <w:rsid w:val="00E32EC5"/>
    <w:rsid w:val="00E32F39"/>
    <w:rsid w:val="00E33A5E"/>
    <w:rsid w:val="00E340F8"/>
    <w:rsid w:val="00E346A0"/>
    <w:rsid w:val="00E34C03"/>
    <w:rsid w:val="00E34C9B"/>
    <w:rsid w:val="00E352A2"/>
    <w:rsid w:val="00E354AB"/>
    <w:rsid w:val="00E36758"/>
    <w:rsid w:val="00E36864"/>
    <w:rsid w:val="00E372C2"/>
    <w:rsid w:val="00E37E73"/>
    <w:rsid w:val="00E37F8A"/>
    <w:rsid w:val="00E40EF3"/>
    <w:rsid w:val="00E41614"/>
    <w:rsid w:val="00E420E0"/>
    <w:rsid w:val="00E427E7"/>
    <w:rsid w:val="00E42E7A"/>
    <w:rsid w:val="00E42F7E"/>
    <w:rsid w:val="00E4305B"/>
    <w:rsid w:val="00E4347E"/>
    <w:rsid w:val="00E4520C"/>
    <w:rsid w:val="00E459A8"/>
    <w:rsid w:val="00E45A59"/>
    <w:rsid w:val="00E45D03"/>
    <w:rsid w:val="00E46196"/>
    <w:rsid w:val="00E467A7"/>
    <w:rsid w:val="00E47A84"/>
    <w:rsid w:val="00E50DE8"/>
    <w:rsid w:val="00E512E8"/>
    <w:rsid w:val="00E51BE2"/>
    <w:rsid w:val="00E51C99"/>
    <w:rsid w:val="00E5217E"/>
    <w:rsid w:val="00E52E58"/>
    <w:rsid w:val="00E52F91"/>
    <w:rsid w:val="00E53096"/>
    <w:rsid w:val="00E5407F"/>
    <w:rsid w:val="00E540FA"/>
    <w:rsid w:val="00E544FB"/>
    <w:rsid w:val="00E5460A"/>
    <w:rsid w:val="00E548AC"/>
    <w:rsid w:val="00E54E8A"/>
    <w:rsid w:val="00E55256"/>
    <w:rsid w:val="00E55363"/>
    <w:rsid w:val="00E555A2"/>
    <w:rsid w:val="00E55688"/>
    <w:rsid w:val="00E55F23"/>
    <w:rsid w:val="00E568AA"/>
    <w:rsid w:val="00E568C2"/>
    <w:rsid w:val="00E56E00"/>
    <w:rsid w:val="00E57040"/>
    <w:rsid w:val="00E57704"/>
    <w:rsid w:val="00E5783D"/>
    <w:rsid w:val="00E57934"/>
    <w:rsid w:val="00E6117C"/>
    <w:rsid w:val="00E61787"/>
    <w:rsid w:val="00E62B0B"/>
    <w:rsid w:val="00E63193"/>
    <w:rsid w:val="00E63203"/>
    <w:rsid w:val="00E637C9"/>
    <w:rsid w:val="00E6422D"/>
    <w:rsid w:val="00E642E8"/>
    <w:rsid w:val="00E64A19"/>
    <w:rsid w:val="00E64B3D"/>
    <w:rsid w:val="00E64DF3"/>
    <w:rsid w:val="00E64E21"/>
    <w:rsid w:val="00E65022"/>
    <w:rsid w:val="00E655CE"/>
    <w:rsid w:val="00E6584C"/>
    <w:rsid w:val="00E65E9F"/>
    <w:rsid w:val="00E662B5"/>
    <w:rsid w:val="00E663C0"/>
    <w:rsid w:val="00E668DF"/>
    <w:rsid w:val="00E66BAB"/>
    <w:rsid w:val="00E66DD5"/>
    <w:rsid w:val="00E66E03"/>
    <w:rsid w:val="00E66F50"/>
    <w:rsid w:val="00E67018"/>
    <w:rsid w:val="00E67900"/>
    <w:rsid w:val="00E7044D"/>
    <w:rsid w:val="00E70C5D"/>
    <w:rsid w:val="00E70D83"/>
    <w:rsid w:val="00E7108A"/>
    <w:rsid w:val="00E71142"/>
    <w:rsid w:val="00E71448"/>
    <w:rsid w:val="00E71AE7"/>
    <w:rsid w:val="00E71E17"/>
    <w:rsid w:val="00E7200F"/>
    <w:rsid w:val="00E7216D"/>
    <w:rsid w:val="00E735C6"/>
    <w:rsid w:val="00E73689"/>
    <w:rsid w:val="00E743B6"/>
    <w:rsid w:val="00E7456C"/>
    <w:rsid w:val="00E74D86"/>
    <w:rsid w:val="00E753F1"/>
    <w:rsid w:val="00E7551E"/>
    <w:rsid w:val="00E75A55"/>
    <w:rsid w:val="00E75CF1"/>
    <w:rsid w:val="00E75D72"/>
    <w:rsid w:val="00E76EFF"/>
    <w:rsid w:val="00E80E44"/>
    <w:rsid w:val="00E8106C"/>
    <w:rsid w:val="00E81BB8"/>
    <w:rsid w:val="00E827EC"/>
    <w:rsid w:val="00E84101"/>
    <w:rsid w:val="00E84710"/>
    <w:rsid w:val="00E86B8F"/>
    <w:rsid w:val="00E86E86"/>
    <w:rsid w:val="00E87C37"/>
    <w:rsid w:val="00E87E27"/>
    <w:rsid w:val="00E90B8B"/>
    <w:rsid w:val="00E91050"/>
    <w:rsid w:val="00E911D5"/>
    <w:rsid w:val="00E912C0"/>
    <w:rsid w:val="00E91A4A"/>
    <w:rsid w:val="00E92428"/>
    <w:rsid w:val="00E92D79"/>
    <w:rsid w:val="00E92F0F"/>
    <w:rsid w:val="00E93B70"/>
    <w:rsid w:val="00E93D79"/>
    <w:rsid w:val="00E943C5"/>
    <w:rsid w:val="00E9444C"/>
    <w:rsid w:val="00E947EF"/>
    <w:rsid w:val="00E94C03"/>
    <w:rsid w:val="00E94ED2"/>
    <w:rsid w:val="00E976B2"/>
    <w:rsid w:val="00E97B86"/>
    <w:rsid w:val="00EA03BC"/>
    <w:rsid w:val="00EA1830"/>
    <w:rsid w:val="00EA188D"/>
    <w:rsid w:val="00EA18A0"/>
    <w:rsid w:val="00EA19EF"/>
    <w:rsid w:val="00EA1ACB"/>
    <w:rsid w:val="00EA1DD1"/>
    <w:rsid w:val="00EA2068"/>
    <w:rsid w:val="00EA22B9"/>
    <w:rsid w:val="00EA2854"/>
    <w:rsid w:val="00EA2A05"/>
    <w:rsid w:val="00EA2AC3"/>
    <w:rsid w:val="00EA35E0"/>
    <w:rsid w:val="00EA3D3D"/>
    <w:rsid w:val="00EA48C1"/>
    <w:rsid w:val="00EA4BDA"/>
    <w:rsid w:val="00EA5035"/>
    <w:rsid w:val="00EA5222"/>
    <w:rsid w:val="00EA5C2E"/>
    <w:rsid w:val="00EA5EC0"/>
    <w:rsid w:val="00EA6346"/>
    <w:rsid w:val="00EB07EF"/>
    <w:rsid w:val="00EB09B2"/>
    <w:rsid w:val="00EB1806"/>
    <w:rsid w:val="00EB1BA0"/>
    <w:rsid w:val="00EB39EC"/>
    <w:rsid w:val="00EB3CF7"/>
    <w:rsid w:val="00EB44F2"/>
    <w:rsid w:val="00EB469C"/>
    <w:rsid w:val="00EB5573"/>
    <w:rsid w:val="00EB608A"/>
    <w:rsid w:val="00EB70CF"/>
    <w:rsid w:val="00EB737D"/>
    <w:rsid w:val="00EB7E99"/>
    <w:rsid w:val="00EC0282"/>
    <w:rsid w:val="00EC0421"/>
    <w:rsid w:val="00EC154B"/>
    <w:rsid w:val="00EC17D2"/>
    <w:rsid w:val="00EC2B60"/>
    <w:rsid w:val="00EC2E7B"/>
    <w:rsid w:val="00EC317F"/>
    <w:rsid w:val="00EC36B7"/>
    <w:rsid w:val="00EC42BA"/>
    <w:rsid w:val="00EC43EF"/>
    <w:rsid w:val="00EC4878"/>
    <w:rsid w:val="00EC4FC9"/>
    <w:rsid w:val="00EC531F"/>
    <w:rsid w:val="00EC54A4"/>
    <w:rsid w:val="00EC576C"/>
    <w:rsid w:val="00EC5809"/>
    <w:rsid w:val="00EC6207"/>
    <w:rsid w:val="00EC63E6"/>
    <w:rsid w:val="00EC6F85"/>
    <w:rsid w:val="00EC7029"/>
    <w:rsid w:val="00EC79ED"/>
    <w:rsid w:val="00EC7B85"/>
    <w:rsid w:val="00EC7FE1"/>
    <w:rsid w:val="00ED0D50"/>
    <w:rsid w:val="00ED24BA"/>
    <w:rsid w:val="00ED26D9"/>
    <w:rsid w:val="00ED2DFC"/>
    <w:rsid w:val="00ED30E2"/>
    <w:rsid w:val="00ED367A"/>
    <w:rsid w:val="00ED4644"/>
    <w:rsid w:val="00ED473A"/>
    <w:rsid w:val="00ED48A3"/>
    <w:rsid w:val="00ED4E95"/>
    <w:rsid w:val="00ED5507"/>
    <w:rsid w:val="00ED5747"/>
    <w:rsid w:val="00ED5ECC"/>
    <w:rsid w:val="00ED63BE"/>
    <w:rsid w:val="00ED66E9"/>
    <w:rsid w:val="00ED6BB8"/>
    <w:rsid w:val="00ED710B"/>
    <w:rsid w:val="00EE0016"/>
    <w:rsid w:val="00EE03B8"/>
    <w:rsid w:val="00EE03F0"/>
    <w:rsid w:val="00EE0531"/>
    <w:rsid w:val="00EE0CFC"/>
    <w:rsid w:val="00EE0FE9"/>
    <w:rsid w:val="00EE1557"/>
    <w:rsid w:val="00EE1D34"/>
    <w:rsid w:val="00EE20D6"/>
    <w:rsid w:val="00EE2256"/>
    <w:rsid w:val="00EE24AA"/>
    <w:rsid w:val="00EE33F0"/>
    <w:rsid w:val="00EE3FF6"/>
    <w:rsid w:val="00EE48E6"/>
    <w:rsid w:val="00EE5051"/>
    <w:rsid w:val="00EE5CFD"/>
    <w:rsid w:val="00EE637B"/>
    <w:rsid w:val="00EE7726"/>
    <w:rsid w:val="00EF198F"/>
    <w:rsid w:val="00EF1D7E"/>
    <w:rsid w:val="00EF1F22"/>
    <w:rsid w:val="00EF23F8"/>
    <w:rsid w:val="00EF2604"/>
    <w:rsid w:val="00EF313E"/>
    <w:rsid w:val="00EF3B08"/>
    <w:rsid w:val="00EF3FAB"/>
    <w:rsid w:val="00EF41B6"/>
    <w:rsid w:val="00EF471C"/>
    <w:rsid w:val="00EF4805"/>
    <w:rsid w:val="00EF55DA"/>
    <w:rsid w:val="00EF67DB"/>
    <w:rsid w:val="00EF69F5"/>
    <w:rsid w:val="00EF6A06"/>
    <w:rsid w:val="00EF6D92"/>
    <w:rsid w:val="00EF7EC3"/>
    <w:rsid w:val="00F0074C"/>
    <w:rsid w:val="00F019EF"/>
    <w:rsid w:val="00F0216E"/>
    <w:rsid w:val="00F03801"/>
    <w:rsid w:val="00F03A0E"/>
    <w:rsid w:val="00F03BFC"/>
    <w:rsid w:val="00F03C12"/>
    <w:rsid w:val="00F05279"/>
    <w:rsid w:val="00F057B5"/>
    <w:rsid w:val="00F06320"/>
    <w:rsid w:val="00F067CB"/>
    <w:rsid w:val="00F06B78"/>
    <w:rsid w:val="00F06EE2"/>
    <w:rsid w:val="00F07442"/>
    <w:rsid w:val="00F07931"/>
    <w:rsid w:val="00F07B0B"/>
    <w:rsid w:val="00F1055F"/>
    <w:rsid w:val="00F117B9"/>
    <w:rsid w:val="00F117BE"/>
    <w:rsid w:val="00F11F44"/>
    <w:rsid w:val="00F124CE"/>
    <w:rsid w:val="00F1281C"/>
    <w:rsid w:val="00F13D73"/>
    <w:rsid w:val="00F14170"/>
    <w:rsid w:val="00F1482E"/>
    <w:rsid w:val="00F14935"/>
    <w:rsid w:val="00F14C4F"/>
    <w:rsid w:val="00F1513A"/>
    <w:rsid w:val="00F15868"/>
    <w:rsid w:val="00F15F73"/>
    <w:rsid w:val="00F1601F"/>
    <w:rsid w:val="00F1681F"/>
    <w:rsid w:val="00F16B91"/>
    <w:rsid w:val="00F16D68"/>
    <w:rsid w:val="00F206EF"/>
    <w:rsid w:val="00F20C90"/>
    <w:rsid w:val="00F210EF"/>
    <w:rsid w:val="00F2143B"/>
    <w:rsid w:val="00F21F5B"/>
    <w:rsid w:val="00F2244D"/>
    <w:rsid w:val="00F226CA"/>
    <w:rsid w:val="00F22E9E"/>
    <w:rsid w:val="00F23580"/>
    <w:rsid w:val="00F236E0"/>
    <w:rsid w:val="00F2388A"/>
    <w:rsid w:val="00F24CB6"/>
    <w:rsid w:val="00F25875"/>
    <w:rsid w:val="00F25DBC"/>
    <w:rsid w:val="00F25F77"/>
    <w:rsid w:val="00F26130"/>
    <w:rsid w:val="00F2659A"/>
    <w:rsid w:val="00F2728C"/>
    <w:rsid w:val="00F27EC0"/>
    <w:rsid w:val="00F3031A"/>
    <w:rsid w:val="00F315C9"/>
    <w:rsid w:val="00F32934"/>
    <w:rsid w:val="00F329DA"/>
    <w:rsid w:val="00F32B08"/>
    <w:rsid w:val="00F32C6B"/>
    <w:rsid w:val="00F3335A"/>
    <w:rsid w:val="00F33873"/>
    <w:rsid w:val="00F33C7D"/>
    <w:rsid w:val="00F34000"/>
    <w:rsid w:val="00F34D7E"/>
    <w:rsid w:val="00F351FC"/>
    <w:rsid w:val="00F356C7"/>
    <w:rsid w:val="00F36531"/>
    <w:rsid w:val="00F365DB"/>
    <w:rsid w:val="00F378E7"/>
    <w:rsid w:val="00F37C1D"/>
    <w:rsid w:val="00F37D8B"/>
    <w:rsid w:val="00F4053F"/>
    <w:rsid w:val="00F4131E"/>
    <w:rsid w:val="00F4201B"/>
    <w:rsid w:val="00F4267D"/>
    <w:rsid w:val="00F42E17"/>
    <w:rsid w:val="00F42F5B"/>
    <w:rsid w:val="00F432C8"/>
    <w:rsid w:val="00F445BD"/>
    <w:rsid w:val="00F45102"/>
    <w:rsid w:val="00F464FF"/>
    <w:rsid w:val="00F46741"/>
    <w:rsid w:val="00F46B09"/>
    <w:rsid w:val="00F471C6"/>
    <w:rsid w:val="00F472CD"/>
    <w:rsid w:val="00F473AE"/>
    <w:rsid w:val="00F473B6"/>
    <w:rsid w:val="00F47836"/>
    <w:rsid w:val="00F5058B"/>
    <w:rsid w:val="00F52CA4"/>
    <w:rsid w:val="00F530AF"/>
    <w:rsid w:val="00F5322C"/>
    <w:rsid w:val="00F5382A"/>
    <w:rsid w:val="00F53877"/>
    <w:rsid w:val="00F557D7"/>
    <w:rsid w:val="00F559FD"/>
    <w:rsid w:val="00F55B31"/>
    <w:rsid w:val="00F5672F"/>
    <w:rsid w:val="00F56DE9"/>
    <w:rsid w:val="00F5729B"/>
    <w:rsid w:val="00F5764F"/>
    <w:rsid w:val="00F57753"/>
    <w:rsid w:val="00F5775D"/>
    <w:rsid w:val="00F5777E"/>
    <w:rsid w:val="00F57796"/>
    <w:rsid w:val="00F60138"/>
    <w:rsid w:val="00F60CCE"/>
    <w:rsid w:val="00F61197"/>
    <w:rsid w:val="00F6207A"/>
    <w:rsid w:val="00F62ADC"/>
    <w:rsid w:val="00F62DC2"/>
    <w:rsid w:val="00F630F3"/>
    <w:rsid w:val="00F6357A"/>
    <w:rsid w:val="00F64037"/>
    <w:rsid w:val="00F644FD"/>
    <w:rsid w:val="00F64B64"/>
    <w:rsid w:val="00F64E2E"/>
    <w:rsid w:val="00F65031"/>
    <w:rsid w:val="00F65676"/>
    <w:rsid w:val="00F6567E"/>
    <w:rsid w:val="00F66237"/>
    <w:rsid w:val="00F6641C"/>
    <w:rsid w:val="00F66547"/>
    <w:rsid w:val="00F665AD"/>
    <w:rsid w:val="00F66F7E"/>
    <w:rsid w:val="00F67B6C"/>
    <w:rsid w:val="00F709A7"/>
    <w:rsid w:val="00F72010"/>
    <w:rsid w:val="00F7262D"/>
    <w:rsid w:val="00F73EDB"/>
    <w:rsid w:val="00F740C6"/>
    <w:rsid w:val="00F740C8"/>
    <w:rsid w:val="00F744C7"/>
    <w:rsid w:val="00F757BE"/>
    <w:rsid w:val="00F762E2"/>
    <w:rsid w:val="00F76C8C"/>
    <w:rsid w:val="00F76DA8"/>
    <w:rsid w:val="00F76ED1"/>
    <w:rsid w:val="00F7739D"/>
    <w:rsid w:val="00F7742E"/>
    <w:rsid w:val="00F806CB"/>
    <w:rsid w:val="00F8077A"/>
    <w:rsid w:val="00F80B4B"/>
    <w:rsid w:val="00F80C27"/>
    <w:rsid w:val="00F82689"/>
    <w:rsid w:val="00F82960"/>
    <w:rsid w:val="00F83161"/>
    <w:rsid w:val="00F83275"/>
    <w:rsid w:val="00F834E2"/>
    <w:rsid w:val="00F83D8C"/>
    <w:rsid w:val="00F844AA"/>
    <w:rsid w:val="00F84CF7"/>
    <w:rsid w:val="00F84F9A"/>
    <w:rsid w:val="00F855B6"/>
    <w:rsid w:val="00F85E0B"/>
    <w:rsid w:val="00F85FCE"/>
    <w:rsid w:val="00F86B1E"/>
    <w:rsid w:val="00F87063"/>
    <w:rsid w:val="00F87B58"/>
    <w:rsid w:val="00F87FE0"/>
    <w:rsid w:val="00F905E5"/>
    <w:rsid w:val="00F909A8"/>
    <w:rsid w:val="00F90DFC"/>
    <w:rsid w:val="00F90F42"/>
    <w:rsid w:val="00F91708"/>
    <w:rsid w:val="00F91B79"/>
    <w:rsid w:val="00F91F91"/>
    <w:rsid w:val="00F91F94"/>
    <w:rsid w:val="00F92C0B"/>
    <w:rsid w:val="00F92C63"/>
    <w:rsid w:val="00F92D7A"/>
    <w:rsid w:val="00F93BCD"/>
    <w:rsid w:val="00F94811"/>
    <w:rsid w:val="00F94C5C"/>
    <w:rsid w:val="00F95054"/>
    <w:rsid w:val="00F95553"/>
    <w:rsid w:val="00F960C6"/>
    <w:rsid w:val="00F9666E"/>
    <w:rsid w:val="00F96738"/>
    <w:rsid w:val="00F96F34"/>
    <w:rsid w:val="00FA0978"/>
    <w:rsid w:val="00FA0FFD"/>
    <w:rsid w:val="00FA20E1"/>
    <w:rsid w:val="00FA2445"/>
    <w:rsid w:val="00FA2B83"/>
    <w:rsid w:val="00FA2D70"/>
    <w:rsid w:val="00FA2E35"/>
    <w:rsid w:val="00FA3084"/>
    <w:rsid w:val="00FA321C"/>
    <w:rsid w:val="00FA3620"/>
    <w:rsid w:val="00FA38F3"/>
    <w:rsid w:val="00FA3AA8"/>
    <w:rsid w:val="00FA42A9"/>
    <w:rsid w:val="00FA4345"/>
    <w:rsid w:val="00FA4779"/>
    <w:rsid w:val="00FA4BD7"/>
    <w:rsid w:val="00FA559C"/>
    <w:rsid w:val="00FA5C50"/>
    <w:rsid w:val="00FA6672"/>
    <w:rsid w:val="00FA6BF3"/>
    <w:rsid w:val="00FA7548"/>
    <w:rsid w:val="00FB08EF"/>
    <w:rsid w:val="00FB0936"/>
    <w:rsid w:val="00FB1E34"/>
    <w:rsid w:val="00FB2321"/>
    <w:rsid w:val="00FB23E9"/>
    <w:rsid w:val="00FB4167"/>
    <w:rsid w:val="00FB42D6"/>
    <w:rsid w:val="00FB573A"/>
    <w:rsid w:val="00FB6D54"/>
    <w:rsid w:val="00FB6D6C"/>
    <w:rsid w:val="00FB7103"/>
    <w:rsid w:val="00FB77B6"/>
    <w:rsid w:val="00FB79C2"/>
    <w:rsid w:val="00FB7EAC"/>
    <w:rsid w:val="00FC0D79"/>
    <w:rsid w:val="00FC11E7"/>
    <w:rsid w:val="00FC282E"/>
    <w:rsid w:val="00FC29A8"/>
    <w:rsid w:val="00FC2CE6"/>
    <w:rsid w:val="00FC3207"/>
    <w:rsid w:val="00FC3858"/>
    <w:rsid w:val="00FC3BD6"/>
    <w:rsid w:val="00FC4083"/>
    <w:rsid w:val="00FC4E10"/>
    <w:rsid w:val="00FC5A82"/>
    <w:rsid w:val="00FC5E0B"/>
    <w:rsid w:val="00FC67D0"/>
    <w:rsid w:val="00FC6B20"/>
    <w:rsid w:val="00FC6D62"/>
    <w:rsid w:val="00FC7605"/>
    <w:rsid w:val="00FC7DC4"/>
    <w:rsid w:val="00FC7F3A"/>
    <w:rsid w:val="00FD010B"/>
    <w:rsid w:val="00FD01AC"/>
    <w:rsid w:val="00FD15FA"/>
    <w:rsid w:val="00FD18A8"/>
    <w:rsid w:val="00FD196C"/>
    <w:rsid w:val="00FD19D5"/>
    <w:rsid w:val="00FD255C"/>
    <w:rsid w:val="00FD26AA"/>
    <w:rsid w:val="00FD2E57"/>
    <w:rsid w:val="00FD349C"/>
    <w:rsid w:val="00FD3ABE"/>
    <w:rsid w:val="00FD3B8B"/>
    <w:rsid w:val="00FD400C"/>
    <w:rsid w:val="00FD4A4D"/>
    <w:rsid w:val="00FD4FC2"/>
    <w:rsid w:val="00FD5031"/>
    <w:rsid w:val="00FD5235"/>
    <w:rsid w:val="00FD540F"/>
    <w:rsid w:val="00FD555E"/>
    <w:rsid w:val="00FD5622"/>
    <w:rsid w:val="00FD6627"/>
    <w:rsid w:val="00FD7569"/>
    <w:rsid w:val="00FD77B9"/>
    <w:rsid w:val="00FD7B80"/>
    <w:rsid w:val="00FE01F1"/>
    <w:rsid w:val="00FE0723"/>
    <w:rsid w:val="00FE0D55"/>
    <w:rsid w:val="00FE0DBE"/>
    <w:rsid w:val="00FE0F6F"/>
    <w:rsid w:val="00FE1208"/>
    <w:rsid w:val="00FE20AF"/>
    <w:rsid w:val="00FE2641"/>
    <w:rsid w:val="00FE3EC0"/>
    <w:rsid w:val="00FE422F"/>
    <w:rsid w:val="00FE519C"/>
    <w:rsid w:val="00FE66D7"/>
    <w:rsid w:val="00FF0F23"/>
    <w:rsid w:val="00FF1B1D"/>
    <w:rsid w:val="00FF21F0"/>
    <w:rsid w:val="00FF235B"/>
    <w:rsid w:val="00FF25BB"/>
    <w:rsid w:val="00FF2BB4"/>
    <w:rsid w:val="00FF3219"/>
    <w:rsid w:val="00FF3C45"/>
    <w:rsid w:val="00FF5562"/>
    <w:rsid w:val="00FF5788"/>
    <w:rsid w:val="00FF5A17"/>
    <w:rsid w:val="00FF5B51"/>
    <w:rsid w:val="00FF6080"/>
    <w:rsid w:val="00FF611F"/>
    <w:rsid w:val="00FF6177"/>
    <w:rsid w:val="00FF65C6"/>
    <w:rsid w:val="00FF6641"/>
    <w:rsid w:val="00FF6865"/>
    <w:rsid w:val="00FF6C98"/>
    <w:rsid w:val="00FF774F"/>
    <w:rsid w:val="00FF79C6"/>
    <w:rsid w:val="00FF7A7A"/>
    <w:rsid w:val="00FF7B0F"/>
    <w:rsid w:val="00FF7EF4"/>
    <w:rsid w:val="00FF7F3F"/>
    <w:rsid w:val="00FF7F9C"/>
    <w:rsid w:val="01027E46"/>
    <w:rsid w:val="010461D2"/>
    <w:rsid w:val="010479D5"/>
    <w:rsid w:val="011317D5"/>
    <w:rsid w:val="01147A8C"/>
    <w:rsid w:val="01167B46"/>
    <w:rsid w:val="011C5063"/>
    <w:rsid w:val="01221F46"/>
    <w:rsid w:val="012815A3"/>
    <w:rsid w:val="01307E43"/>
    <w:rsid w:val="013148F5"/>
    <w:rsid w:val="0132713F"/>
    <w:rsid w:val="01355D98"/>
    <w:rsid w:val="01473C08"/>
    <w:rsid w:val="01482E8A"/>
    <w:rsid w:val="014B3BD0"/>
    <w:rsid w:val="014D3A7E"/>
    <w:rsid w:val="014D748B"/>
    <w:rsid w:val="014E34B2"/>
    <w:rsid w:val="015233F5"/>
    <w:rsid w:val="01576EF6"/>
    <w:rsid w:val="015C206C"/>
    <w:rsid w:val="016039BB"/>
    <w:rsid w:val="01634669"/>
    <w:rsid w:val="016719B3"/>
    <w:rsid w:val="01682F26"/>
    <w:rsid w:val="016A03FB"/>
    <w:rsid w:val="016A6302"/>
    <w:rsid w:val="016B4E74"/>
    <w:rsid w:val="016D063A"/>
    <w:rsid w:val="016E3A3D"/>
    <w:rsid w:val="01722C6F"/>
    <w:rsid w:val="017754FB"/>
    <w:rsid w:val="01787C16"/>
    <w:rsid w:val="01811FDF"/>
    <w:rsid w:val="018419EC"/>
    <w:rsid w:val="018B43F4"/>
    <w:rsid w:val="018D56ED"/>
    <w:rsid w:val="018E657A"/>
    <w:rsid w:val="019612F5"/>
    <w:rsid w:val="019D5F10"/>
    <w:rsid w:val="01A64889"/>
    <w:rsid w:val="01A92B27"/>
    <w:rsid w:val="01AB417F"/>
    <w:rsid w:val="01AF535C"/>
    <w:rsid w:val="01B346AD"/>
    <w:rsid w:val="01B54274"/>
    <w:rsid w:val="01BA6D2F"/>
    <w:rsid w:val="01BE1E14"/>
    <w:rsid w:val="01C23088"/>
    <w:rsid w:val="01CA49EB"/>
    <w:rsid w:val="01D3192B"/>
    <w:rsid w:val="01D54F83"/>
    <w:rsid w:val="01D676A4"/>
    <w:rsid w:val="01D82D49"/>
    <w:rsid w:val="01DB0A68"/>
    <w:rsid w:val="01DD7EE2"/>
    <w:rsid w:val="01DF1755"/>
    <w:rsid w:val="01E071BE"/>
    <w:rsid w:val="01E770C0"/>
    <w:rsid w:val="01EC38CE"/>
    <w:rsid w:val="01EE37EF"/>
    <w:rsid w:val="01F727A1"/>
    <w:rsid w:val="01F74B17"/>
    <w:rsid w:val="01F87EE2"/>
    <w:rsid w:val="01FB3B16"/>
    <w:rsid w:val="01FB6D7B"/>
    <w:rsid w:val="020329F0"/>
    <w:rsid w:val="02034C26"/>
    <w:rsid w:val="020735CC"/>
    <w:rsid w:val="02086A90"/>
    <w:rsid w:val="0211086B"/>
    <w:rsid w:val="02116112"/>
    <w:rsid w:val="02167CCB"/>
    <w:rsid w:val="021A4492"/>
    <w:rsid w:val="021B4E5F"/>
    <w:rsid w:val="021E1011"/>
    <w:rsid w:val="02200CA2"/>
    <w:rsid w:val="022763DC"/>
    <w:rsid w:val="02291538"/>
    <w:rsid w:val="022A5947"/>
    <w:rsid w:val="022E27B3"/>
    <w:rsid w:val="022F7F54"/>
    <w:rsid w:val="02324D9C"/>
    <w:rsid w:val="023976F0"/>
    <w:rsid w:val="023D4D6F"/>
    <w:rsid w:val="023E570B"/>
    <w:rsid w:val="02484097"/>
    <w:rsid w:val="024937C1"/>
    <w:rsid w:val="024B3290"/>
    <w:rsid w:val="02505D6A"/>
    <w:rsid w:val="025564E9"/>
    <w:rsid w:val="025A7789"/>
    <w:rsid w:val="025C745B"/>
    <w:rsid w:val="025D29A5"/>
    <w:rsid w:val="02602C01"/>
    <w:rsid w:val="02623565"/>
    <w:rsid w:val="02644CB2"/>
    <w:rsid w:val="0266764E"/>
    <w:rsid w:val="02742C31"/>
    <w:rsid w:val="0277019B"/>
    <w:rsid w:val="0279464B"/>
    <w:rsid w:val="027B3AA0"/>
    <w:rsid w:val="027B7FF7"/>
    <w:rsid w:val="027D63AF"/>
    <w:rsid w:val="028377EC"/>
    <w:rsid w:val="028667F9"/>
    <w:rsid w:val="028B0BA9"/>
    <w:rsid w:val="028F10BB"/>
    <w:rsid w:val="02934E4A"/>
    <w:rsid w:val="02986685"/>
    <w:rsid w:val="029C0804"/>
    <w:rsid w:val="029E580C"/>
    <w:rsid w:val="029F6775"/>
    <w:rsid w:val="02A068E7"/>
    <w:rsid w:val="02A332BB"/>
    <w:rsid w:val="02AB2D84"/>
    <w:rsid w:val="02AE28C9"/>
    <w:rsid w:val="02B406C0"/>
    <w:rsid w:val="02BD4976"/>
    <w:rsid w:val="02BE62AB"/>
    <w:rsid w:val="02CE3EAF"/>
    <w:rsid w:val="02CF56F8"/>
    <w:rsid w:val="02D20655"/>
    <w:rsid w:val="02D51157"/>
    <w:rsid w:val="02D620B4"/>
    <w:rsid w:val="02DD54A5"/>
    <w:rsid w:val="02E0302E"/>
    <w:rsid w:val="02E57211"/>
    <w:rsid w:val="02E76755"/>
    <w:rsid w:val="02E85770"/>
    <w:rsid w:val="02F22D43"/>
    <w:rsid w:val="02FA496A"/>
    <w:rsid w:val="030517BE"/>
    <w:rsid w:val="030E12F9"/>
    <w:rsid w:val="0313540E"/>
    <w:rsid w:val="0314175E"/>
    <w:rsid w:val="031620E5"/>
    <w:rsid w:val="0324390A"/>
    <w:rsid w:val="03243A98"/>
    <w:rsid w:val="032D5831"/>
    <w:rsid w:val="033115EB"/>
    <w:rsid w:val="03347AB1"/>
    <w:rsid w:val="03351E4E"/>
    <w:rsid w:val="03370DA3"/>
    <w:rsid w:val="03392777"/>
    <w:rsid w:val="033E3DC1"/>
    <w:rsid w:val="033F0296"/>
    <w:rsid w:val="03403E76"/>
    <w:rsid w:val="03427519"/>
    <w:rsid w:val="03464EC0"/>
    <w:rsid w:val="034674AC"/>
    <w:rsid w:val="034C38D3"/>
    <w:rsid w:val="0350762A"/>
    <w:rsid w:val="03514F03"/>
    <w:rsid w:val="03533F06"/>
    <w:rsid w:val="035534C9"/>
    <w:rsid w:val="03590179"/>
    <w:rsid w:val="035C7A1E"/>
    <w:rsid w:val="035D5A78"/>
    <w:rsid w:val="035E2A58"/>
    <w:rsid w:val="035E32F4"/>
    <w:rsid w:val="0367007E"/>
    <w:rsid w:val="03670886"/>
    <w:rsid w:val="036B3BD8"/>
    <w:rsid w:val="0371071F"/>
    <w:rsid w:val="03764C67"/>
    <w:rsid w:val="037B2939"/>
    <w:rsid w:val="038034CF"/>
    <w:rsid w:val="03807328"/>
    <w:rsid w:val="03865B96"/>
    <w:rsid w:val="03893A3C"/>
    <w:rsid w:val="039148C0"/>
    <w:rsid w:val="039160E0"/>
    <w:rsid w:val="039B1320"/>
    <w:rsid w:val="03A1188A"/>
    <w:rsid w:val="03A2403E"/>
    <w:rsid w:val="03A26A55"/>
    <w:rsid w:val="03A46D15"/>
    <w:rsid w:val="03AA7652"/>
    <w:rsid w:val="03AD5A31"/>
    <w:rsid w:val="03B4797B"/>
    <w:rsid w:val="03B761AB"/>
    <w:rsid w:val="03BB03B0"/>
    <w:rsid w:val="03BB6371"/>
    <w:rsid w:val="03BB6808"/>
    <w:rsid w:val="03BC3358"/>
    <w:rsid w:val="03BD3FC7"/>
    <w:rsid w:val="03BF5C09"/>
    <w:rsid w:val="03C37D53"/>
    <w:rsid w:val="03C762DA"/>
    <w:rsid w:val="03C94B90"/>
    <w:rsid w:val="03CA0D01"/>
    <w:rsid w:val="03CD213A"/>
    <w:rsid w:val="03D3745B"/>
    <w:rsid w:val="03D57775"/>
    <w:rsid w:val="03DD058B"/>
    <w:rsid w:val="03E37EFB"/>
    <w:rsid w:val="03E828B5"/>
    <w:rsid w:val="03E82B04"/>
    <w:rsid w:val="03E86A12"/>
    <w:rsid w:val="03EB26DD"/>
    <w:rsid w:val="03EC7C10"/>
    <w:rsid w:val="03F20CC5"/>
    <w:rsid w:val="03F519F5"/>
    <w:rsid w:val="03F5323D"/>
    <w:rsid w:val="03F65097"/>
    <w:rsid w:val="03F71245"/>
    <w:rsid w:val="03FF1DA2"/>
    <w:rsid w:val="04062A36"/>
    <w:rsid w:val="04067953"/>
    <w:rsid w:val="04096DCF"/>
    <w:rsid w:val="040A4C09"/>
    <w:rsid w:val="040A778D"/>
    <w:rsid w:val="041550F6"/>
    <w:rsid w:val="04194267"/>
    <w:rsid w:val="042071DA"/>
    <w:rsid w:val="04230A0A"/>
    <w:rsid w:val="042A4425"/>
    <w:rsid w:val="042E1660"/>
    <w:rsid w:val="042F0BA2"/>
    <w:rsid w:val="042F32CD"/>
    <w:rsid w:val="043165CD"/>
    <w:rsid w:val="04341521"/>
    <w:rsid w:val="04373822"/>
    <w:rsid w:val="04453707"/>
    <w:rsid w:val="04473CF9"/>
    <w:rsid w:val="04482C00"/>
    <w:rsid w:val="04486D1F"/>
    <w:rsid w:val="045E20C7"/>
    <w:rsid w:val="04610AF7"/>
    <w:rsid w:val="04671839"/>
    <w:rsid w:val="04672B73"/>
    <w:rsid w:val="04681484"/>
    <w:rsid w:val="046C29A9"/>
    <w:rsid w:val="0474720B"/>
    <w:rsid w:val="047A4715"/>
    <w:rsid w:val="04833304"/>
    <w:rsid w:val="048C1317"/>
    <w:rsid w:val="048C22DB"/>
    <w:rsid w:val="048E1556"/>
    <w:rsid w:val="04942FE4"/>
    <w:rsid w:val="04944C2E"/>
    <w:rsid w:val="04977665"/>
    <w:rsid w:val="049973A4"/>
    <w:rsid w:val="049B41ED"/>
    <w:rsid w:val="049C6393"/>
    <w:rsid w:val="049E3545"/>
    <w:rsid w:val="04A158D1"/>
    <w:rsid w:val="04A67806"/>
    <w:rsid w:val="04AA104C"/>
    <w:rsid w:val="04B22A92"/>
    <w:rsid w:val="04B6396C"/>
    <w:rsid w:val="04BF7F67"/>
    <w:rsid w:val="04C203B2"/>
    <w:rsid w:val="04C615C9"/>
    <w:rsid w:val="04C66301"/>
    <w:rsid w:val="04C811B1"/>
    <w:rsid w:val="04CA7DC0"/>
    <w:rsid w:val="04D057CB"/>
    <w:rsid w:val="04D373C7"/>
    <w:rsid w:val="04D43CB5"/>
    <w:rsid w:val="04D64992"/>
    <w:rsid w:val="04DE757E"/>
    <w:rsid w:val="04E619B9"/>
    <w:rsid w:val="04ED1003"/>
    <w:rsid w:val="04EF620B"/>
    <w:rsid w:val="04F00D3C"/>
    <w:rsid w:val="04F45D39"/>
    <w:rsid w:val="050168BD"/>
    <w:rsid w:val="05034572"/>
    <w:rsid w:val="0504535B"/>
    <w:rsid w:val="050A0D3F"/>
    <w:rsid w:val="050B611F"/>
    <w:rsid w:val="05114CA4"/>
    <w:rsid w:val="05122F6F"/>
    <w:rsid w:val="051353F9"/>
    <w:rsid w:val="05177884"/>
    <w:rsid w:val="05177E9E"/>
    <w:rsid w:val="051C0534"/>
    <w:rsid w:val="051D5082"/>
    <w:rsid w:val="052505FB"/>
    <w:rsid w:val="052E33BA"/>
    <w:rsid w:val="052E6103"/>
    <w:rsid w:val="052F4A51"/>
    <w:rsid w:val="053006AD"/>
    <w:rsid w:val="05336CE8"/>
    <w:rsid w:val="0534164D"/>
    <w:rsid w:val="05391D24"/>
    <w:rsid w:val="053A4058"/>
    <w:rsid w:val="053B268C"/>
    <w:rsid w:val="053D06BC"/>
    <w:rsid w:val="053F7496"/>
    <w:rsid w:val="05405BC6"/>
    <w:rsid w:val="054211A4"/>
    <w:rsid w:val="0542139B"/>
    <w:rsid w:val="05422118"/>
    <w:rsid w:val="05442E65"/>
    <w:rsid w:val="054C2CCA"/>
    <w:rsid w:val="054F21B7"/>
    <w:rsid w:val="0551058F"/>
    <w:rsid w:val="055344FE"/>
    <w:rsid w:val="055373C4"/>
    <w:rsid w:val="055D2DA9"/>
    <w:rsid w:val="055D6A9A"/>
    <w:rsid w:val="055F0A97"/>
    <w:rsid w:val="05644B90"/>
    <w:rsid w:val="056D33B3"/>
    <w:rsid w:val="0575189C"/>
    <w:rsid w:val="05764EF6"/>
    <w:rsid w:val="057A14A9"/>
    <w:rsid w:val="057E0565"/>
    <w:rsid w:val="057E4334"/>
    <w:rsid w:val="058240F3"/>
    <w:rsid w:val="05834B8B"/>
    <w:rsid w:val="0586606E"/>
    <w:rsid w:val="058C7819"/>
    <w:rsid w:val="058F3C8F"/>
    <w:rsid w:val="05907BB2"/>
    <w:rsid w:val="0594234C"/>
    <w:rsid w:val="05967CC5"/>
    <w:rsid w:val="059E1D77"/>
    <w:rsid w:val="05A33625"/>
    <w:rsid w:val="05A44F7E"/>
    <w:rsid w:val="05A933DE"/>
    <w:rsid w:val="05AD6267"/>
    <w:rsid w:val="05B25625"/>
    <w:rsid w:val="05B85A65"/>
    <w:rsid w:val="05BA452A"/>
    <w:rsid w:val="05BF2885"/>
    <w:rsid w:val="05C00001"/>
    <w:rsid w:val="05C20081"/>
    <w:rsid w:val="05C43688"/>
    <w:rsid w:val="05C7477A"/>
    <w:rsid w:val="05CB3A02"/>
    <w:rsid w:val="05CC1790"/>
    <w:rsid w:val="05CF4421"/>
    <w:rsid w:val="05D14C60"/>
    <w:rsid w:val="05D15831"/>
    <w:rsid w:val="05D275E3"/>
    <w:rsid w:val="05D45E1F"/>
    <w:rsid w:val="05DA05B1"/>
    <w:rsid w:val="05DC1ABB"/>
    <w:rsid w:val="05DD18B1"/>
    <w:rsid w:val="05E0476A"/>
    <w:rsid w:val="05E5075D"/>
    <w:rsid w:val="05E72B5D"/>
    <w:rsid w:val="05E77EE2"/>
    <w:rsid w:val="05E86840"/>
    <w:rsid w:val="05EA0CEB"/>
    <w:rsid w:val="05F85068"/>
    <w:rsid w:val="06004F98"/>
    <w:rsid w:val="06021FB5"/>
    <w:rsid w:val="06046C3E"/>
    <w:rsid w:val="061C42A6"/>
    <w:rsid w:val="061C45E0"/>
    <w:rsid w:val="061F2075"/>
    <w:rsid w:val="06212AF1"/>
    <w:rsid w:val="0626489E"/>
    <w:rsid w:val="062C5A74"/>
    <w:rsid w:val="062D67D8"/>
    <w:rsid w:val="062F2FEB"/>
    <w:rsid w:val="06323C1E"/>
    <w:rsid w:val="063438F3"/>
    <w:rsid w:val="06415D70"/>
    <w:rsid w:val="064628C9"/>
    <w:rsid w:val="06481D8C"/>
    <w:rsid w:val="064959B6"/>
    <w:rsid w:val="064E0977"/>
    <w:rsid w:val="065057C2"/>
    <w:rsid w:val="06512520"/>
    <w:rsid w:val="06525E0E"/>
    <w:rsid w:val="06536AFA"/>
    <w:rsid w:val="06550A0B"/>
    <w:rsid w:val="06581881"/>
    <w:rsid w:val="065B5BC7"/>
    <w:rsid w:val="06616F5A"/>
    <w:rsid w:val="06622030"/>
    <w:rsid w:val="06631766"/>
    <w:rsid w:val="066A26C5"/>
    <w:rsid w:val="066C7DC1"/>
    <w:rsid w:val="06735BAA"/>
    <w:rsid w:val="067768D4"/>
    <w:rsid w:val="06797E15"/>
    <w:rsid w:val="067B4843"/>
    <w:rsid w:val="067D09D1"/>
    <w:rsid w:val="067D1DB8"/>
    <w:rsid w:val="067F13A6"/>
    <w:rsid w:val="06820C95"/>
    <w:rsid w:val="0685624B"/>
    <w:rsid w:val="068A3B1E"/>
    <w:rsid w:val="068B1650"/>
    <w:rsid w:val="068D1E2C"/>
    <w:rsid w:val="068D228D"/>
    <w:rsid w:val="068E1174"/>
    <w:rsid w:val="068E1CF0"/>
    <w:rsid w:val="06966CB4"/>
    <w:rsid w:val="069B5ED2"/>
    <w:rsid w:val="069E3011"/>
    <w:rsid w:val="06A45B2B"/>
    <w:rsid w:val="06AD4DFD"/>
    <w:rsid w:val="06AD7B47"/>
    <w:rsid w:val="06B43D45"/>
    <w:rsid w:val="06BA219B"/>
    <w:rsid w:val="06BA41EE"/>
    <w:rsid w:val="06BD760C"/>
    <w:rsid w:val="06BF103D"/>
    <w:rsid w:val="06BF3524"/>
    <w:rsid w:val="06C27B4C"/>
    <w:rsid w:val="06C54676"/>
    <w:rsid w:val="06C67B35"/>
    <w:rsid w:val="06C94B56"/>
    <w:rsid w:val="06CA24A0"/>
    <w:rsid w:val="06CB50FD"/>
    <w:rsid w:val="06D05081"/>
    <w:rsid w:val="06D358EA"/>
    <w:rsid w:val="06D41D2A"/>
    <w:rsid w:val="06D7180C"/>
    <w:rsid w:val="06D86DD8"/>
    <w:rsid w:val="06D8792B"/>
    <w:rsid w:val="06EE7EEE"/>
    <w:rsid w:val="06FA4338"/>
    <w:rsid w:val="06FB4A73"/>
    <w:rsid w:val="06FE7D36"/>
    <w:rsid w:val="07007396"/>
    <w:rsid w:val="0704641D"/>
    <w:rsid w:val="07055E60"/>
    <w:rsid w:val="07067956"/>
    <w:rsid w:val="070D0C3D"/>
    <w:rsid w:val="0714502D"/>
    <w:rsid w:val="071A7E4A"/>
    <w:rsid w:val="07265E3D"/>
    <w:rsid w:val="07286353"/>
    <w:rsid w:val="07312CAA"/>
    <w:rsid w:val="07324FB0"/>
    <w:rsid w:val="073805F1"/>
    <w:rsid w:val="073F77CD"/>
    <w:rsid w:val="0746467B"/>
    <w:rsid w:val="074D65D2"/>
    <w:rsid w:val="07512565"/>
    <w:rsid w:val="07554149"/>
    <w:rsid w:val="075E7C71"/>
    <w:rsid w:val="076542AC"/>
    <w:rsid w:val="07677DD5"/>
    <w:rsid w:val="07682CC8"/>
    <w:rsid w:val="07685FCC"/>
    <w:rsid w:val="076B0C2F"/>
    <w:rsid w:val="076E3E04"/>
    <w:rsid w:val="0770591D"/>
    <w:rsid w:val="07750BF1"/>
    <w:rsid w:val="077829E9"/>
    <w:rsid w:val="077871F0"/>
    <w:rsid w:val="077A45D6"/>
    <w:rsid w:val="0783362E"/>
    <w:rsid w:val="0786156B"/>
    <w:rsid w:val="078F7B76"/>
    <w:rsid w:val="0794528F"/>
    <w:rsid w:val="079B67B4"/>
    <w:rsid w:val="079B7D5D"/>
    <w:rsid w:val="07A11711"/>
    <w:rsid w:val="07A51E3F"/>
    <w:rsid w:val="07A72414"/>
    <w:rsid w:val="07AB005A"/>
    <w:rsid w:val="07AD51AC"/>
    <w:rsid w:val="07B214B3"/>
    <w:rsid w:val="07B504B6"/>
    <w:rsid w:val="07B822E0"/>
    <w:rsid w:val="07BB23F5"/>
    <w:rsid w:val="07BF4CFB"/>
    <w:rsid w:val="07BF5F06"/>
    <w:rsid w:val="07C7049F"/>
    <w:rsid w:val="07C82A11"/>
    <w:rsid w:val="07D13056"/>
    <w:rsid w:val="07D61227"/>
    <w:rsid w:val="07DD1EF2"/>
    <w:rsid w:val="07DD78E5"/>
    <w:rsid w:val="07E15651"/>
    <w:rsid w:val="07E70D91"/>
    <w:rsid w:val="07EC5E1D"/>
    <w:rsid w:val="07F742FE"/>
    <w:rsid w:val="07F7655C"/>
    <w:rsid w:val="07F8406D"/>
    <w:rsid w:val="07FA53AD"/>
    <w:rsid w:val="07FB6483"/>
    <w:rsid w:val="07FC1A88"/>
    <w:rsid w:val="0808579B"/>
    <w:rsid w:val="08141725"/>
    <w:rsid w:val="08153790"/>
    <w:rsid w:val="081760A8"/>
    <w:rsid w:val="08180E7D"/>
    <w:rsid w:val="08187EFE"/>
    <w:rsid w:val="08196653"/>
    <w:rsid w:val="081A5AC0"/>
    <w:rsid w:val="081C7D98"/>
    <w:rsid w:val="082612E1"/>
    <w:rsid w:val="082B0714"/>
    <w:rsid w:val="0839078A"/>
    <w:rsid w:val="083B0435"/>
    <w:rsid w:val="083B4470"/>
    <w:rsid w:val="083C4656"/>
    <w:rsid w:val="08455F83"/>
    <w:rsid w:val="08477755"/>
    <w:rsid w:val="08485B70"/>
    <w:rsid w:val="084E5943"/>
    <w:rsid w:val="084F5B8E"/>
    <w:rsid w:val="084F7ADC"/>
    <w:rsid w:val="08564C03"/>
    <w:rsid w:val="08582F12"/>
    <w:rsid w:val="0858335B"/>
    <w:rsid w:val="085859A7"/>
    <w:rsid w:val="085C082D"/>
    <w:rsid w:val="085E6668"/>
    <w:rsid w:val="0863620E"/>
    <w:rsid w:val="086A6F68"/>
    <w:rsid w:val="086A7415"/>
    <w:rsid w:val="086B10F1"/>
    <w:rsid w:val="086E56D3"/>
    <w:rsid w:val="08803997"/>
    <w:rsid w:val="08845113"/>
    <w:rsid w:val="089125CD"/>
    <w:rsid w:val="08923684"/>
    <w:rsid w:val="08941A26"/>
    <w:rsid w:val="08962878"/>
    <w:rsid w:val="08984654"/>
    <w:rsid w:val="08990949"/>
    <w:rsid w:val="08A421D1"/>
    <w:rsid w:val="08B10415"/>
    <w:rsid w:val="08B37924"/>
    <w:rsid w:val="08B44874"/>
    <w:rsid w:val="08BA3100"/>
    <w:rsid w:val="08BB260B"/>
    <w:rsid w:val="08BC52C4"/>
    <w:rsid w:val="08BD4039"/>
    <w:rsid w:val="08BF1DC8"/>
    <w:rsid w:val="08C03993"/>
    <w:rsid w:val="08C3570A"/>
    <w:rsid w:val="08C3752F"/>
    <w:rsid w:val="08C56454"/>
    <w:rsid w:val="08CA658F"/>
    <w:rsid w:val="08D401D6"/>
    <w:rsid w:val="08DE1F0A"/>
    <w:rsid w:val="08E10250"/>
    <w:rsid w:val="08E1327A"/>
    <w:rsid w:val="08E63920"/>
    <w:rsid w:val="08E86544"/>
    <w:rsid w:val="08E924DB"/>
    <w:rsid w:val="08EC1822"/>
    <w:rsid w:val="08F14966"/>
    <w:rsid w:val="08F30FCF"/>
    <w:rsid w:val="08F31674"/>
    <w:rsid w:val="09043203"/>
    <w:rsid w:val="0905204E"/>
    <w:rsid w:val="091736A0"/>
    <w:rsid w:val="091F3B33"/>
    <w:rsid w:val="0920786F"/>
    <w:rsid w:val="0922057C"/>
    <w:rsid w:val="092B4980"/>
    <w:rsid w:val="092B7F42"/>
    <w:rsid w:val="093127BC"/>
    <w:rsid w:val="09380850"/>
    <w:rsid w:val="093B079C"/>
    <w:rsid w:val="093B46AE"/>
    <w:rsid w:val="094C3924"/>
    <w:rsid w:val="094F12E0"/>
    <w:rsid w:val="095310E4"/>
    <w:rsid w:val="09533E71"/>
    <w:rsid w:val="095A3816"/>
    <w:rsid w:val="09647928"/>
    <w:rsid w:val="0969502E"/>
    <w:rsid w:val="096B1748"/>
    <w:rsid w:val="097223E4"/>
    <w:rsid w:val="09760A7B"/>
    <w:rsid w:val="09780098"/>
    <w:rsid w:val="09782C9A"/>
    <w:rsid w:val="09787AEA"/>
    <w:rsid w:val="09797AE3"/>
    <w:rsid w:val="097A0CA3"/>
    <w:rsid w:val="097A745D"/>
    <w:rsid w:val="098B19C5"/>
    <w:rsid w:val="098C5F35"/>
    <w:rsid w:val="09921728"/>
    <w:rsid w:val="0994468A"/>
    <w:rsid w:val="09950F78"/>
    <w:rsid w:val="099B1184"/>
    <w:rsid w:val="099D3B99"/>
    <w:rsid w:val="09A24CE7"/>
    <w:rsid w:val="09A36106"/>
    <w:rsid w:val="09A9568B"/>
    <w:rsid w:val="09AD588B"/>
    <w:rsid w:val="09AF1D69"/>
    <w:rsid w:val="09B64FC8"/>
    <w:rsid w:val="09B842A0"/>
    <w:rsid w:val="09B9084E"/>
    <w:rsid w:val="09C2078D"/>
    <w:rsid w:val="09C245CB"/>
    <w:rsid w:val="09C51973"/>
    <w:rsid w:val="09C725F9"/>
    <w:rsid w:val="09CA34D9"/>
    <w:rsid w:val="09CA5EC5"/>
    <w:rsid w:val="09CC28FD"/>
    <w:rsid w:val="09D0171D"/>
    <w:rsid w:val="09D402F9"/>
    <w:rsid w:val="09D50CD8"/>
    <w:rsid w:val="09D976F0"/>
    <w:rsid w:val="09DA4F94"/>
    <w:rsid w:val="09DC2014"/>
    <w:rsid w:val="09DD6F22"/>
    <w:rsid w:val="09E302F5"/>
    <w:rsid w:val="09E92F0D"/>
    <w:rsid w:val="09F510F5"/>
    <w:rsid w:val="09F55D11"/>
    <w:rsid w:val="09F74F58"/>
    <w:rsid w:val="09F75750"/>
    <w:rsid w:val="09F825E2"/>
    <w:rsid w:val="09F92F31"/>
    <w:rsid w:val="0A046BAC"/>
    <w:rsid w:val="0A091F73"/>
    <w:rsid w:val="0A1029DA"/>
    <w:rsid w:val="0A1117DB"/>
    <w:rsid w:val="0A122724"/>
    <w:rsid w:val="0A154BCD"/>
    <w:rsid w:val="0A16358C"/>
    <w:rsid w:val="0A1760E4"/>
    <w:rsid w:val="0A185E52"/>
    <w:rsid w:val="0A1C1A33"/>
    <w:rsid w:val="0A1D7CB3"/>
    <w:rsid w:val="0A224AF3"/>
    <w:rsid w:val="0A235308"/>
    <w:rsid w:val="0A236C32"/>
    <w:rsid w:val="0A27503E"/>
    <w:rsid w:val="0A27709F"/>
    <w:rsid w:val="0A2D3AEB"/>
    <w:rsid w:val="0A3302FE"/>
    <w:rsid w:val="0A350C12"/>
    <w:rsid w:val="0A3A4299"/>
    <w:rsid w:val="0A3E6958"/>
    <w:rsid w:val="0A3F1E8D"/>
    <w:rsid w:val="0A412F71"/>
    <w:rsid w:val="0A441CDD"/>
    <w:rsid w:val="0A454CED"/>
    <w:rsid w:val="0A4759DB"/>
    <w:rsid w:val="0A5658D7"/>
    <w:rsid w:val="0A582D9D"/>
    <w:rsid w:val="0A596EC1"/>
    <w:rsid w:val="0A5A2749"/>
    <w:rsid w:val="0A5A38C1"/>
    <w:rsid w:val="0A626D03"/>
    <w:rsid w:val="0A63711B"/>
    <w:rsid w:val="0A645BDF"/>
    <w:rsid w:val="0A764E60"/>
    <w:rsid w:val="0A773CE9"/>
    <w:rsid w:val="0A7D083B"/>
    <w:rsid w:val="0A8554C5"/>
    <w:rsid w:val="0A855875"/>
    <w:rsid w:val="0A866500"/>
    <w:rsid w:val="0A88599E"/>
    <w:rsid w:val="0A8E278A"/>
    <w:rsid w:val="0A8F30F8"/>
    <w:rsid w:val="0A8F6451"/>
    <w:rsid w:val="0A920EB2"/>
    <w:rsid w:val="0A944FF0"/>
    <w:rsid w:val="0AA25BFB"/>
    <w:rsid w:val="0AA3185F"/>
    <w:rsid w:val="0AA473AA"/>
    <w:rsid w:val="0AA86A50"/>
    <w:rsid w:val="0AAB0D49"/>
    <w:rsid w:val="0AAE081F"/>
    <w:rsid w:val="0AB060A5"/>
    <w:rsid w:val="0AB43F80"/>
    <w:rsid w:val="0AB46CCF"/>
    <w:rsid w:val="0AB66E29"/>
    <w:rsid w:val="0AB819F8"/>
    <w:rsid w:val="0AB84715"/>
    <w:rsid w:val="0ACD11D3"/>
    <w:rsid w:val="0AD56225"/>
    <w:rsid w:val="0AD90044"/>
    <w:rsid w:val="0ADE0A2B"/>
    <w:rsid w:val="0ADE7E27"/>
    <w:rsid w:val="0ADF13C2"/>
    <w:rsid w:val="0AE4343A"/>
    <w:rsid w:val="0AED0496"/>
    <w:rsid w:val="0AEE32A8"/>
    <w:rsid w:val="0AF32E7A"/>
    <w:rsid w:val="0AF65469"/>
    <w:rsid w:val="0AF67350"/>
    <w:rsid w:val="0AFD5448"/>
    <w:rsid w:val="0AFD59AB"/>
    <w:rsid w:val="0AFE5786"/>
    <w:rsid w:val="0AFF0A7E"/>
    <w:rsid w:val="0B036467"/>
    <w:rsid w:val="0B06597C"/>
    <w:rsid w:val="0B0B65F9"/>
    <w:rsid w:val="0B100663"/>
    <w:rsid w:val="0B100AAB"/>
    <w:rsid w:val="0B136560"/>
    <w:rsid w:val="0B185C7C"/>
    <w:rsid w:val="0B233F50"/>
    <w:rsid w:val="0B240DFD"/>
    <w:rsid w:val="0B25635E"/>
    <w:rsid w:val="0B257132"/>
    <w:rsid w:val="0B312112"/>
    <w:rsid w:val="0B315E91"/>
    <w:rsid w:val="0B34477C"/>
    <w:rsid w:val="0B364F91"/>
    <w:rsid w:val="0B3F3878"/>
    <w:rsid w:val="0B4335AD"/>
    <w:rsid w:val="0B530455"/>
    <w:rsid w:val="0B563871"/>
    <w:rsid w:val="0B577BEF"/>
    <w:rsid w:val="0B5B41AF"/>
    <w:rsid w:val="0B6666C3"/>
    <w:rsid w:val="0B6D4725"/>
    <w:rsid w:val="0B6E06C0"/>
    <w:rsid w:val="0B6E65A3"/>
    <w:rsid w:val="0B761BBD"/>
    <w:rsid w:val="0B764443"/>
    <w:rsid w:val="0B7E4274"/>
    <w:rsid w:val="0B7F6F7C"/>
    <w:rsid w:val="0B8236C5"/>
    <w:rsid w:val="0B8905B4"/>
    <w:rsid w:val="0B891C23"/>
    <w:rsid w:val="0B8D3872"/>
    <w:rsid w:val="0B8D451E"/>
    <w:rsid w:val="0B8E3405"/>
    <w:rsid w:val="0B8F21EB"/>
    <w:rsid w:val="0B963861"/>
    <w:rsid w:val="0B964133"/>
    <w:rsid w:val="0B9731AE"/>
    <w:rsid w:val="0B9D238B"/>
    <w:rsid w:val="0BA364F1"/>
    <w:rsid w:val="0BA428E3"/>
    <w:rsid w:val="0BA8209A"/>
    <w:rsid w:val="0BAC788D"/>
    <w:rsid w:val="0BB213B8"/>
    <w:rsid w:val="0BB27E7F"/>
    <w:rsid w:val="0BC10FE6"/>
    <w:rsid w:val="0BCA316F"/>
    <w:rsid w:val="0BD53FA5"/>
    <w:rsid w:val="0BDC220F"/>
    <w:rsid w:val="0BDD1F26"/>
    <w:rsid w:val="0BE2204B"/>
    <w:rsid w:val="0BE65396"/>
    <w:rsid w:val="0BE8705D"/>
    <w:rsid w:val="0BEA68C4"/>
    <w:rsid w:val="0BF749FD"/>
    <w:rsid w:val="0BFC0519"/>
    <w:rsid w:val="0BFF5FDD"/>
    <w:rsid w:val="0C130087"/>
    <w:rsid w:val="0C19615E"/>
    <w:rsid w:val="0C1D1E10"/>
    <w:rsid w:val="0C1D58BD"/>
    <w:rsid w:val="0C2031DB"/>
    <w:rsid w:val="0C271C2B"/>
    <w:rsid w:val="0C2949C6"/>
    <w:rsid w:val="0C2E535C"/>
    <w:rsid w:val="0C33324D"/>
    <w:rsid w:val="0C364C32"/>
    <w:rsid w:val="0C3B44F2"/>
    <w:rsid w:val="0C3B521C"/>
    <w:rsid w:val="0C3B546B"/>
    <w:rsid w:val="0C3C5761"/>
    <w:rsid w:val="0C3F157E"/>
    <w:rsid w:val="0C4C495F"/>
    <w:rsid w:val="0C524E1E"/>
    <w:rsid w:val="0C5362CE"/>
    <w:rsid w:val="0C5F3E6E"/>
    <w:rsid w:val="0C6140C3"/>
    <w:rsid w:val="0C640D00"/>
    <w:rsid w:val="0C6A5520"/>
    <w:rsid w:val="0C6D5F15"/>
    <w:rsid w:val="0C706B10"/>
    <w:rsid w:val="0C7262A6"/>
    <w:rsid w:val="0C731C43"/>
    <w:rsid w:val="0C7342EA"/>
    <w:rsid w:val="0C735D18"/>
    <w:rsid w:val="0C746D8E"/>
    <w:rsid w:val="0C762191"/>
    <w:rsid w:val="0C781FE9"/>
    <w:rsid w:val="0C794941"/>
    <w:rsid w:val="0C7A1B50"/>
    <w:rsid w:val="0C8625E9"/>
    <w:rsid w:val="0C8D4498"/>
    <w:rsid w:val="0C8E7C9A"/>
    <w:rsid w:val="0C8F1481"/>
    <w:rsid w:val="0C913011"/>
    <w:rsid w:val="0C914CA2"/>
    <w:rsid w:val="0C934277"/>
    <w:rsid w:val="0C992709"/>
    <w:rsid w:val="0C9A2793"/>
    <w:rsid w:val="0CA1264C"/>
    <w:rsid w:val="0CAB51DD"/>
    <w:rsid w:val="0CAD060E"/>
    <w:rsid w:val="0CB936C7"/>
    <w:rsid w:val="0CBA0D26"/>
    <w:rsid w:val="0CBC387F"/>
    <w:rsid w:val="0CC7344D"/>
    <w:rsid w:val="0CCD6E2F"/>
    <w:rsid w:val="0CD26F86"/>
    <w:rsid w:val="0CD420F6"/>
    <w:rsid w:val="0CD81856"/>
    <w:rsid w:val="0CDB7BDD"/>
    <w:rsid w:val="0CE00B43"/>
    <w:rsid w:val="0CE01056"/>
    <w:rsid w:val="0CE43C03"/>
    <w:rsid w:val="0CE50954"/>
    <w:rsid w:val="0CE57215"/>
    <w:rsid w:val="0CEB75E3"/>
    <w:rsid w:val="0CFA11A6"/>
    <w:rsid w:val="0CFC59C9"/>
    <w:rsid w:val="0D01733B"/>
    <w:rsid w:val="0D032D31"/>
    <w:rsid w:val="0D040C71"/>
    <w:rsid w:val="0D04459E"/>
    <w:rsid w:val="0D076D9B"/>
    <w:rsid w:val="0D180B48"/>
    <w:rsid w:val="0D1C6F40"/>
    <w:rsid w:val="0D1D41FE"/>
    <w:rsid w:val="0D1F2BDE"/>
    <w:rsid w:val="0D203776"/>
    <w:rsid w:val="0D205800"/>
    <w:rsid w:val="0D255ECF"/>
    <w:rsid w:val="0D2A6661"/>
    <w:rsid w:val="0D2B05F6"/>
    <w:rsid w:val="0D2E6963"/>
    <w:rsid w:val="0D35141B"/>
    <w:rsid w:val="0D3A4A35"/>
    <w:rsid w:val="0D422878"/>
    <w:rsid w:val="0D4E4DF9"/>
    <w:rsid w:val="0D54247E"/>
    <w:rsid w:val="0D5525D1"/>
    <w:rsid w:val="0D5A3711"/>
    <w:rsid w:val="0D5A5610"/>
    <w:rsid w:val="0D626D1B"/>
    <w:rsid w:val="0D657451"/>
    <w:rsid w:val="0D690E2B"/>
    <w:rsid w:val="0D69390D"/>
    <w:rsid w:val="0D6A384B"/>
    <w:rsid w:val="0D7A0D03"/>
    <w:rsid w:val="0D7B797D"/>
    <w:rsid w:val="0D7C4035"/>
    <w:rsid w:val="0D7D2DE4"/>
    <w:rsid w:val="0D7E44E5"/>
    <w:rsid w:val="0D7F198B"/>
    <w:rsid w:val="0D867F59"/>
    <w:rsid w:val="0D8702DF"/>
    <w:rsid w:val="0D8C6DD8"/>
    <w:rsid w:val="0D90241D"/>
    <w:rsid w:val="0D904C0A"/>
    <w:rsid w:val="0D9B0F5A"/>
    <w:rsid w:val="0DA05D19"/>
    <w:rsid w:val="0DA1199A"/>
    <w:rsid w:val="0DA219EB"/>
    <w:rsid w:val="0DA21BCD"/>
    <w:rsid w:val="0DA44F29"/>
    <w:rsid w:val="0DA66232"/>
    <w:rsid w:val="0DAC1761"/>
    <w:rsid w:val="0DAD5FC6"/>
    <w:rsid w:val="0DAD7DE9"/>
    <w:rsid w:val="0DBD1E96"/>
    <w:rsid w:val="0DBD4D4A"/>
    <w:rsid w:val="0DBE17C6"/>
    <w:rsid w:val="0DC3713A"/>
    <w:rsid w:val="0DCC0812"/>
    <w:rsid w:val="0DCC2432"/>
    <w:rsid w:val="0DCE658F"/>
    <w:rsid w:val="0DD4656E"/>
    <w:rsid w:val="0DDA4C15"/>
    <w:rsid w:val="0DDC6B8A"/>
    <w:rsid w:val="0DDC7D7E"/>
    <w:rsid w:val="0DDE741D"/>
    <w:rsid w:val="0DE733D0"/>
    <w:rsid w:val="0DEF0702"/>
    <w:rsid w:val="0DEF1C78"/>
    <w:rsid w:val="0DFD62DB"/>
    <w:rsid w:val="0E035D8B"/>
    <w:rsid w:val="0E052577"/>
    <w:rsid w:val="0E0646A1"/>
    <w:rsid w:val="0E0A4449"/>
    <w:rsid w:val="0E0B551E"/>
    <w:rsid w:val="0E0C2EE7"/>
    <w:rsid w:val="0E0D74C8"/>
    <w:rsid w:val="0E157343"/>
    <w:rsid w:val="0E1B749F"/>
    <w:rsid w:val="0E1E045E"/>
    <w:rsid w:val="0E1E215B"/>
    <w:rsid w:val="0E24333B"/>
    <w:rsid w:val="0E2C2BC1"/>
    <w:rsid w:val="0E2E44A4"/>
    <w:rsid w:val="0E2F116E"/>
    <w:rsid w:val="0E2F3D73"/>
    <w:rsid w:val="0E3253FC"/>
    <w:rsid w:val="0E3551A2"/>
    <w:rsid w:val="0E4173DD"/>
    <w:rsid w:val="0E4322B3"/>
    <w:rsid w:val="0E4536A0"/>
    <w:rsid w:val="0E4701B8"/>
    <w:rsid w:val="0E496246"/>
    <w:rsid w:val="0E5065D3"/>
    <w:rsid w:val="0E5247C1"/>
    <w:rsid w:val="0E532EAF"/>
    <w:rsid w:val="0E541055"/>
    <w:rsid w:val="0E5637CB"/>
    <w:rsid w:val="0E5A1562"/>
    <w:rsid w:val="0E5B15B8"/>
    <w:rsid w:val="0E5C1AFB"/>
    <w:rsid w:val="0E625111"/>
    <w:rsid w:val="0E681978"/>
    <w:rsid w:val="0E703957"/>
    <w:rsid w:val="0E7120D3"/>
    <w:rsid w:val="0E724A99"/>
    <w:rsid w:val="0E745AE1"/>
    <w:rsid w:val="0E781046"/>
    <w:rsid w:val="0E7A15BC"/>
    <w:rsid w:val="0E936BD4"/>
    <w:rsid w:val="0E953AFD"/>
    <w:rsid w:val="0E9C26D1"/>
    <w:rsid w:val="0EA10B3F"/>
    <w:rsid w:val="0EA268C9"/>
    <w:rsid w:val="0EA502D7"/>
    <w:rsid w:val="0EAB09D1"/>
    <w:rsid w:val="0EAD6ACB"/>
    <w:rsid w:val="0EB0686E"/>
    <w:rsid w:val="0EB47D43"/>
    <w:rsid w:val="0EB847C3"/>
    <w:rsid w:val="0EBD039F"/>
    <w:rsid w:val="0EC51118"/>
    <w:rsid w:val="0EC80AE3"/>
    <w:rsid w:val="0EC867E9"/>
    <w:rsid w:val="0EC94A70"/>
    <w:rsid w:val="0ECB63E9"/>
    <w:rsid w:val="0ED647C3"/>
    <w:rsid w:val="0EDA621F"/>
    <w:rsid w:val="0EDD299F"/>
    <w:rsid w:val="0EEC3216"/>
    <w:rsid w:val="0EEF765D"/>
    <w:rsid w:val="0EF41944"/>
    <w:rsid w:val="0EF53135"/>
    <w:rsid w:val="0EF536B5"/>
    <w:rsid w:val="0EFF6975"/>
    <w:rsid w:val="0F006D5A"/>
    <w:rsid w:val="0F0B08C4"/>
    <w:rsid w:val="0F0B2610"/>
    <w:rsid w:val="0F0C1AC1"/>
    <w:rsid w:val="0F1143A5"/>
    <w:rsid w:val="0F114FD7"/>
    <w:rsid w:val="0F154525"/>
    <w:rsid w:val="0F155A58"/>
    <w:rsid w:val="0F185ABF"/>
    <w:rsid w:val="0F1A6E8C"/>
    <w:rsid w:val="0F1F5919"/>
    <w:rsid w:val="0F236D01"/>
    <w:rsid w:val="0F291F5F"/>
    <w:rsid w:val="0F410333"/>
    <w:rsid w:val="0F4244F8"/>
    <w:rsid w:val="0F483C29"/>
    <w:rsid w:val="0F4847C7"/>
    <w:rsid w:val="0F4A075D"/>
    <w:rsid w:val="0F4B60C0"/>
    <w:rsid w:val="0F4F5EE0"/>
    <w:rsid w:val="0F5105C4"/>
    <w:rsid w:val="0F5A5494"/>
    <w:rsid w:val="0F63249F"/>
    <w:rsid w:val="0F634780"/>
    <w:rsid w:val="0F652FA2"/>
    <w:rsid w:val="0F717178"/>
    <w:rsid w:val="0F763905"/>
    <w:rsid w:val="0F897583"/>
    <w:rsid w:val="0F8C1083"/>
    <w:rsid w:val="0F8C71AE"/>
    <w:rsid w:val="0F973B1D"/>
    <w:rsid w:val="0F9C258A"/>
    <w:rsid w:val="0FA16F25"/>
    <w:rsid w:val="0FAB33FA"/>
    <w:rsid w:val="0FAB3EC2"/>
    <w:rsid w:val="0FAB6F0C"/>
    <w:rsid w:val="0FB555D5"/>
    <w:rsid w:val="0FB700B2"/>
    <w:rsid w:val="0FB924E1"/>
    <w:rsid w:val="0FB925B7"/>
    <w:rsid w:val="0FBA0424"/>
    <w:rsid w:val="0FBD24EB"/>
    <w:rsid w:val="0FBF1417"/>
    <w:rsid w:val="0FC2762E"/>
    <w:rsid w:val="0FC27C2A"/>
    <w:rsid w:val="0FC4011E"/>
    <w:rsid w:val="0FC464CD"/>
    <w:rsid w:val="0FC94C06"/>
    <w:rsid w:val="0FCC79EC"/>
    <w:rsid w:val="0FCF311C"/>
    <w:rsid w:val="0FD3656A"/>
    <w:rsid w:val="0FD530A9"/>
    <w:rsid w:val="0FD93745"/>
    <w:rsid w:val="0FDA0487"/>
    <w:rsid w:val="0FF1131F"/>
    <w:rsid w:val="0FF67B81"/>
    <w:rsid w:val="0FFA0200"/>
    <w:rsid w:val="0FFA663A"/>
    <w:rsid w:val="0FFD3470"/>
    <w:rsid w:val="100436D2"/>
    <w:rsid w:val="1005023A"/>
    <w:rsid w:val="100846D5"/>
    <w:rsid w:val="100A275F"/>
    <w:rsid w:val="101119E8"/>
    <w:rsid w:val="101241EB"/>
    <w:rsid w:val="101E3269"/>
    <w:rsid w:val="10253C9D"/>
    <w:rsid w:val="103955F5"/>
    <w:rsid w:val="10423B5E"/>
    <w:rsid w:val="10463EDC"/>
    <w:rsid w:val="10472BED"/>
    <w:rsid w:val="10492D5A"/>
    <w:rsid w:val="10494FD2"/>
    <w:rsid w:val="104E4FD5"/>
    <w:rsid w:val="104E7AE3"/>
    <w:rsid w:val="10502DA7"/>
    <w:rsid w:val="105830C5"/>
    <w:rsid w:val="10593C83"/>
    <w:rsid w:val="105D710D"/>
    <w:rsid w:val="1060422E"/>
    <w:rsid w:val="106E1E4C"/>
    <w:rsid w:val="10703811"/>
    <w:rsid w:val="10717C15"/>
    <w:rsid w:val="107D5D90"/>
    <w:rsid w:val="10857D76"/>
    <w:rsid w:val="108D33A7"/>
    <w:rsid w:val="1096431A"/>
    <w:rsid w:val="109E2AA6"/>
    <w:rsid w:val="109F7A21"/>
    <w:rsid w:val="10A11E61"/>
    <w:rsid w:val="10A71269"/>
    <w:rsid w:val="10A8187A"/>
    <w:rsid w:val="10AF7303"/>
    <w:rsid w:val="10B039D6"/>
    <w:rsid w:val="10B3535F"/>
    <w:rsid w:val="10B60B36"/>
    <w:rsid w:val="10BE5F36"/>
    <w:rsid w:val="10C10D6E"/>
    <w:rsid w:val="10C21AF3"/>
    <w:rsid w:val="10C31254"/>
    <w:rsid w:val="10C36CC2"/>
    <w:rsid w:val="10CE61B2"/>
    <w:rsid w:val="10CE6855"/>
    <w:rsid w:val="10D4067F"/>
    <w:rsid w:val="10D72098"/>
    <w:rsid w:val="10DE0CCD"/>
    <w:rsid w:val="10EA3639"/>
    <w:rsid w:val="10ED580A"/>
    <w:rsid w:val="10EE4BF4"/>
    <w:rsid w:val="10F246EF"/>
    <w:rsid w:val="10F8595C"/>
    <w:rsid w:val="10F91566"/>
    <w:rsid w:val="10FA12A9"/>
    <w:rsid w:val="10FA1BD0"/>
    <w:rsid w:val="110030F9"/>
    <w:rsid w:val="11031674"/>
    <w:rsid w:val="110456CC"/>
    <w:rsid w:val="110A7F7E"/>
    <w:rsid w:val="110B18CD"/>
    <w:rsid w:val="1110176A"/>
    <w:rsid w:val="11127B6A"/>
    <w:rsid w:val="11206731"/>
    <w:rsid w:val="11220E8D"/>
    <w:rsid w:val="11294B98"/>
    <w:rsid w:val="112C4D05"/>
    <w:rsid w:val="112C7841"/>
    <w:rsid w:val="1130582D"/>
    <w:rsid w:val="11305C5C"/>
    <w:rsid w:val="113356FB"/>
    <w:rsid w:val="113D0E67"/>
    <w:rsid w:val="11400EF9"/>
    <w:rsid w:val="11406515"/>
    <w:rsid w:val="1140687D"/>
    <w:rsid w:val="114856A3"/>
    <w:rsid w:val="11487FAC"/>
    <w:rsid w:val="11491851"/>
    <w:rsid w:val="114A0FE8"/>
    <w:rsid w:val="114A1CCB"/>
    <w:rsid w:val="11583347"/>
    <w:rsid w:val="115849E8"/>
    <w:rsid w:val="115927A7"/>
    <w:rsid w:val="11627227"/>
    <w:rsid w:val="11634B48"/>
    <w:rsid w:val="1167261E"/>
    <w:rsid w:val="116846A3"/>
    <w:rsid w:val="116846FE"/>
    <w:rsid w:val="116865CB"/>
    <w:rsid w:val="116C087C"/>
    <w:rsid w:val="116F7066"/>
    <w:rsid w:val="11764C97"/>
    <w:rsid w:val="1177409A"/>
    <w:rsid w:val="11794AF9"/>
    <w:rsid w:val="1183048E"/>
    <w:rsid w:val="1185504A"/>
    <w:rsid w:val="119549AA"/>
    <w:rsid w:val="11957FCF"/>
    <w:rsid w:val="11976462"/>
    <w:rsid w:val="1198110E"/>
    <w:rsid w:val="119C2686"/>
    <w:rsid w:val="11A87AF2"/>
    <w:rsid w:val="11AA1746"/>
    <w:rsid w:val="11AB3DC3"/>
    <w:rsid w:val="11AC0859"/>
    <w:rsid w:val="11AF3A31"/>
    <w:rsid w:val="11AF4D27"/>
    <w:rsid w:val="11B12416"/>
    <w:rsid w:val="11B27875"/>
    <w:rsid w:val="11B44F6E"/>
    <w:rsid w:val="11B87B8B"/>
    <w:rsid w:val="11B94ED2"/>
    <w:rsid w:val="11BC2784"/>
    <w:rsid w:val="11BC6D37"/>
    <w:rsid w:val="11BD049E"/>
    <w:rsid w:val="11BE5BA3"/>
    <w:rsid w:val="11C30078"/>
    <w:rsid w:val="11C70966"/>
    <w:rsid w:val="11D33D81"/>
    <w:rsid w:val="11D46CB3"/>
    <w:rsid w:val="11D63297"/>
    <w:rsid w:val="11D82EB9"/>
    <w:rsid w:val="11E02615"/>
    <w:rsid w:val="11E143B2"/>
    <w:rsid w:val="11E62666"/>
    <w:rsid w:val="11E72707"/>
    <w:rsid w:val="11F31C48"/>
    <w:rsid w:val="11F44523"/>
    <w:rsid w:val="11F5665F"/>
    <w:rsid w:val="11FA7444"/>
    <w:rsid w:val="11FB1CC2"/>
    <w:rsid w:val="11FB52E6"/>
    <w:rsid w:val="11FC49E4"/>
    <w:rsid w:val="120057CE"/>
    <w:rsid w:val="120154B9"/>
    <w:rsid w:val="1203704F"/>
    <w:rsid w:val="12046BA5"/>
    <w:rsid w:val="120D267C"/>
    <w:rsid w:val="120E58EF"/>
    <w:rsid w:val="12162FF4"/>
    <w:rsid w:val="121A7F2C"/>
    <w:rsid w:val="121C1A3B"/>
    <w:rsid w:val="121D6041"/>
    <w:rsid w:val="122C0DAE"/>
    <w:rsid w:val="122D498F"/>
    <w:rsid w:val="122D4F0C"/>
    <w:rsid w:val="12320EAA"/>
    <w:rsid w:val="12320EB2"/>
    <w:rsid w:val="12354231"/>
    <w:rsid w:val="123C41B8"/>
    <w:rsid w:val="123E5718"/>
    <w:rsid w:val="123E7A64"/>
    <w:rsid w:val="123E7EF3"/>
    <w:rsid w:val="12436747"/>
    <w:rsid w:val="12442B92"/>
    <w:rsid w:val="12473B6B"/>
    <w:rsid w:val="124A49B4"/>
    <w:rsid w:val="124E5A2D"/>
    <w:rsid w:val="12526499"/>
    <w:rsid w:val="125901A7"/>
    <w:rsid w:val="125D4BA0"/>
    <w:rsid w:val="125D770D"/>
    <w:rsid w:val="125F5EB3"/>
    <w:rsid w:val="12604A63"/>
    <w:rsid w:val="12607C83"/>
    <w:rsid w:val="126335DC"/>
    <w:rsid w:val="126A74A9"/>
    <w:rsid w:val="12732CB3"/>
    <w:rsid w:val="127502B7"/>
    <w:rsid w:val="127631B1"/>
    <w:rsid w:val="12791876"/>
    <w:rsid w:val="127C51B9"/>
    <w:rsid w:val="127D0217"/>
    <w:rsid w:val="127E777D"/>
    <w:rsid w:val="1287027D"/>
    <w:rsid w:val="128E58E7"/>
    <w:rsid w:val="12957BDD"/>
    <w:rsid w:val="129702F7"/>
    <w:rsid w:val="1298411B"/>
    <w:rsid w:val="129F2E81"/>
    <w:rsid w:val="129F3D98"/>
    <w:rsid w:val="12A015D8"/>
    <w:rsid w:val="12A21217"/>
    <w:rsid w:val="12A75E47"/>
    <w:rsid w:val="12AE2AA3"/>
    <w:rsid w:val="12B123F0"/>
    <w:rsid w:val="12B32B9F"/>
    <w:rsid w:val="12B76B39"/>
    <w:rsid w:val="12BC13BB"/>
    <w:rsid w:val="12BF64F9"/>
    <w:rsid w:val="12C70757"/>
    <w:rsid w:val="12C844A1"/>
    <w:rsid w:val="12C86F5A"/>
    <w:rsid w:val="12D50DE6"/>
    <w:rsid w:val="12D5565E"/>
    <w:rsid w:val="12DC2DCC"/>
    <w:rsid w:val="12E26E97"/>
    <w:rsid w:val="12EB7ADB"/>
    <w:rsid w:val="12EC79C8"/>
    <w:rsid w:val="12EF3BB6"/>
    <w:rsid w:val="12F062A1"/>
    <w:rsid w:val="12F27DE9"/>
    <w:rsid w:val="12F46F1C"/>
    <w:rsid w:val="12F84177"/>
    <w:rsid w:val="12FA69A2"/>
    <w:rsid w:val="13033C5E"/>
    <w:rsid w:val="13067A82"/>
    <w:rsid w:val="13095A78"/>
    <w:rsid w:val="130A6924"/>
    <w:rsid w:val="130B3B23"/>
    <w:rsid w:val="13104D89"/>
    <w:rsid w:val="13110743"/>
    <w:rsid w:val="13116D8B"/>
    <w:rsid w:val="13195AE5"/>
    <w:rsid w:val="131C38C2"/>
    <w:rsid w:val="131C5153"/>
    <w:rsid w:val="131D6BA6"/>
    <w:rsid w:val="13200BC1"/>
    <w:rsid w:val="132E35FF"/>
    <w:rsid w:val="133164AB"/>
    <w:rsid w:val="13330A27"/>
    <w:rsid w:val="133A5A73"/>
    <w:rsid w:val="133A6391"/>
    <w:rsid w:val="133A6822"/>
    <w:rsid w:val="133E7BCD"/>
    <w:rsid w:val="133F4BC7"/>
    <w:rsid w:val="13412FF3"/>
    <w:rsid w:val="134139A1"/>
    <w:rsid w:val="134727F0"/>
    <w:rsid w:val="13517875"/>
    <w:rsid w:val="13532F02"/>
    <w:rsid w:val="135724D3"/>
    <w:rsid w:val="135A0576"/>
    <w:rsid w:val="135E6A54"/>
    <w:rsid w:val="13603E42"/>
    <w:rsid w:val="1360728D"/>
    <w:rsid w:val="13607D5A"/>
    <w:rsid w:val="1364135F"/>
    <w:rsid w:val="13676131"/>
    <w:rsid w:val="136B532B"/>
    <w:rsid w:val="13704490"/>
    <w:rsid w:val="13741C48"/>
    <w:rsid w:val="1377693D"/>
    <w:rsid w:val="138106C9"/>
    <w:rsid w:val="138363BC"/>
    <w:rsid w:val="13973AC8"/>
    <w:rsid w:val="139C5E87"/>
    <w:rsid w:val="13A00305"/>
    <w:rsid w:val="13A04447"/>
    <w:rsid w:val="13A067C7"/>
    <w:rsid w:val="13A57F9C"/>
    <w:rsid w:val="13A7135E"/>
    <w:rsid w:val="13A75855"/>
    <w:rsid w:val="13AA759A"/>
    <w:rsid w:val="13B069A3"/>
    <w:rsid w:val="13B70E45"/>
    <w:rsid w:val="13B92154"/>
    <w:rsid w:val="13BB102D"/>
    <w:rsid w:val="13BC385B"/>
    <w:rsid w:val="13C0193F"/>
    <w:rsid w:val="13C02BAA"/>
    <w:rsid w:val="13C121A5"/>
    <w:rsid w:val="13CB3014"/>
    <w:rsid w:val="13D70D38"/>
    <w:rsid w:val="13D96519"/>
    <w:rsid w:val="13DE2C8A"/>
    <w:rsid w:val="13E3078C"/>
    <w:rsid w:val="13E556C8"/>
    <w:rsid w:val="13E77547"/>
    <w:rsid w:val="13EA3C66"/>
    <w:rsid w:val="13EC1FDE"/>
    <w:rsid w:val="13F10CE0"/>
    <w:rsid w:val="13F2601B"/>
    <w:rsid w:val="13FF3C41"/>
    <w:rsid w:val="13FF5642"/>
    <w:rsid w:val="14071869"/>
    <w:rsid w:val="140C0F9A"/>
    <w:rsid w:val="140C5FDD"/>
    <w:rsid w:val="140D2528"/>
    <w:rsid w:val="140D72DF"/>
    <w:rsid w:val="14134041"/>
    <w:rsid w:val="14161102"/>
    <w:rsid w:val="1419788B"/>
    <w:rsid w:val="141D081E"/>
    <w:rsid w:val="142735FC"/>
    <w:rsid w:val="14273EE7"/>
    <w:rsid w:val="142D3DF0"/>
    <w:rsid w:val="142F0E2A"/>
    <w:rsid w:val="14301CA3"/>
    <w:rsid w:val="14326B9C"/>
    <w:rsid w:val="14407EE3"/>
    <w:rsid w:val="144B1942"/>
    <w:rsid w:val="144F400A"/>
    <w:rsid w:val="145B3D53"/>
    <w:rsid w:val="145D3E04"/>
    <w:rsid w:val="145E31C2"/>
    <w:rsid w:val="14627A17"/>
    <w:rsid w:val="1465120D"/>
    <w:rsid w:val="14663DB4"/>
    <w:rsid w:val="14665449"/>
    <w:rsid w:val="146758B8"/>
    <w:rsid w:val="14695E95"/>
    <w:rsid w:val="146D13E0"/>
    <w:rsid w:val="146F7B16"/>
    <w:rsid w:val="14782DC1"/>
    <w:rsid w:val="147B1F61"/>
    <w:rsid w:val="147F4D45"/>
    <w:rsid w:val="14815725"/>
    <w:rsid w:val="14840F5F"/>
    <w:rsid w:val="148A4EF4"/>
    <w:rsid w:val="148F1A2E"/>
    <w:rsid w:val="14917718"/>
    <w:rsid w:val="14927388"/>
    <w:rsid w:val="14935B00"/>
    <w:rsid w:val="149A18B7"/>
    <w:rsid w:val="14A06600"/>
    <w:rsid w:val="14A4535E"/>
    <w:rsid w:val="14A83A9C"/>
    <w:rsid w:val="14AA5D38"/>
    <w:rsid w:val="14AD23BE"/>
    <w:rsid w:val="14AE6A11"/>
    <w:rsid w:val="14B85F9E"/>
    <w:rsid w:val="14B94377"/>
    <w:rsid w:val="14BF328D"/>
    <w:rsid w:val="14C0261D"/>
    <w:rsid w:val="14C23A05"/>
    <w:rsid w:val="14C60225"/>
    <w:rsid w:val="14C95D2D"/>
    <w:rsid w:val="14CC34EA"/>
    <w:rsid w:val="14CF10B2"/>
    <w:rsid w:val="14D2368C"/>
    <w:rsid w:val="14DD2B51"/>
    <w:rsid w:val="14DE2F66"/>
    <w:rsid w:val="14E00BE3"/>
    <w:rsid w:val="14E01D55"/>
    <w:rsid w:val="14E21EB2"/>
    <w:rsid w:val="14E37339"/>
    <w:rsid w:val="14EA40B0"/>
    <w:rsid w:val="14EC2F7C"/>
    <w:rsid w:val="14F36546"/>
    <w:rsid w:val="14F47C55"/>
    <w:rsid w:val="14FF6A8E"/>
    <w:rsid w:val="15007EBB"/>
    <w:rsid w:val="15017DFC"/>
    <w:rsid w:val="15055E59"/>
    <w:rsid w:val="150C0F09"/>
    <w:rsid w:val="150C1957"/>
    <w:rsid w:val="150D2D02"/>
    <w:rsid w:val="15146FAF"/>
    <w:rsid w:val="15187010"/>
    <w:rsid w:val="151931CA"/>
    <w:rsid w:val="151A3B2E"/>
    <w:rsid w:val="151D668B"/>
    <w:rsid w:val="1525667F"/>
    <w:rsid w:val="15260B51"/>
    <w:rsid w:val="15261721"/>
    <w:rsid w:val="152B79AD"/>
    <w:rsid w:val="152E5F11"/>
    <w:rsid w:val="15311B62"/>
    <w:rsid w:val="15385832"/>
    <w:rsid w:val="15392A8D"/>
    <w:rsid w:val="153A6950"/>
    <w:rsid w:val="153B620F"/>
    <w:rsid w:val="153D5CC3"/>
    <w:rsid w:val="153F2CF5"/>
    <w:rsid w:val="1542480A"/>
    <w:rsid w:val="154518B9"/>
    <w:rsid w:val="154B5584"/>
    <w:rsid w:val="154D3CA6"/>
    <w:rsid w:val="155018B8"/>
    <w:rsid w:val="1552408C"/>
    <w:rsid w:val="155A31D3"/>
    <w:rsid w:val="1561516A"/>
    <w:rsid w:val="15660837"/>
    <w:rsid w:val="15665307"/>
    <w:rsid w:val="15666D48"/>
    <w:rsid w:val="15683A84"/>
    <w:rsid w:val="157D5096"/>
    <w:rsid w:val="157F4C17"/>
    <w:rsid w:val="15810215"/>
    <w:rsid w:val="15871A33"/>
    <w:rsid w:val="1588038E"/>
    <w:rsid w:val="15880FBE"/>
    <w:rsid w:val="159126A6"/>
    <w:rsid w:val="15921081"/>
    <w:rsid w:val="15A02970"/>
    <w:rsid w:val="15A12945"/>
    <w:rsid w:val="15A41959"/>
    <w:rsid w:val="15A67F85"/>
    <w:rsid w:val="15AB7B21"/>
    <w:rsid w:val="15AE2EEC"/>
    <w:rsid w:val="15BC3C85"/>
    <w:rsid w:val="15C03828"/>
    <w:rsid w:val="15C73751"/>
    <w:rsid w:val="15CE14C9"/>
    <w:rsid w:val="15D04225"/>
    <w:rsid w:val="15D05BC9"/>
    <w:rsid w:val="15D127E2"/>
    <w:rsid w:val="15D6571F"/>
    <w:rsid w:val="15E11761"/>
    <w:rsid w:val="15E1311E"/>
    <w:rsid w:val="15E5209B"/>
    <w:rsid w:val="15E64716"/>
    <w:rsid w:val="15EF310F"/>
    <w:rsid w:val="15F75861"/>
    <w:rsid w:val="16065227"/>
    <w:rsid w:val="16075C1E"/>
    <w:rsid w:val="160C70C4"/>
    <w:rsid w:val="16130AB5"/>
    <w:rsid w:val="16153C27"/>
    <w:rsid w:val="16157630"/>
    <w:rsid w:val="16164138"/>
    <w:rsid w:val="1618075F"/>
    <w:rsid w:val="161B583C"/>
    <w:rsid w:val="161F29AB"/>
    <w:rsid w:val="16203A99"/>
    <w:rsid w:val="162108F3"/>
    <w:rsid w:val="16211ABF"/>
    <w:rsid w:val="162E33D3"/>
    <w:rsid w:val="16312962"/>
    <w:rsid w:val="16331E22"/>
    <w:rsid w:val="16352305"/>
    <w:rsid w:val="163A2926"/>
    <w:rsid w:val="163B5108"/>
    <w:rsid w:val="16400271"/>
    <w:rsid w:val="16440A2B"/>
    <w:rsid w:val="16470E69"/>
    <w:rsid w:val="164A380D"/>
    <w:rsid w:val="164D6E37"/>
    <w:rsid w:val="165141A1"/>
    <w:rsid w:val="16522843"/>
    <w:rsid w:val="165473B1"/>
    <w:rsid w:val="16551F6E"/>
    <w:rsid w:val="165837D3"/>
    <w:rsid w:val="16590D84"/>
    <w:rsid w:val="165B72D3"/>
    <w:rsid w:val="166E6097"/>
    <w:rsid w:val="166F4B13"/>
    <w:rsid w:val="166F55CD"/>
    <w:rsid w:val="16733BC4"/>
    <w:rsid w:val="16747695"/>
    <w:rsid w:val="167502D5"/>
    <w:rsid w:val="1676371D"/>
    <w:rsid w:val="16775CB5"/>
    <w:rsid w:val="16790558"/>
    <w:rsid w:val="167A4088"/>
    <w:rsid w:val="167B7C84"/>
    <w:rsid w:val="16801508"/>
    <w:rsid w:val="16811BB3"/>
    <w:rsid w:val="16854277"/>
    <w:rsid w:val="16867AC7"/>
    <w:rsid w:val="16871E18"/>
    <w:rsid w:val="16873CBD"/>
    <w:rsid w:val="168805F3"/>
    <w:rsid w:val="1688616D"/>
    <w:rsid w:val="168A1115"/>
    <w:rsid w:val="168B6BF1"/>
    <w:rsid w:val="16930878"/>
    <w:rsid w:val="16976C4E"/>
    <w:rsid w:val="169A4AAB"/>
    <w:rsid w:val="169F2985"/>
    <w:rsid w:val="16A02EA9"/>
    <w:rsid w:val="16A16E69"/>
    <w:rsid w:val="16A37DB1"/>
    <w:rsid w:val="16AC6CB0"/>
    <w:rsid w:val="16B65888"/>
    <w:rsid w:val="16BD00BA"/>
    <w:rsid w:val="16C634A6"/>
    <w:rsid w:val="16C65C4B"/>
    <w:rsid w:val="16C74A69"/>
    <w:rsid w:val="16C81B01"/>
    <w:rsid w:val="16C82807"/>
    <w:rsid w:val="16CD78D6"/>
    <w:rsid w:val="16CF7F5F"/>
    <w:rsid w:val="16D40833"/>
    <w:rsid w:val="16DB089A"/>
    <w:rsid w:val="16E07139"/>
    <w:rsid w:val="16E27381"/>
    <w:rsid w:val="16E31B1A"/>
    <w:rsid w:val="16E66EAC"/>
    <w:rsid w:val="16EC30AC"/>
    <w:rsid w:val="16EF46A5"/>
    <w:rsid w:val="16F33ED5"/>
    <w:rsid w:val="16F44797"/>
    <w:rsid w:val="16FB6300"/>
    <w:rsid w:val="17005B21"/>
    <w:rsid w:val="1702647D"/>
    <w:rsid w:val="17040BFE"/>
    <w:rsid w:val="170F5D34"/>
    <w:rsid w:val="17137832"/>
    <w:rsid w:val="172826CE"/>
    <w:rsid w:val="172A60E6"/>
    <w:rsid w:val="17452398"/>
    <w:rsid w:val="17456BEF"/>
    <w:rsid w:val="17501C60"/>
    <w:rsid w:val="17531AFF"/>
    <w:rsid w:val="175A2AB5"/>
    <w:rsid w:val="175B50F2"/>
    <w:rsid w:val="175E0632"/>
    <w:rsid w:val="1762215D"/>
    <w:rsid w:val="176741BB"/>
    <w:rsid w:val="176D4550"/>
    <w:rsid w:val="176E4F05"/>
    <w:rsid w:val="177016B1"/>
    <w:rsid w:val="17732B3B"/>
    <w:rsid w:val="17751B2C"/>
    <w:rsid w:val="17772D0C"/>
    <w:rsid w:val="17782BF2"/>
    <w:rsid w:val="17831CAE"/>
    <w:rsid w:val="17847A78"/>
    <w:rsid w:val="17866177"/>
    <w:rsid w:val="17892882"/>
    <w:rsid w:val="178D4475"/>
    <w:rsid w:val="17961931"/>
    <w:rsid w:val="179910E8"/>
    <w:rsid w:val="179C459E"/>
    <w:rsid w:val="17A32155"/>
    <w:rsid w:val="17A64680"/>
    <w:rsid w:val="17AA661F"/>
    <w:rsid w:val="17AA6B98"/>
    <w:rsid w:val="17AB4022"/>
    <w:rsid w:val="17B15006"/>
    <w:rsid w:val="17B41752"/>
    <w:rsid w:val="17B51921"/>
    <w:rsid w:val="17B611E4"/>
    <w:rsid w:val="17BA22F0"/>
    <w:rsid w:val="17BE1CF8"/>
    <w:rsid w:val="17C3644A"/>
    <w:rsid w:val="17C85BAC"/>
    <w:rsid w:val="17C93B7B"/>
    <w:rsid w:val="17CB7910"/>
    <w:rsid w:val="17CE6A87"/>
    <w:rsid w:val="17CF2705"/>
    <w:rsid w:val="17CF6D16"/>
    <w:rsid w:val="17DE23AB"/>
    <w:rsid w:val="17EF6F36"/>
    <w:rsid w:val="17F31782"/>
    <w:rsid w:val="17F701DC"/>
    <w:rsid w:val="17FB1A48"/>
    <w:rsid w:val="17FE7094"/>
    <w:rsid w:val="18023F33"/>
    <w:rsid w:val="18025220"/>
    <w:rsid w:val="180716A7"/>
    <w:rsid w:val="180F7B8E"/>
    <w:rsid w:val="1813407D"/>
    <w:rsid w:val="181D5BA2"/>
    <w:rsid w:val="181D7924"/>
    <w:rsid w:val="181F05B8"/>
    <w:rsid w:val="1820244E"/>
    <w:rsid w:val="1821533C"/>
    <w:rsid w:val="18234E8E"/>
    <w:rsid w:val="18241B7F"/>
    <w:rsid w:val="18263AE8"/>
    <w:rsid w:val="18273C11"/>
    <w:rsid w:val="182D25A4"/>
    <w:rsid w:val="18305BCB"/>
    <w:rsid w:val="18361DEA"/>
    <w:rsid w:val="1838664A"/>
    <w:rsid w:val="183E0FFC"/>
    <w:rsid w:val="184063D4"/>
    <w:rsid w:val="18427333"/>
    <w:rsid w:val="18432B0A"/>
    <w:rsid w:val="18467E94"/>
    <w:rsid w:val="184B3430"/>
    <w:rsid w:val="184F1676"/>
    <w:rsid w:val="18524487"/>
    <w:rsid w:val="1858443D"/>
    <w:rsid w:val="18594303"/>
    <w:rsid w:val="185F3F93"/>
    <w:rsid w:val="18601EBC"/>
    <w:rsid w:val="18620683"/>
    <w:rsid w:val="18621B8B"/>
    <w:rsid w:val="18623BC2"/>
    <w:rsid w:val="18663078"/>
    <w:rsid w:val="18684570"/>
    <w:rsid w:val="186C18B2"/>
    <w:rsid w:val="186C46FC"/>
    <w:rsid w:val="186F41EE"/>
    <w:rsid w:val="187000BC"/>
    <w:rsid w:val="1870203D"/>
    <w:rsid w:val="18720868"/>
    <w:rsid w:val="18724B47"/>
    <w:rsid w:val="18743C7E"/>
    <w:rsid w:val="187A0A4C"/>
    <w:rsid w:val="187B73CD"/>
    <w:rsid w:val="187F3335"/>
    <w:rsid w:val="188E170D"/>
    <w:rsid w:val="18902E64"/>
    <w:rsid w:val="18912CC5"/>
    <w:rsid w:val="189376A7"/>
    <w:rsid w:val="1896004C"/>
    <w:rsid w:val="189D74CD"/>
    <w:rsid w:val="18A3705A"/>
    <w:rsid w:val="18A43B64"/>
    <w:rsid w:val="18AA24A8"/>
    <w:rsid w:val="18AD1AE3"/>
    <w:rsid w:val="18AF5512"/>
    <w:rsid w:val="18AF6D48"/>
    <w:rsid w:val="18B10030"/>
    <w:rsid w:val="18B53F45"/>
    <w:rsid w:val="18B928FC"/>
    <w:rsid w:val="18BA67BA"/>
    <w:rsid w:val="18BB7A13"/>
    <w:rsid w:val="18C04162"/>
    <w:rsid w:val="18C1450E"/>
    <w:rsid w:val="18C33B78"/>
    <w:rsid w:val="18C547B9"/>
    <w:rsid w:val="18D2528E"/>
    <w:rsid w:val="18D362EA"/>
    <w:rsid w:val="18D86023"/>
    <w:rsid w:val="18DB2E44"/>
    <w:rsid w:val="18E77571"/>
    <w:rsid w:val="18EC7966"/>
    <w:rsid w:val="18F32801"/>
    <w:rsid w:val="18F932D1"/>
    <w:rsid w:val="18F971E2"/>
    <w:rsid w:val="18FC6F3C"/>
    <w:rsid w:val="18FE2DB7"/>
    <w:rsid w:val="19051D57"/>
    <w:rsid w:val="19076E64"/>
    <w:rsid w:val="190845A5"/>
    <w:rsid w:val="1910730B"/>
    <w:rsid w:val="19111627"/>
    <w:rsid w:val="19171662"/>
    <w:rsid w:val="191938F7"/>
    <w:rsid w:val="19196B83"/>
    <w:rsid w:val="191D72C1"/>
    <w:rsid w:val="19246DB1"/>
    <w:rsid w:val="19295897"/>
    <w:rsid w:val="192A7F0E"/>
    <w:rsid w:val="192C189E"/>
    <w:rsid w:val="19325500"/>
    <w:rsid w:val="19334A57"/>
    <w:rsid w:val="19344892"/>
    <w:rsid w:val="194519D6"/>
    <w:rsid w:val="1951749D"/>
    <w:rsid w:val="19553711"/>
    <w:rsid w:val="19561777"/>
    <w:rsid w:val="195D02D3"/>
    <w:rsid w:val="196275D7"/>
    <w:rsid w:val="19645F2A"/>
    <w:rsid w:val="19680D03"/>
    <w:rsid w:val="19686721"/>
    <w:rsid w:val="19691118"/>
    <w:rsid w:val="19697423"/>
    <w:rsid w:val="196A479A"/>
    <w:rsid w:val="1974424B"/>
    <w:rsid w:val="197D7B36"/>
    <w:rsid w:val="197F33B8"/>
    <w:rsid w:val="198137CA"/>
    <w:rsid w:val="19834EFD"/>
    <w:rsid w:val="198E13AF"/>
    <w:rsid w:val="198E5206"/>
    <w:rsid w:val="19980595"/>
    <w:rsid w:val="19A150F3"/>
    <w:rsid w:val="19A65EFA"/>
    <w:rsid w:val="19B52F5E"/>
    <w:rsid w:val="19BC1EF2"/>
    <w:rsid w:val="19BF5608"/>
    <w:rsid w:val="19C06DEF"/>
    <w:rsid w:val="19C265CE"/>
    <w:rsid w:val="19C35322"/>
    <w:rsid w:val="19C57C1F"/>
    <w:rsid w:val="19CC3013"/>
    <w:rsid w:val="19CC34BD"/>
    <w:rsid w:val="19DF41CF"/>
    <w:rsid w:val="19E00B4A"/>
    <w:rsid w:val="19E12E20"/>
    <w:rsid w:val="19E35A80"/>
    <w:rsid w:val="19F400E7"/>
    <w:rsid w:val="19F40A55"/>
    <w:rsid w:val="19F433B4"/>
    <w:rsid w:val="19F51306"/>
    <w:rsid w:val="19F631CE"/>
    <w:rsid w:val="19FE03BC"/>
    <w:rsid w:val="1A02224B"/>
    <w:rsid w:val="1A0430BC"/>
    <w:rsid w:val="1A044352"/>
    <w:rsid w:val="1A0443B8"/>
    <w:rsid w:val="1A0530D3"/>
    <w:rsid w:val="1A105ED4"/>
    <w:rsid w:val="1A154B56"/>
    <w:rsid w:val="1A1B2D52"/>
    <w:rsid w:val="1A1C25B1"/>
    <w:rsid w:val="1A1C7717"/>
    <w:rsid w:val="1A1E3670"/>
    <w:rsid w:val="1A213781"/>
    <w:rsid w:val="1A215610"/>
    <w:rsid w:val="1A234C4F"/>
    <w:rsid w:val="1A251967"/>
    <w:rsid w:val="1A2810A0"/>
    <w:rsid w:val="1A29466F"/>
    <w:rsid w:val="1A303DD6"/>
    <w:rsid w:val="1A381678"/>
    <w:rsid w:val="1A3B5A47"/>
    <w:rsid w:val="1A3E5DF2"/>
    <w:rsid w:val="1A3F695D"/>
    <w:rsid w:val="1A402E2E"/>
    <w:rsid w:val="1A425B7E"/>
    <w:rsid w:val="1A446BEE"/>
    <w:rsid w:val="1A4556BA"/>
    <w:rsid w:val="1A4B2B86"/>
    <w:rsid w:val="1A4B38E6"/>
    <w:rsid w:val="1A535838"/>
    <w:rsid w:val="1A561761"/>
    <w:rsid w:val="1A59698F"/>
    <w:rsid w:val="1A5A2761"/>
    <w:rsid w:val="1A610FD5"/>
    <w:rsid w:val="1A676BBC"/>
    <w:rsid w:val="1A6A1DA1"/>
    <w:rsid w:val="1A6A2A9E"/>
    <w:rsid w:val="1A6B6304"/>
    <w:rsid w:val="1A6D0A01"/>
    <w:rsid w:val="1A732AA3"/>
    <w:rsid w:val="1A735DD7"/>
    <w:rsid w:val="1A740E8B"/>
    <w:rsid w:val="1A75610B"/>
    <w:rsid w:val="1A773527"/>
    <w:rsid w:val="1A7804F6"/>
    <w:rsid w:val="1A842D29"/>
    <w:rsid w:val="1A8677E4"/>
    <w:rsid w:val="1A9365F5"/>
    <w:rsid w:val="1A952016"/>
    <w:rsid w:val="1A993E1C"/>
    <w:rsid w:val="1A9945D8"/>
    <w:rsid w:val="1A9B105B"/>
    <w:rsid w:val="1A9F160E"/>
    <w:rsid w:val="1AA56F0D"/>
    <w:rsid w:val="1AAF5B50"/>
    <w:rsid w:val="1AB15BA2"/>
    <w:rsid w:val="1AB30F14"/>
    <w:rsid w:val="1AC10CF3"/>
    <w:rsid w:val="1AD31BE3"/>
    <w:rsid w:val="1ADB2A36"/>
    <w:rsid w:val="1AE317B6"/>
    <w:rsid w:val="1AE3755A"/>
    <w:rsid w:val="1AEC742E"/>
    <w:rsid w:val="1AF65ACB"/>
    <w:rsid w:val="1AF729F8"/>
    <w:rsid w:val="1AFA6124"/>
    <w:rsid w:val="1AFC07B9"/>
    <w:rsid w:val="1AFE3D6C"/>
    <w:rsid w:val="1AFF3E4C"/>
    <w:rsid w:val="1B045843"/>
    <w:rsid w:val="1B047C6C"/>
    <w:rsid w:val="1B063427"/>
    <w:rsid w:val="1B0A244B"/>
    <w:rsid w:val="1B0A5C3E"/>
    <w:rsid w:val="1B1233E2"/>
    <w:rsid w:val="1B132CA8"/>
    <w:rsid w:val="1B146D33"/>
    <w:rsid w:val="1B1710C6"/>
    <w:rsid w:val="1B1B45EF"/>
    <w:rsid w:val="1B2017B9"/>
    <w:rsid w:val="1B2477BB"/>
    <w:rsid w:val="1B2924F9"/>
    <w:rsid w:val="1B320C5D"/>
    <w:rsid w:val="1B393C81"/>
    <w:rsid w:val="1B3F3B5E"/>
    <w:rsid w:val="1B400B93"/>
    <w:rsid w:val="1B457D96"/>
    <w:rsid w:val="1B4D184A"/>
    <w:rsid w:val="1B4E08DF"/>
    <w:rsid w:val="1B500C53"/>
    <w:rsid w:val="1B5022D2"/>
    <w:rsid w:val="1B524814"/>
    <w:rsid w:val="1B525708"/>
    <w:rsid w:val="1B535183"/>
    <w:rsid w:val="1B536F73"/>
    <w:rsid w:val="1B5D3AF9"/>
    <w:rsid w:val="1B5F2653"/>
    <w:rsid w:val="1B5F40B0"/>
    <w:rsid w:val="1B604F68"/>
    <w:rsid w:val="1B662176"/>
    <w:rsid w:val="1B687F60"/>
    <w:rsid w:val="1B6A5FCD"/>
    <w:rsid w:val="1B6A7548"/>
    <w:rsid w:val="1B6D366B"/>
    <w:rsid w:val="1B6F5423"/>
    <w:rsid w:val="1B773602"/>
    <w:rsid w:val="1B831C99"/>
    <w:rsid w:val="1B8C0402"/>
    <w:rsid w:val="1B905CC0"/>
    <w:rsid w:val="1B916C4A"/>
    <w:rsid w:val="1B9A0DA2"/>
    <w:rsid w:val="1B9B3743"/>
    <w:rsid w:val="1B9D1220"/>
    <w:rsid w:val="1B9F37D1"/>
    <w:rsid w:val="1BA33BB4"/>
    <w:rsid w:val="1BA61F07"/>
    <w:rsid w:val="1BA71EDA"/>
    <w:rsid w:val="1BA74089"/>
    <w:rsid w:val="1BAB27EA"/>
    <w:rsid w:val="1BAC7BB5"/>
    <w:rsid w:val="1BAD4C7C"/>
    <w:rsid w:val="1BB15126"/>
    <w:rsid w:val="1BB50400"/>
    <w:rsid w:val="1BBE1E81"/>
    <w:rsid w:val="1BBE698D"/>
    <w:rsid w:val="1BC351AF"/>
    <w:rsid w:val="1BC96858"/>
    <w:rsid w:val="1BCD189A"/>
    <w:rsid w:val="1BD149DA"/>
    <w:rsid w:val="1BE21999"/>
    <w:rsid w:val="1BE60546"/>
    <w:rsid w:val="1BE723E9"/>
    <w:rsid w:val="1BE7715A"/>
    <w:rsid w:val="1BEA4006"/>
    <w:rsid w:val="1BEE33BC"/>
    <w:rsid w:val="1BF1005F"/>
    <w:rsid w:val="1BF504A6"/>
    <w:rsid w:val="1BF53F5D"/>
    <w:rsid w:val="1BF915B6"/>
    <w:rsid w:val="1BFA0880"/>
    <w:rsid w:val="1BFA7E26"/>
    <w:rsid w:val="1BFD4E0C"/>
    <w:rsid w:val="1BFE1D97"/>
    <w:rsid w:val="1C015983"/>
    <w:rsid w:val="1C040F40"/>
    <w:rsid w:val="1C044A50"/>
    <w:rsid w:val="1C076B44"/>
    <w:rsid w:val="1C0D094E"/>
    <w:rsid w:val="1C0F7609"/>
    <w:rsid w:val="1C1017F3"/>
    <w:rsid w:val="1C15037D"/>
    <w:rsid w:val="1C150EAD"/>
    <w:rsid w:val="1C1D2B21"/>
    <w:rsid w:val="1C1E4D63"/>
    <w:rsid w:val="1C1F03D7"/>
    <w:rsid w:val="1C215EA3"/>
    <w:rsid w:val="1C240BBE"/>
    <w:rsid w:val="1C241800"/>
    <w:rsid w:val="1C252309"/>
    <w:rsid w:val="1C2D0B25"/>
    <w:rsid w:val="1C325E05"/>
    <w:rsid w:val="1C332677"/>
    <w:rsid w:val="1C3A080F"/>
    <w:rsid w:val="1C3A6E98"/>
    <w:rsid w:val="1C3F663B"/>
    <w:rsid w:val="1C4402C0"/>
    <w:rsid w:val="1C44532B"/>
    <w:rsid w:val="1C4823DB"/>
    <w:rsid w:val="1C4D7698"/>
    <w:rsid w:val="1C5128D4"/>
    <w:rsid w:val="1C5235E8"/>
    <w:rsid w:val="1C5C6B94"/>
    <w:rsid w:val="1C662EE8"/>
    <w:rsid w:val="1C68638E"/>
    <w:rsid w:val="1C757987"/>
    <w:rsid w:val="1C770536"/>
    <w:rsid w:val="1C784B2B"/>
    <w:rsid w:val="1C815F04"/>
    <w:rsid w:val="1C843692"/>
    <w:rsid w:val="1C862375"/>
    <w:rsid w:val="1C8A44EA"/>
    <w:rsid w:val="1C8B543F"/>
    <w:rsid w:val="1C8F2BF1"/>
    <w:rsid w:val="1C95470D"/>
    <w:rsid w:val="1C9D4350"/>
    <w:rsid w:val="1C9F01B2"/>
    <w:rsid w:val="1CA028A8"/>
    <w:rsid w:val="1CA11174"/>
    <w:rsid w:val="1CA14863"/>
    <w:rsid w:val="1CA750E5"/>
    <w:rsid w:val="1CA86DEC"/>
    <w:rsid w:val="1CA913E5"/>
    <w:rsid w:val="1CAA3673"/>
    <w:rsid w:val="1CAB510E"/>
    <w:rsid w:val="1CB27078"/>
    <w:rsid w:val="1CB3258B"/>
    <w:rsid w:val="1CB54DEA"/>
    <w:rsid w:val="1CBC5C7D"/>
    <w:rsid w:val="1CC01C1F"/>
    <w:rsid w:val="1CC164F5"/>
    <w:rsid w:val="1CC309DF"/>
    <w:rsid w:val="1CC92EA7"/>
    <w:rsid w:val="1CD30BFA"/>
    <w:rsid w:val="1CD42630"/>
    <w:rsid w:val="1CDB3DF2"/>
    <w:rsid w:val="1CDD79CB"/>
    <w:rsid w:val="1CE15036"/>
    <w:rsid w:val="1CE4155B"/>
    <w:rsid w:val="1CE57D97"/>
    <w:rsid w:val="1CE81D0A"/>
    <w:rsid w:val="1CEA6EC5"/>
    <w:rsid w:val="1CEC3EA9"/>
    <w:rsid w:val="1CEF77DE"/>
    <w:rsid w:val="1CEF7AF2"/>
    <w:rsid w:val="1CF1378D"/>
    <w:rsid w:val="1CF8348B"/>
    <w:rsid w:val="1CFA6D68"/>
    <w:rsid w:val="1CFB112C"/>
    <w:rsid w:val="1CFD6B9F"/>
    <w:rsid w:val="1D050B00"/>
    <w:rsid w:val="1D060497"/>
    <w:rsid w:val="1D103DCB"/>
    <w:rsid w:val="1D1326F6"/>
    <w:rsid w:val="1D202F57"/>
    <w:rsid w:val="1D286486"/>
    <w:rsid w:val="1D2A543B"/>
    <w:rsid w:val="1D2D7D77"/>
    <w:rsid w:val="1D2F01CF"/>
    <w:rsid w:val="1D305303"/>
    <w:rsid w:val="1D323363"/>
    <w:rsid w:val="1D326F30"/>
    <w:rsid w:val="1D370128"/>
    <w:rsid w:val="1D3A598E"/>
    <w:rsid w:val="1D3C1020"/>
    <w:rsid w:val="1D406609"/>
    <w:rsid w:val="1D437908"/>
    <w:rsid w:val="1D472538"/>
    <w:rsid w:val="1D491849"/>
    <w:rsid w:val="1D4A174A"/>
    <w:rsid w:val="1D4F2718"/>
    <w:rsid w:val="1D501B76"/>
    <w:rsid w:val="1D662E57"/>
    <w:rsid w:val="1D67205B"/>
    <w:rsid w:val="1D6E342C"/>
    <w:rsid w:val="1D74404B"/>
    <w:rsid w:val="1D754885"/>
    <w:rsid w:val="1D756D27"/>
    <w:rsid w:val="1D775331"/>
    <w:rsid w:val="1D7845CB"/>
    <w:rsid w:val="1D7A6111"/>
    <w:rsid w:val="1D7C2E74"/>
    <w:rsid w:val="1D831FA3"/>
    <w:rsid w:val="1D8979B3"/>
    <w:rsid w:val="1D8A7250"/>
    <w:rsid w:val="1D8C6E28"/>
    <w:rsid w:val="1D973F4B"/>
    <w:rsid w:val="1D9C7C94"/>
    <w:rsid w:val="1D9E350D"/>
    <w:rsid w:val="1DA07A1A"/>
    <w:rsid w:val="1DA35676"/>
    <w:rsid w:val="1DA67F67"/>
    <w:rsid w:val="1DA807F9"/>
    <w:rsid w:val="1DAD65A3"/>
    <w:rsid w:val="1DAE6AAD"/>
    <w:rsid w:val="1DB40834"/>
    <w:rsid w:val="1DBC5B19"/>
    <w:rsid w:val="1DBE0410"/>
    <w:rsid w:val="1DBE2264"/>
    <w:rsid w:val="1DC122D6"/>
    <w:rsid w:val="1DC324D2"/>
    <w:rsid w:val="1DC63FC1"/>
    <w:rsid w:val="1DCC62D6"/>
    <w:rsid w:val="1DD64252"/>
    <w:rsid w:val="1DDA23C3"/>
    <w:rsid w:val="1DDA53B1"/>
    <w:rsid w:val="1DDD48C3"/>
    <w:rsid w:val="1DDE029A"/>
    <w:rsid w:val="1DE06299"/>
    <w:rsid w:val="1DE173F2"/>
    <w:rsid w:val="1DFE1A2A"/>
    <w:rsid w:val="1E050CFE"/>
    <w:rsid w:val="1E07124A"/>
    <w:rsid w:val="1E0B0E17"/>
    <w:rsid w:val="1E0B1EF2"/>
    <w:rsid w:val="1E0E4813"/>
    <w:rsid w:val="1E0E4CB9"/>
    <w:rsid w:val="1E143B63"/>
    <w:rsid w:val="1E1B1B27"/>
    <w:rsid w:val="1E2000AF"/>
    <w:rsid w:val="1E212C8E"/>
    <w:rsid w:val="1E271023"/>
    <w:rsid w:val="1E2959FF"/>
    <w:rsid w:val="1E303351"/>
    <w:rsid w:val="1E304D40"/>
    <w:rsid w:val="1E3208BA"/>
    <w:rsid w:val="1E343F2F"/>
    <w:rsid w:val="1E344DDC"/>
    <w:rsid w:val="1E345831"/>
    <w:rsid w:val="1E366BF7"/>
    <w:rsid w:val="1E3F5B90"/>
    <w:rsid w:val="1E4265C4"/>
    <w:rsid w:val="1E432AF8"/>
    <w:rsid w:val="1E4D2140"/>
    <w:rsid w:val="1E502AE2"/>
    <w:rsid w:val="1E5136E8"/>
    <w:rsid w:val="1E5224D3"/>
    <w:rsid w:val="1E550003"/>
    <w:rsid w:val="1E59262C"/>
    <w:rsid w:val="1E5F15A5"/>
    <w:rsid w:val="1E616D11"/>
    <w:rsid w:val="1E636775"/>
    <w:rsid w:val="1E660C1B"/>
    <w:rsid w:val="1E6A24F2"/>
    <w:rsid w:val="1E6E35FF"/>
    <w:rsid w:val="1E6F0C8C"/>
    <w:rsid w:val="1E7274B3"/>
    <w:rsid w:val="1E736182"/>
    <w:rsid w:val="1E7B6EF0"/>
    <w:rsid w:val="1E7C4AD7"/>
    <w:rsid w:val="1E7F6810"/>
    <w:rsid w:val="1E832D16"/>
    <w:rsid w:val="1E857005"/>
    <w:rsid w:val="1E893EE3"/>
    <w:rsid w:val="1E901D89"/>
    <w:rsid w:val="1E912692"/>
    <w:rsid w:val="1E95127C"/>
    <w:rsid w:val="1E951FF7"/>
    <w:rsid w:val="1E9758BD"/>
    <w:rsid w:val="1E9828BA"/>
    <w:rsid w:val="1E9B380B"/>
    <w:rsid w:val="1E9F5DF4"/>
    <w:rsid w:val="1EA50E25"/>
    <w:rsid w:val="1EA9419C"/>
    <w:rsid w:val="1EAA1055"/>
    <w:rsid w:val="1EAE057F"/>
    <w:rsid w:val="1EAE48A0"/>
    <w:rsid w:val="1EAF3A7C"/>
    <w:rsid w:val="1EB24CFD"/>
    <w:rsid w:val="1EB458F1"/>
    <w:rsid w:val="1EB52BC7"/>
    <w:rsid w:val="1EBA13DE"/>
    <w:rsid w:val="1EC05EB9"/>
    <w:rsid w:val="1EC1392B"/>
    <w:rsid w:val="1EC17E35"/>
    <w:rsid w:val="1EC913A5"/>
    <w:rsid w:val="1ECD3A98"/>
    <w:rsid w:val="1ECE4B21"/>
    <w:rsid w:val="1ECF05E6"/>
    <w:rsid w:val="1ED34F41"/>
    <w:rsid w:val="1ED66A8C"/>
    <w:rsid w:val="1ED737BC"/>
    <w:rsid w:val="1ED83EFE"/>
    <w:rsid w:val="1EE33B16"/>
    <w:rsid w:val="1EE43BAB"/>
    <w:rsid w:val="1EE94630"/>
    <w:rsid w:val="1EEB523B"/>
    <w:rsid w:val="1EEC235E"/>
    <w:rsid w:val="1EEE4D58"/>
    <w:rsid w:val="1EF00DAB"/>
    <w:rsid w:val="1EF12C0E"/>
    <w:rsid w:val="1EF24A20"/>
    <w:rsid w:val="1EF60B39"/>
    <w:rsid w:val="1EFC3266"/>
    <w:rsid w:val="1EFC7401"/>
    <w:rsid w:val="1EFE02CD"/>
    <w:rsid w:val="1F030972"/>
    <w:rsid w:val="1F0A3448"/>
    <w:rsid w:val="1F0B2D18"/>
    <w:rsid w:val="1F1118CA"/>
    <w:rsid w:val="1F111D05"/>
    <w:rsid w:val="1F162856"/>
    <w:rsid w:val="1F18048A"/>
    <w:rsid w:val="1F196FB5"/>
    <w:rsid w:val="1F202F69"/>
    <w:rsid w:val="1F215DF0"/>
    <w:rsid w:val="1F240089"/>
    <w:rsid w:val="1F290B7E"/>
    <w:rsid w:val="1F2A4ADB"/>
    <w:rsid w:val="1F2F69F6"/>
    <w:rsid w:val="1F3001C0"/>
    <w:rsid w:val="1F303F8D"/>
    <w:rsid w:val="1F37001E"/>
    <w:rsid w:val="1F384D9A"/>
    <w:rsid w:val="1F393C90"/>
    <w:rsid w:val="1F397EDE"/>
    <w:rsid w:val="1F3A0013"/>
    <w:rsid w:val="1F3D53F4"/>
    <w:rsid w:val="1F3E3F22"/>
    <w:rsid w:val="1F42381B"/>
    <w:rsid w:val="1F4A5D19"/>
    <w:rsid w:val="1F507A1F"/>
    <w:rsid w:val="1F60667B"/>
    <w:rsid w:val="1F6433AA"/>
    <w:rsid w:val="1F6C50B7"/>
    <w:rsid w:val="1F725671"/>
    <w:rsid w:val="1F770D75"/>
    <w:rsid w:val="1F7E2CDC"/>
    <w:rsid w:val="1F844F12"/>
    <w:rsid w:val="1F860446"/>
    <w:rsid w:val="1F870C98"/>
    <w:rsid w:val="1F973D5F"/>
    <w:rsid w:val="1F982D3E"/>
    <w:rsid w:val="1F9D24B3"/>
    <w:rsid w:val="1FA372DA"/>
    <w:rsid w:val="1FA84B69"/>
    <w:rsid w:val="1FA950F4"/>
    <w:rsid w:val="1FAE2D63"/>
    <w:rsid w:val="1FB047E0"/>
    <w:rsid w:val="1FB54957"/>
    <w:rsid w:val="1FB92698"/>
    <w:rsid w:val="1FBA17B1"/>
    <w:rsid w:val="1FC253A4"/>
    <w:rsid w:val="1FC31536"/>
    <w:rsid w:val="1FC50D4C"/>
    <w:rsid w:val="1FC57862"/>
    <w:rsid w:val="1FD172A2"/>
    <w:rsid w:val="1FD17FF1"/>
    <w:rsid w:val="1FD9034D"/>
    <w:rsid w:val="1FDC7770"/>
    <w:rsid w:val="1FDF4483"/>
    <w:rsid w:val="1FE22C3B"/>
    <w:rsid w:val="1FE24C06"/>
    <w:rsid w:val="1FE43237"/>
    <w:rsid w:val="1FE542A9"/>
    <w:rsid w:val="1FE61EE0"/>
    <w:rsid w:val="1FF02C26"/>
    <w:rsid w:val="1FF40E96"/>
    <w:rsid w:val="20015BB8"/>
    <w:rsid w:val="20030D4A"/>
    <w:rsid w:val="200D3B8D"/>
    <w:rsid w:val="200E339B"/>
    <w:rsid w:val="20120CF3"/>
    <w:rsid w:val="201378F5"/>
    <w:rsid w:val="201440A8"/>
    <w:rsid w:val="20154930"/>
    <w:rsid w:val="2016514B"/>
    <w:rsid w:val="20187FB6"/>
    <w:rsid w:val="201F0687"/>
    <w:rsid w:val="20333E34"/>
    <w:rsid w:val="203401AE"/>
    <w:rsid w:val="20350215"/>
    <w:rsid w:val="20365207"/>
    <w:rsid w:val="20395E93"/>
    <w:rsid w:val="20415DA8"/>
    <w:rsid w:val="20440296"/>
    <w:rsid w:val="204549A3"/>
    <w:rsid w:val="204D7F11"/>
    <w:rsid w:val="204F3BB6"/>
    <w:rsid w:val="20523CF0"/>
    <w:rsid w:val="20563D06"/>
    <w:rsid w:val="205859F6"/>
    <w:rsid w:val="20590037"/>
    <w:rsid w:val="20593EAD"/>
    <w:rsid w:val="20597A6D"/>
    <w:rsid w:val="205A752D"/>
    <w:rsid w:val="205C50BC"/>
    <w:rsid w:val="20634F6D"/>
    <w:rsid w:val="20666CE0"/>
    <w:rsid w:val="206679E5"/>
    <w:rsid w:val="20686AA3"/>
    <w:rsid w:val="206B0C08"/>
    <w:rsid w:val="20751244"/>
    <w:rsid w:val="20757FE9"/>
    <w:rsid w:val="207779D2"/>
    <w:rsid w:val="20783415"/>
    <w:rsid w:val="20893199"/>
    <w:rsid w:val="20921836"/>
    <w:rsid w:val="20923F1C"/>
    <w:rsid w:val="209D611F"/>
    <w:rsid w:val="209E2490"/>
    <w:rsid w:val="20A27D10"/>
    <w:rsid w:val="20A425F0"/>
    <w:rsid w:val="20AC4473"/>
    <w:rsid w:val="20AF6C57"/>
    <w:rsid w:val="20B50033"/>
    <w:rsid w:val="20BC608E"/>
    <w:rsid w:val="20BE01C4"/>
    <w:rsid w:val="20C07BDA"/>
    <w:rsid w:val="20C5296C"/>
    <w:rsid w:val="20CD18D2"/>
    <w:rsid w:val="20CF3E03"/>
    <w:rsid w:val="20D1471C"/>
    <w:rsid w:val="20D37674"/>
    <w:rsid w:val="20DD518D"/>
    <w:rsid w:val="20DD52BA"/>
    <w:rsid w:val="20DD5EAA"/>
    <w:rsid w:val="20DE45EC"/>
    <w:rsid w:val="20DF35C6"/>
    <w:rsid w:val="20E168AE"/>
    <w:rsid w:val="20E267AB"/>
    <w:rsid w:val="20E84522"/>
    <w:rsid w:val="20F11662"/>
    <w:rsid w:val="20F15494"/>
    <w:rsid w:val="20F2057F"/>
    <w:rsid w:val="20F52C15"/>
    <w:rsid w:val="20F93963"/>
    <w:rsid w:val="20FC4560"/>
    <w:rsid w:val="20FD3A9B"/>
    <w:rsid w:val="20FE65B7"/>
    <w:rsid w:val="210C70EE"/>
    <w:rsid w:val="210E72A4"/>
    <w:rsid w:val="211161A8"/>
    <w:rsid w:val="211A425C"/>
    <w:rsid w:val="211A7388"/>
    <w:rsid w:val="211B6ED6"/>
    <w:rsid w:val="211E20AF"/>
    <w:rsid w:val="2126154F"/>
    <w:rsid w:val="21290949"/>
    <w:rsid w:val="21330A0E"/>
    <w:rsid w:val="213B023B"/>
    <w:rsid w:val="213E18BB"/>
    <w:rsid w:val="21420476"/>
    <w:rsid w:val="21443EEC"/>
    <w:rsid w:val="2145176F"/>
    <w:rsid w:val="21466CF4"/>
    <w:rsid w:val="2150427A"/>
    <w:rsid w:val="21510EFA"/>
    <w:rsid w:val="215226F5"/>
    <w:rsid w:val="2153549F"/>
    <w:rsid w:val="215608EC"/>
    <w:rsid w:val="21580212"/>
    <w:rsid w:val="215D0A73"/>
    <w:rsid w:val="215E2625"/>
    <w:rsid w:val="21644389"/>
    <w:rsid w:val="21673B21"/>
    <w:rsid w:val="21696CE0"/>
    <w:rsid w:val="216B1993"/>
    <w:rsid w:val="2173672F"/>
    <w:rsid w:val="21747AEC"/>
    <w:rsid w:val="21764634"/>
    <w:rsid w:val="217647D6"/>
    <w:rsid w:val="2177365B"/>
    <w:rsid w:val="217B25B6"/>
    <w:rsid w:val="21864625"/>
    <w:rsid w:val="2190429F"/>
    <w:rsid w:val="21937AC9"/>
    <w:rsid w:val="21945D33"/>
    <w:rsid w:val="219529A2"/>
    <w:rsid w:val="21956CC6"/>
    <w:rsid w:val="219B141F"/>
    <w:rsid w:val="21A00F7A"/>
    <w:rsid w:val="21A2189A"/>
    <w:rsid w:val="21A3184A"/>
    <w:rsid w:val="21A51095"/>
    <w:rsid w:val="21A525DB"/>
    <w:rsid w:val="21AD1FFC"/>
    <w:rsid w:val="21AD66A0"/>
    <w:rsid w:val="21AF7662"/>
    <w:rsid w:val="21B0726F"/>
    <w:rsid w:val="21B612F5"/>
    <w:rsid w:val="21B952A2"/>
    <w:rsid w:val="21BE00EA"/>
    <w:rsid w:val="21C460B3"/>
    <w:rsid w:val="21D052F6"/>
    <w:rsid w:val="21D2598D"/>
    <w:rsid w:val="21DC19DB"/>
    <w:rsid w:val="21DD72EA"/>
    <w:rsid w:val="21E113E6"/>
    <w:rsid w:val="21EA5071"/>
    <w:rsid w:val="21ED75E1"/>
    <w:rsid w:val="21EE6522"/>
    <w:rsid w:val="21EF6734"/>
    <w:rsid w:val="21F31C3B"/>
    <w:rsid w:val="21FD248F"/>
    <w:rsid w:val="21FE6859"/>
    <w:rsid w:val="220057A4"/>
    <w:rsid w:val="2200605A"/>
    <w:rsid w:val="22010E06"/>
    <w:rsid w:val="220754EC"/>
    <w:rsid w:val="22167B28"/>
    <w:rsid w:val="2217680E"/>
    <w:rsid w:val="221D75CC"/>
    <w:rsid w:val="221F7412"/>
    <w:rsid w:val="22220C5B"/>
    <w:rsid w:val="222379A0"/>
    <w:rsid w:val="22241DB6"/>
    <w:rsid w:val="222735F5"/>
    <w:rsid w:val="222775CA"/>
    <w:rsid w:val="222A00E7"/>
    <w:rsid w:val="222A1247"/>
    <w:rsid w:val="22304A51"/>
    <w:rsid w:val="223B042C"/>
    <w:rsid w:val="224109AE"/>
    <w:rsid w:val="22440FC4"/>
    <w:rsid w:val="22443D4A"/>
    <w:rsid w:val="22476760"/>
    <w:rsid w:val="224919A3"/>
    <w:rsid w:val="22492C0C"/>
    <w:rsid w:val="225A0EA6"/>
    <w:rsid w:val="225B22B2"/>
    <w:rsid w:val="225B667A"/>
    <w:rsid w:val="226464BD"/>
    <w:rsid w:val="226A2192"/>
    <w:rsid w:val="22706213"/>
    <w:rsid w:val="2278203C"/>
    <w:rsid w:val="227F0595"/>
    <w:rsid w:val="22826C9C"/>
    <w:rsid w:val="228B0B74"/>
    <w:rsid w:val="228C0272"/>
    <w:rsid w:val="228E2B21"/>
    <w:rsid w:val="22914D62"/>
    <w:rsid w:val="229444FE"/>
    <w:rsid w:val="22945936"/>
    <w:rsid w:val="22985F90"/>
    <w:rsid w:val="229D7BF7"/>
    <w:rsid w:val="22A31757"/>
    <w:rsid w:val="22AB4866"/>
    <w:rsid w:val="22BB40C7"/>
    <w:rsid w:val="22BD13D6"/>
    <w:rsid w:val="22C76543"/>
    <w:rsid w:val="22CA00D6"/>
    <w:rsid w:val="22CA14B1"/>
    <w:rsid w:val="22CF0712"/>
    <w:rsid w:val="22D308E9"/>
    <w:rsid w:val="22D40683"/>
    <w:rsid w:val="22D80949"/>
    <w:rsid w:val="22D857DA"/>
    <w:rsid w:val="22DD6A9B"/>
    <w:rsid w:val="22E442BA"/>
    <w:rsid w:val="22EC67E7"/>
    <w:rsid w:val="22ED1EB8"/>
    <w:rsid w:val="22ED57C7"/>
    <w:rsid w:val="22F039D3"/>
    <w:rsid w:val="22F04122"/>
    <w:rsid w:val="22F6750B"/>
    <w:rsid w:val="22F77771"/>
    <w:rsid w:val="22F946D8"/>
    <w:rsid w:val="23024D36"/>
    <w:rsid w:val="230B394A"/>
    <w:rsid w:val="230D65F5"/>
    <w:rsid w:val="231005F3"/>
    <w:rsid w:val="2316603F"/>
    <w:rsid w:val="23187D83"/>
    <w:rsid w:val="23196420"/>
    <w:rsid w:val="231B359B"/>
    <w:rsid w:val="231C26D3"/>
    <w:rsid w:val="231F55A5"/>
    <w:rsid w:val="232211B8"/>
    <w:rsid w:val="232739FC"/>
    <w:rsid w:val="23284A54"/>
    <w:rsid w:val="23300A50"/>
    <w:rsid w:val="233374F7"/>
    <w:rsid w:val="233705CC"/>
    <w:rsid w:val="23376093"/>
    <w:rsid w:val="233867FF"/>
    <w:rsid w:val="233C59E2"/>
    <w:rsid w:val="233D731C"/>
    <w:rsid w:val="233E5290"/>
    <w:rsid w:val="23413CFA"/>
    <w:rsid w:val="23430706"/>
    <w:rsid w:val="23441964"/>
    <w:rsid w:val="23476EA7"/>
    <w:rsid w:val="234A173B"/>
    <w:rsid w:val="234A5A76"/>
    <w:rsid w:val="234B0B6D"/>
    <w:rsid w:val="235704C6"/>
    <w:rsid w:val="235B5B3C"/>
    <w:rsid w:val="235D1103"/>
    <w:rsid w:val="23616D50"/>
    <w:rsid w:val="236173B7"/>
    <w:rsid w:val="23622275"/>
    <w:rsid w:val="2368755D"/>
    <w:rsid w:val="236A224D"/>
    <w:rsid w:val="23707C86"/>
    <w:rsid w:val="237A341A"/>
    <w:rsid w:val="237C0D59"/>
    <w:rsid w:val="237C737B"/>
    <w:rsid w:val="238405C6"/>
    <w:rsid w:val="238478BD"/>
    <w:rsid w:val="23860E63"/>
    <w:rsid w:val="2386150E"/>
    <w:rsid w:val="23864FDF"/>
    <w:rsid w:val="23877E7E"/>
    <w:rsid w:val="238F6029"/>
    <w:rsid w:val="239144A2"/>
    <w:rsid w:val="2394019C"/>
    <w:rsid w:val="23941AEC"/>
    <w:rsid w:val="239725F4"/>
    <w:rsid w:val="239A2804"/>
    <w:rsid w:val="239B4AFC"/>
    <w:rsid w:val="239C53BC"/>
    <w:rsid w:val="239D58B7"/>
    <w:rsid w:val="239E6966"/>
    <w:rsid w:val="23A8463F"/>
    <w:rsid w:val="23AC7AFE"/>
    <w:rsid w:val="23B07720"/>
    <w:rsid w:val="23B43CD7"/>
    <w:rsid w:val="23B64213"/>
    <w:rsid w:val="23B91226"/>
    <w:rsid w:val="23BA27DE"/>
    <w:rsid w:val="23C34120"/>
    <w:rsid w:val="23C63874"/>
    <w:rsid w:val="23C8004B"/>
    <w:rsid w:val="23C91D70"/>
    <w:rsid w:val="23D20794"/>
    <w:rsid w:val="23D64F2F"/>
    <w:rsid w:val="23D67638"/>
    <w:rsid w:val="23D82B57"/>
    <w:rsid w:val="23DF6BEE"/>
    <w:rsid w:val="23E16A1D"/>
    <w:rsid w:val="23E56159"/>
    <w:rsid w:val="23E819F4"/>
    <w:rsid w:val="23E87547"/>
    <w:rsid w:val="23EC289D"/>
    <w:rsid w:val="23F1684C"/>
    <w:rsid w:val="240651B1"/>
    <w:rsid w:val="240D2C42"/>
    <w:rsid w:val="240D609F"/>
    <w:rsid w:val="24114009"/>
    <w:rsid w:val="24175143"/>
    <w:rsid w:val="241E6D52"/>
    <w:rsid w:val="242048B3"/>
    <w:rsid w:val="24212B8E"/>
    <w:rsid w:val="242139C6"/>
    <w:rsid w:val="2426046D"/>
    <w:rsid w:val="24295334"/>
    <w:rsid w:val="242A4EF9"/>
    <w:rsid w:val="242A7E8E"/>
    <w:rsid w:val="242C5AB6"/>
    <w:rsid w:val="24321C95"/>
    <w:rsid w:val="24334CEE"/>
    <w:rsid w:val="243520B2"/>
    <w:rsid w:val="2439595B"/>
    <w:rsid w:val="243A0DB3"/>
    <w:rsid w:val="243B4162"/>
    <w:rsid w:val="243F2488"/>
    <w:rsid w:val="24414845"/>
    <w:rsid w:val="244475D4"/>
    <w:rsid w:val="244D4D13"/>
    <w:rsid w:val="244F054F"/>
    <w:rsid w:val="245461F0"/>
    <w:rsid w:val="24546DAF"/>
    <w:rsid w:val="245770A4"/>
    <w:rsid w:val="24592402"/>
    <w:rsid w:val="24647EF6"/>
    <w:rsid w:val="24650129"/>
    <w:rsid w:val="24694473"/>
    <w:rsid w:val="24696E09"/>
    <w:rsid w:val="246D672D"/>
    <w:rsid w:val="24743F91"/>
    <w:rsid w:val="24746353"/>
    <w:rsid w:val="24751AA7"/>
    <w:rsid w:val="2478113E"/>
    <w:rsid w:val="24781195"/>
    <w:rsid w:val="247C7132"/>
    <w:rsid w:val="248E08A7"/>
    <w:rsid w:val="2493236B"/>
    <w:rsid w:val="24990254"/>
    <w:rsid w:val="249A79A5"/>
    <w:rsid w:val="24A20E06"/>
    <w:rsid w:val="24A87D0B"/>
    <w:rsid w:val="24B55A17"/>
    <w:rsid w:val="24BE64F0"/>
    <w:rsid w:val="24C44971"/>
    <w:rsid w:val="24C46655"/>
    <w:rsid w:val="24C57E5A"/>
    <w:rsid w:val="24C83702"/>
    <w:rsid w:val="24CE2D3A"/>
    <w:rsid w:val="24D32D64"/>
    <w:rsid w:val="24D45A0C"/>
    <w:rsid w:val="24D505AF"/>
    <w:rsid w:val="24D817DA"/>
    <w:rsid w:val="24DE4E6D"/>
    <w:rsid w:val="24DE6605"/>
    <w:rsid w:val="24EA2FF3"/>
    <w:rsid w:val="24EA720B"/>
    <w:rsid w:val="24ED41C9"/>
    <w:rsid w:val="24EF49A1"/>
    <w:rsid w:val="24EF61E4"/>
    <w:rsid w:val="24F01202"/>
    <w:rsid w:val="24F05D4F"/>
    <w:rsid w:val="24F66064"/>
    <w:rsid w:val="24F71F9D"/>
    <w:rsid w:val="250004E8"/>
    <w:rsid w:val="2505290D"/>
    <w:rsid w:val="250555EF"/>
    <w:rsid w:val="250B193C"/>
    <w:rsid w:val="25102C1A"/>
    <w:rsid w:val="25122CFC"/>
    <w:rsid w:val="251A33D9"/>
    <w:rsid w:val="251C5460"/>
    <w:rsid w:val="252112AA"/>
    <w:rsid w:val="25212EE3"/>
    <w:rsid w:val="25295EF4"/>
    <w:rsid w:val="252E0CAE"/>
    <w:rsid w:val="253470C9"/>
    <w:rsid w:val="25366BCD"/>
    <w:rsid w:val="25377FF5"/>
    <w:rsid w:val="253F0489"/>
    <w:rsid w:val="25406088"/>
    <w:rsid w:val="254061F8"/>
    <w:rsid w:val="25470CC2"/>
    <w:rsid w:val="254908D9"/>
    <w:rsid w:val="254A30A5"/>
    <w:rsid w:val="254C3B48"/>
    <w:rsid w:val="25521F0E"/>
    <w:rsid w:val="2553570D"/>
    <w:rsid w:val="255C73B2"/>
    <w:rsid w:val="25672920"/>
    <w:rsid w:val="25675011"/>
    <w:rsid w:val="256833DD"/>
    <w:rsid w:val="256A2AD4"/>
    <w:rsid w:val="256B4E89"/>
    <w:rsid w:val="256D397E"/>
    <w:rsid w:val="257009BF"/>
    <w:rsid w:val="25725046"/>
    <w:rsid w:val="25731050"/>
    <w:rsid w:val="257A0C8D"/>
    <w:rsid w:val="2580489B"/>
    <w:rsid w:val="25835BC8"/>
    <w:rsid w:val="258B7CB2"/>
    <w:rsid w:val="258C7866"/>
    <w:rsid w:val="258E10F8"/>
    <w:rsid w:val="25915713"/>
    <w:rsid w:val="259233E9"/>
    <w:rsid w:val="25933610"/>
    <w:rsid w:val="25940BC9"/>
    <w:rsid w:val="25975342"/>
    <w:rsid w:val="259E3E0D"/>
    <w:rsid w:val="25A30A7F"/>
    <w:rsid w:val="25A81442"/>
    <w:rsid w:val="25B83088"/>
    <w:rsid w:val="25BA72D8"/>
    <w:rsid w:val="25C115C9"/>
    <w:rsid w:val="25C43FEA"/>
    <w:rsid w:val="25C54363"/>
    <w:rsid w:val="25C57C00"/>
    <w:rsid w:val="25C75828"/>
    <w:rsid w:val="25C92A60"/>
    <w:rsid w:val="25CC03ED"/>
    <w:rsid w:val="25D066B9"/>
    <w:rsid w:val="25D277B2"/>
    <w:rsid w:val="25D36D91"/>
    <w:rsid w:val="25D41636"/>
    <w:rsid w:val="25DA1079"/>
    <w:rsid w:val="25DE5DC4"/>
    <w:rsid w:val="25E27960"/>
    <w:rsid w:val="25E769DA"/>
    <w:rsid w:val="25E93B73"/>
    <w:rsid w:val="25EB0798"/>
    <w:rsid w:val="25F001CB"/>
    <w:rsid w:val="25F02E88"/>
    <w:rsid w:val="25F56215"/>
    <w:rsid w:val="25FB2527"/>
    <w:rsid w:val="25FC21A2"/>
    <w:rsid w:val="25FE5468"/>
    <w:rsid w:val="25FF4FC2"/>
    <w:rsid w:val="26075F41"/>
    <w:rsid w:val="2609030A"/>
    <w:rsid w:val="261710CC"/>
    <w:rsid w:val="261A2A22"/>
    <w:rsid w:val="261D1B41"/>
    <w:rsid w:val="261F7FB7"/>
    <w:rsid w:val="2620076E"/>
    <w:rsid w:val="262015B8"/>
    <w:rsid w:val="26243309"/>
    <w:rsid w:val="26257796"/>
    <w:rsid w:val="263A46CC"/>
    <w:rsid w:val="263E0FF7"/>
    <w:rsid w:val="263E70E1"/>
    <w:rsid w:val="2641121D"/>
    <w:rsid w:val="26420188"/>
    <w:rsid w:val="26472033"/>
    <w:rsid w:val="264A6666"/>
    <w:rsid w:val="26506D0C"/>
    <w:rsid w:val="265A1E86"/>
    <w:rsid w:val="266304CA"/>
    <w:rsid w:val="26641066"/>
    <w:rsid w:val="26655F86"/>
    <w:rsid w:val="266A0A09"/>
    <w:rsid w:val="266A23CF"/>
    <w:rsid w:val="266D3F00"/>
    <w:rsid w:val="26716FBF"/>
    <w:rsid w:val="26737BF3"/>
    <w:rsid w:val="267422AE"/>
    <w:rsid w:val="2674477F"/>
    <w:rsid w:val="26764D35"/>
    <w:rsid w:val="26784AD0"/>
    <w:rsid w:val="267A7F70"/>
    <w:rsid w:val="26807CD0"/>
    <w:rsid w:val="26841E47"/>
    <w:rsid w:val="2693642A"/>
    <w:rsid w:val="26987718"/>
    <w:rsid w:val="26A25362"/>
    <w:rsid w:val="26A5397A"/>
    <w:rsid w:val="26AB0238"/>
    <w:rsid w:val="26AC5F4B"/>
    <w:rsid w:val="26AD1BDE"/>
    <w:rsid w:val="26AE2C9C"/>
    <w:rsid w:val="26AE6A32"/>
    <w:rsid w:val="26AF73B1"/>
    <w:rsid w:val="26B02870"/>
    <w:rsid w:val="26B56274"/>
    <w:rsid w:val="26B67B07"/>
    <w:rsid w:val="26BA73A5"/>
    <w:rsid w:val="26BB40A1"/>
    <w:rsid w:val="26BD2704"/>
    <w:rsid w:val="26C1131F"/>
    <w:rsid w:val="26C56B80"/>
    <w:rsid w:val="26C66958"/>
    <w:rsid w:val="26C8270D"/>
    <w:rsid w:val="26CA4046"/>
    <w:rsid w:val="26CC2DEF"/>
    <w:rsid w:val="26CF3878"/>
    <w:rsid w:val="26D12A64"/>
    <w:rsid w:val="26D2242D"/>
    <w:rsid w:val="26D508DB"/>
    <w:rsid w:val="26D6301D"/>
    <w:rsid w:val="26D97129"/>
    <w:rsid w:val="26DE5A40"/>
    <w:rsid w:val="26E377C4"/>
    <w:rsid w:val="26F758BD"/>
    <w:rsid w:val="26F764FC"/>
    <w:rsid w:val="26F81685"/>
    <w:rsid w:val="26FB04E5"/>
    <w:rsid w:val="26FF02B3"/>
    <w:rsid w:val="270070A5"/>
    <w:rsid w:val="270243FA"/>
    <w:rsid w:val="27094DA8"/>
    <w:rsid w:val="270D015F"/>
    <w:rsid w:val="270D7CC6"/>
    <w:rsid w:val="270F61A6"/>
    <w:rsid w:val="27101C2C"/>
    <w:rsid w:val="27114153"/>
    <w:rsid w:val="27173ED0"/>
    <w:rsid w:val="27174CD1"/>
    <w:rsid w:val="271F22F1"/>
    <w:rsid w:val="272177C6"/>
    <w:rsid w:val="272867B5"/>
    <w:rsid w:val="272A0693"/>
    <w:rsid w:val="272D036F"/>
    <w:rsid w:val="273C20E6"/>
    <w:rsid w:val="274D1DCD"/>
    <w:rsid w:val="27526225"/>
    <w:rsid w:val="27595EA8"/>
    <w:rsid w:val="275F1F19"/>
    <w:rsid w:val="2764410D"/>
    <w:rsid w:val="276577BE"/>
    <w:rsid w:val="27697D21"/>
    <w:rsid w:val="276B2EA5"/>
    <w:rsid w:val="276E7DD8"/>
    <w:rsid w:val="277474E3"/>
    <w:rsid w:val="27781163"/>
    <w:rsid w:val="27836B72"/>
    <w:rsid w:val="27875514"/>
    <w:rsid w:val="2791674F"/>
    <w:rsid w:val="27993937"/>
    <w:rsid w:val="279F6ECA"/>
    <w:rsid w:val="27A06D93"/>
    <w:rsid w:val="27A118CE"/>
    <w:rsid w:val="27A60B6A"/>
    <w:rsid w:val="27B00065"/>
    <w:rsid w:val="27B738EA"/>
    <w:rsid w:val="27BB6C0C"/>
    <w:rsid w:val="27BF4CC7"/>
    <w:rsid w:val="27C14719"/>
    <w:rsid w:val="27C16525"/>
    <w:rsid w:val="27C44CE5"/>
    <w:rsid w:val="27C7249D"/>
    <w:rsid w:val="27C96289"/>
    <w:rsid w:val="27CD4619"/>
    <w:rsid w:val="27D4177D"/>
    <w:rsid w:val="27DD5EC7"/>
    <w:rsid w:val="27DD5F77"/>
    <w:rsid w:val="27E4040A"/>
    <w:rsid w:val="27E91DFC"/>
    <w:rsid w:val="27ED799B"/>
    <w:rsid w:val="27F11C47"/>
    <w:rsid w:val="27F356F1"/>
    <w:rsid w:val="28030022"/>
    <w:rsid w:val="280341A4"/>
    <w:rsid w:val="28052F63"/>
    <w:rsid w:val="28087CCB"/>
    <w:rsid w:val="280B2247"/>
    <w:rsid w:val="28117863"/>
    <w:rsid w:val="281260E7"/>
    <w:rsid w:val="28146DCB"/>
    <w:rsid w:val="2819672A"/>
    <w:rsid w:val="281B62F9"/>
    <w:rsid w:val="28214767"/>
    <w:rsid w:val="28266F31"/>
    <w:rsid w:val="28272A7A"/>
    <w:rsid w:val="28274878"/>
    <w:rsid w:val="282C13F0"/>
    <w:rsid w:val="28326983"/>
    <w:rsid w:val="283428E5"/>
    <w:rsid w:val="28384189"/>
    <w:rsid w:val="283B5B3C"/>
    <w:rsid w:val="283C252C"/>
    <w:rsid w:val="28431F56"/>
    <w:rsid w:val="284824CB"/>
    <w:rsid w:val="284B790F"/>
    <w:rsid w:val="28503927"/>
    <w:rsid w:val="2851209C"/>
    <w:rsid w:val="28523EF3"/>
    <w:rsid w:val="285861BD"/>
    <w:rsid w:val="28593127"/>
    <w:rsid w:val="285F37D9"/>
    <w:rsid w:val="286C09A1"/>
    <w:rsid w:val="286D1055"/>
    <w:rsid w:val="287203E2"/>
    <w:rsid w:val="2875284F"/>
    <w:rsid w:val="28764A20"/>
    <w:rsid w:val="287B41F3"/>
    <w:rsid w:val="287E068A"/>
    <w:rsid w:val="287E4103"/>
    <w:rsid w:val="288519C6"/>
    <w:rsid w:val="288775E7"/>
    <w:rsid w:val="28886994"/>
    <w:rsid w:val="28886E31"/>
    <w:rsid w:val="28890812"/>
    <w:rsid w:val="288B17DF"/>
    <w:rsid w:val="288B7DD3"/>
    <w:rsid w:val="289F6FCD"/>
    <w:rsid w:val="28AB200E"/>
    <w:rsid w:val="28AC28F1"/>
    <w:rsid w:val="28AE16B3"/>
    <w:rsid w:val="28B5479C"/>
    <w:rsid w:val="28B56234"/>
    <w:rsid w:val="28BA0F49"/>
    <w:rsid w:val="28BF233F"/>
    <w:rsid w:val="28C10895"/>
    <w:rsid w:val="28C157AB"/>
    <w:rsid w:val="28C226C2"/>
    <w:rsid w:val="28C37E2E"/>
    <w:rsid w:val="28C508D2"/>
    <w:rsid w:val="28C709EE"/>
    <w:rsid w:val="28C92AF9"/>
    <w:rsid w:val="28CA5EA4"/>
    <w:rsid w:val="28CF27A5"/>
    <w:rsid w:val="28D221F6"/>
    <w:rsid w:val="28D50188"/>
    <w:rsid w:val="28D56405"/>
    <w:rsid w:val="28DE3274"/>
    <w:rsid w:val="28DF76E7"/>
    <w:rsid w:val="28E14947"/>
    <w:rsid w:val="28E16C61"/>
    <w:rsid w:val="28E24B45"/>
    <w:rsid w:val="28E9594B"/>
    <w:rsid w:val="28EA2559"/>
    <w:rsid w:val="28EA3407"/>
    <w:rsid w:val="28EF12EC"/>
    <w:rsid w:val="28F3627C"/>
    <w:rsid w:val="28F53F63"/>
    <w:rsid w:val="28F711B7"/>
    <w:rsid w:val="28F956B7"/>
    <w:rsid w:val="28F976C5"/>
    <w:rsid w:val="28FA3375"/>
    <w:rsid w:val="28FB31F9"/>
    <w:rsid w:val="29063EDE"/>
    <w:rsid w:val="291B1555"/>
    <w:rsid w:val="291E3AF5"/>
    <w:rsid w:val="29214C6A"/>
    <w:rsid w:val="29240B78"/>
    <w:rsid w:val="292A0233"/>
    <w:rsid w:val="292A3AE8"/>
    <w:rsid w:val="29317088"/>
    <w:rsid w:val="293258FA"/>
    <w:rsid w:val="293314EC"/>
    <w:rsid w:val="29332C1E"/>
    <w:rsid w:val="29350E9B"/>
    <w:rsid w:val="293965EF"/>
    <w:rsid w:val="294D139F"/>
    <w:rsid w:val="294E65D8"/>
    <w:rsid w:val="29560747"/>
    <w:rsid w:val="295753F9"/>
    <w:rsid w:val="295838FA"/>
    <w:rsid w:val="295923E3"/>
    <w:rsid w:val="295F3CF4"/>
    <w:rsid w:val="29630BE7"/>
    <w:rsid w:val="296416C0"/>
    <w:rsid w:val="296A2122"/>
    <w:rsid w:val="296A3B2B"/>
    <w:rsid w:val="296A5CC3"/>
    <w:rsid w:val="296D1768"/>
    <w:rsid w:val="297A1755"/>
    <w:rsid w:val="29835BD0"/>
    <w:rsid w:val="29871A1D"/>
    <w:rsid w:val="298B760D"/>
    <w:rsid w:val="298C45E3"/>
    <w:rsid w:val="298F0673"/>
    <w:rsid w:val="298F311D"/>
    <w:rsid w:val="2991416A"/>
    <w:rsid w:val="2992453E"/>
    <w:rsid w:val="29941109"/>
    <w:rsid w:val="299B43C8"/>
    <w:rsid w:val="29A5286D"/>
    <w:rsid w:val="29A57B07"/>
    <w:rsid w:val="29AD5621"/>
    <w:rsid w:val="29AE37A2"/>
    <w:rsid w:val="29B619F0"/>
    <w:rsid w:val="29B64BD9"/>
    <w:rsid w:val="29B66DD6"/>
    <w:rsid w:val="29B77F0F"/>
    <w:rsid w:val="29BA0D42"/>
    <w:rsid w:val="29BB3936"/>
    <w:rsid w:val="29BD090F"/>
    <w:rsid w:val="29BD45AD"/>
    <w:rsid w:val="29C6745D"/>
    <w:rsid w:val="29C759F8"/>
    <w:rsid w:val="29C86AD8"/>
    <w:rsid w:val="29D007C8"/>
    <w:rsid w:val="29D31488"/>
    <w:rsid w:val="29D71CDB"/>
    <w:rsid w:val="29E25845"/>
    <w:rsid w:val="29E35453"/>
    <w:rsid w:val="29E73DD3"/>
    <w:rsid w:val="29EB76BB"/>
    <w:rsid w:val="29ED6545"/>
    <w:rsid w:val="29F92CD2"/>
    <w:rsid w:val="29FE6133"/>
    <w:rsid w:val="29FF37CC"/>
    <w:rsid w:val="2A0655A8"/>
    <w:rsid w:val="2A0A1EAE"/>
    <w:rsid w:val="2A196FC6"/>
    <w:rsid w:val="2A247D58"/>
    <w:rsid w:val="2A2877A6"/>
    <w:rsid w:val="2A2D4197"/>
    <w:rsid w:val="2A30087C"/>
    <w:rsid w:val="2A351560"/>
    <w:rsid w:val="2A367372"/>
    <w:rsid w:val="2A3A227A"/>
    <w:rsid w:val="2A3F68BF"/>
    <w:rsid w:val="2A413EE2"/>
    <w:rsid w:val="2A425812"/>
    <w:rsid w:val="2A483AF2"/>
    <w:rsid w:val="2A483F76"/>
    <w:rsid w:val="2A4A25F6"/>
    <w:rsid w:val="2A4A660E"/>
    <w:rsid w:val="2A4B6AF8"/>
    <w:rsid w:val="2A4F2D3C"/>
    <w:rsid w:val="2A516812"/>
    <w:rsid w:val="2A5208C5"/>
    <w:rsid w:val="2A536C3B"/>
    <w:rsid w:val="2A580A45"/>
    <w:rsid w:val="2A5D7A2B"/>
    <w:rsid w:val="2A6877F1"/>
    <w:rsid w:val="2A6C435E"/>
    <w:rsid w:val="2A7006C3"/>
    <w:rsid w:val="2A786766"/>
    <w:rsid w:val="2A7B1821"/>
    <w:rsid w:val="2A84315F"/>
    <w:rsid w:val="2A891AB7"/>
    <w:rsid w:val="2A8F6DF3"/>
    <w:rsid w:val="2A931C8B"/>
    <w:rsid w:val="2AA47647"/>
    <w:rsid w:val="2AA57E57"/>
    <w:rsid w:val="2AA62C73"/>
    <w:rsid w:val="2AAB2DF3"/>
    <w:rsid w:val="2AB7463E"/>
    <w:rsid w:val="2AB8002A"/>
    <w:rsid w:val="2ABE3320"/>
    <w:rsid w:val="2AC174F3"/>
    <w:rsid w:val="2AC4370B"/>
    <w:rsid w:val="2AC72622"/>
    <w:rsid w:val="2ACD2DBF"/>
    <w:rsid w:val="2AD741D0"/>
    <w:rsid w:val="2AD86EEE"/>
    <w:rsid w:val="2ADE1687"/>
    <w:rsid w:val="2AE22FC8"/>
    <w:rsid w:val="2AE71B3E"/>
    <w:rsid w:val="2AEF5D62"/>
    <w:rsid w:val="2AF514D0"/>
    <w:rsid w:val="2AF56A9D"/>
    <w:rsid w:val="2AFC5A99"/>
    <w:rsid w:val="2B0524F8"/>
    <w:rsid w:val="2B0730EF"/>
    <w:rsid w:val="2B0A2C81"/>
    <w:rsid w:val="2B1D1FF9"/>
    <w:rsid w:val="2B1D6CF5"/>
    <w:rsid w:val="2B1F59F1"/>
    <w:rsid w:val="2B236E69"/>
    <w:rsid w:val="2B2617FE"/>
    <w:rsid w:val="2B2756D8"/>
    <w:rsid w:val="2B2A5640"/>
    <w:rsid w:val="2B2F756D"/>
    <w:rsid w:val="2B396357"/>
    <w:rsid w:val="2B3A1295"/>
    <w:rsid w:val="2B4252EA"/>
    <w:rsid w:val="2B4376C4"/>
    <w:rsid w:val="2B471C93"/>
    <w:rsid w:val="2B4A3EE0"/>
    <w:rsid w:val="2B4C5F4B"/>
    <w:rsid w:val="2B4E5C5A"/>
    <w:rsid w:val="2B540B63"/>
    <w:rsid w:val="2B5801B9"/>
    <w:rsid w:val="2B580565"/>
    <w:rsid w:val="2B5831A7"/>
    <w:rsid w:val="2B62309E"/>
    <w:rsid w:val="2B636B27"/>
    <w:rsid w:val="2B645242"/>
    <w:rsid w:val="2B66367C"/>
    <w:rsid w:val="2B7316DF"/>
    <w:rsid w:val="2B747518"/>
    <w:rsid w:val="2B747745"/>
    <w:rsid w:val="2B750CAC"/>
    <w:rsid w:val="2B7C0316"/>
    <w:rsid w:val="2B835A2B"/>
    <w:rsid w:val="2B8448EE"/>
    <w:rsid w:val="2B8C2B4D"/>
    <w:rsid w:val="2B951887"/>
    <w:rsid w:val="2B9815FB"/>
    <w:rsid w:val="2B9E75DD"/>
    <w:rsid w:val="2BA21CC1"/>
    <w:rsid w:val="2BA6465C"/>
    <w:rsid w:val="2BA669BB"/>
    <w:rsid w:val="2BA81713"/>
    <w:rsid w:val="2BAA3948"/>
    <w:rsid w:val="2BAC7A8E"/>
    <w:rsid w:val="2BB04D09"/>
    <w:rsid w:val="2BB34526"/>
    <w:rsid w:val="2BB97C8A"/>
    <w:rsid w:val="2BBC46E2"/>
    <w:rsid w:val="2BBE72FF"/>
    <w:rsid w:val="2BC2408E"/>
    <w:rsid w:val="2BC36619"/>
    <w:rsid w:val="2BC52DBE"/>
    <w:rsid w:val="2BCC561F"/>
    <w:rsid w:val="2BCE4764"/>
    <w:rsid w:val="2BCF7C14"/>
    <w:rsid w:val="2BD14161"/>
    <w:rsid w:val="2BD4038D"/>
    <w:rsid w:val="2BD96BC3"/>
    <w:rsid w:val="2BDA161A"/>
    <w:rsid w:val="2BDB7BF5"/>
    <w:rsid w:val="2BDE4981"/>
    <w:rsid w:val="2BE265F6"/>
    <w:rsid w:val="2BE37612"/>
    <w:rsid w:val="2BE546B0"/>
    <w:rsid w:val="2BED0ADA"/>
    <w:rsid w:val="2BF12864"/>
    <w:rsid w:val="2BF477E2"/>
    <w:rsid w:val="2BF66FE8"/>
    <w:rsid w:val="2BF927E8"/>
    <w:rsid w:val="2BFB74C8"/>
    <w:rsid w:val="2BFC2290"/>
    <w:rsid w:val="2BFD3AE0"/>
    <w:rsid w:val="2BFF1D58"/>
    <w:rsid w:val="2C040DE5"/>
    <w:rsid w:val="2C05467A"/>
    <w:rsid w:val="2C1437DF"/>
    <w:rsid w:val="2C162735"/>
    <w:rsid w:val="2C191E3A"/>
    <w:rsid w:val="2C1D51FB"/>
    <w:rsid w:val="2C1F30F2"/>
    <w:rsid w:val="2C232A9A"/>
    <w:rsid w:val="2C276D63"/>
    <w:rsid w:val="2C292B5E"/>
    <w:rsid w:val="2C2972E1"/>
    <w:rsid w:val="2C2C75B0"/>
    <w:rsid w:val="2C2E0A2C"/>
    <w:rsid w:val="2C2E0B41"/>
    <w:rsid w:val="2C2E4598"/>
    <w:rsid w:val="2C3C44BD"/>
    <w:rsid w:val="2C3D57B9"/>
    <w:rsid w:val="2C3F7895"/>
    <w:rsid w:val="2C444C5E"/>
    <w:rsid w:val="2C551812"/>
    <w:rsid w:val="2C64531D"/>
    <w:rsid w:val="2C6603B9"/>
    <w:rsid w:val="2C6A62FB"/>
    <w:rsid w:val="2C7025AB"/>
    <w:rsid w:val="2C7357C5"/>
    <w:rsid w:val="2C765FCF"/>
    <w:rsid w:val="2C770E22"/>
    <w:rsid w:val="2C7B4E67"/>
    <w:rsid w:val="2C7C6EE5"/>
    <w:rsid w:val="2C7D3BA3"/>
    <w:rsid w:val="2C876AC3"/>
    <w:rsid w:val="2C8B71D0"/>
    <w:rsid w:val="2C8D044F"/>
    <w:rsid w:val="2C99167E"/>
    <w:rsid w:val="2CA514E5"/>
    <w:rsid w:val="2CAC69F3"/>
    <w:rsid w:val="2CB16DED"/>
    <w:rsid w:val="2CB40533"/>
    <w:rsid w:val="2CB864B8"/>
    <w:rsid w:val="2CBB5B79"/>
    <w:rsid w:val="2CBC6452"/>
    <w:rsid w:val="2CC01CE7"/>
    <w:rsid w:val="2CC95E94"/>
    <w:rsid w:val="2CD070AF"/>
    <w:rsid w:val="2CD57C54"/>
    <w:rsid w:val="2CD73224"/>
    <w:rsid w:val="2CDA1FB1"/>
    <w:rsid w:val="2CDC785A"/>
    <w:rsid w:val="2CDD4CD5"/>
    <w:rsid w:val="2CE021DE"/>
    <w:rsid w:val="2CE42C53"/>
    <w:rsid w:val="2CE5559B"/>
    <w:rsid w:val="2CEA5BB4"/>
    <w:rsid w:val="2CEA7A50"/>
    <w:rsid w:val="2CEC4C18"/>
    <w:rsid w:val="2CEF2AFB"/>
    <w:rsid w:val="2CF12917"/>
    <w:rsid w:val="2CF87A97"/>
    <w:rsid w:val="2CF94FBD"/>
    <w:rsid w:val="2CF97C66"/>
    <w:rsid w:val="2D046E80"/>
    <w:rsid w:val="2D0A2A06"/>
    <w:rsid w:val="2D0D3E1E"/>
    <w:rsid w:val="2D160FC7"/>
    <w:rsid w:val="2D164CC2"/>
    <w:rsid w:val="2D185BA0"/>
    <w:rsid w:val="2D1B0CC6"/>
    <w:rsid w:val="2D1B0EDA"/>
    <w:rsid w:val="2D1B1791"/>
    <w:rsid w:val="2D201758"/>
    <w:rsid w:val="2D293E4C"/>
    <w:rsid w:val="2D2A4271"/>
    <w:rsid w:val="2D2E5F81"/>
    <w:rsid w:val="2D2F7FB9"/>
    <w:rsid w:val="2D32146F"/>
    <w:rsid w:val="2D326E9C"/>
    <w:rsid w:val="2D343574"/>
    <w:rsid w:val="2D344332"/>
    <w:rsid w:val="2D3650A4"/>
    <w:rsid w:val="2D377DCC"/>
    <w:rsid w:val="2D3D6059"/>
    <w:rsid w:val="2D3E409D"/>
    <w:rsid w:val="2D400006"/>
    <w:rsid w:val="2D4A1869"/>
    <w:rsid w:val="2D516E02"/>
    <w:rsid w:val="2D5513B1"/>
    <w:rsid w:val="2D5F4D87"/>
    <w:rsid w:val="2D697465"/>
    <w:rsid w:val="2D6A578C"/>
    <w:rsid w:val="2D6E3549"/>
    <w:rsid w:val="2D77679E"/>
    <w:rsid w:val="2D7864E0"/>
    <w:rsid w:val="2D796B63"/>
    <w:rsid w:val="2D7B546A"/>
    <w:rsid w:val="2D7B58F0"/>
    <w:rsid w:val="2D7B5973"/>
    <w:rsid w:val="2D7E05F4"/>
    <w:rsid w:val="2D7F401F"/>
    <w:rsid w:val="2D7F4E43"/>
    <w:rsid w:val="2D8025AF"/>
    <w:rsid w:val="2D8116EE"/>
    <w:rsid w:val="2D846B80"/>
    <w:rsid w:val="2D870F25"/>
    <w:rsid w:val="2D8A48C7"/>
    <w:rsid w:val="2D8A5825"/>
    <w:rsid w:val="2D8D46B6"/>
    <w:rsid w:val="2D915B11"/>
    <w:rsid w:val="2DA00AAA"/>
    <w:rsid w:val="2DA07DFB"/>
    <w:rsid w:val="2DA741C3"/>
    <w:rsid w:val="2DAA4443"/>
    <w:rsid w:val="2DAA7C45"/>
    <w:rsid w:val="2DB51F4D"/>
    <w:rsid w:val="2DB5547E"/>
    <w:rsid w:val="2DB8706A"/>
    <w:rsid w:val="2DBA0EFD"/>
    <w:rsid w:val="2DBC6212"/>
    <w:rsid w:val="2DC037D6"/>
    <w:rsid w:val="2DCC71C7"/>
    <w:rsid w:val="2DD322DC"/>
    <w:rsid w:val="2DD50086"/>
    <w:rsid w:val="2DD749F1"/>
    <w:rsid w:val="2DE0681B"/>
    <w:rsid w:val="2DF32DEE"/>
    <w:rsid w:val="2DF41F7F"/>
    <w:rsid w:val="2DF44E20"/>
    <w:rsid w:val="2DF860A2"/>
    <w:rsid w:val="2DFC3BA7"/>
    <w:rsid w:val="2E00366C"/>
    <w:rsid w:val="2E0051F2"/>
    <w:rsid w:val="2E014012"/>
    <w:rsid w:val="2E030549"/>
    <w:rsid w:val="2E034758"/>
    <w:rsid w:val="2E07192D"/>
    <w:rsid w:val="2E07424B"/>
    <w:rsid w:val="2E0762D4"/>
    <w:rsid w:val="2E083A49"/>
    <w:rsid w:val="2E083D12"/>
    <w:rsid w:val="2E0B06FE"/>
    <w:rsid w:val="2E0B205B"/>
    <w:rsid w:val="2E12164B"/>
    <w:rsid w:val="2E122FCD"/>
    <w:rsid w:val="2E193D77"/>
    <w:rsid w:val="2E1A1EAD"/>
    <w:rsid w:val="2E1B41F5"/>
    <w:rsid w:val="2E1C6587"/>
    <w:rsid w:val="2E264E03"/>
    <w:rsid w:val="2E275617"/>
    <w:rsid w:val="2E2A5F68"/>
    <w:rsid w:val="2E2B2C4C"/>
    <w:rsid w:val="2E2D79B4"/>
    <w:rsid w:val="2E2E47D3"/>
    <w:rsid w:val="2E323979"/>
    <w:rsid w:val="2E3606CF"/>
    <w:rsid w:val="2E3E7F6D"/>
    <w:rsid w:val="2E4334C2"/>
    <w:rsid w:val="2E475956"/>
    <w:rsid w:val="2E4F0E6B"/>
    <w:rsid w:val="2E4F2185"/>
    <w:rsid w:val="2E4F5C6B"/>
    <w:rsid w:val="2E504040"/>
    <w:rsid w:val="2E5F190E"/>
    <w:rsid w:val="2E610313"/>
    <w:rsid w:val="2E654179"/>
    <w:rsid w:val="2E6E65CD"/>
    <w:rsid w:val="2E6F7E40"/>
    <w:rsid w:val="2E76689D"/>
    <w:rsid w:val="2E805C23"/>
    <w:rsid w:val="2E85376A"/>
    <w:rsid w:val="2E881D3D"/>
    <w:rsid w:val="2E8A3DFF"/>
    <w:rsid w:val="2E8C6A7B"/>
    <w:rsid w:val="2E8E621E"/>
    <w:rsid w:val="2E8F0B7E"/>
    <w:rsid w:val="2E905F17"/>
    <w:rsid w:val="2E9618CE"/>
    <w:rsid w:val="2E96454B"/>
    <w:rsid w:val="2E9A43E8"/>
    <w:rsid w:val="2E9B336E"/>
    <w:rsid w:val="2E9B69F6"/>
    <w:rsid w:val="2E9F5FAD"/>
    <w:rsid w:val="2E9F7865"/>
    <w:rsid w:val="2EA97D36"/>
    <w:rsid w:val="2EAF1C3C"/>
    <w:rsid w:val="2EB05A04"/>
    <w:rsid w:val="2EB15CD5"/>
    <w:rsid w:val="2EB30760"/>
    <w:rsid w:val="2EB3178E"/>
    <w:rsid w:val="2EB949A8"/>
    <w:rsid w:val="2EC12210"/>
    <w:rsid w:val="2EC560DF"/>
    <w:rsid w:val="2ECA1535"/>
    <w:rsid w:val="2ECB59CC"/>
    <w:rsid w:val="2ECF5E4A"/>
    <w:rsid w:val="2ED534F2"/>
    <w:rsid w:val="2ED97B74"/>
    <w:rsid w:val="2EDC0E8F"/>
    <w:rsid w:val="2EE25A9B"/>
    <w:rsid w:val="2EE44CB5"/>
    <w:rsid w:val="2EE60AF3"/>
    <w:rsid w:val="2EE7513A"/>
    <w:rsid w:val="2EE83179"/>
    <w:rsid w:val="2EE86918"/>
    <w:rsid w:val="2EF369B1"/>
    <w:rsid w:val="2EF4036B"/>
    <w:rsid w:val="2EF549E2"/>
    <w:rsid w:val="2EF97B32"/>
    <w:rsid w:val="2EFD2346"/>
    <w:rsid w:val="2EFE3840"/>
    <w:rsid w:val="2F015566"/>
    <w:rsid w:val="2F057B17"/>
    <w:rsid w:val="2F067C1D"/>
    <w:rsid w:val="2F087EEA"/>
    <w:rsid w:val="2F1175FA"/>
    <w:rsid w:val="2F1401B3"/>
    <w:rsid w:val="2F155733"/>
    <w:rsid w:val="2F1868CC"/>
    <w:rsid w:val="2F1F2327"/>
    <w:rsid w:val="2F2235FE"/>
    <w:rsid w:val="2F266B92"/>
    <w:rsid w:val="2F334843"/>
    <w:rsid w:val="2F337D3B"/>
    <w:rsid w:val="2F382AC9"/>
    <w:rsid w:val="2F3C3415"/>
    <w:rsid w:val="2F3E1858"/>
    <w:rsid w:val="2F3E1FF1"/>
    <w:rsid w:val="2F3F2BEF"/>
    <w:rsid w:val="2F3F7EB6"/>
    <w:rsid w:val="2F410A6E"/>
    <w:rsid w:val="2F411662"/>
    <w:rsid w:val="2F434400"/>
    <w:rsid w:val="2F44619A"/>
    <w:rsid w:val="2F541753"/>
    <w:rsid w:val="2F5904AE"/>
    <w:rsid w:val="2F594199"/>
    <w:rsid w:val="2F601B9E"/>
    <w:rsid w:val="2F6370FF"/>
    <w:rsid w:val="2F647C80"/>
    <w:rsid w:val="2F681D80"/>
    <w:rsid w:val="2F696B93"/>
    <w:rsid w:val="2F6A5D3C"/>
    <w:rsid w:val="2F6C650E"/>
    <w:rsid w:val="2F737DF9"/>
    <w:rsid w:val="2F763683"/>
    <w:rsid w:val="2F785489"/>
    <w:rsid w:val="2F793755"/>
    <w:rsid w:val="2F7D7A4C"/>
    <w:rsid w:val="2F7E6A6B"/>
    <w:rsid w:val="2F8E7DCF"/>
    <w:rsid w:val="2F8F68F9"/>
    <w:rsid w:val="2F904B92"/>
    <w:rsid w:val="2F94233F"/>
    <w:rsid w:val="2F967FD6"/>
    <w:rsid w:val="2F9D3BE7"/>
    <w:rsid w:val="2FA85991"/>
    <w:rsid w:val="2FB26270"/>
    <w:rsid w:val="2FB572C0"/>
    <w:rsid w:val="2FBE04A8"/>
    <w:rsid w:val="2FC15E4E"/>
    <w:rsid w:val="2FC26139"/>
    <w:rsid w:val="2FC43226"/>
    <w:rsid w:val="2FC43F0A"/>
    <w:rsid w:val="2FDA02A9"/>
    <w:rsid w:val="2FDD2CEF"/>
    <w:rsid w:val="2FDD7CE1"/>
    <w:rsid w:val="2FE01C9E"/>
    <w:rsid w:val="2FE20BC5"/>
    <w:rsid w:val="2FE3350F"/>
    <w:rsid w:val="2FED6787"/>
    <w:rsid w:val="2FF15810"/>
    <w:rsid w:val="2FF42AF9"/>
    <w:rsid w:val="2FF5278D"/>
    <w:rsid w:val="2FF96D82"/>
    <w:rsid w:val="2FFC1C45"/>
    <w:rsid w:val="2FFC2DFA"/>
    <w:rsid w:val="2FFC7513"/>
    <w:rsid w:val="2FFD44DA"/>
    <w:rsid w:val="2FFE6FDF"/>
    <w:rsid w:val="2FFE7F5E"/>
    <w:rsid w:val="300260E2"/>
    <w:rsid w:val="30086917"/>
    <w:rsid w:val="300B312D"/>
    <w:rsid w:val="300D2244"/>
    <w:rsid w:val="300D3C15"/>
    <w:rsid w:val="300E779D"/>
    <w:rsid w:val="30110CC3"/>
    <w:rsid w:val="302313E5"/>
    <w:rsid w:val="302716BC"/>
    <w:rsid w:val="302C6806"/>
    <w:rsid w:val="302E158B"/>
    <w:rsid w:val="30304BC2"/>
    <w:rsid w:val="30306875"/>
    <w:rsid w:val="30314C48"/>
    <w:rsid w:val="303873DC"/>
    <w:rsid w:val="303914D6"/>
    <w:rsid w:val="303C7903"/>
    <w:rsid w:val="304723D0"/>
    <w:rsid w:val="304A5337"/>
    <w:rsid w:val="304E4A8E"/>
    <w:rsid w:val="3052394E"/>
    <w:rsid w:val="30523ED4"/>
    <w:rsid w:val="30537BFE"/>
    <w:rsid w:val="305839E4"/>
    <w:rsid w:val="30583FC1"/>
    <w:rsid w:val="3062643F"/>
    <w:rsid w:val="30665A97"/>
    <w:rsid w:val="3067278C"/>
    <w:rsid w:val="306B14C0"/>
    <w:rsid w:val="306E1CDB"/>
    <w:rsid w:val="306F711D"/>
    <w:rsid w:val="3070733D"/>
    <w:rsid w:val="30763308"/>
    <w:rsid w:val="30786DAF"/>
    <w:rsid w:val="307A4C12"/>
    <w:rsid w:val="307A5336"/>
    <w:rsid w:val="307C65CF"/>
    <w:rsid w:val="307D317A"/>
    <w:rsid w:val="30867B59"/>
    <w:rsid w:val="30907420"/>
    <w:rsid w:val="30920344"/>
    <w:rsid w:val="309267FE"/>
    <w:rsid w:val="30945070"/>
    <w:rsid w:val="30952E8D"/>
    <w:rsid w:val="309A58AF"/>
    <w:rsid w:val="309B7798"/>
    <w:rsid w:val="309D6771"/>
    <w:rsid w:val="309F1AAF"/>
    <w:rsid w:val="30A1777E"/>
    <w:rsid w:val="30A3336B"/>
    <w:rsid w:val="30A62CBA"/>
    <w:rsid w:val="30A71681"/>
    <w:rsid w:val="30AD09AC"/>
    <w:rsid w:val="30AE2B0B"/>
    <w:rsid w:val="30AF1D90"/>
    <w:rsid w:val="30B05606"/>
    <w:rsid w:val="30B06012"/>
    <w:rsid w:val="30B645D8"/>
    <w:rsid w:val="30B708C1"/>
    <w:rsid w:val="30B75856"/>
    <w:rsid w:val="30BF5662"/>
    <w:rsid w:val="30C21187"/>
    <w:rsid w:val="30CE2EC1"/>
    <w:rsid w:val="30D110CD"/>
    <w:rsid w:val="30D74A0C"/>
    <w:rsid w:val="30DD3EC0"/>
    <w:rsid w:val="30E06065"/>
    <w:rsid w:val="30E10E50"/>
    <w:rsid w:val="30E827FB"/>
    <w:rsid w:val="30E91CE1"/>
    <w:rsid w:val="30EA1C2A"/>
    <w:rsid w:val="30EB4372"/>
    <w:rsid w:val="30EF332F"/>
    <w:rsid w:val="30EF7BB9"/>
    <w:rsid w:val="30F05989"/>
    <w:rsid w:val="30F629D4"/>
    <w:rsid w:val="30F64902"/>
    <w:rsid w:val="30FC6CF5"/>
    <w:rsid w:val="310071BD"/>
    <w:rsid w:val="3103143B"/>
    <w:rsid w:val="31066705"/>
    <w:rsid w:val="31080B43"/>
    <w:rsid w:val="3108299F"/>
    <w:rsid w:val="31094529"/>
    <w:rsid w:val="310A5D47"/>
    <w:rsid w:val="311777A8"/>
    <w:rsid w:val="311B1B3A"/>
    <w:rsid w:val="311C7A46"/>
    <w:rsid w:val="3123075B"/>
    <w:rsid w:val="31256AA5"/>
    <w:rsid w:val="312A22FB"/>
    <w:rsid w:val="312E2923"/>
    <w:rsid w:val="31343C2B"/>
    <w:rsid w:val="31391DD5"/>
    <w:rsid w:val="313C6F30"/>
    <w:rsid w:val="31420625"/>
    <w:rsid w:val="314333C8"/>
    <w:rsid w:val="314637F4"/>
    <w:rsid w:val="3149043F"/>
    <w:rsid w:val="31496AD4"/>
    <w:rsid w:val="314F0CA7"/>
    <w:rsid w:val="3150133D"/>
    <w:rsid w:val="3151714B"/>
    <w:rsid w:val="315B7CD1"/>
    <w:rsid w:val="315D4F46"/>
    <w:rsid w:val="315E0562"/>
    <w:rsid w:val="315E700A"/>
    <w:rsid w:val="31647939"/>
    <w:rsid w:val="31653D42"/>
    <w:rsid w:val="3167061E"/>
    <w:rsid w:val="316940A2"/>
    <w:rsid w:val="316D6021"/>
    <w:rsid w:val="316E74D8"/>
    <w:rsid w:val="316F71C3"/>
    <w:rsid w:val="31751AD8"/>
    <w:rsid w:val="317C065D"/>
    <w:rsid w:val="317C789A"/>
    <w:rsid w:val="317E2A13"/>
    <w:rsid w:val="318033CD"/>
    <w:rsid w:val="3180643C"/>
    <w:rsid w:val="3187220F"/>
    <w:rsid w:val="318A78D4"/>
    <w:rsid w:val="318B0545"/>
    <w:rsid w:val="31912DCB"/>
    <w:rsid w:val="3196503A"/>
    <w:rsid w:val="319710B5"/>
    <w:rsid w:val="319C1468"/>
    <w:rsid w:val="319D44C6"/>
    <w:rsid w:val="319D4F47"/>
    <w:rsid w:val="319F7BC1"/>
    <w:rsid w:val="31A1409B"/>
    <w:rsid w:val="31A31A41"/>
    <w:rsid w:val="31A519C7"/>
    <w:rsid w:val="31A60DAE"/>
    <w:rsid w:val="31A644AD"/>
    <w:rsid w:val="31A96825"/>
    <w:rsid w:val="31AB17F6"/>
    <w:rsid w:val="31AE1C77"/>
    <w:rsid w:val="31B26C96"/>
    <w:rsid w:val="31B40A94"/>
    <w:rsid w:val="31B52C1D"/>
    <w:rsid w:val="31B60BA5"/>
    <w:rsid w:val="31BE1039"/>
    <w:rsid w:val="31BF494F"/>
    <w:rsid w:val="31C06161"/>
    <w:rsid w:val="31C2261C"/>
    <w:rsid w:val="31C453BC"/>
    <w:rsid w:val="31C92024"/>
    <w:rsid w:val="31D0276C"/>
    <w:rsid w:val="31D30E51"/>
    <w:rsid w:val="31D32966"/>
    <w:rsid w:val="31DE10EA"/>
    <w:rsid w:val="31DF3B12"/>
    <w:rsid w:val="31E17F19"/>
    <w:rsid w:val="31E8718B"/>
    <w:rsid w:val="31E92C6C"/>
    <w:rsid w:val="31F011F1"/>
    <w:rsid w:val="31F13C23"/>
    <w:rsid w:val="31F64E96"/>
    <w:rsid w:val="31F65222"/>
    <w:rsid w:val="31F701FC"/>
    <w:rsid w:val="31FC7CFF"/>
    <w:rsid w:val="31FF7D4B"/>
    <w:rsid w:val="320204FE"/>
    <w:rsid w:val="320310AC"/>
    <w:rsid w:val="320E1F60"/>
    <w:rsid w:val="320F6A40"/>
    <w:rsid w:val="321570AF"/>
    <w:rsid w:val="321E2C39"/>
    <w:rsid w:val="321E5E17"/>
    <w:rsid w:val="32365B35"/>
    <w:rsid w:val="323838AE"/>
    <w:rsid w:val="323924A0"/>
    <w:rsid w:val="32423DA3"/>
    <w:rsid w:val="324529CA"/>
    <w:rsid w:val="324C40C8"/>
    <w:rsid w:val="324D55D8"/>
    <w:rsid w:val="32535258"/>
    <w:rsid w:val="325B786D"/>
    <w:rsid w:val="325F6A8D"/>
    <w:rsid w:val="326D4C91"/>
    <w:rsid w:val="32713B8D"/>
    <w:rsid w:val="32714F3A"/>
    <w:rsid w:val="32757464"/>
    <w:rsid w:val="32782AA0"/>
    <w:rsid w:val="32785806"/>
    <w:rsid w:val="327F2325"/>
    <w:rsid w:val="32812D49"/>
    <w:rsid w:val="32863B87"/>
    <w:rsid w:val="32920DAB"/>
    <w:rsid w:val="329863D0"/>
    <w:rsid w:val="329B5909"/>
    <w:rsid w:val="329D6268"/>
    <w:rsid w:val="32A0225D"/>
    <w:rsid w:val="32A66C5F"/>
    <w:rsid w:val="32A67E18"/>
    <w:rsid w:val="32AB4FA6"/>
    <w:rsid w:val="32AC4E9C"/>
    <w:rsid w:val="32AD130E"/>
    <w:rsid w:val="32AE5DFD"/>
    <w:rsid w:val="32B173F1"/>
    <w:rsid w:val="32B42647"/>
    <w:rsid w:val="32B7789D"/>
    <w:rsid w:val="32B86ECD"/>
    <w:rsid w:val="32B954DB"/>
    <w:rsid w:val="32C00884"/>
    <w:rsid w:val="32C21E26"/>
    <w:rsid w:val="32C92FE5"/>
    <w:rsid w:val="32CB0F87"/>
    <w:rsid w:val="32CF4183"/>
    <w:rsid w:val="32D13AE4"/>
    <w:rsid w:val="32D311BD"/>
    <w:rsid w:val="32D56EC7"/>
    <w:rsid w:val="32D81767"/>
    <w:rsid w:val="32DB4C62"/>
    <w:rsid w:val="32DF7747"/>
    <w:rsid w:val="32E336F3"/>
    <w:rsid w:val="32E75161"/>
    <w:rsid w:val="32EE2B5F"/>
    <w:rsid w:val="32F0017E"/>
    <w:rsid w:val="32F25611"/>
    <w:rsid w:val="32F40AD5"/>
    <w:rsid w:val="33034AD8"/>
    <w:rsid w:val="330B21C2"/>
    <w:rsid w:val="330F45F7"/>
    <w:rsid w:val="330F4EC7"/>
    <w:rsid w:val="33157961"/>
    <w:rsid w:val="33166257"/>
    <w:rsid w:val="33194361"/>
    <w:rsid w:val="331D6F61"/>
    <w:rsid w:val="33222C78"/>
    <w:rsid w:val="332573F0"/>
    <w:rsid w:val="33263E2A"/>
    <w:rsid w:val="33273B20"/>
    <w:rsid w:val="33287C76"/>
    <w:rsid w:val="33294255"/>
    <w:rsid w:val="333132BC"/>
    <w:rsid w:val="33356CCF"/>
    <w:rsid w:val="33367495"/>
    <w:rsid w:val="333705B3"/>
    <w:rsid w:val="33416B1D"/>
    <w:rsid w:val="33435CD1"/>
    <w:rsid w:val="33463F31"/>
    <w:rsid w:val="334C418B"/>
    <w:rsid w:val="335755E4"/>
    <w:rsid w:val="33575645"/>
    <w:rsid w:val="335D31B0"/>
    <w:rsid w:val="335E383D"/>
    <w:rsid w:val="335E732F"/>
    <w:rsid w:val="335F6015"/>
    <w:rsid w:val="336A6E6E"/>
    <w:rsid w:val="336E5419"/>
    <w:rsid w:val="33745CD0"/>
    <w:rsid w:val="33782F1D"/>
    <w:rsid w:val="337A6088"/>
    <w:rsid w:val="337F0593"/>
    <w:rsid w:val="337F55F6"/>
    <w:rsid w:val="33815622"/>
    <w:rsid w:val="33826297"/>
    <w:rsid w:val="338C27DF"/>
    <w:rsid w:val="338C35B3"/>
    <w:rsid w:val="338E3C1C"/>
    <w:rsid w:val="338E5CD5"/>
    <w:rsid w:val="3397638C"/>
    <w:rsid w:val="33985DDA"/>
    <w:rsid w:val="339941A1"/>
    <w:rsid w:val="339D15C8"/>
    <w:rsid w:val="339E266D"/>
    <w:rsid w:val="33A05C06"/>
    <w:rsid w:val="33A16B14"/>
    <w:rsid w:val="33A8769F"/>
    <w:rsid w:val="33B06A82"/>
    <w:rsid w:val="33B12455"/>
    <w:rsid w:val="33B2729E"/>
    <w:rsid w:val="33B4049F"/>
    <w:rsid w:val="33B60064"/>
    <w:rsid w:val="33B764B9"/>
    <w:rsid w:val="33BE6DF6"/>
    <w:rsid w:val="33BF565E"/>
    <w:rsid w:val="33C2488C"/>
    <w:rsid w:val="33C27866"/>
    <w:rsid w:val="33C43D15"/>
    <w:rsid w:val="33C553E4"/>
    <w:rsid w:val="33C67EB4"/>
    <w:rsid w:val="33C8727D"/>
    <w:rsid w:val="33D0582F"/>
    <w:rsid w:val="33D5394E"/>
    <w:rsid w:val="33D7753B"/>
    <w:rsid w:val="33DC4528"/>
    <w:rsid w:val="33E72A27"/>
    <w:rsid w:val="33E74366"/>
    <w:rsid w:val="33EC7704"/>
    <w:rsid w:val="33F80E8A"/>
    <w:rsid w:val="33F96796"/>
    <w:rsid w:val="33FA2948"/>
    <w:rsid w:val="33FB0AFF"/>
    <w:rsid w:val="33FC08AF"/>
    <w:rsid w:val="3402709D"/>
    <w:rsid w:val="34056514"/>
    <w:rsid w:val="340B1856"/>
    <w:rsid w:val="34162854"/>
    <w:rsid w:val="341A3C8B"/>
    <w:rsid w:val="341E648F"/>
    <w:rsid w:val="34241C0A"/>
    <w:rsid w:val="34250C38"/>
    <w:rsid w:val="34254C81"/>
    <w:rsid w:val="34281C7A"/>
    <w:rsid w:val="342927F9"/>
    <w:rsid w:val="342D3A6B"/>
    <w:rsid w:val="342E15F5"/>
    <w:rsid w:val="342F336F"/>
    <w:rsid w:val="34365F2E"/>
    <w:rsid w:val="343E7C52"/>
    <w:rsid w:val="3447458E"/>
    <w:rsid w:val="344B5405"/>
    <w:rsid w:val="344E1B34"/>
    <w:rsid w:val="34562749"/>
    <w:rsid w:val="34582F83"/>
    <w:rsid w:val="34614879"/>
    <w:rsid w:val="34662295"/>
    <w:rsid w:val="34683EDE"/>
    <w:rsid w:val="346B0539"/>
    <w:rsid w:val="346B57CE"/>
    <w:rsid w:val="346D7678"/>
    <w:rsid w:val="346E2FE4"/>
    <w:rsid w:val="34725F95"/>
    <w:rsid w:val="347439EC"/>
    <w:rsid w:val="34744E54"/>
    <w:rsid w:val="34774CBF"/>
    <w:rsid w:val="347F2178"/>
    <w:rsid w:val="348026AD"/>
    <w:rsid w:val="34814648"/>
    <w:rsid w:val="348514E8"/>
    <w:rsid w:val="348A00F8"/>
    <w:rsid w:val="348A3B19"/>
    <w:rsid w:val="34921089"/>
    <w:rsid w:val="34972BAA"/>
    <w:rsid w:val="34973345"/>
    <w:rsid w:val="349C5820"/>
    <w:rsid w:val="34A362A9"/>
    <w:rsid w:val="34A56289"/>
    <w:rsid w:val="34A77B0C"/>
    <w:rsid w:val="34AE02B6"/>
    <w:rsid w:val="34AE711B"/>
    <w:rsid w:val="34AF207E"/>
    <w:rsid w:val="34AF7B7D"/>
    <w:rsid w:val="34B7215E"/>
    <w:rsid w:val="34BC5428"/>
    <w:rsid w:val="34BE126F"/>
    <w:rsid w:val="34BF30C0"/>
    <w:rsid w:val="34C033E4"/>
    <w:rsid w:val="34C177A6"/>
    <w:rsid w:val="34C43F6E"/>
    <w:rsid w:val="34C448CD"/>
    <w:rsid w:val="34C97E05"/>
    <w:rsid w:val="34CB7673"/>
    <w:rsid w:val="34CF11D5"/>
    <w:rsid w:val="34D3088B"/>
    <w:rsid w:val="34D44C95"/>
    <w:rsid w:val="34DB245C"/>
    <w:rsid w:val="34DD3746"/>
    <w:rsid w:val="34DF222F"/>
    <w:rsid w:val="34E67F51"/>
    <w:rsid w:val="34EA5703"/>
    <w:rsid w:val="34F0077D"/>
    <w:rsid w:val="34F05D13"/>
    <w:rsid w:val="34F56D6F"/>
    <w:rsid w:val="34F8407F"/>
    <w:rsid w:val="34F93B83"/>
    <w:rsid w:val="34FE2299"/>
    <w:rsid w:val="35067ACA"/>
    <w:rsid w:val="350759A9"/>
    <w:rsid w:val="35076F62"/>
    <w:rsid w:val="350871E1"/>
    <w:rsid w:val="350E0BE6"/>
    <w:rsid w:val="351115DA"/>
    <w:rsid w:val="351837A0"/>
    <w:rsid w:val="351A58EE"/>
    <w:rsid w:val="352073C8"/>
    <w:rsid w:val="352119BA"/>
    <w:rsid w:val="35246DBB"/>
    <w:rsid w:val="353029F2"/>
    <w:rsid w:val="35304727"/>
    <w:rsid w:val="35324114"/>
    <w:rsid w:val="35363AC8"/>
    <w:rsid w:val="353D07E4"/>
    <w:rsid w:val="35431734"/>
    <w:rsid w:val="35451B59"/>
    <w:rsid w:val="35473F20"/>
    <w:rsid w:val="35476E1F"/>
    <w:rsid w:val="35477C69"/>
    <w:rsid w:val="3549357A"/>
    <w:rsid w:val="354B01D4"/>
    <w:rsid w:val="355440E7"/>
    <w:rsid w:val="355B14A0"/>
    <w:rsid w:val="355B244F"/>
    <w:rsid w:val="35601488"/>
    <w:rsid w:val="35636C7F"/>
    <w:rsid w:val="356537BB"/>
    <w:rsid w:val="35674E62"/>
    <w:rsid w:val="3568464B"/>
    <w:rsid w:val="356B6A22"/>
    <w:rsid w:val="356C4A05"/>
    <w:rsid w:val="35702CA5"/>
    <w:rsid w:val="35747175"/>
    <w:rsid w:val="35797A78"/>
    <w:rsid w:val="35797CE1"/>
    <w:rsid w:val="357C6A97"/>
    <w:rsid w:val="357F4128"/>
    <w:rsid w:val="3580533B"/>
    <w:rsid w:val="358254E2"/>
    <w:rsid w:val="35826E9B"/>
    <w:rsid w:val="35870E55"/>
    <w:rsid w:val="3590617D"/>
    <w:rsid w:val="35910F93"/>
    <w:rsid w:val="359227ED"/>
    <w:rsid w:val="35954B19"/>
    <w:rsid w:val="35964BD0"/>
    <w:rsid w:val="359927FF"/>
    <w:rsid w:val="359D16CA"/>
    <w:rsid w:val="35A02B76"/>
    <w:rsid w:val="35A0403E"/>
    <w:rsid w:val="35A2019C"/>
    <w:rsid w:val="35A73064"/>
    <w:rsid w:val="35AA3960"/>
    <w:rsid w:val="35B419EB"/>
    <w:rsid w:val="35B463A5"/>
    <w:rsid w:val="35B47A08"/>
    <w:rsid w:val="35B83F53"/>
    <w:rsid w:val="35BA30A4"/>
    <w:rsid w:val="35BD5D32"/>
    <w:rsid w:val="35BE64B5"/>
    <w:rsid w:val="35BF18C3"/>
    <w:rsid w:val="35C33133"/>
    <w:rsid w:val="35D32D31"/>
    <w:rsid w:val="35D91192"/>
    <w:rsid w:val="35DF3EDC"/>
    <w:rsid w:val="35E074AC"/>
    <w:rsid w:val="35E2413F"/>
    <w:rsid w:val="35E46A4D"/>
    <w:rsid w:val="35E95D67"/>
    <w:rsid w:val="35EC1D04"/>
    <w:rsid w:val="35F55C62"/>
    <w:rsid w:val="36017F44"/>
    <w:rsid w:val="36067727"/>
    <w:rsid w:val="36077D0B"/>
    <w:rsid w:val="36083464"/>
    <w:rsid w:val="36086665"/>
    <w:rsid w:val="360E63B9"/>
    <w:rsid w:val="360F6354"/>
    <w:rsid w:val="3612113C"/>
    <w:rsid w:val="3613204F"/>
    <w:rsid w:val="36134728"/>
    <w:rsid w:val="36136A51"/>
    <w:rsid w:val="36161DB3"/>
    <w:rsid w:val="36167ABC"/>
    <w:rsid w:val="36205391"/>
    <w:rsid w:val="36241271"/>
    <w:rsid w:val="36290623"/>
    <w:rsid w:val="362D0EA9"/>
    <w:rsid w:val="363449E8"/>
    <w:rsid w:val="3636368B"/>
    <w:rsid w:val="363B1361"/>
    <w:rsid w:val="363F3E04"/>
    <w:rsid w:val="364321D8"/>
    <w:rsid w:val="36495C12"/>
    <w:rsid w:val="364B73EA"/>
    <w:rsid w:val="364D4FB1"/>
    <w:rsid w:val="36501512"/>
    <w:rsid w:val="36545880"/>
    <w:rsid w:val="36552611"/>
    <w:rsid w:val="3658606F"/>
    <w:rsid w:val="36587DEF"/>
    <w:rsid w:val="365A5FB4"/>
    <w:rsid w:val="36682BA7"/>
    <w:rsid w:val="366E48C6"/>
    <w:rsid w:val="367540D4"/>
    <w:rsid w:val="367F402D"/>
    <w:rsid w:val="367F49E1"/>
    <w:rsid w:val="36903646"/>
    <w:rsid w:val="36934048"/>
    <w:rsid w:val="36940105"/>
    <w:rsid w:val="3694778F"/>
    <w:rsid w:val="3696797C"/>
    <w:rsid w:val="36A4507D"/>
    <w:rsid w:val="36A53F69"/>
    <w:rsid w:val="36A71E0A"/>
    <w:rsid w:val="36AA113B"/>
    <w:rsid w:val="36AC4FD6"/>
    <w:rsid w:val="36AD424F"/>
    <w:rsid w:val="36B55C40"/>
    <w:rsid w:val="36B77D73"/>
    <w:rsid w:val="36B901E3"/>
    <w:rsid w:val="36BB0E9C"/>
    <w:rsid w:val="36BB2B3B"/>
    <w:rsid w:val="36BC1CD7"/>
    <w:rsid w:val="36BD67C5"/>
    <w:rsid w:val="36C20CB3"/>
    <w:rsid w:val="36C432C3"/>
    <w:rsid w:val="36CF56AF"/>
    <w:rsid w:val="36D02A7A"/>
    <w:rsid w:val="36D53872"/>
    <w:rsid w:val="36D65B17"/>
    <w:rsid w:val="36D77CCD"/>
    <w:rsid w:val="36D86BDB"/>
    <w:rsid w:val="36D95F80"/>
    <w:rsid w:val="36E65568"/>
    <w:rsid w:val="36E73C3D"/>
    <w:rsid w:val="36E86CB2"/>
    <w:rsid w:val="36EE3EDA"/>
    <w:rsid w:val="36F0015E"/>
    <w:rsid w:val="37023463"/>
    <w:rsid w:val="37033EAF"/>
    <w:rsid w:val="37045411"/>
    <w:rsid w:val="37056ED2"/>
    <w:rsid w:val="370941F8"/>
    <w:rsid w:val="37097C49"/>
    <w:rsid w:val="370A647E"/>
    <w:rsid w:val="370B7255"/>
    <w:rsid w:val="370C2F89"/>
    <w:rsid w:val="370F27E8"/>
    <w:rsid w:val="370F6F46"/>
    <w:rsid w:val="37184DA6"/>
    <w:rsid w:val="371A5704"/>
    <w:rsid w:val="371B417C"/>
    <w:rsid w:val="37285D68"/>
    <w:rsid w:val="37297D00"/>
    <w:rsid w:val="372A4F18"/>
    <w:rsid w:val="372B2EB1"/>
    <w:rsid w:val="373A1D01"/>
    <w:rsid w:val="373F07AE"/>
    <w:rsid w:val="37405753"/>
    <w:rsid w:val="3743502D"/>
    <w:rsid w:val="374526F7"/>
    <w:rsid w:val="3745635B"/>
    <w:rsid w:val="37496A89"/>
    <w:rsid w:val="374B609A"/>
    <w:rsid w:val="375155B9"/>
    <w:rsid w:val="375E404E"/>
    <w:rsid w:val="37684600"/>
    <w:rsid w:val="376930FE"/>
    <w:rsid w:val="37694FDE"/>
    <w:rsid w:val="376E0564"/>
    <w:rsid w:val="37747A74"/>
    <w:rsid w:val="37747A9C"/>
    <w:rsid w:val="37771F6E"/>
    <w:rsid w:val="37775D12"/>
    <w:rsid w:val="37865005"/>
    <w:rsid w:val="37881A40"/>
    <w:rsid w:val="378D01CF"/>
    <w:rsid w:val="378E39E3"/>
    <w:rsid w:val="37912B8A"/>
    <w:rsid w:val="379447EC"/>
    <w:rsid w:val="379B576D"/>
    <w:rsid w:val="37A70C8C"/>
    <w:rsid w:val="37AB3A37"/>
    <w:rsid w:val="37AC352B"/>
    <w:rsid w:val="37B33D94"/>
    <w:rsid w:val="37B42E05"/>
    <w:rsid w:val="37B64436"/>
    <w:rsid w:val="37BA112E"/>
    <w:rsid w:val="37BA4115"/>
    <w:rsid w:val="37BE3703"/>
    <w:rsid w:val="37BE4CF7"/>
    <w:rsid w:val="37C004DC"/>
    <w:rsid w:val="37C26D5F"/>
    <w:rsid w:val="37C57A24"/>
    <w:rsid w:val="37C63B38"/>
    <w:rsid w:val="37C83170"/>
    <w:rsid w:val="37C85705"/>
    <w:rsid w:val="37C85BB0"/>
    <w:rsid w:val="37D11485"/>
    <w:rsid w:val="37D21573"/>
    <w:rsid w:val="37D27A54"/>
    <w:rsid w:val="37E07E8F"/>
    <w:rsid w:val="37E13A1D"/>
    <w:rsid w:val="37E21BBD"/>
    <w:rsid w:val="37E409BD"/>
    <w:rsid w:val="37E624BF"/>
    <w:rsid w:val="37E63C73"/>
    <w:rsid w:val="37EC2E2C"/>
    <w:rsid w:val="37EC32EB"/>
    <w:rsid w:val="37F57923"/>
    <w:rsid w:val="37F63252"/>
    <w:rsid w:val="37F772E9"/>
    <w:rsid w:val="37FC0F15"/>
    <w:rsid w:val="37FD233C"/>
    <w:rsid w:val="37FE538C"/>
    <w:rsid w:val="37FE6FAE"/>
    <w:rsid w:val="38004676"/>
    <w:rsid w:val="380421B5"/>
    <w:rsid w:val="38053CD9"/>
    <w:rsid w:val="38093BE4"/>
    <w:rsid w:val="380A71E0"/>
    <w:rsid w:val="381519C3"/>
    <w:rsid w:val="381801D4"/>
    <w:rsid w:val="38180BDC"/>
    <w:rsid w:val="381F07F9"/>
    <w:rsid w:val="3825600D"/>
    <w:rsid w:val="38263D07"/>
    <w:rsid w:val="38272357"/>
    <w:rsid w:val="38277AD8"/>
    <w:rsid w:val="382E57C0"/>
    <w:rsid w:val="382F4A69"/>
    <w:rsid w:val="382F5AC2"/>
    <w:rsid w:val="38312DEC"/>
    <w:rsid w:val="383215CF"/>
    <w:rsid w:val="38326DF2"/>
    <w:rsid w:val="383A7BE5"/>
    <w:rsid w:val="383B0866"/>
    <w:rsid w:val="38412FB9"/>
    <w:rsid w:val="38425B91"/>
    <w:rsid w:val="384405E9"/>
    <w:rsid w:val="384519BE"/>
    <w:rsid w:val="38486054"/>
    <w:rsid w:val="384B6D50"/>
    <w:rsid w:val="384E2C28"/>
    <w:rsid w:val="38512EB9"/>
    <w:rsid w:val="38526956"/>
    <w:rsid w:val="3855422B"/>
    <w:rsid w:val="38601F49"/>
    <w:rsid w:val="38646903"/>
    <w:rsid w:val="386A7BE3"/>
    <w:rsid w:val="386B37BD"/>
    <w:rsid w:val="387F092D"/>
    <w:rsid w:val="38800DAB"/>
    <w:rsid w:val="38807F53"/>
    <w:rsid w:val="388A1091"/>
    <w:rsid w:val="388B02B2"/>
    <w:rsid w:val="388B1BE4"/>
    <w:rsid w:val="388B6991"/>
    <w:rsid w:val="388E1DC6"/>
    <w:rsid w:val="38904A6C"/>
    <w:rsid w:val="38906FBA"/>
    <w:rsid w:val="38921F5F"/>
    <w:rsid w:val="3892699C"/>
    <w:rsid w:val="389861F1"/>
    <w:rsid w:val="389F1D7E"/>
    <w:rsid w:val="38A1083D"/>
    <w:rsid w:val="38A22786"/>
    <w:rsid w:val="38A76DB5"/>
    <w:rsid w:val="38A92227"/>
    <w:rsid w:val="38AB0202"/>
    <w:rsid w:val="38AF3481"/>
    <w:rsid w:val="38AF667A"/>
    <w:rsid w:val="38B0443D"/>
    <w:rsid w:val="38B40DE0"/>
    <w:rsid w:val="38B71A54"/>
    <w:rsid w:val="38B9406D"/>
    <w:rsid w:val="38BA0CF3"/>
    <w:rsid w:val="38C14A03"/>
    <w:rsid w:val="38C72588"/>
    <w:rsid w:val="38C76224"/>
    <w:rsid w:val="38CA7C20"/>
    <w:rsid w:val="38CB0D81"/>
    <w:rsid w:val="38D54AFD"/>
    <w:rsid w:val="38DE6E34"/>
    <w:rsid w:val="38DF5F9F"/>
    <w:rsid w:val="38E21679"/>
    <w:rsid w:val="38E33D95"/>
    <w:rsid w:val="38EF421F"/>
    <w:rsid w:val="38F17275"/>
    <w:rsid w:val="38F67364"/>
    <w:rsid w:val="38FC4188"/>
    <w:rsid w:val="38FE378F"/>
    <w:rsid w:val="390225F5"/>
    <w:rsid w:val="39056079"/>
    <w:rsid w:val="390578D8"/>
    <w:rsid w:val="39070A4A"/>
    <w:rsid w:val="390D02B1"/>
    <w:rsid w:val="390D1F8E"/>
    <w:rsid w:val="391079D5"/>
    <w:rsid w:val="39144475"/>
    <w:rsid w:val="39164EC4"/>
    <w:rsid w:val="39170EC7"/>
    <w:rsid w:val="39174F61"/>
    <w:rsid w:val="39194B65"/>
    <w:rsid w:val="391C59AF"/>
    <w:rsid w:val="39215A75"/>
    <w:rsid w:val="3922477B"/>
    <w:rsid w:val="39260D74"/>
    <w:rsid w:val="392B034B"/>
    <w:rsid w:val="392C4383"/>
    <w:rsid w:val="392E065A"/>
    <w:rsid w:val="39307EA6"/>
    <w:rsid w:val="39333241"/>
    <w:rsid w:val="3938754E"/>
    <w:rsid w:val="39390C7C"/>
    <w:rsid w:val="393971DC"/>
    <w:rsid w:val="394B6D7A"/>
    <w:rsid w:val="394E58C7"/>
    <w:rsid w:val="39543D3D"/>
    <w:rsid w:val="39546974"/>
    <w:rsid w:val="395932F8"/>
    <w:rsid w:val="395C2CC1"/>
    <w:rsid w:val="395C411F"/>
    <w:rsid w:val="395F4B0F"/>
    <w:rsid w:val="3960009D"/>
    <w:rsid w:val="396429F6"/>
    <w:rsid w:val="396A259A"/>
    <w:rsid w:val="396A75A3"/>
    <w:rsid w:val="396C4FEA"/>
    <w:rsid w:val="397C1A95"/>
    <w:rsid w:val="39853DA9"/>
    <w:rsid w:val="39872AD4"/>
    <w:rsid w:val="39886EF3"/>
    <w:rsid w:val="398B4800"/>
    <w:rsid w:val="399039BD"/>
    <w:rsid w:val="39913676"/>
    <w:rsid w:val="399D45F5"/>
    <w:rsid w:val="39A05CF0"/>
    <w:rsid w:val="39A3062C"/>
    <w:rsid w:val="39A44328"/>
    <w:rsid w:val="39A94CFF"/>
    <w:rsid w:val="39A96215"/>
    <w:rsid w:val="39AB2C0F"/>
    <w:rsid w:val="39BA7873"/>
    <w:rsid w:val="39CB4C4B"/>
    <w:rsid w:val="39CF4DCF"/>
    <w:rsid w:val="39D14FF7"/>
    <w:rsid w:val="39DB2FBF"/>
    <w:rsid w:val="39DC3546"/>
    <w:rsid w:val="39DC3A08"/>
    <w:rsid w:val="39E032CB"/>
    <w:rsid w:val="39E13248"/>
    <w:rsid w:val="39E6029A"/>
    <w:rsid w:val="39F06E37"/>
    <w:rsid w:val="39F21FFC"/>
    <w:rsid w:val="39F376E4"/>
    <w:rsid w:val="39F624BD"/>
    <w:rsid w:val="39F711E4"/>
    <w:rsid w:val="3A006538"/>
    <w:rsid w:val="3A020469"/>
    <w:rsid w:val="3A056F3A"/>
    <w:rsid w:val="3A0D7226"/>
    <w:rsid w:val="3A1C0792"/>
    <w:rsid w:val="3A1E7BE0"/>
    <w:rsid w:val="3A262A2F"/>
    <w:rsid w:val="3A2660AA"/>
    <w:rsid w:val="3A282C6D"/>
    <w:rsid w:val="3A2C79CE"/>
    <w:rsid w:val="3A303CF4"/>
    <w:rsid w:val="3A30478E"/>
    <w:rsid w:val="3A322F47"/>
    <w:rsid w:val="3A341EF9"/>
    <w:rsid w:val="3A371181"/>
    <w:rsid w:val="3A3F14AB"/>
    <w:rsid w:val="3A404B24"/>
    <w:rsid w:val="3A4C237B"/>
    <w:rsid w:val="3A4E1EC6"/>
    <w:rsid w:val="3A510542"/>
    <w:rsid w:val="3A563090"/>
    <w:rsid w:val="3A5953E5"/>
    <w:rsid w:val="3A5D59CA"/>
    <w:rsid w:val="3A630621"/>
    <w:rsid w:val="3A660009"/>
    <w:rsid w:val="3A6704FA"/>
    <w:rsid w:val="3A780194"/>
    <w:rsid w:val="3A7B7DE7"/>
    <w:rsid w:val="3A7E41CD"/>
    <w:rsid w:val="3A855CC3"/>
    <w:rsid w:val="3A8A4119"/>
    <w:rsid w:val="3A953673"/>
    <w:rsid w:val="3A9C7E8A"/>
    <w:rsid w:val="3AAC5FAA"/>
    <w:rsid w:val="3AB12E04"/>
    <w:rsid w:val="3ABA29E2"/>
    <w:rsid w:val="3ABC7533"/>
    <w:rsid w:val="3ABF7357"/>
    <w:rsid w:val="3AC2121A"/>
    <w:rsid w:val="3AC87CD6"/>
    <w:rsid w:val="3ACC0AF6"/>
    <w:rsid w:val="3ACC1A20"/>
    <w:rsid w:val="3ACE58C8"/>
    <w:rsid w:val="3ACF13E8"/>
    <w:rsid w:val="3AD345F5"/>
    <w:rsid w:val="3ADB3E79"/>
    <w:rsid w:val="3ADF3D9F"/>
    <w:rsid w:val="3AE5278A"/>
    <w:rsid w:val="3AE91C65"/>
    <w:rsid w:val="3AEC149E"/>
    <w:rsid w:val="3AED58C7"/>
    <w:rsid w:val="3AF55D48"/>
    <w:rsid w:val="3AFA73CB"/>
    <w:rsid w:val="3B001B38"/>
    <w:rsid w:val="3B006325"/>
    <w:rsid w:val="3B0101DB"/>
    <w:rsid w:val="3B0E4B6C"/>
    <w:rsid w:val="3B0E7D20"/>
    <w:rsid w:val="3B100184"/>
    <w:rsid w:val="3B1021B7"/>
    <w:rsid w:val="3B1452DA"/>
    <w:rsid w:val="3B15278F"/>
    <w:rsid w:val="3B186679"/>
    <w:rsid w:val="3B1924CB"/>
    <w:rsid w:val="3B1953F4"/>
    <w:rsid w:val="3B26484F"/>
    <w:rsid w:val="3B2853C6"/>
    <w:rsid w:val="3B2B7B9F"/>
    <w:rsid w:val="3B365032"/>
    <w:rsid w:val="3B3C28DD"/>
    <w:rsid w:val="3B485D3F"/>
    <w:rsid w:val="3B49371B"/>
    <w:rsid w:val="3B49701C"/>
    <w:rsid w:val="3B4F3721"/>
    <w:rsid w:val="3B4F4AE0"/>
    <w:rsid w:val="3B520DA2"/>
    <w:rsid w:val="3B5210F6"/>
    <w:rsid w:val="3B5607F8"/>
    <w:rsid w:val="3B5777DC"/>
    <w:rsid w:val="3B5B1524"/>
    <w:rsid w:val="3B5C332C"/>
    <w:rsid w:val="3B602029"/>
    <w:rsid w:val="3B643329"/>
    <w:rsid w:val="3B663DAC"/>
    <w:rsid w:val="3B70753C"/>
    <w:rsid w:val="3B7261FE"/>
    <w:rsid w:val="3B742C85"/>
    <w:rsid w:val="3B7B669F"/>
    <w:rsid w:val="3B7F7C16"/>
    <w:rsid w:val="3B85395D"/>
    <w:rsid w:val="3B88583E"/>
    <w:rsid w:val="3B8861D3"/>
    <w:rsid w:val="3B8933D9"/>
    <w:rsid w:val="3B910A47"/>
    <w:rsid w:val="3B941C28"/>
    <w:rsid w:val="3B9500D1"/>
    <w:rsid w:val="3B954A7E"/>
    <w:rsid w:val="3B9B55A5"/>
    <w:rsid w:val="3B9F17C5"/>
    <w:rsid w:val="3BA6055F"/>
    <w:rsid w:val="3BA73235"/>
    <w:rsid w:val="3BAD7B31"/>
    <w:rsid w:val="3BAE4DB8"/>
    <w:rsid w:val="3BAF5221"/>
    <w:rsid w:val="3BAF5FA8"/>
    <w:rsid w:val="3BB04C28"/>
    <w:rsid w:val="3BB5337E"/>
    <w:rsid w:val="3BBF2022"/>
    <w:rsid w:val="3BC030A6"/>
    <w:rsid w:val="3BC12EA7"/>
    <w:rsid w:val="3BC378E7"/>
    <w:rsid w:val="3BC42375"/>
    <w:rsid w:val="3BC73D75"/>
    <w:rsid w:val="3BCA4EE6"/>
    <w:rsid w:val="3BCA76C7"/>
    <w:rsid w:val="3BCE2E01"/>
    <w:rsid w:val="3BD61030"/>
    <w:rsid w:val="3BD747E0"/>
    <w:rsid w:val="3BD85741"/>
    <w:rsid w:val="3BDE1635"/>
    <w:rsid w:val="3BE15B16"/>
    <w:rsid w:val="3BE26460"/>
    <w:rsid w:val="3BE53520"/>
    <w:rsid w:val="3BF220C9"/>
    <w:rsid w:val="3BF67E38"/>
    <w:rsid w:val="3BF67F05"/>
    <w:rsid w:val="3BF85EBE"/>
    <w:rsid w:val="3BFB4FB4"/>
    <w:rsid w:val="3BFD1326"/>
    <w:rsid w:val="3C120174"/>
    <w:rsid w:val="3C12163E"/>
    <w:rsid w:val="3C123BEF"/>
    <w:rsid w:val="3C126F87"/>
    <w:rsid w:val="3C197A8A"/>
    <w:rsid w:val="3C1E79FC"/>
    <w:rsid w:val="3C246179"/>
    <w:rsid w:val="3C247B32"/>
    <w:rsid w:val="3C267814"/>
    <w:rsid w:val="3C27414F"/>
    <w:rsid w:val="3C2761D4"/>
    <w:rsid w:val="3C2952A7"/>
    <w:rsid w:val="3C2F6FB0"/>
    <w:rsid w:val="3C34461A"/>
    <w:rsid w:val="3C375ECB"/>
    <w:rsid w:val="3C3B3FF3"/>
    <w:rsid w:val="3C3D0BC9"/>
    <w:rsid w:val="3C480D65"/>
    <w:rsid w:val="3C503AAF"/>
    <w:rsid w:val="3C5C3416"/>
    <w:rsid w:val="3C6259B0"/>
    <w:rsid w:val="3C634BA7"/>
    <w:rsid w:val="3C682475"/>
    <w:rsid w:val="3C6B1BCF"/>
    <w:rsid w:val="3C6E1649"/>
    <w:rsid w:val="3C7551B4"/>
    <w:rsid w:val="3C795B2C"/>
    <w:rsid w:val="3C7B3512"/>
    <w:rsid w:val="3C7E2CB4"/>
    <w:rsid w:val="3C814523"/>
    <w:rsid w:val="3C816D3E"/>
    <w:rsid w:val="3C855847"/>
    <w:rsid w:val="3C8E760A"/>
    <w:rsid w:val="3C946710"/>
    <w:rsid w:val="3CA75895"/>
    <w:rsid w:val="3CAF60A1"/>
    <w:rsid w:val="3CB1524E"/>
    <w:rsid w:val="3CB516C9"/>
    <w:rsid w:val="3CB54A26"/>
    <w:rsid w:val="3CBF2DA7"/>
    <w:rsid w:val="3CBF2FC1"/>
    <w:rsid w:val="3CC35A5C"/>
    <w:rsid w:val="3CC70A6F"/>
    <w:rsid w:val="3CCA39AC"/>
    <w:rsid w:val="3CCC2997"/>
    <w:rsid w:val="3CD20D8F"/>
    <w:rsid w:val="3CD25CE8"/>
    <w:rsid w:val="3CD40E27"/>
    <w:rsid w:val="3CD66D62"/>
    <w:rsid w:val="3CE165EE"/>
    <w:rsid w:val="3CE2492E"/>
    <w:rsid w:val="3CEF1AFE"/>
    <w:rsid w:val="3CF23057"/>
    <w:rsid w:val="3CF468B2"/>
    <w:rsid w:val="3CF64E5B"/>
    <w:rsid w:val="3CF82E06"/>
    <w:rsid w:val="3CF82F1F"/>
    <w:rsid w:val="3CFD7F5A"/>
    <w:rsid w:val="3D026EB3"/>
    <w:rsid w:val="3D03131B"/>
    <w:rsid w:val="3D061E30"/>
    <w:rsid w:val="3D151A7F"/>
    <w:rsid w:val="3D20033F"/>
    <w:rsid w:val="3D211BC4"/>
    <w:rsid w:val="3D23108B"/>
    <w:rsid w:val="3D2350AF"/>
    <w:rsid w:val="3D23714C"/>
    <w:rsid w:val="3D2451ED"/>
    <w:rsid w:val="3D25588D"/>
    <w:rsid w:val="3D276ADC"/>
    <w:rsid w:val="3D2A3D7C"/>
    <w:rsid w:val="3D2B0B1A"/>
    <w:rsid w:val="3D2B5AE7"/>
    <w:rsid w:val="3D2E4570"/>
    <w:rsid w:val="3D307A7C"/>
    <w:rsid w:val="3D316920"/>
    <w:rsid w:val="3D344931"/>
    <w:rsid w:val="3D3529C2"/>
    <w:rsid w:val="3D391557"/>
    <w:rsid w:val="3D3E6A43"/>
    <w:rsid w:val="3D401187"/>
    <w:rsid w:val="3D4C4553"/>
    <w:rsid w:val="3D4C78AE"/>
    <w:rsid w:val="3D520405"/>
    <w:rsid w:val="3D5711CB"/>
    <w:rsid w:val="3D5E5978"/>
    <w:rsid w:val="3D6650F6"/>
    <w:rsid w:val="3D6716A1"/>
    <w:rsid w:val="3D770DF4"/>
    <w:rsid w:val="3D7757F5"/>
    <w:rsid w:val="3D7854E2"/>
    <w:rsid w:val="3D7D5B68"/>
    <w:rsid w:val="3D8226ED"/>
    <w:rsid w:val="3D896F45"/>
    <w:rsid w:val="3D897318"/>
    <w:rsid w:val="3D8C7393"/>
    <w:rsid w:val="3D905D1D"/>
    <w:rsid w:val="3D920385"/>
    <w:rsid w:val="3D955637"/>
    <w:rsid w:val="3D986BE4"/>
    <w:rsid w:val="3D990812"/>
    <w:rsid w:val="3D9B5F9E"/>
    <w:rsid w:val="3DA06F5C"/>
    <w:rsid w:val="3DA433EF"/>
    <w:rsid w:val="3DA844BB"/>
    <w:rsid w:val="3DAC58E7"/>
    <w:rsid w:val="3DAD4E6D"/>
    <w:rsid w:val="3DB02B36"/>
    <w:rsid w:val="3DB13BFF"/>
    <w:rsid w:val="3DB63B4D"/>
    <w:rsid w:val="3DB77BBB"/>
    <w:rsid w:val="3DB84059"/>
    <w:rsid w:val="3DBA22D8"/>
    <w:rsid w:val="3DBD689C"/>
    <w:rsid w:val="3DC618A8"/>
    <w:rsid w:val="3DCE1A1A"/>
    <w:rsid w:val="3DCF45E4"/>
    <w:rsid w:val="3DDE259A"/>
    <w:rsid w:val="3DE01019"/>
    <w:rsid w:val="3DE32690"/>
    <w:rsid w:val="3DE45ADF"/>
    <w:rsid w:val="3DEE5058"/>
    <w:rsid w:val="3DF67081"/>
    <w:rsid w:val="3DF942FD"/>
    <w:rsid w:val="3DF97AED"/>
    <w:rsid w:val="3DFE7A4F"/>
    <w:rsid w:val="3DFF1329"/>
    <w:rsid w:val="3E002B5F"/>
    <w:rsid w:val="3E02331B"/>
    <w:rsid w:val="3E072B3E"/>
    <w:rsid w:val="3E0A065E"/>
    <w:rsid w:val="3E0C5E1E"/>
    <w:rsid w:val="3E105E87"/>
    <w:rsid w:val="3E1602C3"/>
    <w:rsid w:val="3E1645F9"/>
    <w:rsid w:val="3E1C03B4"/>
    <w:rsid w:val="3E1F42B8"/>
    <w:rsid w:val="3E22000A"/>
    <w:rsid w:val="3E241CE1"/>
    <w:rsid w:val="3E25758B"/>
    <w:rsid w:val="3E2A3491"/>
    <w:rsid w:val="3E2A5662"/>
    <w:rsid w:val="3E2D667F"/>
    <w:rsid w:val="3E2E6048"/>
    <w:rsid w:val="3E2E6F37"/>
    <w:rsid w:val="3E2F58E4"/>
    <w:rsid w:val="3E350F15"/>
    <w:rsid w:val="3E36045D"/>
    <w:rsid w:val="3E383F60"/>
    <w:rsid w:val="3E3C6258"/>
    <w:rsid w:val="3E4507B6"/>
    <w:rsid w:val="3E457059"/>
    <w:rsid w:val="3E4B5142"/>
    <w:rsid w:val="3E4B7AC8"/>
    <w:rsid w:val="3E4F1B2F"/>
    <w:rsid w:val="3E524065"/>
    <w:rsid w:val="3E557E64"/>
    <w:rsid w:val="3E5B0A16"/>
    <w:rsid w:val="3E5D0D10"/>
    <w:rsid w:val="3E611A31"/>
    <w:rsid w:val="3E6335E0"/>
    <w:rsid w:val="3E63550E"/>
    <w:rsid w:val="3E68209C"/>
    <w:rsid w:val="3E6820F6"/>
    <w:rsid w:val="3E691F43"/>
    <w:rsid w:val="3E6F028E"/>
    <w:rsid w:val="3E742B14"/>
    <w:rsid w:val="3E7D3FD0"/>
    <w:rsid w:val="3E8076FF"/>
    <w:rsid w:val="3E8741D1"/>
    <w:rsid w:val="3E883EE6"/>
    <w:rsid w:val="3E8A31B6"/>
    <w:rsid w:val="3E8B7FD1"/>
    <w:rsid w:val="3E9233B9"/>
    <w:rsid w:val="3E92506E"/>
    <w:rsid w:val="3E9D19B9"/>
    <w:rsid w:val="3EA12E40"/>
    <w:rsid w:val="3EA8031B"/>
    <w:rsid w:val="3EA83F15"/>
    <w:rsid w:val="3EAF5C47"/>
    <w:rsid w:val="3EB27264"/>
    <w:rsid w:val="3EB30122"/>
    <w:rsid w:val="3EB637F2"/>
    <w:rsid w:val="3EBB4F51"/>
    <w:rsid w:val="3EC25E49"/>
    <w:rsid w:val="3EC333A5"/>
    <w:rsid w:val="3ECD534D"/>
    <w:rsid w:val="3ECE5906"/>
    <w:rsid w:val="3ECF3958"/>
    <w:rsid w:val="3ED120FD"/>
    <w:rsid w:val="3ED27197"/>
    <w:rsid w:val="3ED478D2"/>
    <w:rsid w:val="3ED51E8F"/>
    <w:rsid w:val="3ED62F23"/>
    <w:rsid w:val="3ED73AC0"/>
    <w:rsid w:val="3ED851AE"/>
    <w:rsid w:val="3EDA2400"/>
    <w:rsid w:val="3EDB537B"/>
    <w:rsid w:val="3EEE3FB1"/>
    <w:rsid w:val="3EEE543F"/>
    <w:rsid w:val="3EF05F92"/>
    <w:rsid w:val="3EF24430"/>
    <w:rsid w:val="3EF622C4"/>
    <w:rsid w:val="3EFC07B8"/>
    <w:rsid w:val="3EFD63CE"/>
    <w:rsid w:val="3F0B3D5B"/>
    <w:rsid w:val="3F1A3EB2"/>
    <w:rsid w:val="3F1C46C7"/>
    <w:rsid w:val="3F1C742B"/>
    <w:rsid w:val="3F1D4C1E"/>
    <w:rsid w:val="3F1F3BC0"/>
    <w:rsid w:val="3F276BE7"/>
    <w:rsid w:val="3F290C0B"/>
    <w:rsid w:val="3F2D1D42"/>
    <w:rsid w:val="3F2F4A6D"/>
    <w:rsid w:val="3F3B157F"/>
    <w:rsid w:val="3F3F4F6F"/>
    <w:rsid w:val="3F4145D2"/>
    <w:rsid w:val="3F4164E6"/>
    <w:rsid w:val="3F464849"/>
    <w:rsid w:val="3F467608"/>
    <w:rsid w:val="3F4B557D"/>
    <w:rsid w:val="3F4B634E"/>
    <w:rsid w:val="3F4C6A49"/>
    <w:rsid w:val="3F4F33CC"/>
    <w:rsid w:val="3F4F348C"/>
    <w:rsid w:val="3F4F64C5"/>
    <w:rsid w:val="3F5039AE"/>
    <w:rsid w:val="3F533A4A"/>
    <w:rsid w:val="3F544F98"/>
    <w:rsid w:val="3F6128C1"/>
    <w:rsid w:val="3F612FEC"/>
    <w:rsid w:val="3F636502"/>
    <w:rsid w:val="3F650EDC"/>
    <w:rsid w:val="3F696DAB"/>
    <w:rsid w:val="3F715313"/>
    <w:rsid w:val="3F790B4D"/>
    <w:rsid w:val="3F7D7E70"/>
    <w:rsid w:val="3F7F1D7D"/>
    <w:rsid w:val="3F7F7905"/>
    <w:rsid w:val="3F875C26"/>
    <w:rsid w:val="3F885862"/>
    <w:rsid w:val="3F8F60B1"/>
    <w:rsid w:val="3F92096F"/>
    <w:rsid w:val="3F950788"/>
    <w:rsid w:val="3F97674D"/>
    <w:rsid w:val="3F981211"/>
    <w:rsid w:val="3F994FD4"/>
    <w:rsid w:val="3F9B45E1"/>
    <w:rsid w:val="3FA30D76"/>
    <w:rsid w:val="3FA37018"/>
    <w:rsid w:val="3FA64655"/>
    <w:rsid w:val="3FAA17E5"/>
    <w:rsid w:val="3FB03755"/>
    <w:rsid w:val="3FC724BB"/>
    <w:rsid w:val="3FC74E04"/>
    <w:rsid w:val="3FC96514"/>
    <w:rsid w:val="3FCD0FF0"/>
    <w:rsid w:val="3FD06C3A"/>
    <w:rsid w:val="3FD528B0"/>
    <w:rsid w:val="3FDB63DF"/>
    <w:rsid w:val="3FDE0A00"/>
    <w:rsid w:val="3FE6668C"/>
    <w:rsid w:val="3FEA3F63"/>
    <w:rsid w:val="3FEA4CFC"/>
    <w:rsid w:val="3FEB1EC5"/>
    <w:rsid w:val="3FEC59D7"/>
    <w:rsid w:val="3FEF6125"/>
    <w:rsid w:val="3FEF7C0F"/>
    <w:rsid w:val="3FF10AED"/>
    <w:rsid w:val="3FF37F1D"/>
    <w:rsid w:val="3FF401FF"/>
    <w:rsid w:val="3FFD6443"/>
    <w:rsid w:val="40102592"/>
    <w:rsid w:val="401413F2"/>
    <w:rsid w:val="40186215"/>
    <w:rsid w:val="401F2168"/>
    <w:rsid w:val="40214039"/>
    <w:rsid w:val="40272751"/>
    <w:rsid w:val="4040104A"/>
    <w:rsid w:val="40427003"/>
    <w:rsid w:val="404A215E"/>
    <w:rsid w:val="404B72A4"/>
    <w:rsid w:val="40540E38"/>
    <w:rsid w:val="4059121B"/>
    <w:rsid w:val="405B26FA"/>
    <w:rsid w:val="405B3657"/>
    <w:rsid w:val="406216BB"/>
    <w:rsid w:val="40653FF8"/>
    <w:rsid w:val="406801F8"/>
    <w:rsid w:val="40685EB0"/>
    <w:rsid w:val="4069653A"/>
    <w:rsid w:val="40700747"/>
    <w:rsid w:val="40767E57"/>
    <w:rsid w:val="407B5F75"/>
    <w:rsid w:val="408225D3"/>
    <w:rsid w:val="40826CD6"/>
    <w:rsid w:val="40834367"/>
    <w:rsid w:val="40836778"/>
    <w:rsid w:val="40890090"/>
    <w:rsid w:val="4089370A"/>
    <w:rsid w:val="408F6C87"/>
    <w:rsid w:val="409B4FF0"/>
    <w:rsid w:val="409E19F8"/>
    <w:rsid w:val="40A52970"/>
    <w:rsid w:val="40A72127"/>
    <w:rsid w:val="40AA0705"/>
    <w:rsid w:val="40AA0775"/>
    <w:rsid w:val="40B05641"/>
    <w:rsid w:val="40B31276"/>
    <w:rsid w:val="40B3346A"/>
    <w:rsid w:val="40B472D5"/>
    <w:rsid w:val="40BC5BD8"/>
    <w:rsid w:val="40C1432E"/>
    <w:rsid w:val="40C37C8A"/>
    <w:rsid w:val="40C41FDE"/>
    <w:rsid w:val="40C52ED2"/>
    <w:rsid w:val="40C538FD"/>
    <w:rsid w:val="40C85628"/>
    <w:rsid w:val="40C87E40"/>
    <w:rsid w:val="40CF206D"/>
    <w:rsid w:val="40D8031E"/>
    <w:rsid w:val="40D93785"/>
    <w:rsid w:val="40E4277B"/>
    <w:rsid w:val="40EC61D7"/>
    <w:rsid w:val="40F372CE"/>
    <w:rsid w:val="40F93D62"/>
    <w:rsid w:val="41022FDC"/>
    <w:rsid w:val="410255B1"/>
    <w:rsid w:val="4108318F"/>
    <w:rsid w:val="410B0336"/>
    <w:rsid w:val="410E245C"/>
    <w:rsid w:val="411811BC"/>
    <w:rsid w:val="41185AC8"/>
    <w:rsid w:val="41243DAC"/>
    <w:rsid w:val="41302A17"/>
    <w:rsid w:val="413500E0"/>
    <w:rsid w:val="414605CD"/>
    <w:rsid w:val="41474B6C"/>
    <w:rsid w:val="41485CD6"/>
    <w:rsid w:val="414D2170"/>
    <w:rsid w:val="414F0AAC"/>
    <w:rsid w:val="415A0C1B"/>
    <w:rsid w:val="415D5606"/>
    <w:rsid w:val="41616247"/>
    <w:rsid w:val="416B75B1"/>
    <w:rsid w:val="416D11ED"/>
    <w:rsid w:val="41752EF5"/>
    <w:rsid w:val="417530F1"/>
    <w:rsid w:val="417B5E34"/>
    <w:rsid w:val="417C6533"/>
    <w:rsid w:val="417D1602"/>
    <w:rsid w:val="417D75AD"/>
    <w:rsid w:val="41800BD9"/>
    <w:rsid w:val="41801673"/>
    <w:rsid w:val="41862DA9"/>
    <w:rsid w:val="418F1136"/>
    <w:rsid w:val="419A1C2A"/>
    <w:rsid w:val="419C263A"/>
    <w:rsid w:val="419E00DA"/>
    <w:rsid w:val="41A20DB8"/>
    <w:rsid w:val="41AA19ED"/>
    <w:rsid w:val="41AA3423"/>
    <w:rsid w:val="41AD1AE1"/>
    <w:rsid w:val="41AE4996"/>
    <w:rsid w:val="41AF3D78"/>
    <w:rsid w:val="41B4054E"/>
    <w:rsid w:val="41BA6D9A"/>
    <w:rsid w:val="41C408B1"/>
    <w:rsid w:val="41C52A19"/>
    <w:rsid w:val="41C65A00"/>
    <w:rsid w:val="41CE4611"/>
    <w:rsid w:val="41CF64B9"/>
    <w:rsid w:val="41D433B2"/>
    <w:rsid w:val="41D933AB"/>
    <w:rsid w:val="41DF598D"/>
    <w:rsid w:val="41EB60D1"/>
    <w:rsid w:val="41F67187"/>
    <w:rsid w:val="41F73FE8"/>
    <w:rsid w:val="41FF781B"/>
    <w:rsid w:val="4203233F"/>
    <w:rsid w:val="42054316"/>
    <w:rsid w:val="4205549A"/>
    <w:rsid w:val="42070271"/>
    <w:rsid w:val="42090D24"/>
    <w:rsid w:val="420D71BC"/>
    <w:rsid w:val="420E6FD4"/>
    <w:rsid w:val="421511FB"/>
    <w:rsid w:val="421655E1"/>
    <w:rsid w:val="421741B5"/>
    <w:rsid w:val="4219179F"/>
    <w:rsid w:val="42193D7E"/>
    <w:rsid w:val="421E556C"/>
    <w:rsid w:val="42203578"/>
    <w:rsid w:val="422621A4"/>
    <w:rsid w:val="42271638"/>
    <w:rsid w:val="422C2AE9"/>
    <w:rsid w:val="422E43F5"/>
    <w:rsid w:val="42315385"/>
    <w:rsid w:val="4232760A"/>
    <w:rsid w:val="42362FB6"/>
    <w:rsid w:val="423754A1"/>
    <w:rsid w:val="423B1B54"/>
    <w:rsid w:val="423C6175"/>
    <w:rsid w:val="42401800"/>
    <w:rsid w:val="4243220A"/>
    <w:rsid w:val="42443222"/>
    <w:rsid w:val="4245354A"/>
    <w:rsid w:val="42474A96"/>
    <w:rsid w:val="42483F4F"/>
    <w:rsid w:val="424A10EF"/>
    <w:rsid w:val="424D6B9D"/>
    <w:rsid w:val="424F11EE"/>
    <w:rsid w:val="425235E9"/>
    <w:rsid w:val="425C3264"/>
    <w:rsid w:val="426716E6"/>
    <w:rsid w:val="426773B6"/>
    <w:rsid w:val="42684E48"/>
    <w:rsid w:val="426A7F09"/>
    <w:rsid w:val="426C578C"/>
    <w:rsid w:val="42705120"/>
    <w:rsid w:val="42712FE1"/>
    <w:rsid w:val="4271333B"/>
    <w:rsid w:val="4280010D"/>
    <w:rsid w:val="42824C1F"/>
    <w:rsid w:val="4284552E"/>
    <w:rsid w:val="42895215"/>
    <w:rsid w:val="429642DE"/>
    <w:rsid w:val="42967A12"/>
    <w:rsid w:val="42983F51"/>
    <w:rsid w:val="429C06E0"/>
    <w:rsid w:val="429D1021"/>
    <w:rsid w:val="42A018C1"/>
    <w:rsid w:val="42A62FFB"/>
    <w:rsid w:val="42A80195"/>
    <w:rsid w:val="42AD0EA6"/>
    <w:rsid w:val="42AE229C"/>
    <w:rsid w:val="42AE59E0"/>
    <w:rsid w:val="42B03E82"/>
    <w:rsid w:val="42B5651B"/>
    <w:rsid w:val="42BD7879"/>
    <w:rsid w:val="42C31411"/>
    <w:rsid w:val="42C94A86"/>
    <w:rsid w:val="42C97DB7"/>
    <w:rsid w:val="42CF024C"/>
    <w:rsid w:val="42CF2060"/>
    <w:rsid w:val="42D208EB"/>
    <w:rsid w:val="42D6123C"/>
    <w:rsid w:val="42D75AFC"/>
    <w:rsid w:val="42E34DCC"/>
    <w:rsid w:val="42EC38C1"/>
    <w:rsid w:val="42F37DD2"/>
    <w:rsid w:val="42F97632"/>
    <w:rsid w:val="42FA1276"/>
    <w:rsid w:val="42FC48A7"/>
    <w:rsid w:val="42FD1C28"/>
    <w:rsid w:val="430E2744"/>
    <w:rsid w:val="431D54C1"/>
    <w:rsid w:val="43216CA2"/>
    <w:rsid w:val="432325B1"/>
    <w:rsid w:val="43251476"/>
    <w:rsid w:val="432A3D3B"/>
    <w:rsid w:val="432C4CEB"/>
    <w:rsid w:val="432F68BC"/>
    <w:rsid w:val="43317B06"/>
    <w:rsid w:val="43322730"/>
    <w:rsid w:val="43334AAC"/>
    <w:rsid w:val="43362AF9"/>
    <w:rsid w:val="433639E5"/>
    <w:rsid w:val="433F7F86"/>
    <w:rsid w:val="43423AE9"/>
    <w:rsid w:val="43507038"/>
    <w:rsid w:val="435B6424"/>
    <w:rsid w:val="435F2FDC"/>
    <w:rsid w:val="436322FD"/>
    <w:rsid w:val="436A479D"/>
    <w:rsid w:val="436D7153"/>
    <w:rsid w:val="43733642"/>
    <w:rsid w:val="43755239"/>
    <w:rsid w:val="43773748"/>
    <w:rsid w:val="437928CF"/>
    <w:rsid w:val="437F2FEA"/>
    <w:rsid w:val="438C59B6"/>
    <w:rsid w:val="438D308C"/>
    <w:rsid w:val="439171E8"/>
    <w:rsid w:val="43954E8A"/>
    <w:rsid w:val="439A6C58"/>
    <w:rsid w:val="439E6AB2"/>
    <w:rsid w:val="43A272BF"/>
    <w:rsid w:val="43AC794D"/>
    <w:rsid w:val="43AE2ECC"/>
    <w:rsid w:val="43B243A1"/>
    <w:rsid w:val="43B619F9"/>
    <w:rsid w:val="43B9437C"/>
    <w:rsid w:val="43BC5D51"/>
    <w:rsid w:val="43BF39EC"/>
    <w:rsid w:val="43C344E9"/>
    <w:rsid w:val="43CA2963"/>
    <w:rsid w:val="43CB64F1"/>
    <w:rsid w:val="43D24F5C"/>
    <w:rsid w:val="43D917E6"/>
    <w:rsid w:val="43DB07C9"/>
    <w:rsid w:val="43DC29D0"/>
    <w:rsid w:val="43DF2BCA"/>
    <w:rsid w:val="43E10969"/>
    <w:rsid w:val="43E71978"/>
    <w:rsid w:val="43E9006F"/>
    <w:rsid w:val="43ED1E57"/>
    <w:rsid w:val="43F26009"/>
    <w:rsid w:val="43F417F9"/>
    <w:rsid w:val="43FE0067"/>
    <w:rsid w:val="44035A52"/>
    <w:rsid w:val="44075900"/>
    <w:rsid w:val="440C3935"/>
    <w:rsid w:val="440F1766"/>
    <w:rsid w:val="441248E7"/>
    <w:rsid w:val="44137CD2"/>
    <w:rsid w:val="44161492"/>
    <w:rsid w:val="44171C3C"/>
    <w:rsid w:val="441C40F2"/>
    <w:rsid w:val="442171F8"/>
    <w:rsid w:val="442C5595"/>
    <w:rsid w:val="442D3964"/>
    <w:rsid w:val="4431095D"/>
    <w:rsid w:val="44320328"/>
    <w:rsid w:val="44435A8F"/>
    <w:rsid w:val="444843E7"/>
    <w:rsid w:val="444C72FA"/>
    <w:rsid w:val="44562538"/>
    <w:rsid w:val="44563B0B"/>
    <w:rsid w:val="44567E9D"/>
    <w:rsid w:val="445E6EB7"/>
    <w:rsid w:val="446632F0"/>
    <w:rsid w:val="44670F9B"/>
    <w:rsid w:val="446B465C"/>
    <w:rsid w:val="446F3282"/>
    <w:rsid w:val="44705CA9"/>
    <w:rsid w:val="44751204"/>
    <w:rsid w:val="447748FE"/>
    <w:rsid w:val="447760F2"/>
    <w:rsid w:val="44827599"/>
    <w:rsid w:val="44834A68"/>
    <w:rsid w:val="44853D28"/>
    <w:rsid w:val="448660E6"/>
    <w:rsid w:val="448C5606"/>
    <w:rsid w:val="449214CF"/>
    <w:rsid w:val="449C5D3B"/>
    <w:rsid w:val="44A04035"/>
    <w:rsid w:val="44B0540D"/>
    <w:rsid w:val="44B11304"/>
    <w:rsid w:val="44B20F16"/>
    <w:rsid w:val="44B27102"/>
    <w:rsid w:val="44B46C7D"/>
    <w:rsid w:val="44BF77BB"/>
    <w:rsid w:val="44C0606A"/>
    <w:rsid w:val="44C202B8"/>
    <w:rsid w:val="44C837E4"/>
    <w:rsid w:val="44C96439"/>
    <w:rsid w:val="44CC47E6"/>
    <w:rsid w:val="44CC6693"/>
    <w:rsid w:val="44CD3E55"/>
    <w:rsid w:val="44CE2E22"/>
    <w:rsid w:val="44D04595"/>
    <w:rsid w:val="44D25AAD"/>
    <w:rsid w:val="44D61938"/>
    <w:rsid w:val="44D676AF"/>
    <w:rsid w:val="44DC5FE4"/>
    <w:rsid w:val="44DD6406"/>
    <w:rsid w:val="44E93C1C"/>
    <w:rsid w:val="44EA2430"/>
    <w:rsid w:val="44F7006F"/>
    <w:rsid w:val="44F70E13"/>
    <w:rsid w:val="44F8761E"/>
    <w:rsid w:val="44F91236"/>
    <w:rsid w:val="44FC33D0"/>
    <w:rsid w:val="4500617F"/>
    <w:rsid w:val="45040EAB"/>
    <w:rsid w:val="45097B68"/>
    <w:rsid w:val="450A399C"/>
    <w:rsid w:val="450C4639"/>
    <w:rsid w:val="45146FAF"/>
    <w:rsid w:val="451515AF"/>
    <w:rsid w:val="45183E49"/>
    <w:rsid w:val="45275303"/>
    <w:rsid w:val="45304837"/>
    <w:rsid w:val="45323514"/>
    <w:rsid w:val="45394A11"/>
    <w:rsid w:val="453C28C0"/>
    <w:rsid w:val="45406CE5"/>
    <w:rsid w:val="45453229"/>
    <w:rsid w:val="454867A6"/>
    <w:rsid w:val="454F6AFE"/>
    <w:rsid w:val="455756F9"/>
    <w:rsid w:val="455F596E"/>
    <w:rsid w:val="45615F99"/>
    <w:rsid w:val="45616572"/>
    <w:rsid w:val="456E13D3"/>
    <w:rsid w:val="45797540"/>
    <w:rsid w:val="457D0984"/>
    <w:rsid w:val="457E7F02"/>
    <w:rsid w:val="45801B5A"/>
    <w:rsid w:val="458702B7"/>
    <w:rsid w:val="458A0D0B"/>
    <w:rsid w:val="458C7BB2"/>
    <w:rsid w:val="458F777C"/>
    <w:rsid w:val="45902D04"/>
    <w:rsid w:val="45903B4A"/>
    <w:rsid w:val="45941099"/>
    <w:rsid w:val="459418AA"/>
    <w:rsid w:val="45951138"/>
    <w:rsid w:val="45990E7B"/>
    <w:rsid w:val="45996B08"/>
    <w:rsid w:val="459D137B"/>
    <w:rsid w:val="459E27BE"/>
    <w:rsid w:val="45A219A4"/>
    <w:rsid w:val="45A23A1F"/>
    <w:rsid w:val="45A8679D"/>
    <w:rsid w:val="45A86E17"/>
    <w:rsid w:val="45B47CE6"/>
    <w:rsid w:val="45B95F5E"/>
    <w:rsid w:val="45C14E53"/>
    <w:rsid w:val="45C166BD"/>
    <w:rsid w:val="45C32BEE"/>
    <w:rsid w:val="45C67BDB"/>
    <w:rsid w:val="45CE662D"/>
    <w:rsid w:val="45D32CD3"/>
    <w:rsid w:val="45D406A5"/>
    <w:rsid w:val="45D60D3F"/>
    <w:rsid w:val="45D610D4"/>
    <w:rsid w:val="45D61F2E"/>
    <w:rsid w:val="45D92E06"/>
    <w:rsid w:val="45DB5524"/>
    <w:rsid w:val="45DD3D6F"/>
    <w:rsid w:val="45DD749E"/>
    <w:rsid w:val="45DF13A3"/>
    <w:rsid w:val="45E01929"/>
    <w:rsid w:val="45E10126"/>
    <w:rsid w:val="45E5315B"/>
    <w:rsid w:val="45EB0FB5"/>
    <w:rsid w:val="45EF004D"/>
    <w:rsid w:val="45F02FCE"/>
    <w:rsid w:val="45F25D30"/>
    <w:rsid w:val="45F90D2E"/>
    <w:rsid w:val="46007190"/>
    <w:rsid w:val="4606516B"/>
    <w:rsid w:val="46092880"/>
    <w:rsid w:val="460A7E9D"/>
    <w:rsid w:val="46111C09"/>
    <w:rsid w:val="46131940"/>
    <w:rsid w:val="46170B88"/>
    <w:rsid w:val="46182FBA"/>
    <w:rsid w:val="46190136"/>
    <w:rsid w:val="46192D5D"/>
    <w:rsid w:val="461B0EF7"/>
    <w:rsid w:val="461B16CD"/>
    <w:rsid w:val="461D2BF7"/>
    <w:rsid w:val="46223A46"/>
    <w:rsid w:val="46230069"/>
    <w:rsid w:val="462374E4"/>
    <w:rsid w:val="462512F5"/>
    <w:rsid w:val="462B153C"/>
    <w:rsid w:val="462B45EE"/>
    <w:rsid w:val="463629AD"/>
    <w:rsid w:val="464B489B"/>
    <w:rsid w:val="464E27CA"/>
    <w:rsid w:val="464F3419"/>
    <w:rsid w:val="46532AB2"/>
    <w:rsid w:val="465351D6"/>
    <w:rsid w:val="465A1EF4"/>
    <w:rsid w:val="46636CE1"/>
    <w:rsid w:val="46655147"/>
    <w:rsid w:val="4671443E"/>
    <w:rsid w:val="46716A4E"/>
    <w:rsid w:val="467661B7"/>
    <w:rsid w:val="468042BD"/>
    <w:rsid w:val="468703FB"/>
    <w:rsid w:val="4691354E"/>
    <w:rsid w:val="46A102DE"/>
    <w:rsid w:val="46A33B68"/>
    <w:rsid w:val="46A50AC9"/>
    <w:rsid w:val="46A77617"/>
    <w:rsid w:val="46A815FC"/>
    <w:rsid w:val="46AF7B1B"/>
    <w:rsid w:val="46B2005A"/>
    <w:rsid w:val="46B408E2"/>
    <w:rsid w:val="46C964F3"/>
    <w:rsid w:val="46D07002"/>
    <w:rsid w:val="46D431CC"/>
    <w:rsid w:val="46D51395"/>
    <w:rsid w:val="46DE75F9"/>
    <w:rsid w:val="46E250DD"/>
    <w:rsid w:val="46E93316"/>
    <w:rsid w:val="46E97E41"/>
    <w:rsid w:val="46F721D5"/>
    <w:rsid w:val="46FA7FD7"/>
    <w:rsid w:val="47035550"/>
    <w:rsid w:val="47037333"/>
    <w:rsid w:val="47040426"/>
    <w:rsid w:val="47064AD9"/>
    <w:rsid w:val="470A36C9"/>
    <w:rsid w:val="471C2218"/>
    <w:rsid w:val="47257509"/>
    <w:rsid w:val="47280D8A"/>
    <w:rsid w:val="472A0CAD"/>
    <w:rsid w:val="472D3504"/>
    <w:rsid w:val="472F41B6"/>
    <w:rsid w:val="472F469D"/>
    <w:rsid w:val="473308C7"/>
    <w:rsid w:val="47353602"/>
    <w:rsid w:val="47377575"/>
    <w:rsid w:val="47381E8C"/>
    <w:rsid w:val="473922A0"/>
    <w:rsid w:val="47396CC5"/>
    <w:rsid w:val="473D3F4E"/>
    <w:rsid w:val="474264E7"/>
    <w:rsid w:val="47445B8A"/>
    <w:rsid w:val="474548E2"/>
    <w:rsid w:val="47461665"/>
    <w:rsid w:val="474B5666"/>
    <w:rsid w:val="474C2D13"/>
    <w:rsid w:val="474D1AC7"/>
    <w:rsid w:val="47517BDF"/>
    <w:rsid w:val="47557D90"/>
    <w:rsid w:val="47657FB9"/>
    <w:rsid w:val="47685BA8"/>
    <w:rsid w:val="47685FF7"/>
    <w:rsid w:val="47691379"/>
    <w:rsid w:val="476C564C"/>
    <w:rsid w:val="4770283A"/>
    <w:rsid w:val="47712D02"/>
    <w:rsid w:val="47731259"/>
    <w:rsid w:val="47781776"/>
    <w:rsid w:val="477D45FD"/>
    <w:rsid w:val="477D6FEA"/>
    <w:rsid w:val="477F59C1"/>
    <w:rsid w:val="477F791C"/>
    <w:rsid w:val="478529EE"/>
    <w:rsid w:val="478667BC"/>
    <w:rsid w:val="4789022F"/>
    <w:rsid w:val="47943947"/>
    <w:rsid w:val="47A35923"/>
    <w:rsid w:val="47A5688D"/>
    <w:rsid w:val="47AB2218"/>
    <w:rsid w:val="47AD7D6A"/>
    <w:rsid w:val="47B31DAA"/>
    <w:rsid w:val="47B448EC"/>
    <w:rsid w:val="47B97A87"/>
    <w:rsid w:val="47C01FFE"/>
    <w:rsid w:val="47C07B7C"/>
    <w:rsid w:val="47C179B1"/>
    <w:rsid w:val="47CD402A"/>
    <w:rsid w:val="47CD50F4"/>
    <w:rsid w:val="47CF0393"/>
    <w:rsid w:val="47D71C03"/>
    <w:rsid w:val="47DA3BFF"/>
    <w:rsid w:val="47DE7789"/>
    <w:rsid w:val="47E144E2"/>
    <w:rsid w:val="47E53620"/>
    <w:rsid w:val="47F768D4"/>
    <w:rsid w:val="4802662D"/>
    <w:rsid w:val="480D4983"/>
    <w:rsid w:val="48101EAC"/>
    <w:rsid w:val="48186D06"/>
    <w:rsid w:val="481B1016"/>
    <w:rsid w:val="481B7482"/>
    <w:rsid w:val="481D3AF0"/>
    <w:rsid w:val="481D6396"/>
    <w:rsid w:val="482A201E"/>
    <w:rsid w:val="482C07D7"/>
    <w:rsid w:val="482F0026"/>
    <w:rsid w:val="48312E09"/>
    <w:rsid w:val="4832514D"/>
    <w:rsid w:val="48332B9B"/>
    <w:rsid w:val="48345DC8"/>
    <w:rsid w:val="483574DB"/>
    <w:rsid w:val="48422360"/>
    <w:rsid w:val="484478C6"/>
    <w:rsid w:val="484C1019"/>
    <w:rsid w:val="484E2482"/>
    <w:rsid w:val="484F0394"/>
    <w:rsid w:val="485147F8"/>
    <w:rsid w:val="48533D75"/>
    <w:rsid w:val="485401E6"/>
    <w:rsid w:val="48675E2B"/>
    <w:rsid w:val="486D7F6B"/>
    <w:rsid w:val="487345FA"/>
    <w:rsid w:val="48753494"/>
    <w:rsid w:val="48785008"/>
    <w:rsid w:val="48793C27"/>
    <w:rsid w:val="488126A9"/>
    <w:rsid w:val="48834C14"/>
    <w:rsid w:val="48896954"/>
    <w:rsid w:val="488C4AE9"/>
    <w:rsid w:val="4894309E"/>
    <w:rsid w:val="4896693B"/>
    <w:rsid w:val="48A11B23"/>
    <w:rsid w:val="48A71B0F"/>
    <w:rsid w:val="48A73B6D"/>
    <w:rsid w:val="48B5103C"/>
    <w:rsid w:val="48B77CE5"/>
    <w:rsid w:val="48BB37DE"/>
    <w:rsid w:val="48BC4F64"/>
    <w:rsid w:val="48C01CCD"/>
    <w:rsid w:val="48C547CF"/>
    <w:rsid w:val="48C657BD"/>
    <w:rsid w:val="48C70B57"/>
    <w:rsid w:val="48C731C2"/>
    <w:rsid w:val="48CA4439"/>
    <w:rsid w:val="48CC1577"/>
    <w:rsid w:val="48CF5D24"/>
    <w:rsid w:val="48D3029E"/>
    <w:rsid w:val="48D519DA"/>
    <w:rsid w:val="48D80EDA"/>
    <w:rsid w:val="48D848ED"/>
    <w:rsid w:val="48D87E8E"/>
    <w:rsid w:val="48DE17B7"/>
    <w:rsid w:val="48E0095A"/>
    <w:rsid w:val="48E40BC7"/>
    <w:rsid w:val="48E54C40"/>
    <w:rsid w:val="48E80601"/>
    <w:rsid w:val="48E878D0"/>
    <w:rsid w:val="48E92521"/>
    <w:rsid w:val="48EF2E2B"/>
    <w:rsid w:val="48F52FA0"/>
    <w:rsid w:val="48F66108"/>
    <w:rsid w:val="48FA6BB0"/>
    <w:rsid w:val="48FB00DC"/>
    <w:rsid w:val="48FE54AA"/>
    <w:rsid w:val="490342AB"/>
    <w:rsid w:val="49043EAF"/>
    <w:rsid w:val="49096E63"/>
    <w:rsid w:val="490D2E05"/>
    <w:rsid w:val="491029E9"/>
    <w:rsid w:val="491643CF"/>
    <w:rsid w:val="491909DE"/>
    <w:rsid w:val="491935D1"/>
    <w:rsid w:val="491B4A52"/>
    <w:rsid w:val="49213C28"/>
    <w:rsid w:val="492202CE"/>
    <w:rsid w:val="4927607D"/>
    <w:rsid w:val="49337861"/>
    <w:rsid w:val="49342247"/>
    <w:rsid w:val="493E06C0"/>
    <w:rsid w:val="49402F74"/>
    <w:rsid w:val="49457D73"/>
    <w:rsid w:val="494813CF"/>
    <w:rsid w:val="494E4A55"/>
    <w:rsid w:val="49501189"/>
    <w:rsid w:val="49523F1F"/>
    <w:rsid w:val="495271B5"/>
    <w:rsid w:val="49562978"/>
    <w:rsid w:val="495E0748"/>
    <w:rsid w:val="49652B2E"/>
    <w:rsid w:val="496E50A6"/>
    <w:rsid w:val="497047E2"/>
    <w:rsid w:val="49705D93"/>
    <w:rsid w:val="497115C7"/>
    <w:rsid w:val="49726D32"/>
    <w:rsid w:val="4976578C"/>
    <w:rsid w:val="49773AFF"/>
    <w:rsid w:val="497A61B0"/>
    <w:rsid w:val="497C2839"/>
    <w:rsid w:val="498068BA"/>
    <w:rsid w:val="49830B91"/>
    <w:rsid w:val="49844C2F"/>
    <w:rsid w:val="498626CA"/>
    <w:rsid w:val="49863980"/>
    <w:rsid w:val="498A60F4"/>
    <w:rsid w:val="498A64DA"/>
    <w:rsid w:val="49984C20"/>
    <w:rsid w:val="499D2F8C"/>
    <w:rsid w:val="499D54C9"/>
    <w:rsid w:val="499E04EE"/>
    <w:rsid w:val="499E0F86"/>
    <w:rsid w:val="49A1578E"/>
    <w:rsid w:val="49A2744B"/>
    <w:rsid w:val="49A619A9"/>
    <w:rsid w:val="49AA770E"/>
    <w:rsid w:val="49AB1A7C"/>
    <w:rsid w:val="49AB3C44"/>
    <w:rsid w:val="49B54CFF"/>
    <w:rsid w:val="49BB7921"/>
    <w:rsid w:val="49C27188"/>
    <w:rsid w:val="49CA1BD3"/>
    <w:rsid w:val="49CD1EC4"/>
    <w:rsid w:val="49D07F1D"/>
    <w:rsid w:val="49D51F15"/>
    <w:rsid w:val="49D531F1"/>
    <w:rsid w:val="49D77588"/>
    <w:rsid w:val="49DC5612"/>
    <w:rsid w:val="49DC7FAE"/>
    <w:rsid w:val="49DE7E05"/>
    <w:rsid w:val="49E11D41"/>
    <w:rsid w:val="49E152AD"/>
    <w:rsid w:val="49E2294B"/>
    <w:rsid w:val="49E23E6B"/>
    <w:rsid w:val="49F173AA"/>
    <w:rsid w:val="49F40ECD"/>
    <w:rsid w:val="49F66B34"/>
    <w:rsid w:val="49F71D4D"/>
    <w:rsid w:val="49F75F88"/>
    <w:rsid w:val="49FA27B1"/>
    <w:rsid w:val="49FA63FE"/>
    <w:rsid w:val="49FB13A5"/>
    <w:rsid w:val="49FB405A"/>
    <w:rsid w:val="49FB409A"/>
    <w:rsid w:val="49FC554B"/>
    <w:rsid w:val="4A000B0A"/>
    <w:rsid w:val="4A055EC3"/>
    <w:rsid w:val="4A0A34E9"/>
    <w:rsid w:val="4A0D4DA8"/>
    <w:rsid w:val="4A0E5590"/>
    <w:rsid w:val="4A13506F"/>
    <w:rsid w:val="4A162419"/>
    <w:rsid w:val="4A190DAF"/>
    <w:rsid w:val="4A1B3DC2"/>
    <w:rsid w:val="4A1F16AA"/>
    <w:rsid w:val="4A245C19"/>
    <w:rsid w:val="4A2A7FCC"/>
    <w:rsid w:val="4A306A0D"/>
    <w:rsid w:val="4A3105CC"/>
    <w:rsid w:val="4A317F9B"/>
    <w:rsid w:val="4A331608"/>
    <w:rsid w:val="4A343657"/>
    <w:rsid w:val="4A3F3FEC"/>
    <w:rsid w:val="4A4330F7"/>
    <w:rsid w:val="4A452B9E"/>
    <w:rsid w:val="4A456C27"/>
    <w:rsid w:val="4A4F3B12"/>
    <w:rsid w:val="4A504206"/>
    <w:rsid w:val="4A5200CD"/>
    <w:rsid w:val="4A593D89"/>
    <w:rsid w:val="4A5C1FD3"/>
    <w:rsid w:val="4A5E67B8"/>
    <w:rsid w:val="4A620132"/>
    <w:rsid w:val="4A6257E3"/>
    <w:rsid w:val="4A647DD8"/>
    <w:rsid w:val="4A665365"/>
    <w:rsid w:val="4A69526F"/>
    <w:rsid w:val="4A6963DF"/>
    <w:rsid w:val="4A6E0C33"/>
    <w:rsid w:val="4A817C60"/>
    <w:rsid w:val="4A830D92"/>
    <w:rsid w:val="4A853439"/>
    <w:rsid w:val="4A856EE6"/>
    <w:rsid w:val="4A882A13"/>
    <w:rsid w:val="4A8A5FD7"/>
    <w:rsid w:val="4A8F07FB"/>
    <w:rsid w:val="4A904FCC"/>
    <w:rsid w:val="4A966EE0"/>
    <w:rsid w:val="4A985A0C"/>
    <w:rsid w:val="4A98688F"/>
    <w:rsid w:val="4A986E52"/>
    <w:rsid w:val="4A994A3E"/>
    <w:rsid w:val="4A9D0AE1"/>
    <w:rsid w:val="4AA07285"/>
    <w:rsid w:val="4AA17171"/>
    <w:rsid w:val="4AA25DF0"/>
    <w:rsid w:val="4AA30AC1"/>
    <w:rsid w:val="4AA31BB9"/>
    <w:rsid w:val="4AA44BC9"/>
    <w:rsid w:val="4AA56567"/>
    <w:rsid w:val="4AA631C2"/>
    <w:rsid w:val="4AAC309F"/>
    <w:rsid w:val="4AB0037E"/>
    <w:rsid w:val="4ABB6DC8"/>
    <w:rsid w:val="4ABC3D63"/>
    <w:rsid w:val="4ABE6891"/>
    <w:rsid w:val="4AC06E56"/>
    <w:rsid w:val="4AC06FD5"/>
    <w:rsid w:val="4AC77488"/>
    <w:rsid w:val="4ACF04A1"/>
    <w:rsid w:val="4ADB4803"/>
    <w:rsid w:val="4ADC74D3"/>
    <w:rsid w:val="4ADF60DF"/>
    <w:rsid w:val="4AE23FDF"/>
    <w:rsid w:val="4AE50FE9"/>
    <w:rsid w:val="4AE56CBE"/>
    <w:rsid w:val="4AE87EDD"/>
    <w:rsid w:val="4AEA3C79"/>
    <w:rsid w:val="4AF37C03"/>
    <w:rsid w:val="4AFA7B83"/>
    <w:rsid w:val="4AFC0E07"/>
    <w:rsid w:val="4AFC21DA"/>
    <w:rsid w:val="4AFF2375"/>
    <w:rsid w:val="4B0154BD"/>
    <w:rsid w:val="4B051D78"/>
    <w:rsid w:val="4B0627C2"/>
    <w:rsid w:val="4B0C4234"/>
    <w:rsid w:val="4B0D4A19"/>
    <w:rsid w:val="4B0E1011"/>
    <w:rsid w:val="4B10693D"/>
    <w:rsid w:val="4B167491"/>
    <w:rsid w:val="4B1B098A"/>
    <w:rsid w:val="4B1C39BE"/>
    <w:rsid w:val="4B231818"/>
    <w:rsid w:val="4B232828"/>
    <w:rsid w:val="4B247DE8"/>
    <w:rsid w:val="4B2D48B2"/>
    <w:rsid w:val="4B2F6A4A"/>
    <w:rsid w:val="4B304069"/>
    <w:rsid w:val="4B327A61"/>
    <w:rsid w:val="4B354880"/>
    <w:rsid w:val="4B355E3F"/>
    <w:rsid w:val="4B3871FC"/>
    <w:rsid w:val="4B4001C0"/>
    <w:rsid w:val="4B4823CA"/>
    <w:rsid w:val="4B4D4475"/>
    <w:rsid w:val="4B5647B1"/>
    <w:rsid w:val="4B5D4702"/>
    <w:rsid w:val="4B6047B8"/>
    <w:rsid w:val="4B6E5028"/>
    <w:rsid w:val="4B700E67"/>
    <w:rsid w:val="4B744F7B"/>
    <w:rsid w:val="4B756B4B"/>
    <w:rsid w:val="4B7C0510"/>
    <w:rsid w:val="4B815947"/>
    <w:rsid w:val="4B8E2FD7"/>
    <w:rsid w:val="4B8E5DEC"/>
    <w:rsid w:val="4B9367A4"/>
    <w:rsid w:val="4B95396F"/>
    <w:rsid w:val="4B963D32"/>
    <w:rsid w:val="4B9B07F8"/>
    <w:rsid w:val="4B9E5383"/>
    <w:rsid w:val="4BB10126"/>
    <w:rsid w:val="4BB12A3B"/>
    <w:rsid w:val="4BB230E2"/>
    <w:rsid w:val="4BBA6646"/>
    <w:rsid w:val="4BBB5DFA"/>
    <w:rsid w:val="4BC33A45"/>
    <w:rsid w:val="4BC65DF3"/>
    <w:rsid w:val="4BC76C56"/>
    <w:rsid w:val="4BCD61C8"/>
    <w:rsid w:val="4BCE72E3"/>
    <w:rsid w:val="4BCF5B09"/>
    <w:rsid w:val="4BD27388"/>
    <w:rsid w:val="4BD3190C"/>
    <w:rsid w:val="4BD31F42"/>
    <w:rsid w:val="4BD649EB"/>
    <w:rsid w:val="4BD77F58"/>
    <w:rsid w:val="4BD84604"/>
    <w:rsid w:val="4BDB1136"/>
    <w:rsid w:val="4BDE7720"/>
    <w:rsid w:val="4BE81847"/>
    <w:rsid w:val="4BE94A0A"/>
    <w:rsid w:val="4BEA08D3"/>
    <w:rsid w:val="4BEB6C17"/>
    <w:rsid w:val="4BEB7051"/>
    <w:rsid w:val="4BF005FA"/>
    <w:rsid w:val="4BF26664"/>
    <w:rsid w:val="4BF96124"/>
    <w:rsid w:val="4C015F93"/>
    <w:rsid w:val="4C017172"/>
    <w:rsid w:val="4C0852BE"/>
    <w:rsid w:val="4C0B75D5"/>
    <w:rsid w:val="4C1E6B99"/>
    <w:rsid w:val="4C21616D"/>
    <w:rsid w:val="4C247673"/>
    <w:rsid w:val="4C25512C"/>
    <w:rsid w:val="4C2B56D1"/>
    <w:rsid w:val="4C2C77ED"/>
    <w:rsid w:val="4C2D7716"/>
    <w:rsid w:val="4C2E36C1"/>
    <w:rsid w:val="4C382CAB"/>
    <w:rsid w:val="4C3A11E3"/>
    <w:rsid w:val="4C3D2262"/>
    <w:rsid w:val="4C3D7D48"/>
    <w:rsid w:val="4C3E7991"/>
    <w:rsid w:val="4C3F64CA"/>
    <w:rsid w:val="4C417B09"/>
    <w:rsid w:val="4C427471"/>
    <w:rsid w:val="4C4656C5"/>
    <w:rsid w:val="4C472095"/>
    <w:rsid w:val="4C515E71"/>
    <w:rsid w:val="4C521ABA"/>
    <w:rsid w:val="4C543BD3"/>
    <w:rsid w:val="4C5F0E9E"/>
    <w:rsid w:val="4C6317F8"/>
    <w:rsid w:val="4C65539A"/>
    <w:rsid w:val="4C665EAA"/>
    <w:rsid w:val="4C671CB6"/>
    <w:rsid w:val="4C692606"/>
    <w:rsid w:val="4C6942AF"/>
    <w:rsid w:val="4C6B1A27"/>
    <w:rsid w:val="4C78155A"/>
    <w:rsid w:val="4C80047C"/>
    <w:rsid w:val="4C8012A7"/>
    <w:rsid w:val="4C817E4B"/>
    <w:rsid w:val="4C894D1F"/>
    <w:rsid w:val="4C945B5B"/>
    <w:rsid w:val="4C98224F"/>
    <w:rsid w:val="4C9C4D85"/>
    <w:rsid w:val="4C9E61C9"/>
    <w:rsid w:val="4CA2130F"/>
    <w:rsid w:val="4CA42EB4"/>
    <w:rsid w:val="4CA85998"/>
    <w:rsid w:val="4CAD27C1"/>
    <w:rsid w:val="4CB15404"/>
    <w:rsid w:val="4CB30E3A"/>
    <w:rsid w:val="4CB460D4"/>
    <w:rsid w:val="4CB539C5"/>
    <w:rsid w:val="4CB56B33"/>
    <w:rsid w:val="4CB62606"/>
    <w:rsid w:val="4CB62F2E"/>
    <w:rsid w:val="4CB87113"/>
    <w:rsid w:val="4CBB025F"/>
    <w:rsid w:val="4CBE0941"/>
    <w:rsid w:val="4CBE3AA7"/>
    <w:rsid w:val="4CBF2DAC"/>
    <w:rsid w:val="4CC254DB"/>
    <w:rsid w:val="4CC64438"/>
    <w:rsid w:val="4CC812C3"/>
    <w:rsid w:val="4CC8196E"/>
    <w:rsid w:val="4CCC178F"/>
    <w:rsid w:val="4CD0047E"/>
    <w:rsid w:val="4CD23CD2"/>
    <w:rsid w:val="4CD638F7"/>
    <w:rsid w:val="4CD719A0"/>
    <w:rsid w:val="4CD93257"/>
    <w:rsid w:val="4CDA50ED"/>
    <w:rsid w:val="4CDA526A"/>
    <w:rsid w:val="4CDC4145"/>
    <w:rsid w:val="4CDC56F5"/>
    <w:rsid w:val="4CDF4FB7"/>
    <w:rsid w:val="4CE30E7C"/>
    <w:rsid w:val="4CE322BD"/>
    <w:rsid w:val="4CE85F04"/>
    <w:rsid w:val="4CEB6327"/>
    <w:rsid w:val="4CEF6C78"/>
    <w:rsid w:val="4CFA118A"/>
    <w:rsid w:val="4CFE14B5"/>
    <w:rsid w:val="4D025F93"/>
    <w:rsid w:val="4D090BC2"/>
    <w:rsid w:val="4D0A2DF8"/>
    <w:rsid w:val="4D106251"/>
    <w:rsid w:val="4D1A31D0"/>
    <w:rsid w:val="4D1D4076"/>
    <w:rsid w:val="4D295FA7"/>
    <w:rsid w:val="4D307BAB"/>
    <w:rsid w:val="4D312AA9"/>
    <w:rsid w:val="4D333AF2"/>
    <w:rsid w:val="4D347E1C"/>
    <w:rsid w:val="4D3B3C8A"/>
    <w:rsid w:val="4D3D4710"/>
    <w:rsid w:val="4D407D6F"/>
    <w:rsid w:val="4D411777"/>
    <w:rsid w:val="4D472F72"/>
    <w:rsid w:val="4D521159"/>
    <w:rsid w:val="4D576E44"/>
    <w:rsid w:val="4D5D0DB8"/>
    <w:rsid w:val="4D651BB3"/>
    <w:rsid w:val="4D666A97"/>
    <w:rsid w:val="4D67602F"/>
    <w:rsid w:val="4D683B40"/>
    <w:rsid w:val="4D6B3B60"/>
    <w:rsid w:val="4D6E7C29"/>
    <w:rsid w:val="4D710170"/>
    <w:rsid w:val="4D75124B"/>
    <w:rsid w:val="4D7A24DD"/>
    <w:rsid w:val="4D7D2C07"/>
    <w:rsid w:val="4D800002"/>
    <w:rsid w:val="4D813E8B"/>
    <w:rsid w:val="4D8201C9"/>
    <w:rsid w:val="4D835699"/>
    <w:rsid w:val="4D845B6B"/>
    <w:rsid w:val="4D8F3DBC"/>
    <w:rsid w:val="4D906EA6"/>
    <w:rsid w:val="4D977ECB"/>
    <w:rsid w:val="4DA30348"/>
    <w:rsid w:val="4DA34145"/>
    <w:rsid w:val="4DA50122"/>
    <w:rsid w:val="4DA61B24"/>
    <w:rsid w:val="4DA865F3"/>
    <w:rsid w:val="4DAA6EB8"/>
    <w:rsid w:val="4DAD7BD1"/>
    <w:rsid w:val="4DB15DF2"/>
    <w:rsid w:val="4DB165B4"/>
    <w:rsid w:val="4DB24107"/>
    <w:rsid w:val="4DB93D7E"/>
    <w:rsid w:val="4DBE090C"/>
    <w:rsid w:val="4DBF06DF"/>
    <w:rsid w:val="4DC50BA1"/>
    <w:rsid w:val="4DC60185"/>
    <w:rsid w:val="4DCE7009"/>
    <w:rsid w:val="4DD01E5E"/>
    <w:rsid w:val="4DD03428"/>
    <w:rsid w:val="4DD41D31"/>
    <w:rsid w:val="4DD63DF6"/>
    <w:rsid w:val="4DD84BDC"/>
    <w:rsid w:val="4DDE4BB3"/>
    <w:rsid w:val="4DDF1B3F"/>
    <w:rsid w:val="4DE113B7"/>
    <w:rsid w:val="4DE16DD7"/>
    <w:rsid w:val="4DE33786"/>
    <w:rsid w:val="4DE43A3C"/>
    <w:rsid w:val="4DEB4EB2"/>
    <w:rsid w:val="4DF474CC"/>
    <w:rsid w:val="4DF50E02"/>
    <w:rsid w:val="4DFC3F99"/>
    <w:rsid w:val="4DFC7936"/>
    <w:rsid w:val="4E031935"/>
    <w:rsid w:val="4E062AE6"/>
    <w:rsid w:val="4E093060"/>
    <w:rsid w:val="4E0E7FED"/>
    <w:rsid w:val="4E1318C0"/>
    <w:rsid w:val="4E17471F"/>
    <w:rsid w:val="4E18639F"/>
    <w:rsid w:val="4E1A1844"/>
    <w:rsid w:val="4E1A4F63"/>
    <w:rsid w:val="4E1C3D99"/>
    <w:rsid w:val="4E1D3A04"/>
    <w:rsid w:val="4E1E78CD"/>
    <w:rsid w:val="4E20093A"/>
    <w:rsid w:val="4E2211BD"/>
    <w:rsid w:val="4E24737D"/>
    <w:rsid w:val="4E28562C"/>
    <w:rsid w:val="4E2A6022"/>
    <w:rsid w:val="4E2F539E"/>
    <w:rsid w:val="4E315A1B"/>
    <w:rsid w:val="4E3A2E93"/>
    <w:rsid w:val="4E3C0925"/>
    <w:rsid w:val="4E43301B"/>
    <w:rsid w:val="4E44007D"/>
    <w:rsid w:val="4E446E98"/>
    <w:rsid w:val="4E4537AC"/>
    <w:rsid w:val="4E4730C0"/>
    <w:rsid w:val="4E484CBB"/>
    <w:rsid w:val="4E4D16ED"/>
    <w:rsid w:val="4E566871"/>
    <w:rsid w:val="4E57168E"/>
    <w:rsid w:val="4E6359DF"/>
    <w:rsid w:val="4E692028"/>
    <w:rsid w:val="4E737584"/>
    <w:rsid w:val="4E7878F8"/>
    <w:rsid w:val="4E7A360B"/>
    <w:rsid w:val="4E7C494A"/>
    <w:rsid w:val="4E7C4C71"/>
    <w:rsid w:val="4E7D3E4F"/>
    <w:rsid w:val="4E7E0094"/>
    <w:rsid w:val="4E7E2762"/>
    <w:rsid w:val="4E7F7AEF"/>
    <w:rsid w:val="4E8473A4"/>
    <w:rsid w:val="4E8567DF"/>
    <w:rsid w:val="4E8D2BE5"/>
    <w:rsid w:val="4E8E6A22"/>
    <w:rsid w:val="4E9074D5"/>
    <w:rsid w:val="4E941C6E"/>
    <w:rsid w:val="4E944C39"/>
    <w:rsid w:val="4E950E7C"/>
    <w:rsid w:val="4E992549"/>
    <w:rsid w:val="4E9A4296"/>
    <w:rsid w:val="4E9B1997"/>
    <w:rsid w:val="4E9F502B"/>
    <w:rsid w:val="4EA174F2"/>
    <w:rsid w:val="4EA62483"/>
    <w:rsid w:val="4EA75A19"/>
    <w:rsid w:val="4EA83381"/>
    <w:rsid w:val="4EB418FE"/>
    <w:rsid w:val="4EB47931"/>
    <w:rsid w:val="4EB63193"/>
    <w:rsid w:val="4EBD0616"/>
    <w:rsid w:val="4EBD07F1"/>
    <w:rsid w:val="4EC61B3D"/>
    <w:rsid w:val="4ECB7D5E"/>
    <w:rsid w:val="4ED11E1E"/>
    <w:rsid w:val="4ED40539"/>
    <w:rsid w:val="4EDB2B96"/>
    <w:rsid w:val="4EDE4FD7"/>
    <w:rsid w:val="4EE062ED"/>
    <w:rsid w:val="4EE16987"/>
    <w:rsid w:val="4EEB5A64"/>
    <w:rsid w:val="4EEF78CB"/>
    <w:rsid w:val="4EF65BA5"/>
    <w:rsid w:val="4EF72D05"/>
    <w:rsid w:val="4F043771"/>
    <w:rsid w:val="4F054549"/>
    <w:rsid w:val="4F204724"/>
    <w:rsid w:val="4F223C53"/>
    <w:rsid w:val="4F2353C7"/>
    <w:rsid w:val="4F287B0D"/>
    <w:rsid w:val="4F291659"/>
    <w:rsid w:val="4F29313E"/>
    <w:rsid w:val="4F295DBB"/>
    <w:rsid w:val="4F303B89"/>
    <w:rsid w:val="4F3060ED"/>
    <w:rsid w:val="4F31054B"/>
    <w:rsid w:val="4F342CB2"/>
    <w:rsid w:val="4F4632FA"/>
    <w:rsid w:val="4F4D33D4"/>
    <w:rsid w:val="4F4E29C5"/>
    <w:rsid w:val="4F4F59F8"/>
    <w:rsid w:val="4F52288C"/>
    <w:rsid w:val="4F55162A"/>
    <w:rsid w:val="4F561011"/>
    <w:rsid w:val="4F5F3F24"/>
    <w:rsid w:val="4F625787"/>
    <w:rsid w:val="4F642C77"/>
    <w:rsid w:val="4F64652D"/>
    <w:rsid w:val="4F686ECD"/>
    <w:rsid w:val="4F6F1FBC"/>
    <w:rsid w:val="4F735CDB"/>
    <w:rsid w:val="4F7C0A9F"/>
    <w:rsid w:val="4F7E4F18"/>
    <w:rsid w:val="4F816736"/>
    <w:rsid w:val="4F816D42"/>
    <w:rsid w:val="4F876BEC"/>
    <w:rsid w:val="4F8776CA"/>
    <w:rsid w:val="4F8C2004"/>
    <w:rsid w:val="4F8E3DEB"/>
    <w:rsid w:val="4F8F347B"/>
    <w:rsid w:val="4F934787"/>
    <w:rsid w:val="4F9B5833"/>
    <w:rsid w:val="4F9D2BA6"/>
    <w:rsid w:val="4F9F02C6"/>
    <w:rsid w:val="4F9F4875"/>
    <w:rsid w:val="4F9F5EFB"/>
    <w:rsid w:val="4FA205E1"/>
    <w:rsid w:val="4FAA79A6"/>
    <w:rsid w:val="4FAE0CC8"/>
    <w:rsid w:val="4FAF6BED"/>
    <w:rsid w:val="4FB04F53"/>
    <w:rsid w:val="4FB350D0"/>
    <w:rsid w:val="4FB90082"/>
    <w:rsid w:val="4FC6205D"/>
    <w:rsid w:val="4FCD7779"/>
    <w:rsid w:val="4FD03634"/>
    <w:rsid w:val="4FD042A9"/>
    <w:rsid w:val="4FD7798E"/>
    <w:rsid w:val="4FDD77EA"/>
    <w:rsid w:val="4FE237AB"/>
    <w:rsid w:val="4FEC386F"/>
    <w:rsid w:val="4FF35E03"/>
    <w:rsid w:val="4FF40CEB"/>
    <w:rsid w:val="4FFF771C"/>
    <w:rsid w:val="500B37AC"/>
    <w:rsid w:val="500C5614"/>
    <w:rsid w:val="500D1E6A"/>
    <w:rsid w:val="5010407B"/>
    <w:rsid w:val="50112878"/>
    <w:rsid w:val="501173E2"/>
    <w:rsid w:val="50173265"/>
    <w:rsid w:val="50185217"/>
    <w:rsid w:val="501C6C7F"/>
    <w:rsid w:val="501F5168"/>
    <w:rsid w:val="50220FDC"/>
    <w:rsid w:val="502736D7"/>
    <w:rsid w:val="502A5672"/>
    <w:rsid w:val="502B5379"/>
    <w:rsid w:val="5033387B"/>
    <w:rsid w:val="50353F5F"/>
    <w:rsid w:val="50356A49"/>
    <w:rsid w:val="503F60C2"/>
    <w:rsid w:val="50406E42"/>
    <w:rsid w:val="50451988"/>
    <w:rsid w:val="504E5393"/>
    <w:rsid w:val="504E5406"/>
    <w:rsid w:val="50520EB5"/>
    <w:rsid w:val="505C717A"/>
    <w:rsid w:val="50627DA6"/>
    <w:rsid w:val="506338D9"/>
    <w:rsid w:val="506D47E6"/>
    <w:rsid w:val="507003AB"/>
    <w:rsid w:val="50700E8D"/>
    <w:rsid w:val="5073066E"/>
    <w:rsid w:val="50731F97"/>
    <w:rsid w:val="507A7C10"/>
    <w:rsid w:val="507D4841"/>
    <w:rsid w:val="507D63E1"/>
    <w:rsid w:val="50815D03"/>
    <w:rsid w:val="50845D9C"/>
    <w:rsid w:val="508634D1"/>
    <w:rsid w:val="508D3094"/>
    <w:rsid w:val="508F6D0E"/>
    <w:rsid w:val="509731E9"/>
    <w:rsid w:val="509849E3"/>
    <w:rsid w:val="509B17B9"/>
    <w:rsid w:val="509C03EC"/>
    <w:rsid w:val="50A537F2"/>
    <w:rsid w:val="50AB6C3C"/>
    <w:rsid w:val="50AC2969"/>
    <w:rsid w:val="50AE00DF"/>
    <w:rsid w:val="50AF1E5F"/>
    <w:rsid w:val="50B61E17"/>
    <w:rsid w:val="50B84D92"/>
    <w:rsid w:val="50B96382"/>
    <w:rsid w:val="50C035F0"/>
    <w:rsid w:val="50C055BF"/>
    <w:rsid w:val="50C22062"/>
    <w:rsid w:val="50C33AC6"/>
    <w:rsid w:val="50D02373"/>
    <w:rsid w:val="50DC744A"/>
    <w:rsid w:val="50DF480E"/>
    <w:rsid w:val="50EA2A37"/>
    <w:rsid w:val="50FC3DB7"/>
    <w:rsid w:val="5104071B"/>
    <w:rsid w:val="51082685"/>
    <w:rsid w:val="510B3B15"/>
    <w:rsid w:val="510E74BD"/>
    <w:rsid w:val="51110D4C"/>
    <w:rsid w:val="511676A8"/>
    <w:rsid w:val="511E2ED2"/>
    <w:rsid w:val="51251D8D"/>
    <w:rsid w:val="51293694"/>
    <w:rsid w:val="512D6D60"/>
    <w:rsid w:val="51362F05"/>
    <w:rsid w:val="51380D05"/>
    <w:rsid w:val="51394477"/>
    <w:rsid w:val="513A768E"/>
    <w:rsid w:val="513B31EA"/>
    <w:rsid w:val="5141223F"/>
    <w:rsid w:val="514766CC"/>
    <w:rsid w:val="51487E3A"/>
    <w:rsid w:val="51504600"/>
    <w:rsid w:val="515327E3"/>
    <w:rsid w:val="51541C7C"/>
    <w:rsid w:val="515D388E"/>
    <w:rsid w:val="515F1D3A"/>
    <w:rsid w:val="515F4CE4"/>
    <w:rsid w:val="516112DE"/>
    <w:rsid w:val="51677D12"/>
    <w:rsid w:val="5172540A"/>
    <w:rsid w:val="517369CD"/>
    <w:rsid w:val="51753D93"/>
    <w:rsid w:val="5178333B"/>
    <w:rsid w:val="517842E3"/>
    <w:rsid w:val="517C43A8"/>
    <w:rsid w:val="517F1D03"/>
    <w:rsid w:val="51823FE7"/>
    <w:rsid w:val="518538F0"/>
    <w:rsid w:val="51877CDE"/>
    <w:rsid w:val="51890CD5"/>
    <w:rsid w:val="5189167A"/>
    <w:rsid w:val="518D7DAF"/>
    <w:rsid w:val="518E5236"/>
    <w:rsid w:val="51923941"/>
    <w:rsid w:val="519328B2"/>
    <w:rsid w:val="519A434A"/>
    <w:rsid w:val="519A4A5D"/>
    <w:rsid w:val="51A32DD1"/>
    <w:rsid w:val="51A45F98"/>
    <w:rsid w:val="51A66521"/>
    <w:rsid w:val="51A800E6"/>
    <w:rsid w:val="51A86404"/>
    <w:rsid w:val="51A9048B"/>
    <w:rsid w:val="51AA05C4"/>
    <w:rsid w:val="51AD2620"/>
    <w:rsid w:val="51B06C39"/>
    <w:rsid w:val="51BD1297"/>
    <w:rsid w:val="51BD6383"/>
    <w:rsid w:val="51BF1202"/>
    <w:rsid w:val="51C8309A"/>
    <w:rsid w:val="51C9353A"/>
    <w:rsid w:val="51CB7760"/>
    <w:rsid w:val="51CF57BE"/>
    <w:rsid w:val="51D00777"/>
    <w:rsid w:val="51D41C7E"/>
    <w:rsid w:val="51D55BBC"/>
    <w:rsid w:val="51DB080A"/>
    <w:rsid w:val="51DF6261"/>
    <w:rsid w:val="51E02006"/>
    <w:rsid w:val="51E15A2D"/>
    <w:rsid w:val="51E25AEC"/>
    <w:rsid w:val="51E31F12"/>
    <w:rsid w:val="51E468BC"/>
    <w:rsid w:val="51E55A44"/>
    <w:rsid w:val="51E83DE4"/>
    <w:rsid w:val="51E87E01"/>
    <w:rsid w:val="51F119D2"/>
    <w:rsid w:val="51F14E91"/>
    <w:rsid w:val="51F53D76"/>
    <w:rsid w:val="51F82342"/>
    <w:rsid w:val="51FA5C44"/>
    <w:rsid w:val="51FB6CA6"/>
    <w:rsid w:val="51FC7C42"/>
    <w:rsid w:val="52051AEA"/>
    <w:rsid w:val="5205210C"/>
    <w:rsid w:val="5207312A"/>
    <w:rsid w:val="52097F27"/>
    <w:rsid w:val="520B1D1A"/>
    <w:rsid w:val="521053BC"/>
    <w:rsid w:val="521A571D"/>
    <w:rsid w:val="521B4DC1"/>
    <w:rsid w:val="52271C67"/>
    <w:rsid w:val="522A732A"/>
    <w:rsid w:val="522E3492"/>
    <w:rsid w:val="523061EC"/>
    <w:rsid w:val="523119EA"/>
    <w:rsid w:val="523561ED"/>
    <w:rsid w:val="52364D1E"/>
    <w:rsid w:val="523975A7"/>
    <w:rsid w:val="5242167C"/>
    <w:rsid w:val="52444A30"/>
    <w:rsid w:val="52475512"/>
    <w:rsid w:val="52482ABE"/>
    <w:rsid w:val="524E4A12"/>
    <w:rsid w:val="525613FA"/>
    <w:rsid w:val="52586C54"/>
    <w:rsid w:val="525E3512"/>
    <w:rsid w:val="525F0DA7"/>
    <w:rsid w:val="52624352"/>
    <w:rsid w:val="526C352D"/>
    <w:rsid w:val="526E3F3F"/>
    <w:rsid w:val="526F6D73"/>
    <w:rsid w:val="5270255D"/>
    <w:rsid w:val="52736223"/>
    <w:rsid w:val="527808AF"/>
    <w:rsid w:val="527C1F60"/>
    <w:rsid w:val="527C5C94"/>
    <w:rsid w:val="527E6669"/>
    <w:rsid w:val="52824D64"/>
    <w:rsid w:val="52847995"/>
    <w:rsid w:val="52870BA9"/>
    <w:rsid w:val="528E3A28"/>
    <w:rsid w:val="52914276"/>
    <w:rsid w:val="529A624F"/>
    <w:rsid w:val="52A006E8"/>
    <w:rsid w:val="52A148E6"/>
    <w:rsid w:val="52A65E99"/>
    <w:rsid w:val="52A900C6"/>
    <w:rsid w:val="52AD5DB0"/>
    <w:rsid w:val="52AE3BA7"/>
    <w:rsid w:val="52AE6F7A"/>
    <w:rsid w:val="52B96E06"/>
    <w:rsid w:val="52BF49E5"/>
    <w:rsid w:val="52C633E4"/>
    <w:rsid w:val="52C67C8E"/>
    <w:rsid w:val="52CD03F5"/>
    <w:rsid w:val="52CD3B14"/>
    <w:rsid w:val="52D04608"/>
    <w:rsid w:val="52D20A45"/>
    <w:rsid w:val="52D27F73"/>
    <w:rsid w:val="52D62E25"/>
    <w:rsid w:val="52D859D3"/>
    <w:rsid w:val="52D8600D"/>
    <w:rsid w:val="52DB451C"/>
    <w:rsid w:val="52E954C8"/>
    <w:rsid w:val="52ED3285"/>
    <w:rsid w:val="52ED6D0B"/>
    <w:rsid w:val="52F3133D"/>
    <w:rsid w:val="52F81C9A"/>
    <w:rsid w:val="52F9112F"/>
    <w:rsid w:val="52F951EA"/>
    <w:rsid w:val="52FA025F"/>
    <w:rsid w:val="52FC5F8A"/>
    <w:rsid w:val="52FD7C18"/>
    <w:rsid w:val="53042515"/>
    <w:rsid w:val="53087F6B"/>
    <w:rsid w:val="530A415E"/>
    <w:rsid w:val="530A55F8"/>
    <w:rsid w:val="530B5143"/>
    <w:rsid w:val="530C1E38"/>
    <w:rsid w:val="531416E6"/>
    <w:rsid w:val="531E29C6"/>
    <w:rsid w:val="531F5ACC"/>
    <w:rsid w:val="531F7246"/>
    <w:rsid w:val="53206F53"/>
    <w:rsid w:val="53210783"/>
    <w:rsid w:val="53226931"/>
    <w:rsid w:val="532353B2"/>
    <w:rsid w:val="532F2C1D"/>
    <w:rsid w:val="53330FFF"/>
    <w:rsid w:val="53367461"/>
    <w:rsid w:val="533E255C"/>
    <w:rsid w:val="53427F51"/>
    <w:rsid w:val="53452A76"/>
    <w:rsid w:val="5348089C"/>
    <w:rsid w:val="534A6481"/>
    <w:rsid w:val="534D4943"/>
    <w:rsid w:val="535C6833"/>
    <w:rsid w:val="5369354A"/>
    <w:rsid w:val="536C350C"/>
    <w:rsid w:val="536D73F4"/>
    <w:rsid w:val="536E4994"/>
    <w:rsid w:val="536F547F"/>
    <w:rsid w:val="53750428"/>
    <w:rsid w:val="53775AE5"/>
    <w:rsid w:val="53790827"/>
    <w:rsid w:val="538069C2"/>
    <w:rsid w:val="53910567"/>
    <w:rsid w:val="5396122F"/>
    <w:rsid w:val="539B4221"/>
    <w:rsid w:val="539C39C9"/>
    <w:rsid w:val="539F47E1"/>
    <w:rsid w:val="53AC6EBF"/>
    <w:rsid w:val="53AF781D"/>
    <w:rsid w:val="53B2170B"/>
    <w:rsid w:val="53B4518B"/>
    <w:rsid w:val="53B527AE"/>
    <w:rsid w:val="53B573AF"/>
    <w:rsid w:val="53B84247"/>
    <w:rsid w:val="53BD0D22"/>
    <w:rsid w:val="53BE7241"/>
    <w:rsid w:val="53C06327"/>
    <w:rsid w:val="53C21581"/>
    <w:rsid w:val="53C7084F"/>
    <w:rsid w:val="53D42D31"/>
    <w:rsid w:val="53D60858"/>
    <w:rsid w:val="53D6296E"/>
    <w:rsid w:val="53D80264"/>
    <w:rsid w:val="53DE62D5"/>
    <w:rsid w:val="53E32493"/>
    <w:rsid w:val="53E36627"/>
    <w:rsid w:val="53E4015D"/>
    <w:rsid w:val="53E5315A"/>
    <w:rsid w:val="53E96238"/>
    <w:rsid w:val="53ED4F5D"/>
    <w:rsid w:val="53EE5D1E"/>
    <w:rsid w:val="53F4709B"/>
    <w:rsid w:val="53F60F96"/>
    <w:rsid w:val="53F979CA"/>
    <w:rsid w:val="53FD56AE"/>
    <w:rsid w:val="540A11DD"/>
    <w:rsid w:val="540E32F1"/>
    <w:rsid w:val="5421585F"/>
    <w:rsid w:val="5421589F"/>
    <w:rsid w:val="542A01F7"/>
    <w:rsid w:val="54310545"/>
    <w:rsid w:val="54364475"/>
    <w:rsid w:val="54376972"/>
    <w:rsid w:val="543A207D"/>
    <w:rsid w:val="543F0442"/>
    <w:rsid w:val="54440F68"/>
    <w:rsid w:val="54472A21"/>
    <w:rsid w:val="54515853"/>
    <w:rsid w:val="54533AC6"/>
    <w:rsid w:val="54545AEE"/>
    <w:rsid w:val="545C6F04"/>
    <w:rsid w:val="54634BE7"/>
    <w:rsid w:val="54644AEE"/>
    <w:rsid w:val="54702778"/>
    <w:rsid w:val="547703E3"/>
    <w:rsid w:val="54786367"/>
    <w:rsid w:val="547920EC"/>
    <w:rsid w:val="547967C7"/>
    <w:rsid w:val="54806A0F"/>
    <w:rsid w:val="548475AB"/>
    <w:rsid w:val="54856559"/>
    <w:rsid w:val="54872BB1"/>
    <w:rsid w:val="548C771F"/>
    <w:rsid w:val="548F6CBE"/>
    <w:rsid w:val="54916731"/>
    <w:rsid w:val="549A323E"/>
    <w:rsid w:val="549F1764"/>
    <w:rsid w:val="54A15B5C"/>
    <w:rsid w:val="54A4754D"/>
    <w:rsid w:val="54A55C2F"/>
    <w:rsid w:val="54A67D16"/>
    <w:rsid w:val="54A737F1"/>
    <w:rsid w:val="54B13D90"/>
    <w:rsid w:val="54B349B7"/>
    <w:rsid w:val="54B82759"/>
    <w:rsid w:val="54B960F9"/>
    <w:rsid w:val="54BB4620"/>
    <w:rsid w:val="54BC77DB"/>
    <w:rsid w:val="54C919B3"/>
    <w:rsid w:val="54CA3F72"/>
    <w:rsid w:val="54D24B5F"/>
    <w:rsid w:val="54D30EA4"/>
    <w:rsid w:val="54D9672F"/>
    <w:rsid w:val="54DD50C5"/>
    <w:rsid w:val="54E42344"/>
    <w:rsid w:val="54E7737A"/>
    <w:rsid w:val="54EA6196"/>
    <w:rsid w:val="54F44B38"/>
    <w:rsid w:val="54FB2086"/>
    <w:rsid w:val="54FB4B12"/>
    <w:rsid w:val="54FB6CDB"/>
    <w:rsid w:val="54FD4779"/>
    <w:rsid w:val="55030265"/>
    <w:rsid w:val="5507418D"/>
    <w:rsid w:val="55083D19"/>
    <w:rsid w:val="55087DAF"/>
    <w:rsid w:val="550F1AAD"/>
    <w:rsid w:val="55120C9D"/>
    <w:rsid w:val="551907A6"/>
    <w:rsid w:val="551A6681"/>
    <w:rsid w:val="551B5007"/>
    <w:rsid w:val="55231BCA"/>
    <w:rsid w:val="5524489A"/>
    <w:rsid w:val="552665A6"/>
    <w:rsid w:val="5526758E"/>
    <w:rsid w:val="55296CC7"/>
    <w:rsid w:val="552E1838"/>
    <w:rsid w:val="552F147D"/>
    <w:rsid w:val="55324E7A"/>
    <w:rsid w:val="553312F3"/>
    <w:rsid w:val="553E2A4C"/>
    <w:rsid w:val="553E589C"/>
    <w:rsid w:val="55402A71"/>
    <w:rsid w:val="55466A3D"/>
    <w:rsid w:val="55491C86"/>
    <w:rsid w:val="554B5D26"/>
    <w:rsid w:val="555056C0"/>
    <w:rsid w:val="55505BE4"/>
    <w:rsid w:val="55586124"/>
    <w:rsid w:val="555B02B7"/>
    <w:rsid w:val="555D030C"/>
    <w:rsid w:val="55692262"/>
    <w:rsid w:val="55693DF6"/>
    <w:rsid w:val="556C0896"/>
    <w:rsid w:val="55701B3D"/>
    <w:rsid w:val="55703EAF"/>
    <w:rsid w:val="55716418"/>
    <w:rsid w:val="55766C70"/>
    <w:rsid w:val="557B16C1"/>
    <w:rsid w:val="558E2BBF"/>
    <w:rsid w:val="558F7F8E"/>
    <w:rsid w:val="55905C01"/>
    <w:rsid w:val="55912927"/>
    <w:rsid w:val="55913C9F"/>
    <w:rsid w:val="55917760"/>
    <w:rsid w:val="559721C2"/>
    <w:rsid w:val="559C73FC"/>
    <w:rsid w:val="55A670C6"/>
    <w:rsid w:val="55A95D07"/>
    <w:rsid w:val="55B51816"/>
    <w:rsid w:val="55BA0E3B"/>
    <w:rsid w:val="55BA5365"/>
    <w:rsid w:val="55C16949"/>
    <w:rsid w:val="55D045C8"/>
    <w:rsid w:val="55D12DC9"/>
    <w:rsid w:val="55D52957"/>
    <w:rsid w:val="55DB4F44"/>
    <w:rsid w:val="55DB5A0B"/>
    <w:rsid w:val="55DD05F8"/>
    <w:rsid w:val="55DF4027"/>
    <w:rsid w:val="55E113B7"/>
    <w:rsid w:val="55E3162D"/>
    <w:rsid w:val="55EC214E"/>
    <w:rsid w:val="55FC4BE3"/>
    <w:rsid w:val="560351CB"/>
    <w:rsid w:val="56072153"/>
    <w:rsid w:val="5609188A"/>
    <w:rsid w:val="560B13F2"/>
    <w:rsid w:val="56102D0F"/>
    <w:rsid w:val="56177C3D"/>
    <w:rsid w:val="561D6B39"/>
    <w:rsid w:val="561E3E92"/>
    <w:rsid w:val="562148C0"/>
    <w:rsid w:val="5624566C"/>
    <w:rsid w:val="56245E59"/>
    <w:rsid w:val="56265571"/>
    <w:rsid w:val="562A4DE0"/>
    <w:rsid w:val="562B7BB1"/>
    <w:rsid w:val="562E0FF2"/>
    <w:rsid w:val="563178C7"/>
    <w:rsid w:val="5636697A"/>
    <w:rsid w:val="56390A88"/>
    <w:rsid w:val="563916D6"/>
    <w:rsid w:val="563A62C3"/>
    <w:rsid w:val="563F1DF6"/>
    <w:rsid w:val="563F3D0C"/>
    <w:rsid w:val="56405A8F"/>
    <w:rsid w:val="56460527"/>
    <w:rsid w:val="56460C76"/>
    <w:rsid w:val="56490F08"/>
    <w:rsid w:val="565215AF"/>
    <w:rsid w:val="565454A0"/>
    <w:rsid w:val="56562837"/>
    <w:rsid w:val="565931CB"/>
    <w:rsid w:val="565C13EC"/>
    <w:rsid w:val="565E4ECC"/>
    <w:rsid w:val="56603B78"/>
    <w:rsid w:val="56624492"/>
    <w:rsid w:val="56631ADC"/>
    <w:rsid w:val="56767658"/>
    <w:rsid w:val="5677037E"/>
    <w:rsid w:val="567848D1"/>
    <w:rsid w:val="567A7702"/>
    <w:rsid w:val="56800E3D"/>
    <w:rsid w:val="568147C2"/>
    <w:rsid w:val="56857A19"/>
    <w:rsid w:val="56862FBB"/>
    <w:rsid w:val="568B3391"/>
    <w:rsid w:val="568D2E55"/>
    <w:rsid w:val="568F13AC"/>
    <w:rsid w:val="569255AF"/>
    <w:rsid w:val="56955770"/>
    <w:rsid w:val="569622F8"/>
    <w:rsid w:val="569D32CB"/>
    <w:rsid w:val="569F760C"/>
    <w:rsid w:val="56A23205"/>
    <w:rsid w:val="56A306D0"/>
    <w:rsid w:val="56A452C3"/>
    <w:rsid w:val="56A657D9"/>
    <w:rsid w:val="56A708D5"/>
    <w:rsid w:val="56AD2F9B"/>
    <w:rsid w:val="56AD521A"/>
    <w:rsid w:val="56AE4B25"/>
    <w:rsid w:val="56B6724A"/>
    <w:rsid w:val="56BB0B7C"/>
    <w:rsid w:val="56C10033"/>
    <w:rsid w:val="56C11D04"/>
    <w:rsid w:val="56C1230B"/>
    <w:rsid w:val="56C879F1"/>
    <w:rsid w:val="56CA3A68"/>
    <w:rsid w:val="56CB77A6"/>
    <w:rsid w:val="56D053F5"/>
    <w:rsid w:val="56E11BD2"/>
    <w:rsid w:val="56E9764D"/>
    <w:rsid w:val="56EC04F9"/>
    <w:rsid w:val="56EC5695"/>
    <w:rsid w:val="56F219ED"/>
    <w:rsid w:val="56FA094C"/>
    <w:rsid w:val="56FF5285"/>
    <w:rsid w:val="570008EA"/>
    <w:rsid w:val="57027700"/>
    <w:rsid w:val="57071F24"/>
    <w:rsid w:val="57073DAD"/>
    <w:rsid w:val="5708563B"/>
    <w:rsid w:val="57125778"/>
    <w:rsid w:val="571406E7"/>
    <w:rsid w:val="5716250F"/>
    <w:rsid w:val="571B4362"/>
    <w:rsid w:val="57281FE4"/>
    <w:rsid w:val="572C12E3"/>
    <w:rsid w:val="572E4DE9"/>
    <w:rsid w:val="5734419F"/>
    <w:rsid w:val="57366025"/>
    <w:rsid w:val="5737306C"/>
    <w:rsid w:val="573A4295"/>
    <w:rsid w:val="573B2925"/>
    <w:rsid w:val="573D27EE"/>
    <w:rsid w:val="573D3E90"/>
    <w:rsid w:val="573E2F56"/>
    <w:rsid w:val="574A2371"/>
    <w:rsid w:val="574A6128"/>
    <w:rsid w:val="574C2B24"/>
    <w:rsid w:val="574E6560"/>
    <w:rsid w:val="574F4DA1"/>
    <w:rsid w:val="575048C2"/>
    <w:rsid w:val="57534492"/>
    <w:rsid w:val="57590DF8"/>
    <w:rsid w:val="575A7433"/>
    <w:rsid w:val="575E2B1A"/>
    <w:rsid w:val="575E446E"/>
    <w:rsid w:val="576335BB"/>
    <w:rsid w:val="576364A8"/>
    <w:rsid w:val="57642220"/>
    <w:rsid w:val="57654226"/>
    <w:rsid w:val="57673237"/>
    <w:rsid w:val="576B57B5"/>
    <w:rsid w:val="576E4B24"/>
    <w:rsid w:val="576F3918"/>
    <w:rsid w:val="57701BBF"/>
    <w:rsid w:val="577201D4"/>
    <w:rsid w:val="57767191"/>
    <w:rsid w:val="57782BBB"/>
    <w:rsid w:val="578042DE"/>
    <w:rsid w:val="57822609"/>
    <w:rsid w:val="578C1725"/>
    <w:rsid w:val="578C6D8A"/>
    <w:rsid w:val="578F3ABE"/>
    <w:rsid w:val="578F569F"/>
    <w:rsid w:val="57913D9D"/>
    <w:rsid w:val="57931A2E"/>
    <w:rsid w:val="57960C18"/>
    <w:rsid w:val="57963040"/>
    <w:rsid w:val="579710D5"/>
    <w:rsid w:val="5797728E"/>
    <w:rsid w:val="579E6E2B"/>
    <w:rsid w:val="579F649E"/>
    <w:rsid w:val="57AB0709"/>
    <w:rsid w:val="57AB1CAC"/>
    <w:rsid w:val="57AD1500"/>
    <w:rsid w:val="57B20BDE"/>
    <w:rsid w:val="57B375CE"/>
    <w:rsid w:val="57B528C3"/>
    <w:rsid w:val="57B76A63"/>
    <w:rsid w:val="57B90E0E"/>
    <w:rsid w:val="57B92CAE"/>
    <w:rsid w:val="57BF6595"/>
    <w:rsid w:val="57C120FE"/>
    <w:rsid w:val="57C52209"/>
    <w:rsid w:val="57C97707"/>
    <w:rsid w:val="57D01A79"/>
    <w:rsid w:val="57D049DB"/>
    <w:rsid w:val="57D567ED"/>
    <w:rsid w:val="57D5703B"/>
    <w:rsid w:val="57E67392"/>
    <w:rsid w:val="57F238E8"/>
    <w:rsid w:val="57F25A7D"/>
    <w:rsid w:val="57F26ACA"/>
    <w:rsid w:val="57F76286"/>
    <w:rsid w:val="57FE2DBB"/>
    <w:rsid w:val="57FE2EF3"/>
    <w:rsid w:val="58044B45"/>
    <w:rsid w:val="580459DD"/>
    <w:rsid w:val="580821D3"/>
    <w:rsid w:val="580B096D"/>
    <w:rsid w:val="58111A4C"/>
    <w:rsid w:val="581A736C"/>
    <w:rsid w:val="5820573F"/>
    <w:rsid w:val="5824556D"/>
    <w:rsid w:val="582839B8"/>
    <w:rsid w:val="583050CE"/>
    <w:rsid w:val="583D0CCB"/>
    <w:rsid w:val="583D6B0B"/>
    <w:rsid w:val="584257DE"/>
    <w:rsid w:val="58517593"/>
    <w:rsid w:val="58531ACC"/>
    <w:rsid w:val="586962FF"/>
    <w:rsid w:val="58696A0C"/>
    <w:rsid w:val="586A5997"/>
    <w:rsid w:val="586D1FCF"/>
    <w:rsid w:val="586D24F1"/>
    <w:rsid w:val="5876067B"/>
    <w:rsid w:val="5876253E"/>
    <w:rsid w:val="58765A17"/>
    <w:rsid w:val="58774EA6"/>
    <w:rsid w:val="58812B4C"/>
    <w:rsid w:val="58813679"/>
    <w:rsid w:val="588615D3"/>
    <w:rsid w:val="58903858"/>
    <w:rsid w:val="589045F0"/>
    <w:rsid w:val="58947EDA"/>
    <w:rsid w:val="58A02C15"/>
    <w:rsid w:val="58A03A6C"/>
    <w:rsid w:val="58A70055"/>
    <w:rsid w:val="58AA5661"/>
    <w:rsid w:val="58B316C0"/>
    <w:rsid w:val="58BA4E09"/>
    <w:rsid w:val="58BD1BB4"/>
    <w:rsid w:val="58BF26BA"/>
    <w:rsid w:val="58C518BE"/>
    <w:rsid w:val="58C63D35"/>
    <w:rsid w:val="58D25B50"/>
    <w:rsid w:val="58D27B70"/>
    <w:rsid w:val="58D556B5"/>
    <w:rsid w:val="58D5717B"/>
    <w:rsid w:val="58D77F95"/>
    <w:rsid w:val="58E3262C"/>
    <w:rsid w:val="58E733D4"/>
    <w:rsid w:val="58EC0266"/>
    <w:rsid w:val="58EF2B50"/>
    <w:rsid w:val="58F47734"/>
    <w:rsid w:val="590167EF"/>
    <w:rsid w:val="590256FE"/>
    <w:rsid w:val="5903441E"/>
    <w:rsid w:val="59076383"/>
    <w:rsid w:val="590A3F18"/>
    <w:rsid w:val="591E43DE"/>
    <w:rsid w:val="592F2E99"/>
    <w:rsid w:val="592F7DF9"/>
    <w:rsid w:val="593063B7"/>
    <w:rsid w:val="593623AC"/>
    <w:rsid w:val="59373EDE"/>
    <w:rsid w:val="59396519"/>
    <w:rsid w:val="593B1679"/>
    <w:rsid w:val="593D59D7"/>
    <w:rsid w:val="59430A10"/>
    <w:rsid w:val="59433C89"/>
    <w:rsid w:val="59462508"/>
    <w:rsid w:val="59473A26"/>
    <w:rsid w:val="594A0412"/>
    <w:rsid w:val="594B7BB4"/>
    <w:rsid w:val="594C235A"/>
    <w:rsid w:val="594F260D"/>
    <w:rsid w:val="59572C9A"/>
    <w:rsid w:val="59580438"/>
    <w:rsid w:val="59584FAF"/>
    <w:rsid w:val="595C0FAF"/>
    <w:rsid w:val="595C2709"/>
    <w:rsid w:val="596156CE"/>
    <w:rsid w:val="59744BAC"/>
    <w:rsid w:val="5978412F"/>
    <w:rsid w:val="59847B8A"/>
    <w:rsid w:val="59847D21"/>
    <w:rsid w:val="5989203B"/>
    <w:rsid w:val="598A18F7"/>
    <w:rsid w:val="598D55DD"/>
    <w:rsid w:val="598E576F"/>
    <w:rsid w:val="59936090"/>
    <w:rsid w:val="5998172F"/>
    <w:rsid w:val="5998253D"/>
    <w:rsid w:val="599F70F9"/>
    <w:rsid w:val="59A95155"/>
    <w:rsid w:val="59A96D90"/>
    <w:rsid w:val="59AC354C"/>
    <w:rsid w:val="59B22598"/>
    <w:rsid w:val="59B36EB4"/>
    <w:rsid w:val="59B707D0"/>
    <w:rsid w:val="59BC41C5"/>
    <w:rsid w:val="59BE27E0"/>
    <w:rsid w:val="59CA779D"/>
    <w:rsid w:val="59CB7281"/>
    <w:rsid w:val="59CC63B6"/>
    <w:rsid w:val="59D01BB2"/>
    <w:rsid w:val="59D06844"/>
    <w:rsid w:val="59D374BA"/>
    <w:rsid w:val="59D71872"/>
    <w:rsid w:val="59D95200"/>
    <w:rsid w:val="59D96925"/>
    <w:rsid w:val="59DC4984"/>
    <w:rsid w:val="59DD1E13"/>
    <w:rsid w:val="59E16ADB"/>
    <w:rsid w:val="59ED0953"/>
    <w:rsid w:val="59F15DC5"/>
    <w:rsid w:val="59F1788D"/>
    <w:rsid w:val="59FC6B66"/>
    <w:rsid w:val="59FF1A9E"/>
    <w:rsid w:val="5A007440"/>
    <w:rsid w:val="5A016BBE"/>
    <w:rsid w:val="5A023593"/>
    <w:rsid w:val="5A033F27"/>
    <w:rsid w:val="5A094E61"/>
    <w:rsid w:val="5A130FF8"/>
    <w:rsid w:val="5A280BF9"/>
    <w:rsid w:val="5A291610"/>
    <w:rsid w:val="5A2E10AA"/>
    <w:rsid w:val="5A374137"/>
    <w:rsid w:val="5A382D61"/>
    <w:rsid w:val="5A391ED4"/>
    <w:rsid w:val="5A42244C"/>
    <w:rsid w:val="5A422831"/>
    <w:rsid w:val="5A433314"/>
    <w:rsid w:val="5A443EC9"/>
    <w:rsid w:val="5A4951AD"/>
    <w:rsid w:val="5A4C300D"/>
    <w:rsid w:val="5A581453"/>
    <w:rsid w:val="5A651732"/>
    <w:rsid w:val="5A6A4943"/>
    <w:rsid w:val="5A6C2CE8"/>
    <w:rsid w:val="5A6C316D"/>
    <w:rsid w:val="5A727D00"/>
    <w:rsid w:val="5A733514"/>
    <w:rsid w:val="5A7B7E7B"/>
    <w:rsid w:val="5A7F1458"/>
    <w:rsid w:val="5A7F2DEF"/>
    <w:rsid w:val="5A834BF8"/>
    <w:rsid w:val="5A8469A8"/>
    <w:rsid w:val="5A8A42E9"/>
    <w:rsid w:val="5A8B2C23"/>
    <w:rsid w:val="5A8C1145"/>
    <w:rsid w:val="5A8F23AA"/>
    <w:rsid w:val="5A91456B"/>
    <w:rsid w:val="5A986AB8"/>
    <w:rsid w:val="5A9974DF"/>
    <w:rsid w:val="5AA1639D"/>
    <w:rsid w:val="5AA37BBA"/>
    <w:rsid w:val="5AAF31C7"/>
    <w:rsid w:val="5AAF4DAA"/>
    <w:rsid w:val="5AB307D2"/>
    <w:rsid w:val="5AB4598F"/>
    <w:rsid w:val="5AB64AAE"/>
    <w:rsid w:val="5ABE0BBA"/>
    <w:rsid w:val="5AC80B5B"/>
    <w:rsid w:val="5AC90E3C"/>
    <w:rsid w:val="5ACA7766"/>
    <w:rsid w:val="5ACD11B2"/>
    <w:rsid w:val="5AD24720"/>
    <w:rsid w:val="5AD55C4C"/>
    <w:rsid w:val="5AD63C28"/>
    <w:rsid w:val="5AD70195"/>
    <w:rsid w:val="5AD80A42"/>
    <w:rsid w:val="5ADB49B8"/>
    <w:rsid w:val="5ADE6A2C"/>
    <w:rsid w:val="5ADF4992"/>
    <w:rsid w:val="5AE03DBF"/>
    <w:rsid w:val="5AE30B36"/>
    <w:rsid w:val="5AE64866"/>
    <w:rsid w:val="5AE81F0F"/>
    <w:rsid w:val="5AEB3F6B"/>
    <w:rsid w:val="5AF12250"/>
    <w:rsid w:val="5AF63110"/>
    <w:rsid w:val="5AF920FC"/>
    <w:rsid w:val="5AFB1CB5"/>
    <w:rsid w:val="5AFF6982"/>
    <w:rsid w:val="5B00641F"/>
    <w:rsid w:val="5B035BCA"/>
    <w:rsid w:val="5B09343D"/>
    <w:rsid w:val="5B124893"/>
    <w:rsid w:val="5B161CD1"/>
    <w:rsid w:val="5B166566"/>
    <w:rsid w:val="5B220398"/>
    <w:rsid w:val="5B296C74"/>
    <w:rsid w:val="5B2C6C4E"/>
    <w:rsid w:val="5B3D1394"/>
    <w:rsid w:val="5B447ABE"/>
    <w:rsid w:val="5B5478D2"/>
    <w:rsid w:val="5B553903"/>
    <w:rsid w:val="5B5B2FEB"/>
    <w:rsid w:val="5B5E06E8"/>
    <w:rsid w:val="5B613C7F"/>
    <w:rsid w:val="5B63103A"/>
    <w:rsid w:val="5B657402"/>
    <w:rsid w:val="5B69652E"/>
    <w:rsid w:val="5B6B5B8A"/>
    <w:rsid w:val="5B6D7038"/>
    <w:rsid w:val="5B6E382F"/>
    <w:rsid w:val="5B7C18E6"/>
    <w:rsid w:val="5B852F3D"/>
    <w:rsid w:val="5B8729A2"/>
    <w:rsid w:val="5B914434"/>
    <w:rsid w:val="5B91464D"/>
    <w:rsid w:val="5B930679"/>
    <w:rsid w:val="5B957C4B"/>
    <w:rsid w:val="5B98151C"/>
    <w:rsid w:val="5B9B2617"/>
    <w:rsid w:val="5BA07AEF"/>
    <w:rsid w:val="5BA244CC"/>
    <w:rsid w:val="5BA70E6A"/>
    <w:rsid w:val="5BA80658"/>
    <w:rsid w:val="5BA84511"/>
    <w:rsid w:val="5BAA51A5"/>
    <w:rsid w:val="5BAC2320"/>
    <w:rsid w:val="5BB0185E"/>
    <w:rsid w:val="5BB16335"/>
    <w:rsid w:val="5BB27581"/>
    <w:rsid w:val="5BB44C67"/>
    <w:rsid w:val="5BB573D7"/>
    <w:rsid w:val="5BC11302"/>
    <w:rsid w:val="5BCB5C25"/>
    <w:rsid w:val="5BCC4705"/>
    <w:rsid w:val="5BCC6F3B"/>
    <w:rsid w:val="5BCD671B"/>
    <w:rsid w:val="5BED00D1"/>
    <w:rsid w:val="5BED5218"/>
    <w:rsid w:val="5BF022C1"/>
    <w:rsid w:val="5BF06DE2"/>
    <w:rsid w:val="5BF97DF5"/>
    <w:rsid w:val="5BFA292D"/>
    <w:rsid w:val="5BFE49CE"/>
    <w:rsid w:val="5C034B08"/>
    <w:rsid w:val="5C0C6727"/>
    <w:rsid w:val="5C180ECF"/>
    <w:rsid w:val="5C1B2E0F"/>
    <w:rsid w:val="5C1C3B3C"/>
    <w:rsid w:val="5C1E4082"/>
    <w:rsid w:val="5C1E716E"/>
    <w:rsid w:val="5C283D95"/>
    <w:rsid w:val="5C2974A9"/>
    <w:rsid w:val="5C2C454E"/>
    <w:rsid w:val="5C312463"/>
    <w:rsid w:val="5C3C677A"/>
    <w:rsid w:val="5C3D5028"/>
    <w:rsid w:val="5C3F6134"/>
    <w:rsid w:val="5C401564"/>
    <w:rsid w:val="5C407337"/>
    <w:rsid w:val="5C441912"/>
    <w:rsid w:val="5C455C74"/>
    <w:rsid w:val="5C4772B0"/>
    <w:rsid w:val="5C4935C2"/>
    <w:rsid w:val="5C494C1E"/>
    <w:rsid w:val="5C4A19C9"/>
    <w:rsid w:val="5C4B5EC0"/>
    <w:rsid w:val="5C4D7E83"/>
    <w:rsid w:val="5C4E579C"/>
    <w:rsid w:val="5C5375B7"/>
    <w:rsid w:val="5C5B5333"/>
    <w:rsid w:val="5C5E41B6"/>
    <w:rsid w:val="5C5E55CE"/>
    <w:rsid w:val="5C6413AD"/>
    <w:rsid w:val="5C650622"/>
    <w:rsid w:val="5C674275"/>
    <w:rsid w:val="5C697204"/>
    <w:rsid w:val="5C6E6031"/>
    <w:rsid w:val="5C7A1E16"/>
    <w:rsid w:val="5C7C1E68"/>
    <w:rsid w:val="5C7F14AF"/>
    <w:rsid w:val="5C806EA5"/>
    <w:rsid w:val="5C834D1E"/>
    <w:rsid w:val="5C860B12"/>
    <w:rsid w:val="5C873D87"/>
    <w:rsid w:val="5C892353"/>
    <w:rsid w:val="5C8C3A0D"/>
    <w:rsid w:val="5C8C4730"/>
    <w:rsid w:val="5C925523"/>
    <w:rsid w:val="5C92574E"/>
    <w:rsid w:val="5C952AF8"/>
    <w:rsid w:val="5C963E20"/>
    <w:rsid w:val="5C975557"/>
    <w:rsid w:val="5C9C3016"/>
    <w:rsid w:val="5C9C3C7C"/>
    <w:rsid w:val="5CA470AB"/>
    <w:rsid w:val="5CAA7187"/>
    <w:rsid w:val="5CB01AFC"/>
    <w:rsid w:val="5CB151C4"/>
    <w:rsid w:val="5CB23F7F"/>
    <w:rsid w:val="5CB34D22"/>
    <w:rsid w:val="5CB363FC"/>
    <w:rsid w:val="5CBB17D7"/>
    <w:rsid w:val="5CBF0824"/>
    <w:rsid w:val="5CBF08B5"/>
    <w:rsid w:val="5CC01ABE"/>
    <w:rsid w:val="5CC16B5C"/>
    <w:rsid w:val="5CCD6ED4"/>
    <w:rsid w:val="5CD4509F"/>
    <w:rsid w:val="5CD64CF0"/>
    <w:rsid w:val="5CD81B24"/>
    <w:rsid w:val="5CDD0B85"/>
    <w:rsid w:val="5CDF3D32"/>
    <w:rsid w:val="5CE1586D"/>
    <w:rsid w:val="5CE1605A"/>
    <w:rsid w:val="5CE245A4"/>
    <w:rsid w:val="5CE246AF"/>
    <w:rsid w:val="5CE414CB"/>
    <w:rsid w:val="5CE82CA5"/>
    <w:rsid w:val="5CE921DA"/>
    <w:rsid w:val="5CEC0E3B"/>
    <w:rsid w:val="5CF026E5"/>
    <w:rsid w:val="5CF202D6"/>
    <w:rsid w:val="5CF53C2B"/>
    <w:rsid w:val="5D0068CF"/>
    <w:rsid w:val="5D041D71"/>
    <w:rsid w:val="5D081CE3"/>
    <w:rsid w:val="5D091710"/>
    <w:rsid w:val="5D0F626F"/>
    <w:rsid w:val="5D127ABA"/>
    <w:rsid w:val="5D176DD2"/>
    <w:rsid w:val="5D1F25EA"/>
    <w:rsid w:val="5D1F714C"/>
    <w:rsid w:val="5D255579"/>
    <w:rsid w:val="5D264CD5"/>
    <w:rsid w:val="5D293711"/>
    <w:rsid w:val="5D296F58"/>
    <w:rsid w:val="5D2B4A82"/>
    <w:rsid w:val="5D2B646D"/>
    <w:rsid w:val="5D3052E9"/>
    <w:rsid w:val="5D3301DF"/>
    <w:rsid w:val="5D3822DB"/>
    <w:rsid w:val="5D3E72CA"/>
    <w:rsid w:val="5D430BE3"/>
    <w:rsid w:val="5D433C71"/>
    <w:rsid w:val="5D440D3C"/>
    <w:rsid w:val="5D491235"/>
    <w:rsid w:val="5D4C2852"/>
    <w:rsid w:val="5D4D1E23"/>
    <w:rsid w:val="5D545266"/>
    <w:rsid w:val="5D546AF5"/>
    <w:rsid w:val="5D563177"/>
    <w:rsid w:val="5D5640AC"/>
    <w:rsid w:val="5D574023"/>
    <w:rsid w:val="5D632757"/>
    <w:rsid w:val="5D643CC8"/>
    <w:rsid w:val="5D684416"/>
    <w:rsid w:val="5D6E2DC2"/>
    <w:rsid w:val="5D7371B7"/>
    <w:rsid w:val="5D7623AB"/>
    <w:rsid w:val="5D776529"/>
    <w:rsid w:val="5D7D33BC"/>
    <w:rsid w:val="5D7D517C"/>
    <w:rsid w:val="5D7F2ED5"/>
    <w:rsid w:val="5D824630"/>
    <w:rsid w:val="5D86336B"/>
    <w:rsid w:val="5D8C0053"/>
    <w:rsid w:val="5D8D0735"/>
    <w:rsid w:val="5D8D4513"/>
    <w:rsid w:val="5D90714B"/>
    <w:rsid w:val="5D970094"/>
    <w:rsid w:val="5D974D3E"/>
    <w:rsid w:val="5D9904DA"/>
    <w:rsid w:val="5D990BCE"/>
    <w:rsid w:val="5D992889"/>
    <w:rsid w:val="5D993BCD"/>
    <w:rsid w:val="5D9B4AB7"/>
    <w:rsid w:val="5D9C7D7D"/>
    <w:rsid w:val="5D9D45A9"/>
    <w:rsid w:val="5DA80799"/>
    <w:rsid w:val="5DAB38FF"/>
    <w:rsid w:val="5DAC2366"/>
    <w:rsid w:val="5DB006AE"/>
    <w:rsid w:val="5DB110E5"/>
    <w:rsid w:val="5DBB3003"/>
    <w:rsid w:val="5DC26C27"/>
    <w:rsid w:val="5DC53163"/>
    <w:rsid w:val="5DC744A7"/>
    <w:rsid w:val="5DC75609"/>
    <w:rsid w:val="5DC764E9"/>
    <w:rsid w:val="5DCA6981"/>
    <w:rsid w:val="5DCE5631"/>
    <w:rsid w:val="5DD457DF"/>
    <w:rsid w:val="5DD66A83"/>
    <w:rsid w:val="5DD916B2"/>
    <w:rsid w:val="5DD93AEF"/>
    <w:rsid w:val="5DDF76BC"/>
    <w:rsid w:val="5DE212F0"/>
    <w:rsid w:val="5DE535CB"/>
    <w:rsid w:val="5DEB7290"/>
    <w:rsid w:val="5DEC1107"/>
    <w:rsid w:val="5DEC19CB"/>
    <w:rsid w:val="5DEF0CAB"/>
    <w:rsid w:val="5DF66008"/>
    <w:rsid w:val="5DFC2E47"/>
    <w:rsid w:val="5E00368E"/>
    <w:rsid w:val="5E0C1583"/>
    <w:rsid w:val="5E0D75DB"/>
    <w:rsid w:val="5E0F6990"/>
    <w:rsid w:val="5E105447"/>
    <w:rsid w:val="5E1622E9"/>
    <w:rsid w:val="5E221072"/>
    <w:rsid w:val="5E223EA4"/>
    <w:rsid w:val="5E2804CA"/>
    <w:rsid w:val="5E2968B9"/>
    <w:rsid w:val="5E2D1C3A"/>
    <w:rsid w:val="5E2E0C54"/>
    <w:rsid w:val="5E2E4820"/>
    <w:rsid w:val="5E2F649A"/>
    <w:rsid w:val="5E334273"/>
    <w:rsid w:val="5E364B79"/>
    <w:rsid w:val="5E3737CC"/>
    <w:rsid w:val="5E393534"/>
    <w:rsid w:val="5E431BAD"/>
    <w:rsid w:val="5E431F27"/>
    <w:rsid w:val="5E4718E6"/>
    <w:rsid w:val="5E507C84"/>
    <w:rsid w:val="5E516DAD"/>
    <w:rsid w:val="5E554107"/>
    <w:rsid w:val="5E574D22"/>
    <w:rsid w:val="5E577974"/>
    <w:rsid w:val="5E595C22"/>
    <w:rsid w:val="5E5B0224"/>
    <w:rsid w:val="5E5C643E"/>
    <w:rsid w:val="5E627355"/>
    <w:rsid w:val="5E65634A"/>
    <w:rsid w:val="5E6701E7"/>
    <w:rsid w:val="5E6810DE"/>
    <w:rsid w:val="5E6B21DC"/>
    <w:rsid w:val="5E6C40AB"/>
    <w:rsid w:val="5E6F5FC0"/>
    <w:rsid w:val="5E711B09"/>
    <w:rsid w:val="5E720F6A"/>
    <w:rsid w:val="5E7329F4"/>
    <w:rsid w:val="5E742780"/>
    <w:rsid w:val="5E75500F"/>
    <w:rsid w:val="5E767B83"/>
    <w:rsid w:val="5E794C9A"/>
    <w:rsid w:val="5E7C611B"/>
    <w:rsid w:val="5E7D2952"/>
    <w:rsid w:val="5E85136A"/>
    <w:rsid w:val="5E921A61"/>
    <w:rsid w:val="5E932AF1"/>
    <w:rsid w:val="5E97247D"/>
    <w:rsid w:val="5E9D2C29"/>
    <w:rsid w:val="5E9D5F73"/>
    <w:rsid w:val="5EA2603C"/>
    <w:rsid w:val="5EA30F93"/>
    <w:rsid w:val="5EA83D2C"/>
    <w:rsid w:val="5EAC76C6"/>
    <w:rsid w:val="5EB127A8"/>
    <w:rsid w:val="5EB73128"/>
    <w:rsid w:val="5EB84DB0"/>
    <w:rsid w:val="5EC44B29"/>
    <w:rsid w:val="5EC851DB"/>
    <w:rsid w:val="5EC92E04"/>
    <w:rsid w:val="5ECB10CF"/>
    <w:rsid w:val="5ECD7460"/>
    <w:rsid w:val="5ED0361E"/>
    <w:rsid w:val="5ED05E35"/>
    <w:rsid w:val="5ED678E8"/>
    <w:rsid w:val="5ED85826"/>
    <w:rsid w:val="5EDB19E0"/>
    <w:rsid w:val="5EE10187"/>
    <w:rsid w:val="5EE5365D"/>
    <w:rsid w:val="5EE65E6A"/>
    <w:rsid w:val="5EEB3A4A"/>
    <w:rsid w:val="5EEC1DB5"/>
    <w:rsid w:val="5EEC5A4D"/>
    <w:rsid w:val="5EED0163"/>
    <w:rsid w:val="5EF55EB2"/>
    <w:rsid w:val="5F0A3BE3"/>
    <w:rsid w:val="5F0A45B5"/>
    <w:rsid w:val="5F0E40D5"/>
    <w:rsid w:val="5F16684E"/>
    <w:rsid w:val="5F176C6F"/>
    <w:rsid w:val="5F1B0924"/>
    <w:rsid w:val="5F273411"/>
    <w:rsid w:val="5F2965CF"/>
    <w:rsid w:val="5F364621"/>
    <w:rsid w:val="5F3D077F"/>
    <w:rsid w:val="5F426D92"/>
    <w:rsid w:val="5F43754E"/>
    <w:rsid w:val="5F487B6A"/>
    <w:rsid w:val="5F4A589F"/>
    <w:rsid w:val="5F4A6C70"/>
    <w:rsid w:val="5F4C4326"/>
    <w:rsid w:val="5F570104"/>
    <w:rsid w:val="5F570FF5"/>
    <w:rsid w:val="5F5B1C75"/>
    <w:rsid w:val="5F620623"/>
    <w:rsid w:val="5F626C32"/>
    <w:rsid w:val="5F6620A5"/>
    <w:rsid w:val="5F665B70"/>
    <w:rsid w:val="5F670652"/>
    <w:rsid w:val="5F6E20BE"/>
    <w:rsid w:val="5F6F76D5"/>
    <w:rsid w:val="5F823262"/>
    <w:rsid w:val="5F866C61"/>
    <w:rsid w:val="5F8B7608"/>
    <w:rsid w:val="5F8F4ABF"/>
    <w:rsid w:val="5F91740E"/>
    <w:rsid w:val="5F92323B"/>
    <w:rsid w:val="5F9B25F1"/>
    <w:rsid w:val="5F9C78BD"/>
    <w:rsid w:val="5F9E0616"/>
    <w:rsid w:val="5F9E3C42"/>
    <w:rsid w:val="5F9F7E7E"/>
    <w:rsid w:val="5FA018E4"/>
    <w:rsid w:val="5FA108B9"/>
    <w:rsid w:val="5FA6175C"/>
    <w:rsid w:val="5FAB1324"/>
    <w:rsid w:val="5FAD1D2E"/>
    <w:rsid w:val="5FB010A5"/>
    <w:rsid w:val="5FB427F1"/>
    <w:rsid w:val="5FB74294"/>
    <w:rsid w:val="5FC10FE3"/>
    <w:rsid w:val="5FCB42DE"/>
    <w:rsid w:val="5FCE4FA8"/>
    <w:rsid w:val="5FD16D90"/>
    <w:rsid w:val="5FDE3B93"/>
    <w:rsid w:val="5FE13CA3"/>
    <w:rsid w:val="5FE43E35"/>
    <w:rsid w:val="5FF15CD9"/>
    <w:rsid w:val="5FF543CA"/>
    <w:rsid w:val="5FF83A2F"/>
    <w:rsid w:val="5FFD3C75"/>
    <w:rsid w:val="5FFD6F07"/>
    <w:rsid w:val="60031196"/>
    <w:rsid w:val="60041087"/>
    <w:rsid w:val="60073DF5"/>
    <w:rsid w:val="600A5B8D"/>
    <w:rsid w:val="600C1FC0"/>
    <w:rsid w:val="600D4488"/>
    <w:rsid w:val="60116F79"/>
    <w:rsid w:val="60143FB3"/>
    <w:rsid w:val="601959FD"/>
    <w:rsid w:val="601A754E"/>
    <w:rsid w:val="60234079"/>
    <w:rsid w:val="602A49BD"/>
    <w:rsid w:val="602E53D9"/>
    <w:rsid w:val="603064BF"/>
    <w:rsid w:val="60347F8F"/>
    <w:rsid w:val="6037486B"/>
    <w:rsid w:val="60383A30"/>
    <w:rsid w:val="603C5A8A"/>
    <w:rsid w:val="60481309"/>
    <w:rsid w:val="604F09FB"/>
    <w:rsid w:val="604F2810"/>
    <w:rsid w:val="6051736C"/>
    <w:rsid w:val="605A43D4"/>
    <w:rsid w:val="605B1E7E"/>
    <w:rsid w:val="605C6D64"/>
    <w:rsid w:val="605D1EB6"/>
    <w:rsid w:val="605E64C7"/>
    <w:rsid w:val="60670B39"/>
    <w:rsid w:val="607132E3"/>
    <w:rsid w:val="607547DE"/>
    <w:rsid w:val="6077648C"/>
    <w:rsid w:val="607A4502"/>
    <w:rsid w:val="607F34B2"/>
    <w:rsid w:val="60813CDA"/>
    <w:rsid w:val="60880816"/>
    <w:rsid w:val="60887640"/>
    <w:rsid w:val="60897C31"/>
    <w:rsid w:val="608D50A6"/>
    <w:rsid w:val="608E3033"/>
    <w:rsid w:val="60993920"/>
    <w:rsid w:val="609A40DC"/>
    <w:rsid w:val="609B6F09"/>
    <w:rsid w:val="60A52F52"/>
    <w:rsid w:val="60A633D3"/>
    <w:rsid w:val="60AC393E"/>
    <w:rsid w:val="60AE2DCB"/>
    <w:rsid w:val="60AF5725"/>
    <w:rsid w:val="60AF71AB"/>
    <w:rsid w:val="60B97C79"/>
    <w:rsid w:val="60BB1DF2"/>
    <w:rsid w:val="60BB361C"/>
    <w:rsid w:val="60C71604"/>
    <w:rsid w:val="60C73A57"/>
    <w:rsid w:val="60C91ACD"/>
    <w:rsid w:val="60CF65D1"/>
    <w:rsid w:val="60D22598"/>
    <w:rsid w:val="60D878E1"/>
    <w:rsid w:val="60DB2ACA"/>
    <w:rsid w:val="60DB3D85"/>
    <w:rsid w:val="60DC6D27"/>
    <w:rsid w:val="60E074F6"/>
    <w:rsid w:val="60E27B2C"/>
    <w:rsid w:val="60E571E8"/>
    <w:rsid w:val="60E76EC3"/>
    <w:rsid w:val="60EB19DE"/>
    <w:rsid w:val="60EB2827"/>
    <w:rsid w:val="60EC1FE1"/>
    <w:rsid w:val="60EC6C9F"/>
    <w:rsid w:val="60F40E89"/>
    <w:rsid w:val="60F55CEE"/>
    <w:rsid w:val="60F753DF"/>
    <w:rsid w:val="60FA6C0A"/>
    <w:rsid w:val="61002CE8"/>
    <w:rsid w:val="610721E3"/>
    <w:rsid w:val="6108583E"/>
    <w:rsid w:val="610E447D"/>
    <w:rsid w:val="61103D6A"/>
    <w:rsid w:val="61123A8C"/>
    <w:rsid w:val="61133C82"/>
    <w:rsid w:val="611663E9"/>
    <w:rsid w:val="611B1AD9"/>
    <w:rsid w:val="611D1F4F"/>
    <w:rsid w:val="611F2D2A"/>
    <w:rsid w:val="61251CB4"/>
    <w:rsid w:val="61290560"/>
    <w:rsid w:val="61295A51"/>
    <w:rsid w:val="612C2DF1"/>
    <w:rsid w:val="61344225"/>
    <w:rsid w:val="61380A20"/>
    <w:rsid w:val="613B559D"/>
    <w:rsid w:val="614B7131"/>
    <w:rsid w:val="614C0716"/>
    <w:rsid w:val="614D1420"/>
    <w:rsid w:val="614E1069"/>
    <w:rsid w:val="61544A80"/>
    <w:rsid w:val="61567CA7"/>
    <w:rsid w:val="61586B99"/>
    <w:rsid w:val="615B6123"/>
    <w:rsid w:val="615C6886"/>
    <w:rsid w:val="615D4AEE"/>
    <w:rsid w:val="61607F71"/>
    <w:rsid w:val="61712A34"/>
    <w:rsid w:val="617371CA"/>
    <w:rsid w:val="617F2D4F"/>
    <w:rsid w:val="61847BF6"/>
    <w:rsid w:val="61890870"/>
    <w:rsid w:val="61981EDB"/>
    <w:rsid w:val="619C51F2"/>
    <w:rsid w:val="619E7E68"/>
    <w:rsid w:val="61A136FF"/>
    <w:rsid w:val="61A705ED"/>
    <w:rsid w:val="61AC0B7D"/>
    <w:rsid w:val="61B2216F"/>
    <w:rsid w:val="61B31AD2"/>
    <w:rsid w:val="61B412EB"/>
    <w:rsid w:val="61B45BDB"/>
    <w:rsid w:val="61B864E9"/>
    <w:rsid w:val="61BA59CB"/>
    <w:rsid w:val="61BB7D06"/>
    <w:rsid w:val="61C06FA8"/>
    <w:rsid w:val="61C32865"/>
    <w:rsid w:val="61CC3D78"/>
    <w:rsid w:val="61D041E1"/>
    <w:rsid w:val="61D51D59"/>
    <w:rsid w:val="61D53EB7"/>
    <w:rsid w:val="61D62743"/>
    <w:rsid w:val="61D726F7"/>
    <w:rsid w:val="61DC1FF8"/>
    <w:rsid w:val="61DC51E3"/>
    <w:rsid w:val="61DE119F"/>
    <w:rsid w:val="61EA0F3B"/>
    <w:rsid w:val="61EC1484"/>
    <w:rsid w:val="61F03D99"/>
    <w:rsid w:val="61F31464"/>
    <w:rsid w:val="61F34780"/>
    <w:rsid w:val="61F569AB"/>
    <w:rsid w:val="61FB4B9C"/>
    <w:rsid w:val="61FC53F9"/>
    <w:rsid w:val="61FC7DCB"/>
    <w:rsid w:val="61FF5D29"/>
    <w:rsid w:val="61FF7CF8"/>
    <w:rsid w:val="62093BBA"/>
    <w:rsid w:val="620E30F6"/>
    <w:rsid w:val="620E78B5"/>
    <w:rsid w:val="62147342"/>
    <w:rsid w:val="621563A8"/>
    <w:rsid w:val="621650C7"/>
    <w:rsid w:val="621F24AC"/>
    <w:rsid w:val="621F6E7B"/>
    <w:rsid w:val="62203305"/>
    <w:rsid w:val="62223523"/>
    <w:rsid w:val="62251DF5"/>
    <w:rsid w:val="62294B3B"/>
    <w:rsid w:val="6236387B"/>
    <w:rsid w:val="62372E14"/>
    <w:rsid w:val="623B18E7"/>
    <w:rsid w:val="62401A36"/>
    <w:rsid w:val="62413A01"/>
    <w:rsid w:val="624412FB"/>
    <w:rsid w:val="62464CD8"/>
    <w:rsid w:val="624873CF"/>
    <w:rsid w:val="624B4187"/>
    <w:rsid w:val="624D4B57"/>
    <w:rsid w:val="62504253"/>
    <w:rsid w:val="62505170"/>
    <w:rsid w:val="62510AE7"/>
    <w:rsid w:val="62577AFD"/>
    <w:rsid w:val="62622037"/>
    <w:rsid w:val="62645966"/>
    <w:rsid w:val="626916DA"/>
    <w:rsid w:val="626A2C25"/>
    <w:rsid w:val="62711786"/>
    <w:rsid w:val="62797CCA"/>
    <w:rsid w:val="627B2CFA"/>
    <w:rsid w:val="62851972"/>
    <w:rsid w:val="628B23C4"/>
    <w:rsid w:val="628D3D7D"/>
    <w:rsid w:val="628D6962"/>
    <w:rsid w:val="628E24A0"/>
    <w:rsid w:val="628F4873"/>
    <w:rsid w:val="629256AA"/>
    <w:rsid w:val="62933570"/>
    <w:rsid w:val="629B38EA"/>
    <w:rsid w:val="629B760D"/>
    <w:rsid w:val="629C4A13"/>
    <w:rsid w:val="629E0C1F"/>
    <w:rsid w:val="629E71F5"/>
    <w:rsid w:val="62A54809"/>
    <w:rsid w:val="62A74BD8"/>
    <w:rsid w:val="62A80DFC"/>
    <w:rsid w:val="62A97868"/>
    <w:rsid w:val="62AE4513"/>
    <w:rsid w:val="62B51EAF"/>
    <w:rsid w:val="62BC697A"/>
    <w:rsid w:val="62BE27AC"/>
    <w:rsid w:val="62C7390D"/>
    <w:rsid w:val="62CB237B"/>
    <w:rsid w:val="62D805F6"/>
    <w:rsid w:val="62D838E8"/>
    <w:rsid w:val="62DC0F26"/>
    <w:rsid w:val="62DC4EEF"/>
    <w:rsid w:val="62E12E23"/>
    <w:rsid w:val="62E24BC5"/>
    <w:rsid w:val="62E50110"/>
    <w:rsid w:val="62E50AF7"/>
    <w:rsid w:val="62E95154"/>
    <w:rsid w:val="62E96AE8"/>
    <w:rsid w:val="62EE2A73"/>
    <w:rsid w:val="62F13372"/>
    <w:rsid w:val="62F42221"/>
    <w:rsid w:val="62F474FE"/>
    <w:rsid w:val="62FF2D4D"/>
    <w:rsid w:val="630064B7"/>
    <w:rsid w:val="63012023"/>
    <w:rsid w:val="63092626"/>
    <w:rsid w:val="630C1AC4"/>
    <w:rsid w:val="630C62FE"/>
    <w:rsid w:val="630F6C48"/>
    <w:rsid w:val="63154622"/>
    <w:rsid w:val="63191F2A"/>
    <w:rsid w:val="631E6CAB"/>
    <w:rsid w:val="63211E2C"/>
    <w:rsid w:val="63213C56"/>
    <w:rsid w:val="632200A7"/>
    <w:rsid w:val="6323450E"/>
    <w:rsid w:val="632711BC"/>
    <w:rsid w:val="63271468"/>
    <w:rsid w:val="632A3907"/>
    <w:rsid w:val="632F3A72"/>
    <w:rsid w:val="632F6120"/>
    <w:rsid w:val="633147B3"/>
    <w:rsid w:val="63341140"/>
    <w:rsid w:val="633420E2"/>
    <w:rsid w:val="63384D60"/>
    <w:rsid w:val="633B2443"/>
    <w:rsid w:val="633C40FA"/>
    <w:rsid w:val="633D22E1"/>
    <w:rsid w:val="63424860"/>
    <w:rsid w:val="634867E7"/>
    <w:rsid w:val="635168EC"/>
    <w:rsid w:val="6355310D"/>
    <w:rsid w:val="635A4C52"/>
    <w:rsid w:val="635C0B98"/>
    <w:rsid w:val="635E438D"/>
    <w:rsid w:val="63652A23"/>
    <w:rsid w:val="6367261B"/>
    <w:rsid w:val="636A50E0"/>
    <w:rsid w:val="636B30BC"/>
    <w:rsid w:val="63714B37"/>
    <w:rsid w:val="63742208"/>
    <w:rsid w:val="63774904"/>
    <w:rsid w:val="637A28C7"/>
    <w:rsid w:val="637B6C65"/>
    <w:rsid w:val="637E45AF"/>
    <w:rsid w:val="63873B01"/>
    <w:rsid w:val="638975F7"/>
    <w:rsid w:val="638B1C76"/>
    <w:rsid w:val="638B4D10"/>
    <w:rsid w:val="638C4048"/>
    <w:rsid w:val="638E7E04"/>
    <w:rsid w:val="638F1A8F"/>
    <w:rsid w:val="6397504F"/>
    <w:rsid w:val="639B1A3F"/>
    <w:rsid w:val="639C1CB9"/>
    <w:rsid w:val="639E65E8"/>
    <w:rsid w:val="63A72484"/>
    <w:rsid w:val="63A93527"/>
    <w:rsid w:val="63A96CA8"/>
    <w:rsid w:val="63AB0C10"/>
    <w:rsid w:val="63AF3C88"/>
    <w:rsid w:val="63B15326"/>
    <w:rsid w:val="63B157F1"/>
    <w:rsid w:val="63B22498"/>
    <w:rsid w:val="63B47B66"/>
    <w:rsid w:val="63B847E0"/>
    <w:rsid w:val="63B85826"/>
    <w:rsid w:val="63BB25F2"/>
    <w:rsid w:val="63BB6D73"/>
    <w:rsid w:val="63BE73A4"/>
    <w:rsid w:val="63C72E15"/>
    <w:rsid w:val="63C733F3"/>
    <w:rsid w:val="63C73DFB"/>
    <w:rsid w:val="63C87997"/>
    <w:rsid w:val="63CC0DDC"/>
    <w:rsid w:val="63CE3C39"/>
    <w:rsid w:val="63D67A0D"/>
    <w:rsid w:val="63D910BC"/>
    <w:rsid w:val="63DA61B8"/>
    <w:rsid w:val="63EE6968"/>
    <w:rsid w:val="63F52049"/>
    <w:rsid w:val="63FA6A75"/>
    <w:rsid w:val="63FB4D64"/>
    <w:rsid w:val="63FC7225"/>
    <w:rsid w:val="64027888"/>
    <w:rsid w:val="64093696"/>
    <w:rsid w:val="640C54A1"/>
    <w:rsid w:val="640E66CE"/>
    <w:rsid w:val="64124424"/>
    <w:rsid w:val="64132520"/>
    <w:rsid w:val="64156F19"/>
    <w:rsid w:val="641926C3"/>
    <w:rsid w:val="641A37A5"/>
    <w:rsid w:val="64234694"/>
    <w:rsid w:val="64292001"/>
    <w:rsid w:val="642D6931"/>
    <w:rsid w:val="64302FFC"/>
    <w:rsid w:val="64336403"/>
    <w:rsid w:val="64352152"/>
    <w:rsid w:val="64360E05"/>
    <w:rsid w:val="64362DB1"/>
    <w:rsid w:val="64371AEF"/>
    <w:rsid w:val="6438241A"/>
    <w:rsid w:val="6440195B"/>
    <w:rsid w:val="64462939"/>
    <w:rsid w:val="6449623B"/>
    <w:rsid w:val="644A723A"/>
    <w:rsid w:val="644B24F8"/>
    <w:rsid w:val="644E5B77"/>
    <w:rsid w:val="644F6EFB"/>
    <w:rsid w:val="645A30D1"/>
    <w:rsid w:val="645D4CC4"/>
    <w:rsid w:val="645E32DF"/>
    <w:rsid w:val="645E6949"/>
    <w:rsid w:val="645F2305"/>
    <w:rsid w:val="64684492"/>
    <w:rsid w:val="646C4543"/>
    <w:rsid w:val="646E234D"/>
    <w:rsid w:val="647130DD"/>
    <w:rsid w:val="6473129E"/>
    <w:rsid w:val="64773B57"/>
    <w:rsid w:val="647A605B"/>
    <w:rsid w:val="64862787"/>
    <w:rsid w:val="64874469"/>
    <w:rsid w:val="648F4DB1"/>
    <w:rsid w:val="64912D55"/>
    <w:rsid w:val="6495131A"/>
    <w:rsid w:val="649B4B0E"/>
    <w:rsid w:val="649D412A"/>
    <w:rsid w:val="649E1759"/>
    <w:rsid w:val="64A15E09"/>
    <w:rsid w:val="64A16D09"/>
    <w:rsid w:val="64A241AD"/>
    <w:rsid w:val="64A37E56"/>
    <w:rsid w:val="64A72F83"/>
    <w:rsid w:val="64A805E5"/>
    <w:rsid w:val="64A93433"/>
    <w:rsid w:val="64AF0584"/>
    <w:rsid w:val="64B471E2"/>
    <w:rsid w:val="64BF0E3F"/>
    <w:rsid w:val="64C361D7"/>
    <w:rsid w:val="64D371BB"/>
    <w:rsid w:val="64D6331A"/>
    <w:rsid w:val="64DA4849"/>
    <w:rsid w:val="64DD44DF"/>
    <w:rsid w:val="64DD6DA0"/>
    <w:rsid w:val="64DF237E"/>
    <w:rsid w:val="64E220F3"/>
    <w:rsid w:val="64E2543F"/>
    <w:rsid w:val="64E938B7"/>
    <w:rsid w:val="64F32D84"/>
    <w:rsid w:val="64F6105F"/>
    <w:rsid w:val="64F62633"/>
    <w:rsid w:val="64FD2182"/>
    <w:rsid w:val="64FD2ADD"/>
    <w:rsid w:val="64FD4966"/>
    <w:rsid w:val="65007679"/>
    <w:rsid w:val="65022B98"/>
    <w:rsid w:val="65053843"/>
    <w:rsid w:val="650608E4"/>
    <w:rsid w:val="65087E72"/>
    <w:rsid w:val="651037D6"/>
    <w:rsid w:val="6513048C"/>
    <w:rsid w:val="651B58A1"/>
    <w:rsid w:val="651D2914"/>
    <w:rsid w:val="651E6B73"/>
    <w:rsid w:val="65207BCA"/>
    <w:rsid w:val="65227913"/>
    <w:rsid w:val="65242477"/>
    <w:rsid w:val="65260471"/>
    <w:rsid w:val="65280BB3"/>
    <w:rsid w:val="652A4CFB"/>
    <w:rsid w:val="652B5F40"/>
    <w:rsid w:val="652C710F"/>
    <w:rsid w:val="6533160F"/>
    <w:rsid w:val="65366E27"/>
    <w:rsid w:val="653E4607"/>
    <w:rsid w:val="653F2183"/>
    <w:rsid w:val="653F6C44"/>
    <w:rsid w:val="65425887"/>
    <w:rsid w:val="65487B78"/>
    <w:rsid w:val="654B4749"/>
    <w:rsid w:val="654F71B8"/>
    <w:rsid w:val="655031C9"/>
    <w:rsid w:val="655715BE"/>
    <w:rsid w:val="65571AD3"/>
    <w:rsid w:val="65586624"/>
    <w:rsid w:val="655B247F"/>
    <w:rsid w:val="656142B1"/>
    <w:rsid w:val="6561511F"/>
    <w:rsid w:val="65616EF3"/>
    <w:rsid w:val="65617D42"/>
    <w:rsid w:val="65640CF7"/>
    <w:rsid w:val="65641770"/>
    <w:rsid w:val="65664C15"/>
    <w:rsid w:val="65672009"/>
    <w:rsid w:val="656B358D"/>
    <w:rsid w:val="656D7860"/>
    <w:rsid w:val="656F1DED"/>
    <w:rsid w:val="657259E9"/>
    <w:rsid w:val="6578499D"/>
    <w:rsid w:val="657A0017"/>
    <w:rsid w:val="657D2EEC"/>
    <w:rsid w:val="657F2714"/>
    <w:rsid w:val="65867E17"/>
    <w:rsid w:val="658C6366"/>
    <w:rsid w:val="658D3123"/>
    <w:rsid w:val="659468E8"/>
    <w:rsid w:val="659E31FD"/>
    <w:rsid w:val="65A00A44"/>
    <w:rsid w:val="65A16416"/>
    <w:rsid w:val="65A54676"/>
    <w:rsid w:val="65A622CB"/>
    <w:rsid w:val="65A75D6B"/>
    <w:rsid w:val="65B86B6C"/>
    <w:rsid w:val="65C03F18"/>
    <w:rsid w:val="65D304B3"/>
    <w:rsid w:val="65D5609F"/>
    <w:rsid w:val="65D7710F"/>
    <w:rsid w:val="65E102D0"/>
    <w:rsid w:val="65EF7AF6"/>
    <w:rsid w:val="65F123C8"/>
    <w:rsid w:val="65F231E4"/>
    <w:rsid w:val="65F411D8"/>
    <w:rsid w:val="65F50173"/>
    <w:rsid w:val="65F548C9"/>
    <w:rsid w:val="65FA480E"/>
    <w:rsid w:val="65FF5C84"/>
    <w:rsid w:val="6600588A"/>
    <w:rsid w:val="66045819"/>
    <w:rsid w:val="66085A5E"/>
    <w:rsid w:val="66097376"/>
    <w:rsid w:val="66132056"/>
    <w:rsid w:val="66136CBC"/>
    <w:rsid w:val="661430E1"/>
    <w:rsid w:val="661B4DE6"/>
    <w:rsid w:val="661D7917"/>
    <w:rsid w:val="66214131"/>
    <w:rsid w:val="66223021"/>
    <w:rsid w:val="66243CF3"/>
    <w:rsid w:val="662B3380"/>
    <w:rsid w:val="6632384E"/>
    <w:rsid w:val="66326068"/>
    <w:rsid w:val="663414CE"/>
    <w:rsid w:val="663575AA"/>
    <w:rsid w:val="6636531D"/>
    <w:rsid w:val="66392369"/>
    <w:rsid w:val="663C5021"/>
    <w:rsid w:val="663D4E2C"/>
    <w:rsid w:val="66424C84"/>
    <w:rsid w:val="66482665"/>
    <w:rsid w:val="66487BC1"/>
    <w:rsid w:val="664C2AB5"/>
    <w:rsid w:val="664F466E"/>
    <w:rsid w:val="66514899"/>
    <w:rsid w:val="66536605"/>
    <w:rsid w:val="66550939"/>
    <w:rsid w:val="66556FE0"/>
    <w:rsid w:val="66572000"/>
    <w:rsid w:val="66582223"/>
    <w:rsid w:val="665B2830"/>
    <w:rsid w:val="66621F83"/>
    <w:rsid w:val="66640833"/>
    <w:rsid w:val="6668353D"/>
    <w:rsid w:val="666C4120"/>
    <w:rsid w:val="666D05B8"/>
    <w:rsid w:val="666E1116"/>
    <w:rsid w:val="66792DA3"/>
    <w:rsid w:val="66825087"/>
    <w:rsid w:val="6687761E"/>
    <w:rsid w:val="66882219"/>
    <w:rsid w:val="668B39A4"/>
    <w:rsid w:val="668E4617"/>
    <w:rsid w:val="668F333D"/>
    <w:rsid w:val="669B23A2"/>
    <w:rsid w:val="669B623B"/>
    <w:rsid w:val="669D5B0D"/>
    <w:rsid w:val="669E30E3"/>
    <w:rsid w:val="66A20A8E"/>
    <w:rsid w:val="66A21D62"/>
    <w:rsid w:val="66A40291"/>
    <w:rsid w:val="66A53D8A"/>
    <w:rsid w:val="66A75D12"/>
    <w:rsid w:val="66A91B54"/>
    <w:rsid w:val="66AA6C71"/>
    <w:rsid w:val="66B075BF"/>
    <w:rsid w:val="66C0524D"/>
    <w:rsid w:val="66C3228A"/>
    <w:rsid w:val="66C62863"/>
    <w:rsid w:val="66CE0F49"/>
    <w:rsid w:val="66D16AA1"/>
    <w:rsid w:val="66D319B7"/>
    <w:rsid w:val="66D4341E"/>
    <w:rsid w:val="66D52B52"/>
    <w:rsid w:val="66D91152"/>
    <w:rsid w:val="66DA044B"/>
    <w:rsid w:val="66E07A0D"/>
    <w:rsid w:val="66E50471"/>
    <w:rsid w:val="66E55493"/>
    <w:rsid w:val="66E77E65"/>
    <w:rsid w:val="66EB2B01"/>
    <w:rsid w:val="66EE5DB4"/>
    <w:rsid w:val="66EF6A8C"/>
    <w:rsid w:val="66F52106"/>
    <w:rsid w:val="66F72948"/>
    <w:rsid w:val="66FC09AD"/>
    <w:rsid w:val="66FD51FD"/>
    <w:rsid w:val="67040640"/>
    <w:rsid w:val="670D3CF5"/>
    <w:rsid w:val="670D3E1B"/>
    <w:rsid w:val="670F4A38"/>
    <w:rsid w:val="67114875"/>
    <w:rsid w:val="67132983"/>
    <w:rsid w:val="67174645"/>
    <w:rsid w:val="671C3F6D"/>
    <w:rsid w:val="671F69F6"/>
    <w:rsid w:val="671F7270"/>
    <w:rsid w:val="67207116"/>
    <w:rsid w:val="6725321F"/>
    <w:rsid w:val="67272CAD"/>
    <w:rsid w:val="67284238"/>
    <w:rsid w:val="6730270E"/>
    <w:rsid w:val="67373566"/>
    <w:rsid w:val="674073E2"/>
    <w:rsid w:val="674643BB"/>
    <w:rsid w:val="674772F5"/>
    <w:rsid w:val="674B339C"/>
    <w:rsid w:val="6751424F"/>
    <w:rsid w:val="6752549F"/>
    <w:rsid w:val="675A6DA7"/>
    <w:rsid w:val="67697743"/>
    <w:rsid w:val="67886B10"/>
    <w:rsid w:val="678C0FAE"/>
    <w:rsid w:val="678C4A1F"/>
    <w:rsid w:val="678E04E5"/>
    <w:rsid w:val="678E0A9E"/>
    <w:rsid w:val="679024E3"/>
    <w:rsid w:val="67961880"/>
    <w:rsid w:val="679669A2"/>
    <w:rsid w:val="679A3568"/>
    <w:rsid w:val="679B4826"/>
    <w:rsid w:val="679F617A"/>
    <w:rsid w:val="67A31FCA"/>
    <w:rsid w:val="67A45784"/>
    <w:rsid w:val="67A667BF"/>
    <w:rsid w:val="67A83B45"/>
    <w:rsid w:val="67AB65DC"/>
    <w:rsid w:val="67AE5BF6"/>
    <w:rsid w:val="67B013FA"/>
    <w:rsid w:val="67B05316"/>
    <w:rsid w:val="67BA7646"/>
    <w:rsid w:val="67BC4210"/>
    <w:rsid w:val="67C70E26"/>
    <w:rsid w:val="67CB2829"/>
    <w:rsid w:val="67CB2DD7"/>
    <w:rsid w:val="67D41650"/>
    <w:rsid w:val="67D41BDF"/>
    <w:rsid w:val="67D973F6"/>
    <w:rsid w:val="67DA6965"/>
    <w:rsid w:val="67DD74A0"/>
    <w:rsid w:val="67E12093"/>
    <w:rsid w:val="67E25187"/>
    <w:rsid w:val="67E361FF"/>
    <w:rsid w:val="67E627DE"/>
    <w:rsid w:val="67E75AF8"/>
    <w:rsid w:val="67EB2AB9"/>
    <w:rsid w:val="67EF0345"/>
    <w:rsid w:val="67F05064"/>
    <w:rsid w:val="67F11CC0"/>
    <w:rsid w:val="67F946CA"/>
    <w:rsid w:val="6804555E"/>
    <w:rsid w:val="68061BDE"/>
    <w:rsid w:val="680C5753"/>
    <w:rsid w:val="68141756"/>
    <w:rsid w:val="681C20AD"/>
    <w:rsid w:val="68223F9D"/>
    <w:rsid w:val="68235CB6"/>
    <w:rsid w:val="682A7490"/>
    <w:rsid w:val="682C3497"/>
    <w:rsid w:val="6833281E"/>
    <w:rsid w:val="68391173"/>
    <w:rsid w:val="683A1868"/>
    <w:rsid w:val="683D07E9"/>
    <w:rsid w:val="683D0EAA"/>
    <w:rsid w:val="68401661"/>
    <w:rsid w:val="68410A24"/>
    <w:rsid w:val="68434ADF"/>
    <w:rsid w:val="68441980"/>
    <w:rsid w:val="684615CC"/>
    <w:rsid w:val="68496567"/>
    <w:rsid w:val="684C5FD6"/>
    <w:rsid w:val="68520DA6"/>
    <w:rsid w:val="68534398"/>
    <w:rsid w:val="6854607F"/>
    <w:rsid w:val="68553639"/>
    <w:rsid w:val="68565DA5"/>
    <w:rsid w:val="6858707E"/>
    <w:rsid w:val="685E245E"/>
    <w:rsid w:val="68641AEA"/>
    <w:rsid w:val="686A0BF5"/>
    <w:rsid w:val="686B68BD"/>
    <w:rsid w:val="687D58E2"/>
    <w:rsid w:val="6880559E"/>
    <w:rsid w:val="688A2B25"/>
    <w:rsid w:val="688A3307"/>
    <w:rsid w:val="688F72CE"/>
    <w:rsid w:val="689156BE"/>
    <w:rsid w:val="6893001E"/>
    <w:rsid w:val="6894405C"/>
    <w:rsid w:val="68957C52"/>
    <w:rsid w:val="6897636C"/>
    <w:rsid w:val="689A2B85"/>
    <w:rsid w:val="689D44A0"/>
    <w:rsid w:val="68A5385E"/>
    <w:rsid w:val="68AF5692"/>
    <w:rsid w:val="68B54239"/>
    <w:rsid w:val="68BE38E9"/>
    <w:rsid w:val="68C94FF7"/>
    <w:rsid w:val="68CD7BE7"/>
    <w:rsid w:val="68D41CA2"/>
    <w:rsid w:val="68D8145F"/>
    <w:rsid w:val="68DA55B2"/>
    <w:rsid w:val="68DA68C7"/>
    <w:rsid w:val="68DE547F"/>
    <w:rsid w:val="68DF6F16"/>
    <w:rsid w:val="68EE4AE7"/>
    <w:rsid w:val="68F23E8E"/>
    <w:rsid w:val="68FA14AA"/>
    <w:rsid w:val="69085E3E"/>
    <w:rsid w:val="690F27E7"/>
    <w:rsid w:val="69145EC1"/>
    <w:rsid w:val="691E1F9F"/>
    <w:rsid w:val="69231E1B"/>
    <w:rsid w:val="69247135"/>
    <w:rsid w:val="69292410"/>
    <w:rsid w:val="692A60D2"/>
    <w:rsid w:val="692A6C50"/>
    <w:rsid w:val="692D3114"/>
    <w:rsid w:val="692D63D7"/>
    <w:rsid w:val="69310BA5"/>
    <w:rsid w:val="69322B8F"/>
    <w:rsid w:val="69333CE1"/>
    <w:rsid w:val="693B2FE3"/>
    <w:rsid w:val="693B435A"/>
    <w:rsid w:val="694C2A9E"/>
    <w:rsid w:val="694E028B"/>
    <w:rsid w:val="694E4014"/>
    <w:rsid w:val="694E7F67"/>
    <w:rsid w:val="69500F87"/>
    <w:rsid w:val="69502266"/>
    <w:rsid w:val="695A6C39"/>
    <w:rsid w:val="695B7AFF"/>
    <w:rsid w:val="695D44B2"/>
    <w:rsid w:val="696B21DF"/>
    <w:rsid w:val="696B3FD3"/>
    <w:rsid w:val="69746CB2"/>
    <w:rsid w:val="6976064F"/>
    <w:rsid w:val="69853D5A"/>
    <w:rsid w:val="6985644B"/>
    <w:rsid w:val="698C2203"/>
    <w:rsid w:val="698C7293"/>
    <w:rsid w:val="69934C9F"/>
    <w:rsid w:val="69936A3C"/>
    <w:rsid w:val="69962AF1"/>
    <w:rsid w:val="69987116"/>
    <w:rsid w:val="6999038E"/>
    <w:rsid w:val="699C6062"/>
    <w:rsid w:val="699D1F18"/>
    <w:rsid w:val="699F4CB9"/>
    <w:rsid w:val="69A317EA"/>
    <w:rsid w:val="69A66C0A"/>
    <w:rsid w:val="69A705C8"/>
    <w:rsid w:val="69B12ACC"/>
    <w:rsid w:val="69B35AD2"/>
    <w:rsid w:val="69B5610D"/>
    <w:rsid w:val="69B84313"/>
    <w:rsid w:val="69BB1810"/>
    <w:rsid w:val="69C55574"/>
    <w:rsid w:val="69C7443B"/>
    <w:rsid w:val="69C76898"/>
    <w:rsid w:val="69D365A4"/>
    <w:rsid w:val="69D41996"/>
    <w:rsid w:val="69D76720"/>
    <w:rsid w:val="69E602A3"/>
    <w:rsid w:val="69EF5121"/>
    <w:rsid w:val="69F00EC9"/>
    <w:rsid w:val="69F07789"/>
    <w:rsid w:val="69F3294D"/>
    <w:rsid w:val="69F92A0C"/>
    <w:rsid w:val="69FC13CD"/>
    <w:rsid w:val="69FD0CDE"/>
    <w:rsid w:val="69FD5014"/>
    <w:rsid w:val="6A036B2F"/>
    <w:rsid w:val="6A073807"/>
    <w:rsid w:val="6A0C61B0"/>
    <w:rsid w:val="6A10026C"/>
    <w:rsid w:val="6A10537E"/>
    <w:rsid w:val="6A163BF5"/>
    <w:rsid w:val="6A172B72"/>
    <w:rsid w:val="6A194295"/>
    <w:rsid w:val="6A1B0D71"/>
    <w:rsid w:val="6A1D01C9"/>
    <w:rsid w:val="6A1D3877"/>
    <w:rsid w:val="6A20212F"/>
    <w:rsid w:val="6A261A48"/>
    <w:rsid w:val="6A28190F"/>
    <w:rsid w:val="6A2D4027"/>
    <w:rsid w:val="6A2E3D07"/>
    <w:rsid w:val="6A3440F1"/>
    <w:rsid w:val="6A35044C"/>
    <w:rsid w:val="6A365E30"/>
    <w:rsid w:val="6A3D3CA2"/>
    <w:rsid w:val="6A415077"/>
    <w:rsid w:val="6A472852"/>
    <w:rsid w:val="6A4F38F7"/>
    <w:rsid w:val="6A50316F"/>
    <w:rsid w:val="6A555B8B"/>
    <w:rsid w:val="6A594C4F"/>
    <w:rsid w:val="6A5A24AC"/>
    <w:rsid w:val="6A5A544A"/>
    <w:rsid w:val="6A5F4AD2"/>
    <w:rsid w:val="6A6373D9"/>
    <w:rsid w:val="6A680563"/>
    <w:rsid w:val="6A68247C"/>
    <w:rsid w:val="6A69428D"/>
    <w:rsid w:val="6A6D2003"/>
    <w:rsid w:val="6A6E17D9"/>
    <w:rsid w:val="6A6F5510"/>
    <w:rsid w:val="6A760290"/>
    <w:rsid w:val="6A770ED3"/>
    <w:rsid w:val="6A786B9D"/>
    <w:rsid w:val="6A7A7565"/>
    <w:rsid w:val="6A7E4E1F"/>
    <w:rsid w:val="6A82475F"/>
    <w:rsid w:val="6A831751"/>
    <w:rsid w:val="6A8A3E4B"/>
    <w:rsid w:val="6A8E45B3"/>
    <w:rsid w:val="6A8F74DF"/>
    <w:rsid w:val="6A94010D"/>
    <w:rsid w:val="6A9A317D"/>
    <w:rsid w:val="6A9C3767"/>
    <w:rsid w:val="6AA11674"/>
    <w:rsid w:val="6AA255E8"/>
    <w:rsid w:val="6AA3177F"/>
    <w:rsid w:val="6AA91478"/>
    <w:rsid w:val="6AA91AC9"/>
    <w:rsid w:val="6AA91E55"/>
    <w:rsid w:val="6AB036AC"/>
    <w:rsid w:val="6AB33579"/>
    <w:rsid w:val="6AB3735B"/>
    <w:rsid w:val="6AB6697A"/>
    <w:rsid w:val="6AB72752"/>
    <w:rsid w:val="6ABD5E14"/>
    <w:rsid w:val="6AC05CF3"/>
    <w:rsid w:val="6AC165C0"/>
    <w:rsid w:val="6AC371F8"/>
    <w:rsid w:val="6AC7375E"/>
    <w:rsid w:val="6AC90B9A"/>
    <w:rsid w:val="6AD62965"/>
    <w:rsid w:val="6AD858C5"/>
    <w:rsid w:val="6ADA2533"/>
    <w:rsid w:val="6ADB1B39"/>
    <w:rsid w:val="6AE308D8"/>
    <w:rsid w:val="6AE74AA1"/>
    <w:rsid w:val="6AEB3D25"/>
    <w:rsid w:val="6AF05977"/>
    <w:rsid w:val="6AF26214"/>
    <w:rsid w:val="6AF4049C"/>
    <w:rsid w:val="6AF443D1"/>
    <w:rsid w:val="6AF87586"/>
    <w:rsid w:val="6AFC3BBB"/>
    <w:rsid w:val="6B005585"/>
    <w:rsid w:val="6B0751E6"/>
    <w:rsid w:val="6B0A4DFD"/>
    <w:rsid w:val="6B0C602B"/>
    <w:rsid w:val="6B122019"/>
    <w:rsid w:val="6B16198D"/>
    <w:rsid w:val="6B1925DF"/>
    <w:rsid w:val="6B196C34"/>
    <w:rsid w:val="6B1B0144"/>
    <w:rsid w:val="6B1B39E9"/>
    <w:rsid w:val="6B24424C"/>
    <w:rsid w:val="6B287CF2"/>
    <w:rsid w:val="6B306FE4"/>
    <w:rsid w:val="6B32030A"/>
    <w:rsid w:val="6B330DC4"/>
    <w:rsid w:val="6B3530B2"/>
    <w:rsid w:val="6B3848CE"/>
    <w:rsid w:val="6B3A0FFA"/>
    <w:rsid w:val="6B3A2F34"/>
    <w:rsid w:val="6B3F47D1"/>
    <w:rsid w:val="6B432D80"/>
    <w:rsid w:val="6B447293"/>
    <w:rsid w:val="6B485239"/>
    <w:rsid w:val="6B56412B"/>
    <w:rsid w:val="6B5E091F"/>
    <w:rsid w:val="6B5E53AD"/>
    <w:rsid w:val="6B5F7A1E"/>
    <w:rsid w:val="6B6053E1"/>
    <w:rsid w:val="6B60721B"/>
    <w:rsid w:val="6B685349"/>
    <w:rsid w:val="6B6D4DBD"/>
    <w:rsid w:val="6B6D5254"/>
    <w:rsid w:val="6B6E1D38"/>
    <w:rsid w:val="6B6E3C7D"/>
    <w:rsid w:val="6B6F6325"/>
    <w:rsid w:val="6B717968"/>
    <w:rsid w:val="6B723C7C"/>
    <w:rsid w:val="6B7931B8"/>
    <w:rsid w:val="6B7D68A1"/>
    <w:rsid w:val="6B7E3431"/>
    <w:rsid w:val="6B823227"/>
    <w:rsid w:val="6B8753ED"/>
    <w:rsid w:val="6B89462D"/>
    <w:rsid w:val="6B8A3488"/>
    <w:rsid w:val="6B8D46B2"/>
    <w:rsid w:val="6B8F2A22"/>
    <w:rsid w:val="6B93617C"/>
    <w:rsid w:val="6B964BA9"/>
    <w:rsid w:val="6B981A93"/>
    <w:rsid w:val="6B996A54"/>
    <w:rsid w:val="6BA10137"/>
    <w:rsid w:val="6BA62DB6"/>
    <w:rsid w:val="6BAB4577"/>
    <w:rsid w:val="6BB376E7"/>
    <w:rsid w:val="6BBF564F"/>
    <w:rsid w:val="6BC35168"/>
    <w:rsid w:val="6BC64D78"/>
    <w:rsid w:val="6BC93074"/>
    <w:rsid w:val="6BCB4D93"/>
    <w:rsid w:val="6BCF09F4"/>
    <w:rsid w:val="6BCF2004"/>
    <w:rsid w:val="6BD124BD"/>
    <w:rsid w:val="6BD51481"/>
    <w:rsid w:val="6BD934E2"/>
    <w:rsid w:val="6BDB5F11"/>
    <w:rsid w:val="6BDD63A0"/>
    <w:rsid w:val="6BE2461F"/>
    <w:rsid w:val="6BE67980"/>
    <w:rsid w:val="6BE9222B"/>
    <w:rsid w:val="6BEF1510"/>
    <w:rsid w:val="6BF22A4A"/>
    <w:rsid w:val="6C08278E"/>
    <w:rsid w:val="6C083CDA"/>
    <w:rsid w:val="6C090F3C"/>
    <w:rsid w:val="6C092CE1"/>
    <w:rsid w:val="6C0D7B59"/>
    <w:rsid w:val="6C1A0AC6"/>
    <w:rsid w:val="6C1A15C1"/>
    <w:rsid w:val="6C1A3BB9"/>
    <w:rsid w:val="6C1F1364"/>
    <w:rsid w:val="6C2367F9"/>
    <w:rsid w:val="6C2A232D"/>
    <w:rsid w:val="6C2F336F"/>
    <w:rsid w:val="6C30286A"/>
    <w:rsid w:val="6C333B24"/>
    <w:rsid w:val="6C3349DC"/>
    <w:rsid w:val="6C343ACE"/>
    <w:rsid w:val="6C3738A5"/>
    <w:rsid w:val="6C3836F4"/>
    <w:rsid w:val="6C3D50C8"/>
    <w:rsid w:val="6C3E67FF"/>
    <w:rsid w:val="6C404528"/>
    <w:rsid w:val="6C42572E"/>
    <w:rsid w:val="6C425876"/>
    <w:rsid w:val="6C4842D9"/>
    <w:rsid w:val="6C4C6E1E"/>
    <w:rsid w:val="6C4D62AC"/>
    <w:rsid w:val="6C54640D"/>
    <w:rsid w:val="6C551E69"/>
    <w:rsid w:val="6C56426C"/>
    <w:rsid w:val="6C583594"/>
    <w:rsid w:val="6C5C32D7"/>
    <w:rsid w:val="6C5D298E"/>
    <w:rsid w:val="6C5E5CF1"/>
    <w:rsid w:val="6C61029F"/>
    <w:rsid w:val="6C63796E"/>
    <w:rsid w:val="6C640BD3"/>
    <w:rsid w:val="6C6B027C"/>
    <w:rsid w:val="6C6C459F"/>
    <w:rsid w:val="6C6D2ACC"/>
    <w:rsid w:val="6C721C9F"/>
    <w:rsid w:val="6C736F33"/>
    <w:rsid w:val="6C74596E"/>
    <w:rsid w:val="6C760CD5"/>
    <w:rsid w:val="6C7637C4"/>
    <w:rsid w:val="6C7A0A6B"/>
    <w:rsid w:val="6C7F6591"/>
    <w:rsid w:val="6C88216A"/>
    <w:rsid w:val="6C8F6004"/>
    <w:rsid w:val="6C9512F5"/>
    <w:rsid w:val="6C966120"/>
    <w:rsid w:val="6C971B18"/>
    <w:rsid w:val="6C9839DE"/>
    <w:rsid w:val="6C9C055E"/>
    <w:rsid w:val="6CA00F3C"/>
    <w:rsid w:val="6CAA1609"/>
    <w:rsid w:val="6CAE2F73"/>
    <w:rsid w:val="6CAF7D2E"/>
    <w:rsid w:val="6CC84515"/>
    <w:rsid w:val="6CC91E57"/>
    <w:rsid w:val="6CCB089B"/>
    <w:rsid w:val="6CCB7FC6"/>
    <w:rsid w:val="6CCE4D71"/>
    <w:rsid w:val="6CD03070"/>
    <w:rsid w:val="6CD60185"/>
    <w:rsid w:val="6CDF173B"/>
    <w:rsid w:val="6CDF412F"/>
    <w:rsid w:val="6CE531E7"/>
    <w:rsid w:val="6CE56BEB"/>
    <w:rsid w:val="6CE806A5"/>
    <w:rsid w:val="6CE9411E"/>
    <w:rsid w:val="6CEB1A06"/>
    <w:rsid w:val="6CEB65BD"/>
    <w:rsid w:val="6CF94711"/>
    <w:rsid w:val="6CFA2DE5"/>
    <w:rsid w:val="6CFA44F1"/>
    <w:rsid w:val="6CFC6797"/>
    <w:rsid w:val="6D006AF7"/>
    <w:rsid w:val="6D101536"/>
    <w:rsid w:val="6D12748D"/>
    <w:rsid w:val="6D17097C"/>
    <w:rsid w:val="6D1731DD"/>
    <w:rsid w:val="6D1D4515"/>
    <w:rsid w:val="6D2206A0"/>
    <w:rsid w:val="6D221980"/>
    <w:rsid w:val="6D243D81"/>
    <w:rsid w:val="6D265708"/>
    <w:rsid w:val="6D2B20B7"/>
    <w:rsid w:val="6D2C2941"/>
    <w:rsid w:val="6D2F0B4E"/>
    <w:rsid w:val="6D324F7C"/>
    <w:rsid w:val="6D332EFF"/>
    <w:rsid w:val="6D333177"/>
    <w:rsid w:val="6D385216"/>
    <w:rsid w:val="6D4843D4"/>
    <w:rsid w:val="6D551E8B"/>
    <w:rsid w:val="6D563B7D"/>
    <w:rsid w:val="6D6050F8"/>
    <w:rsid w:val="6D61299C"/>
    <w:rsid w:val="6D634071"/>
    <w:rsid w:val="6D635526"/>
    <w:rsid w:val="6D681468"/>
    <w:rsid w:val="6D695F2F"/>
    <w:rsid w:val="6D6E550B"/>
    <w:rsid w:val="6D725F40"/>
    <w:rsid w:val="6D735166"/>
    <w:rsid w:val="6D7A7A25"/>
    <w:rsid w:val="6D7C6595"/>
    <w:rsid w:val="6D7C7C34"/>
    <w:rsid w:val="6D7E502B"/>
    <w:rsid w:val="6D7F221D"/>
    <w:rsid w:val="6D853420"/>
    <w:rsid w:val="6D882D7B"/>
    <w:rsid w:val="6D894DEE"/>
    <w:rsid w:val="6D89684D"/>
    <w:rsid w:val="6D8E2A7A"/>
    <w:rsid w:val="6D914B50"/>
    <w:rsid w:val="6D91523D"/>
    <w:rsid w:val="6D9325F0"/>
    <w:rsid w:val="6D9841B3"/>
    <w:rsid w:val="6D9B3935"/>
    <w:rsid w:val="6D9E39B2"/>
    <w:rsid w:val="6DA05921"/>
    <w:rsid w:val="6DA370D0"/>
    <w:rsid w:val="6DA6245F"/>
    <w:rsid w:val="6DA81C64"/>
    <w:rsid w:val="6DAD0EEB"/>
    <w:rsid w:val="6DB2697F"/>
    <w:rsid w:val="6DBB10BC"/>
    <w:rsid w:val="6DC10495"/>
    <w:rsid w:val="6DC207D4"/>
    <w:rsid w:val="6DC87211"/>
    <w:rsid w:val="6DCC3B8D"/>
    <w:rsid w:val="6DCE4C9D"/>
    <w:rsid w:val="6DD65AC5"/>
    <w:rsid w:val="6DD97017"/>
    <w:rsid w:val="6DDF101A"/>
    <w:rsid w:val="6DE25D71"/>
    <w:rsid w:val="6DE31D93"/>
    <w:rsid w:val="6DE92994"/>
    <w:rsid w:val="6DE942F5"/>
    <w:rsid w:val="6DEB521D"/>
    <w:rsid w:val="6DEB5FC7"/>
    <w:rsid w:val="6DEC0DB6"/>
    <w:rsid w:val="6DEE1DF7"/>
    <w:rsid w:val="6DF0045C"/>
    <w:rsid w:val="6DF61DD1"/>
    <w:rsid w:val="6E054981"/>
    <w:rsid w:val="6E07195C"/>
    <w:rsid w:val="6E085AE4"/>
    <w:rsid w:val="6E0928B5"/>
    <w:rsid w:val="6E092908"/>
    <w:rsid w:val="6E0E01B1"/>
    <w:rsid w:val="6E1577E2"/>
    <w:rsid w:val="6E167EE9"/>
    <w:rsid w:val="6E187E9F"/>
    <w:rsid w:val="6E1A2FB3"/>
    <w:rsid w:val="6E232DD1"/>
    <w:rsid w:val="6E2364F0"/>
    <w:rsid w:val="6E2A1B92"/>
    <w:rsid w:val="6E2A1EC6"/>
    <w:rsid w:val="6E2B7951"/>
    <w:rsid w:val="6E3018FF"/>
    <w:rsid w:val="6E3114BF"/>
    <w:rsid w:val="6E3233E0"/>
    <w:rsid w:val="6E3C3F8E"/>
    <w:rsid w:val="6E3F348F"/>
    <w:rsid w:val="6E403716"/>
    <w:rsid w:val="6E4141B9"/>
    <w:rsid w:val="6E430CBA"/>
    <w:rsid w:val="6E444C57"/>
    <w:rsid w:val="6E4D130F"/>
    <w:rsid w:val="6E4F73D7"/>
    <w:rsid w:val="6E502ADD"/>
    <w:rsid w:val="6E5A1D2E"/>
    <w:rsid w:val="6E6210DF"/>
    <w:rsid w:val="6E624170"/>
    <w:rsid w:val="6E687B59"/>
    <w:rsid w:val="6E7E0813"/>
    <w:rsid w:val="6E7E3991"/>
    <w:rsid w:val="6E802CD6"/>
    <w:rsid w:val="6E8B6E0D"/>
    <w:rsid w:val="6E8E489F"/>
    <w:rsid w:val="6E900B40"/>
    <w:rsid w:val="6E946DF6"/>
    <w:rsid w:val="6E9711C8"/>
    <w:rsid w:val="6E9C41F0"/>
    <w:rsid w:val="6E9F2271"/>
    <w:rsid w:val="6E9F7F1F"/>
    <w:rsid w:val="6EA06B3F"/>
    <w:rsid w:val="6EA83F0C"/>
    <w:rsid w:val="6EA8430E"/>
    <w:rsid w:val="6EA8685E"/>
    <w:rsid w:val="6EA8746E"/>
    <w:rsid w:val="6EAA7B57"/>
    <w:rsid w:val="6EB7736C"/>
    <w:rsid w:val="6EB8653B"/>
    <w:rsid w:val="6EBB57B0"/>
    <w:rsid w:val="6EBE6CE3"/>
    <w:rsid w:val="6EBF50A5"/>
    <w:rsid w:val="6EC35784"/>
    <w:rsid w:val="6EC61344"/>
    <w:rsid w:val="6EC94FB4"/>
    <w:rsid w:val="6ECB6AE7"/>
    <w:rsid w:val="6ECF12E9"/>
    <w:rsid w:val="6ED469C9"/>
    <w:rsid w:val="6ED5603A"/>
    <w:rsid w:val="6EE66AB0"/>
    <w:rsid w:val="6EEB79F8"/>
    <w:rsid w:val="6EF3106A"/>
    <w:rsid w:val="6EF4639C"/>
    <w:rsid w:val="6EF613C8"/>
    <w:rsid w:val="6EF653C7"/>
    <w:rsid w:val="6EF7331C"/>
    <w:rsid w:val="6EF873ED"/>
    <w:rsid w:val="6EFB5D81"/>
    <w:rsid w:val="6F0776F5"/>
    <w:rsid w:val="6F0B1EE6"/>
    <w:rsid w:val="6F202BBA"/>
    <w:rsid w:val="6F242E7A"/>
    <w:rsid w:val="6F2434CD"/>
    <w:rsid w:val="6F303106"/>
    <w:rsid w:val="6F330F3D"/>
    <w:rsid w:val="6F35558D"/>
    <w:rsid w:val="6F3844D5"/>
    <w:rsid w:val="6F384CBE"/>
    <w:rsid w:val="6F3B5E1A"/>
    <w:rsid w:val="6F3C4618"/>
    <w:rsid w:val="6F46316F"/>
    <w:rsid w:val="6F4664C4"/>
    <w:rsid w:val="6F48335E"/>
    <w:rsid w:val="6F4A007F"/>
    <w:rsid w:val="6F4A1106"/>
    <w:rsid w:val="6F4A30E4"/>
    <w:rsid w:val="6F4A76AF"/>
    <w:rsid w:val="6F531D71"/>
    <w:rsid w:val="6F57773D"/>
    <w:rsid w:val="6F594C30"/>
    <w:rsid w:val="6F5A60E8"/>
    <w:rsid w:val="6F682E48"/>
    <w:rsid w:val="6F6C4DC4"/>
    <w:rsid w:val="6F6D4C66"/>
    <w:rsid w:val="6F6F40A8"/>
    <w:rsid w:val="6F7337B2"/>
    <w:rsid w:val="6F7338ED"/>
    <w:rsid w:val="6F77538F"/>
    <w:rsid w:val="6F7C31BE"/>
    <w:rsid w:val="6F7C5AEF"/>
    <w:rsid w:val="6F7E5D99"/>
    <w:rsid w:val="6F8510D4"/>
    <w:rsid w:val="6F8613BC"/>
    <w:rsid w:val="6F8A073C"/>
    <w:rsid w:val="6F8C60DB"/>
    <w:rsid w:val="6F8D694D"/>
    <w:rsid w:val="6F921339"/>
    <w:rsid w:val="6F972316"/>
    <w:rsid w:val="6F972412"/>
    <w:rsid w:val="6F9A02CC"/>
    <w:rsid w:val="6F9E12B9"/>
    <w:rsid w:val="6FA4225F"/>
    <w:rsid w:val="6FA573DB"/>
    <w:rsid w:val="6FA8699D"/>
    <w:rsid w:val="6FB2766F"/>
    <w:rsid w:val="6FB35928"/>
    <w:rsid w:val="6FBC085F"/>
    <w:rsid w:val="6FC9276C"/>
    <w:rsid w:val="6FCA502F"/>
    <w:rsid w:val="6FD075D4"/>
    <w:rsid w:val="6FD36D7B"/>
    <w:rsid w:val="6FD60015"/>
    <w:rsid w:val="6FD70DBA"/>
    <w:rsid w:val="6FD8127D"/>
    <w:rsid w:val="6FDF5A31"/>
    <w:rsid w:val="6FE13BEE"/>
    <w:rsid w:val="6FE46C94"/>
    <w:rsid w:val="6FE530A2"/>
    <w:rsid w:val="6FE54498"/>
    <w:rsid w:val="6FE822CE"/>
    <w:rsid w:val="6FEE6100"/>
    <w:rsid w:val="6FF10944"/>
    <w:rsid w:val="6FF3632D"/>
    <w:rsid w:val="6FF625A2"/>
    <w:rsid w:val="6FF90D49"/>
    <w:rsid w:val="6FFA7825"/>
    <w:rsid w:val="6FFE316C"/>
    <w:rsid w:val="6FFE4319"/>
    <w:rsid w:val="70004B33"/>
    <w:rsid w:val="70014D34"/>
    <w:rsid w:val="70093214"/>
    <w:rsid w:val="70112CA0"/>
    <w:rsid w:val="70122C67"/>
    <w:rsid w:val="701539DE"/>
    <w:rsid w:val="70160730"/>
    <w:rsid w:val="701627A8"/>
    <w:rsid w:val="701676EB"/>
    <w:rsid w:val="702E08C4"/>
    <w:rsid w:val="70366A90"/>
    <w:rsid w:val="703D415F"/>
    <w:rsid w:val="70432D23"/>
    <w:rsid w:val="704630EF"/>
    <w:rsid w:val="704D6E77"/>
    <w:rsid w:val="704E3BB7"/>
    <w:rsid w:val="704F0E68"/>
    <w:rsid w:val="705D4A64"/>
    <w:rsid w:val="705F23F2"/>
    <w:rsid w:val="705F788B"/>
    <w:rsid w:val="70661811"/>
    <w:rsid w:val="7068625C"/>
    <w:rsid w:val="706913BA"/>
    <w:rsid w:val="706B37C3"/>
    <w:rsid w:val="706C2569"/>
    <w:rsid w:val="706D298D"/>
    <w:rsid w:val="70713CCD"/>
    <w:rsid w:val="70763755"/>
    <w:rsid w:val="70772976"/>
    <w:rsid w:val="70774E80"/>
    <w:rsid w:val="707965FE"/>
    <w:rsid w:val="707F3B56"/>
    <w:rsid w:val="70807EFB"/>
    <w:rsid w:val="70882DCB"/>
    <w:rsid w:val="708C7EB0"/>
    <w:rsid w:val="708E3D81"/>
    <w:rsid w:val="70902279"/>
    <w:rsid w:val="709329FF"/>
    <w:rsid w:val="70954E01"/>
    <w:rsid w:val="709E0721"/>
    <w:rsid w:val="709F7BAB"/>
    <w:rsid w:val="70A06C5C"/>
    <w:rsid w:val="70A76F41"/>
    <w:rsid w:val="70A82144"/>
    <w:rsid w:val="70AA1C21"/>
    <w:rsid w:val="70AA6AF0"/>
    <w:rsid w:val="70AC651E"/>
    <w:rsid w:val="70B33A9C"/>
    <w:rsid w:val="70BC3440"/>
    <w:rsid w:val="70BD6D2E"/>
    <w:rsid w:val="70BF1BB0"/>
    <w:rsid w:val="70BF6761"/>
    <w:rsid w:val="70C03119"/>
    <w:rsid w:val="70C05DE3"/>
    <w:rsid w:val="70C778DD"/>
    <w:rsid w:val="70CB4F67"/>
    <w:rsid w:val="70CD12F3"/>
    <w:rsid w:val="70CF6F69"/>
    <w:rsid w:val="70D400A4"/>
    <w:rsid w:val="70DC388B"/>
    <w:rsid w:val="70ED2379"/>
    <w:rsid w:val="70EF7790"/>
    <w:rsid w:val="70F26670"/>
    <w:rsid w:val="70F97E70"/>
    <w:rsid w:val="70FB7D9C"/>
    <w:rsid w:val="70FC6876"/>
    <w:rsid w:val="70FF1772"/>
    <w:rsid w:val="7105591F"/>
    <w:rsid w:val="71062F04"/>
    <w:rsid w:val="71092E57"/>
    <w:rsid w:val="71170891"/>
    <w:rsid w:val="71193768"/>
    <w:rsid w:val="712455B0"/>
    <w:rsid w:val="71264D10"/>
    <w:rsid w:val="712957FD"/>
    <w:rsid w:val="713A7B9C"/>
    <w:rsid w:val="713F004D"/>
    <w:rsid w:val="71425409"/>
    <w:rsid w:val="71443D23"/>
    <w:rsid w:val="7145343B"/>
    <w:rsid w:val="714B6C1A"/>
    <w:rsid w:val="714D585F"/>
    <w:rsid w:val="714E7268"/>
    <w:rsid w:val="715536C6"/>
    <w:rsid w:val="715776DF"/>
    <w:rsid w:val="715C3FC4"/>
    <w:rsid w:val="71655B70"/>
    <w:rsid w:val="716614CC"/>
    <w:rsid w:val="716751B9"/>
    <w:rsid w:val="716A0089"/>
    <w:rsid w:val="716B0DC9"/>
    <w:rsid w:val="716B32AD"/>
    <w:rsid w:val="716E736A"/>
    <w:rsid w:val="71703C86"/>
    <w:rsid w:val="717169E0"/>
    <w:rsid w:val="71725497"/>
    <w:rsid w:val="71740458"/>
    <w:rsid w:val="71760243"/>
    <w:rsid w:val="71776FDD"/>
    <w:rsid w:val="71795419"/>
    <w:rsid w:val="717E4C08"/>
    <w:rsid w:val="71806BCC"/>
    <w:rsid w:val="718701EB"/>
    <w:rsid w:val="71876D0E"/>
    <w:rsid w:val="718F12D6"/>
    <w:rsid w:val="719171D4"/>
    <w:rsid w:val="71985A8F"/>
    <w:rsid w:val="719C58F2"/>
    <w:rsid w:val="719D63B0"/>
    <w:rsid w:val="71A0053B"/>
    <w:rsid w:val="71A26E13"/>
    <w:rsid w:val="71A65605"/>
    <w:rsid w:val="71AA6D48"/>
    <w:rsid w:val="71AB2144"/>
    <w:rsid w:val="71B56CF3"/>
    <w:rsid w:val="71B626FE"/>
    <w:rsid w:val="71B644C2"/>
    <w:rsid w:val="71BB27DD"/>
    <w:rsid w:val="71BD0557"/>
    <w:rsid w:val="71BD5CD4"/>
    <w:rsid w:val="71BE5612"/>
    <w:rsid w:val="71BF002A"/>
    <w:rsid w:val="71C60CDE"/>
    <w:rsid w:val="71C67BEF"/>
    <w:rsid w:val="71C958ED"/>
    <w:rsid w:val="71D11A1F"/>
    <w:rsid w:val="71D16E3D"/>
    <w:rsid w:val="71D21692"/>
    <w:rsid w:val="71D81C63"/>
    <w:rsid w:val="71DC4F6D"/>
    <w:rsid w:val="71DD0369"/>
    <w:rsid w:val="71DF5FB5"/>
    <w:rsid w:val="71E3098F"/>
    <w:rsid w:val="71E51B7A"/>
    <w:rsid w:val="71E84098"/>
    <w:rsid w:val="71EF6B84"/>
    <w:rsid w:val="71F52372"/>
    <w:rsid w:val="71F7719D"/>
    <w:rsid w:val="71F7762B"/>
    <w:rsid w:val="71F82794"/>
    <w:rsid w:val="7203291A"/>
    <w:rsid w:val="720570AB"/>
    <w:rsid w:val="7208265D"/>
    <w:rsid w:val="7209145A"/>
    <w:rsid w:val="721952DF"/>
    <w:rsid w:val="721A094C"/>
    <w:rsid w:val="721E2B71"/>
    <w:rsid w:val="72215CC4"/>
    <w:rsid w:val="7227729C"/>
    <w:rsid w:val="7228089F"/>
    <w:rsid w:val="72291F9D"/>
    <w:rsid w:val="722B058A"/>
    <w:rsid w:val="722F55F6"/>
    <w:rsid w:val="7237234B"/>
    <w:rsid w:val="72387696"/>
    <w:rsid w:val="72405887"/>
    <w:rsid w:val="72445E7D"/>
    <w:rsid w:val="72457BE7"/>
    <w:rsid w:val="7247227A"/>
    <w:rsid w:val="724A1AC6"/>
    <w:rsid w:val="724E644B"/>
    <w:rsid w:val="72515B81"/>
    <w:rsid w:val="72591400"/>
    <w:rsid w:val="72596200"/>
    <w:rsid w:val="725B2F02"/>
    <w:rsid w:val="725D3386"/>
    <w:rsid w:val="725E76ED"/>
    <w:rsid w:val="725F5B85"/>
    <w:rsid w:val="725F5EDD"/>
    <w:rsid w:val="72634395"/>
    <w:rsid w:val="72655E5E"/>
    <w:rsid w:val="726D1C7F"/>
    <w:rsid w:val="726E3AA1"/>
    <w:rsid w:val="727645F7"/>
    <w:rsid w:val="72770010"/>
    <w:rsid w:val="727C3E55"/>
    <w:rsid w:val="728A6916"/>
    <w:rsid w:val="728D4045"/>
    <w:rsid w:val="72972FE9"/>
    <w:rsid w:val="72985ECB"/>
    <w:rsid w:val="729C2FAE"/>
    <w:rsid w:val="729C35C7"/>
    <w:rsid w:val="729F1AB7"/>
    <w:rsid w:val="729F6C59"/>
    <w:rsid w:val="72A0668F"/>
    <w:rsid w:val="72A12750"/>
    <w:rsid w:val="72AE6826"/>
    <w:rsid w:val="72B5361E"/>
    <w:rsid w:val="72B80279"/>
    <w:rsid w:val="72B950D0"/>
    <w:rsid w:val="72BC3A5D"/>
    <w:rsid w:val="72BE581A"/>
    <w:rsid w:val="72BE5A09"/>
    <w:rsid w:val="72BE5C0B"/>
    <w:rsid w:val="72C04E47"/>
    <w:rsid w:val="72C94C3C"/>
    <w:rsid w:val="72C94D58"/>
    <w:rsid w:val="72C95957"/>
    <w:rsid w:val="72CC3301"/>
    <w:rsid w:val="72CF2FF6"/>
    <w:rsid w:val="72D16E00"/>
    <w:rsid w:val="72D4047D"/>
    <w:rsid w:val="72D91EAF"/>
    <w:rsid w:val="72DA0347"/>
    <w:rsid w:val="72E05473"/>
    <w:rsid w:val="72EA333F"/>
    <w:rsid w:val="72EC736B"/>
    <w:rsid w:val="72F31A88"/>
    <w:rsid w:val="72F54B28"/>
    <w:rsid w:val="72F623E3"/>
    <w:rsid w:val="72F77AB1"/>
    <w:rsid w:val="72FD3C55"/>
    <w:rsid w:val="72FF0A35"/>
    <w:rsid w:val="72FF7221"/>
    <w:rsid w:val="72FF7871"/>
    <w:rsid w:val="7301489A"/>
    <w:rsid w:val="730522D4"/>
    <w:rsid w:val="7305244E"/>
    <w:rsid w:val="730C2F6D"/>
    <w:rsid w:val="730E56B8"/>
    <w:rsid w:val="73187227"/>
    <w:rsid w:val="731B1C4A"/>
    <w:rsid w:val="731E055C"/>
    <w:rsid w:val="73213FA7"/>
    <w:rsid w:val="732708CF"/>
    <w:rsid w:val="732855B8"/>
    <w:rsid w:val="732E264E"/>
    <w:rsid w:val="73303AEE"/>
    <w:rsid w:val="733176F7"/>
    <w:rsid w:val="733751C9"/>
    <w:rsid w:val="733B67D5"/>
    <w:rsid w:val="733D6803"/>
    <w:rsid w:val="733F1372"/>
    <w:rsid w:val="733F618A"/>
    <w:rsid w:val="734278C5"/>
    <w:rsid w:val="73436759"/>
    <w:rsid w:val="734443B1"/>
    <w:rsid w:val="734668A9"/>
    <w:rsid w:val="7348473F"/>
    <w:rsid w:val="734A14AA"/>
    <w:rsid w:val="734A71D5"/>
    <w:rsid w:val="734B29B4"/>
    <w:rsid w:val="734C1A8F"/>
    <w:rsid w:val="7351332A"/>
    <w:rsid w:val="735433A3"/>
    <w:rsid w:val="735525D7"/>
    <w:rsid w:val="73555685"/>
    <w:rsid w:val="73635890"/>
    <w:rsid w:val="73667439"/>
    <w:rsid w:val="737754E4"/>
    <w:rsid w:val="7378439A"/>
    <w:rsid w:val="737A076A"/>
    <w:rsid w:val="737E7502"/>
    <w:rsid w:val="73821CF1"/>
    <w:rsid w:val="73827C7D"/>
    <w:rsid w:val="738545F7"/>
    <w:rsid w:val="73881E24"/>
    <w:rsid w:val="738B497A"/>
    <w:rsid w:val="738D4518"/>
    <w:rsid w:val="738E499B"/>
    <w:rsid w:val="73952338"/>
    <w:rsid w:val="739571CC"/>
    <w:rsid w:val="73976F5F"/>
    <w:rsid w:val="739E41FD"/>
    <w:rsid w:val="73A01F56"/>
    <w:rsid w:val="73A11A84"/>
    <w:rsid w:val="73A16432"/>
    <w:rsid w:val="73A546DC"/>
    <w:rsid w:val="73A64843"/>
    <w:rsid w:val="73A84E00"/>
    <w:rsid w:val="73AA3984"/>
    <w:rsid w:val="73B11CF5"/>
    <w:rsid w:val="73B4391A"/>
    <w:rsid w:val="73B50838"/>
    <w:rsid w:val="73B67A8B"/>
    <w:rsid w:val="73B77939"/>
    <w:rsid w:val="73B95B14"/>
    <w:rsid w:val="73C06166"/>
    <w:rsid w:val="73C137E9"/>
    <w:rsid w:val="73C23433"/>
    <w:rsid w:val="73C33D6D"/>
    <w:rsid w:val="73C37E85"/>
    <w:rsid w:val="73C614C3"/>
    <w:rsid w:val="73C6167D"/>
    <w:rsid w:val="73CB45C4"/>
    <w:rsid w:val="73D00D50"/>
    <w:rsid w:val="73D13187"/>
    <w:rsid w:val="73D200EA"/>
    <w:rsid w:val="73D23A8A"/>
    <w:rsid w:val="73D550B1"/>
    <w:rsid w:val="73D9401E"/>
    <w:rsid w:val="73D940FA"/>
    <w:rsid w:val="73E21800"/>
    <w:rsid w:val="73E6555F"/>
    <w:rsid w:val="73E75969"/>
    <w:rsid w:val="73EA2600"/>
    <w:rsid w:val="73F02A17"/>
    <w:rsid w:val="73F04807"/>
    <w:rsid w:val="73F9713F"/>
    <w:rsid w:val="73FB0A05"/>
    <w:rsid w:val="73FC12EA"/>
    <w:rsid w:val="74044C27"/>
    <w:rsid w:val="74091579"/>
    <w:rsid w:val="740A41F1"/>
    <w:rsid w:val="740E57FF"/>
    <w:rsid w:val="74111A63"/>
    <w:rsid w:val="742175EC"/>
    <w:rsid w:val="7429395F"/>
    <w:rsid w:val="742B182B"/>
    <w:rsid w:val="742E234F"/>
    <w:rsid w:val="742F709A"/>
    <w:rsid w:val="74381359"/>
    <w:rsid w:val="743A7F5F"/>
    <w:rsid w:val="743B06AA"/>
    <w:rsid w:val="743D449F"/>
    <w:rsid w:val="74420040"/>
    <w:rsid w:val="744270B8"/>
    <w:rsid w:val="74482861"/>
    <w:rsid w:val="74493350"/>
    <w:rsid w:val="74493D48"/>
    <w:rsid w:val="744A0499"/>
    <w:rsid w:val="74512826"/>
    <w:rsid w:val="7452033C"/>
    <w:rsid w:val="74546239"/>
    <w:rsid w:val="74546A8B"/>
    <w:rsid w:val="74582BF5"/>
    <w:rsid w:val="745D2BB7"/>
    <w:rsid w:val="746000BD"/>
    <w:rsid w:val="74603F9C"/>
    <w:rsid w:val="74675676"/>
    <w:rsid w:val="74682CC0"/>
    <w:rsid w:val="746C5267"/>
    <w:rsid w:val="746C7D8E"/>
    <w:rsid w:val="74705CE3"/>
    <w:rsid w:val="747641E5"/>
    <w:rsid w:val="74792CFD"/>
    <w:rsid w:val="74795C08"/>
    <w:rsid w:val="747D7645"/>
    <w:rsid w:val="74800DB9"/>
    <w:rsid w:val="74803812"/>
    <w:rsid w:val="74837419"/>
    <w:rsid w:val="74880FC6"/>
    <w:rsid w:val="74883EFF"/>
    <w:rsid w:val="748A027D"/>
    <w:rsid w:val="748A5F99"/>
    <w:rsid w:val="748A7209"/>
    <w:rsid w:val="7498691F"/>
    <w:rsid w:val="749A00FD"/>
    <w:rsid w:val="749B2C2C"/>
    <w:rsid w:val="749D0146"/>
    <w:rsid w:val="749E77B4"/>
    <w:rsid w:val="74A915E8"/>
    <w:rsid w:val="74AE543F"/>
    <w:rsid w:val="74B714BE"/>
    <w:rsid w:val="74B86E64"/>
    <w:rsid w:val="74BA4EB1"/>
    <w:rsid w:val="74BB1684"/>
    <w:rsid w:val="74BC61F7"/>
    <w:rsid w:val="74BF670B"/>
    <w:rsid w:val="74C3519C"/>
    <w:rsid w:val="74C579FD"/>
    <w:rsid w:val="74D32579"/>
    <w:rsid w:val="74D47000"/>
    <w:rsid w:val="74D60D64"/>
    <w:rsid w:val="74DD4A4E"/>
    <w:rsid w:val="74E00F06"/>
    <w:rsid w:val="74E03623"/>
    <w:rsid w:val="74E2326D"/>
    <w:rsid w:val="74F13E72"/>
    <w:rsid w:val="74F744A7"/>
    <w:rsid w:val="74FC3483"/>
    <w:rsid w:val="74FD12F2"/>
    <w:rsid w:val="7503696D"/>
    <w:rsid w:val="750B0007"/>
    <w:rsid w:val="75100292"/>
    <w:rsid w:val="75135171"/>
    <w:rsid w:val="7514050A"/>
    <w:rsid w:val="751538C6"/>
    <w:rsid w:val="751B1283"/>
    <w:rsid w:val="751D05DE"/>
    <w:rsid w:val="75236F75"/>
    <w:rsid w:val="752A1936"/>
    <w:rsid w:val="752E4A22"/>
    <w:rsid w:val="75381780"/>
    <w:rsid w:val="75386EC7"/>
    <w:rsid w:val="753F0F02"/>
    <w:rsid w:val="754062B8"/>
    <w:rsid w:val="754512BB"/>
    <w:rsid w:val="75461C60"/>
    <w:rsid w:val="75472FF6"/>
    <w:rsid w:val="754B2433"/>
    <w:rsid w:val="754B3C43"/>
    <w:rsid w:val="754C5743"/>
    <w:rsid w:val="754D6B35"/>
    <w:rsid w:val="75512AD8"/>
    <w:rsid w:val="75553FD4"/>
    <w:rsid w:val="755E49DD"/>
    <w:rsid w:val="75694F2B"/>
    <w:rsid w:val="756D6E55"/>
    <w:rsid w:val="757376F4"/>
    <w:rsid w:val="75742A8D"/>
    <w:rsid w:val="75790FD5"/>
    <w:rsid w:val="758033D9"/>
    <w:rsid w:val="75815B2D"/>
    <w:rsid w:val="758A5D91"/>
    <w:rsid w:val="758E11DB"/>
    <w:rsid w:val="75985F95"/>
    <w:rsid w:val="75A207D4"/>
    <w:rsid w:val="75A32170"/>
    <w:rsid w:val="75A47563"/>
    <w:rsid w:val="75AB2681"/>
    <w:rsid w:val="75AC112D"/>
    <w:rsid w:val="75B26684"/>
    <w:rsid w:val="75B55580"/>
    <w:rsid w:val="75B97A45"/>
    <w:rsid w:val="75C01269"/>
    <w:rsid w:val="75C119D1"/>
    <w:rsid w:val="75C313B9"/>
    <w:rsid w:val="75CA43FC"/>
    <w:rsid w:val="75CB704B"/>
    <w:rsid w:val="75CD6B8E"/>
    <w:rsid w:val="75CE0395"/>
    <w:rsid w:val="75CF1217"/>
    <w:rsid w:val="75D12E40"/>
    <w:rsid w:val="75D96B1F"/>
    <w:rsid w:val="75DF3DD3"/>
    <w:rsid w:val="75E31822"/>
    <w:rsid w:val="75E32B3D"/>
    <w:rsid w:val="75EB45EF"/>
    <w:rsid w:val="75EE0C82"/>
    <w:rsid w:val="75EE29A7"/>
    <w:rsid w:val="75EF12E4"/>
    <w:rsid w:val="75EF302B"/>
    <w:rsid w:val="75F22B11"/>
    <w:rsid w:val="75F26F8D"/>
    <w:rsid w:val="75F91437"/>
    <w:rsid w:val="75F95B58"/>
    <w:rsid w:val="75FE4F4C"/>
    <w:rsid w:val="76036FCC"/>
    <w:rsid w:val="76074B55"/>
    <w:rsid w:val="760C1222"/>
    <w:rsid w:val="760D1BD2"/>
    <w:rsid w:val="76170A63"/>
    <w:rsid w:val="761A30E8"/>
    <w:rsid w:val="761B0641"/>
    <w:rsid w:val="761D1AB5"/>
    <w:rsid w:val="761D2890"/>
    <w:rsid w:val="762228AC"/>
    <w:rsid w:val="762A3CD6"/>
    <w:rsid w:val="762F6D6F"/>
    <w:rsid w:val="763B570E"/>
    <w:rsid w:val="763C0FF3"/>
    <w:rsid w:val="76406FFE"/>
    <w:rsid w:val="764746A4"/>
    <w:rsid w:val="764A4EB3"/>
    <w:rsid w:val="764D56DB"/>
    <w:rsid w:val="76511C4E"/>
    <w:rsid w:val="7652611B"/>
    <w:rsid w:val="76576B17"/>
    <w:rsid w:val="76596282"/>
    <w:rsid w:val="765A119B"/>
    <w:rsid w:val="766059BD"/>
    <w:rsid w:val="76623198"/>
    <w:rsid w:val="7663239E"/>
    <w:rsid w:val="76637E8F"/>
    <w:rsid w:val="766648F4"/>
    <w:rsid w:val="76741195"/>
    <w:rsid w:val="76773A1A"/>
    <w:rsid w:val="76774F09"/>
    <w:rsid w:val="767818A2"/>
    <w:rsid w:val="767C5DC0"/>
    <w:rsid w:val="768345D3"/>
    <w:rsid w:val="768F7368"/>
    <w:rsid w:val="7694262F"/>
    <w:rsid w:val="76946927"/>
    <w:rsid w:val="7695484E"/>
    <w:rsid w:val="76994182"/>
    <w:rsid w:val="769945BE"/>
    <w:rsid w:val="769C4706"/>
    <w:rsid w:val="76A61BCD"/>
    <w:rsid w:val="76AF380E"/>
    <w:rsid w:val="76B33ED3"/>
    <w:rsid w:val="76B75CEB"/>
    <w:rsid w:val="76B81D86"/>
    <w:rsid w:val="76BD2EB2"/>
    <w:rsid w:val="76BF3AFF"/>
    <w:rsid w:val="76C44DAE"/>
    <w:rsid w:val="76CB259A"/>
    <w:rsid w:val="76CE6DE0"/>
    <w:rsid w:val="76CF0E62"/>
    <w:rsid w:val="76D360C8"/>
    <w:rsid w:val="76D4389E"/>
    <w:rsid w:val="76D47F5F"/>
    <w:rsid w:val="76D9174C"/>
    <w:rsid w:val="76D94FB4"/>
    <w:rsid w:val="76DB79E7"/>
    <w:rsid w:val="76E42641"/>
    <w:rsid w:val="76E91E88"/>
    <w:rsid w:val="76EA5F34"/>
    <w:rsid w:val="76EB7084"/>
    <w:rsid w:val="76F216BF"/>
    <w:rsid w:val="76F44DDC"/>
    <w:rsid w:val="76F90F76"/>
    <w:rsid w:val="76FD5ECA"/>
    <w:rsid w:val="76FD69AD"/>
    <w:rsid w:val="770017FF"/>
    <w:rsid w:val="770575EF"/>
    <w:rsid w:val="77067BAE"/>
    <w:rsid w:val="770D230B"/>
    <w:rsid w:val="77104331"/>
    <w:rsid w:val="77176C28"/>
    <w:rsid w:val="771D06DC"/>
    <w:rsid w:val="771D32EE"/>
    <w:rsid w:val="7735431F"/>
    <w:rsid w:val="773711B7"/>
    <w:rsid w:val="7739001C"/>
    <w:rsid w:val="773932AA"/>
    <w:rsid w:val="773C1F3B"/>
    <w:rsid w:val="773D5A23"/>
    <w:rsid w:val="77427809"/>
    <w:rsid w:val="77443D30"/>
    <w:rsid w:val="77464EB3"/>
    <w:rsid w:val="7748572C"/>
    <w:rsid w:val="774B5A7C"/>
    <w:rsid w:val="774E2836"/>
    <w:rsid w:val="7754177E"/>
    <w:rsid w:val="77593E8A"/>
    <w:rsid w:val="775979DC"/>
    <w:rsid w:val="77597AE3"/>
    <w:rsid w:val="775E7C5F"/>
    <w:rsid w:val="77653DE1"/>
    <w:rsid w:val="77656F18"/>
    <w:rsid w:val="777403FE"/>
    <w:rsid w:val="777713CD"/>
    <w:rsid w:val="77791BA3"/>
    <w:rsid w:val="777F1A56"/>
    <w:rsid w:val="77840A8E"/>
    <w:rsid w:val="77843D4A"/>
    <w:rsid w:val="77961BFE"/>
    <w:rsid w:val="7796435A"/>
    <w:rsid w:val="77973B97"/>
    <w:rsid w:val="77985572"/>
    <w:rsid w:val="779A342D"/>
    <w:rsid w:val="779C5857"/>
    <w:rsid w:val="77A05D89"/>
    <w:rsid w:val="77A41794"/>
    <w:rsid w:val="77A911A0"/>
    <w:rsid w:val="77AC03B6"/>
    <w:rsid w:val="77B06987"/>
    <w:rsid w:val="77B25230"/>
    <w:rsid w:val="77B50057"/>
    <w:rsid w:val="77BD1E1D"/>
    <w:rsid w:val="77C02844"/>
    <w:rsid w:val="77C36416"/>
    <w:rsid w:val="77C74F6F"/>
    <w:rsid w:val="77C955EF"/>
    <w:rsid w:val="77D467D7"/>
    <w:rsid w:val="77DC2529"/>
    <w:rsid w:val="77DD07F4"/>
    <w:rsid w:val="77E429BC"/>
    <w:rsid w:val="77E56BA1"/>
    <w:rsid w:val="77EB3E8C"/>
    <w:rsid w:val="77F11B83"/>
    <w:rsid w:val="77F24A38"/>
    <w:rsid w:val="77F60133"/>
    <w:rsid w:val="77FC57CA"/>
    <w:rsid w:val="78001807"/>
    <w:rsid w:val="78014BBD"/>
    <w:rsid w:val="780164E4"/>
    <w:rsid w:val="7802556D"/>
    <w:rsid w:val="780B3E48"/>
    <w:rsid w:val="7811023B"/>
    <w:rsid w:val="78190D3E"/>
    <w:rsid w:val="7819704C"/>
    <w:rsid w:val="78244B6C"/>
    <w:rsid w:val="78246187"/>
    <w:rsid w:val="78257A0A"/>
    <w:rsid w:val="782D1D74"/>
    <w:rsid w:val="78322221"/>
    <w:rsid w:val="78366CE8"/>
    <w:rsid w:val="783D0F7A"/>
    <w:rsid w:val="783F4948"/>
    <w:rsid w:val="784410FF"/>
    <w:rsid w:val="784436A1"/>
    <w:rsid w:val="784A2110"/>
    <w:rsid w:val="78500BD9"/>
    <w:rsid w:val="78534935"/>
    <w:rsid w:val="78546A85"/>
    <w:rsid w:val="78576328"/>
    <w:rsid w:val="785817DF"/>
    <w:rsid w:val="7859783E"/>
    <w:rsid w:val="78612574"/>
    <w:rsid w:val="7861324B"/>
    <w:rsid w:val="78633F96"/>
    <w:rsid w:val="786423A8"/>
    <w:rsid w:val="78647BA4"/>
    <w:rsid w:val="78651234"/>
    <w:rsid w:val="78662A72"/>
    <w:rsid w:val="78681EDA"/>
    <w:rsid w:val="786B3EDC"/>
    <w:rsid w:val="786F74AE"/>
    <w:rsid w:val="7874742E"/>
    <w:rsid w:val="7876146C"/>
    <w:rsid w:val="787974E2"/>
    <w:rsid w:val="78825192"/>
    <w:rsid w:val="788F64B8"/>
    <w:rsid w:val="78901976"/>
    <w:rsid w:val="78915724"/>
    <w:rsid w:val="78926F11"/>
    <w:rsid w:val="789331B6"/>
    <w:rsid w:val="789752DD"/>
    <w:rsid w:val="78976B55"/>
    <w:rsid w:val="789C2AFF"/>
    <w:rsid w:val="789F0976"/>
    <w:rsid w:val="78A02041"/>
    <w:rsid w:val="78A373D5"/>
    <w:rsid w:val="78AB7250"/>
    <w:rsid w:val="78AD4AEE"/>
    <w:rsid w:val="78AD7CE6"/>
    <w:rsid w:val="78AF4C1E"/>
    <w:rsid w:val="78B27E0E"/>
    <w:rsid w:val="78BC3BDF"/>
    <w:rsid w:val="78C34729"/>
    <w:rsid w:val="78C673FD"/>
    <w:rsid w:val="78C8636C"/>
    <w:rsid w:val="78CB02BC"/>
    <w:rsid w:val="78CC51F8"/>
    <w:rsid w:val="78CD02A4"/>
    <w:rsid w:val="78CE0697"/>
    <w:rsid w:val="78CE28DD"/>
    <w:rsid w:val="78DC5140"/>
    <w:rsid w:val="78E30A31"/>
    <w:rsid w:val="78E77880"/>
    <w:rsid w:val="78E9379C"/>
    <w:rsid w:val="78EE1E6D"/>
    <w:rsid w:val="78F06B7F"/>
    <w:rsid w:val="78F17E62"/>
    <w:rsid w:val="78FB525B"/>
    <w:rsid w:val="78FC45B9"/>
    <w:rsid w:val="78FE022D"/>
    <w:rsid w:val="78FE7E12"/>
    <w:rsid w:val="78FF17B2"/>
    <w:rsid w:val="79046FA6"/>
    <w:rsid w:val="790506FC"/>
    <w:rsid w:val="790632B4"/>
    <w:rsid w:val="790E0E97"/>
    <w:rsid w:val="790E77E9"/>
    <w:rsid w:val="791650E5"/>
    <w:rsid w:val="791A012B"/>
    <w:rsid w:val="791C3E3C"/>
    <w:rsid w:val="79245797"/>
    <w:rsid w:val="792A38B0"/>
    <w:rsid w:val="792B5206"/>
    <w:rsid w:val="793030F2"/>
    <w:rsid w:val="793231ED"/>
    <w:rsid w:val="7932484B"/>
    <w:rsid w:val="794044BD"/>
    <w:rsid w:val="794439F7"/>
    <w:rsid w:val="79460C88"/>
    <w:rsid w:val="795107E5"/>
    <w:rsid w:val="795252EB"/>
    <w:rsid w:val="795273CC"/>
    <w:rsid w:val="79544C76"/>
    <w:rsid w:val="795848D4"/>
    <w:rsid w:val="79591302"/>
    <w:rsid w:val="795B7D02"/>
    <w:rsid w:val="795E6245"/>
    <w:rsid w:val="7963312F"/>
    <w:rsid w:val="7964258E"/>
    <w:rsid w:val="79642F17"/>
    <w:rsid w:val="7966795E"/>
    <w:rsid w:val="796B6C19"/>
    <w:rsid w:val="797440B0"/>
    <w:rsid w:val="79775668"/>
    <w:rsid w:val="797F278E"/>
    <w:rsid w:val="797F7337"/>
    <w:rsid w:val="79825719"/>
    <w:rsid w:val="79884AB1"/>
    <w:rsid w:val="79940112"/>
    <w:rsid w:val="7997305A"/>
    <w:rsid w:val="799A653F"/>
    <w:rsid w:val="799F6D3C"/>
    <w:rsid w:val="79A202EF"/>
    <w:rsid w:val="79A27464"/>
    <w:rsid w:val="79AA4EB5"/>
    <w:rsid w:val="79AD15C3"/>
    <w:rsid w:val="79AE7B02"/>
    <w:rsid w:val="79B155E4"/>
    <w:rsid w:val="79B62F2F"/>
    <w:rsid w:val="79B84051"/>
    <w:rsid w:val="79BD0D3A"/>
    <w:rsid w:val="79C34EEA"/>
    <w:rsid w:val="79C8544D"/>
    <w:rsid w:val="79C979D4"/>
    <w:rsid w:val="79D627FD"/>
    <w:rsid w:val="79D902F2"/>
    <w:rsid w:val="79DB7619"/>
    <w:rsid w:val="79DF3EB7"/>
    <w:rsid w:val="79E071B7"/>
    <w:rsid w:val="79E6141C"/>
    <w:rsid w:val="79E72DF7"/>
    <w:rsid w:val="79EB59D7"/>
    <w:rsid w:val="79EC4D15"/>
    <w:rsid w:val="79ED5D9A"/>
    <w:rsid w:val="79F037B4"/>
    <w:rsid w:val="79F07CAC"/>
    <w:rsid w:val="79F83EDD"/>
    <w:rsid w:val="79FB5B5B"/>
    <w:rsid w:val="79FC2092"/>
    <w:rsid w:val="79FF5500"/>
    <w:rsid w:val="7A071AA8"/>
    <w:rsid w:val="7A0A5C8F"/>
    <w:rsid w:val="7A0C23F4"/>
    <w:rsid w:val="7A0C7859"/>
    <w:rsid w:val="7A177A49"/>
    <w:rsid w:val="7A2B50ED"/>
    <w:rsid w:val="7A2C4E19"/>
    <w:rsid w:val="7A313193"/>
    <w:rsid w:val="7A34221C"/>
    <w:rsid w:val="7A361E0B"/>
    <w:rsid w:val="7A3D22BC"/>
    <w:rsid w:val="7A402E52"/>
    <w:rsid w:val="7A40561F"/>
    <w:rsid w:val="7A450BC2"/>
    <w:rsid w:val="7A451B9E"/>
    <w:rsid w:val="7A457C41"/>
    <w:rsid w:val="7A4620FA"/>
    <w:rsid w:val="7A463E6B"/>
    <w:rsid w:val="7A484036"/>
    <w:rsid w:val="7A4935C0"/>
    <w:rsid w:val="7A514FC9"/>
    <w:rsid w:val="7A5274CE"/>
    <w:rsid w:val="7A5A7343"/>
    <w:rsid w:val="7A5B7B4A"/>
    <w:rsid w:val="7A69179D"/>
    <w:rsid w:val="7A6B5572"/>
    <w:rsid w:val="7A6C6F1B"/>
    <w:rsid w:val="7A6C7018"/>
    <w:rsid w:val="7A70051A"/>
    <w:rsid w:val="7A700BB8"/>
    <w:rsid w:val="7A703381"/>
    <w:rsid w:val="7A703E93"/>
    <w:rsid w:val="7A7B0249"/>
    <w:rsid w:val="7A7E5728"/>
    <w:rsid w:val="7A8221CE"/>
    <w:rsid w:val="7A844F55"/>
    <w:rsid w:val="7A88016B"/>
    <w:rsid w:val="7A8C0A09"/>
    <w:rsid w:val="7A8D0773"/>
    <w:rsid w:val="7A926D49"/>
    <w:rsid w:val="7A9645DD"/>
    <w:rsid w:val="7A9A4791"/>
    <w:rsid w:val="7A9C034A"/>
    <w:rsid w:val="7A9E41B9"/>
    <w:rsid w:val="7AA1302B"/>
    <w:rsid w:val="7AA6231F"/>
    <w:rsid w:val="7AAC54AC"/>
    <w:rsid w:val="7AAF03FE"/>
    <w:rsid w:val="7AAF4E1B"/>
    <w:rsid w:val="7AB3548E"/>
    <w:rsid w:val="7AB4645C"/>
    <w:rsid w:val="7AB65609"/>
    <w:rsid w:val="7ABE6BD9"/>
    <w:rsid w:val="7AC01758"/>
    <w:rsid w:val="7AC25B19"/>
    <w:rsid w:val="7AC26FD0"/>
    <w:rsid w:val="7AC30DFC"/>
    <w:rsid w:val="7AC917D3"/>
    <w:rsid w:val="7ACE60B7"/>
    <w:rsid w:val="7AD150B8"/>
    <w:rsid w:val="7ADF501E"/>
    <w:rsid w:val="7AE27C11"/>
    <w:rsid w:val="7AE3458B"/>
    <w:rsid w:val="7AE92C72"/>
    <w:rsid w:val="7AE94870"/>
    <w:rsid w:val="7AEF3B9A"/>
    <w:rsid w:val="7AF06ED1"/>
    <w:rsid w:val="7AF154B8"/>
    <w:rsid w:val="7AF25481"/>
    <w:rsid w:val="7AF823E0"/>
    <w:rsid w:val="7AFA0EEC"/>
    <w:rsid w:val="7AFB7FAA"/>
    <w:rsid w:val="7B0A5251"/>
    <w:rsid w:val="7B0B4307"/>
    <w:rsid w:val="7B0C376B"/>
    <w:rsid w:val="7B126DF0"/>
    <w:rsid w:val="7B1279D3"/>
    <w:rsid w:val="7B1B0A64"/>
    <w:rsid w:val="7B2122BB"/>
    <w:rsid w:val="7B234F8D"/>
    <w:rsid w:val="7B2370FE"/>
    <w:rsid w:val="7B246D24"/>
    <w:rsid w:val="7B276958"/>
    <w:rsid w:val="7B287A8D"/>
    <w:rsid w:val="7B2C4599"/>
    <w:rsid w:val="7B3002C1"/>
    <w:rsid w:val="7B365E90"/>
    <w:rsid w:val="7B3A2BC6"/>
    <w:rsid w:val="7B3E5796"/>
    <w:rsid w:val="7B411022"/>
    <w:rsid w:val="7B44521A"/>
    <w:rsid w:val="7B4C284B"/>
    <w:rsid w:val="7B4D467B"/>
    <w:rsid w:val="7B4E3A21"/>
    <w:rsid w:val="7B521AC7"/>
    <w:rsid w:val="7B525043"/>
    <w:rsid w:val="7B526E51"/>
    <w:rsid w:val="7B555CAA"/>
    <w:rsid w:val="7B5842EE"/>
    <w:rsid w:val="7B5E27A0"/>
    <w:rsid w:val="7B6B4E5D"/>
    <w:rsid w:val="7B6B5EE0"/>
    <w:rsid w:val="7B6F2F0F"/>
    <w:rsid w:val="7B6F7148"/>
    <w:rsid w:val="7B754C5B"/>
    <w:rsid w:val="7B761C6C"/>
    <w:rsid w:val="7B7914FB"/>
    <w:rsid w:val="7B7941EE"/>
    <w:rsid w:val="7B79430B"/>
    <w:rsid w:val="7B807EFA"/>
    <w:rsid w:val="7B8B58E3"/>
    <w:rsid w:val="7B8C633C"/>
    <w:rsid w:val="7B92195A"/>
    <w:rsid w:val="7B945163"/>
    <w:rsid w:val="7B975288"/>
    <w:rsid w:val="7B9C45F2"/>
    <w:rsid w:val="7BA41393"/>
    <w:rsid w:val="7BA859C9"/>
    <w:rsid w:val="7BAB6C7C"/>
    <w:rsid w:val="7BB04D7D"/>
    <w:rsid w:val="7BB1050D"/>
    <w:rsid w:val="7BB26A1F"/>
    <w:rsid w:val="7BB4291D"/>
    <w:rsid w:val="7BB75086"/>
    <w:rsid w:val="7BB80A8A"/>
    <w:rsid w:val="7BC234F2"/>
    <w:rsid w:val="7BC25784"/>
    <w:rsid w:val="7BCA7BEB"/>
    <w:rsid w:val="7BCC667B"/>
    <w:rsid w:val="7BD55B1D"/>
    <w:rsid w:val="7BD616C4"/>
    <w:rsid w:val="7BD62536"/>
    <w:rsid w:val="7BD82725"/>
    <w:rsid w:val="7BD94641"/>
    <w:rsid w:val="7BDD1427"/>
    <w:rsid w:val="7BDF2EBA"/>
    <w:rsid w:val="7BE12BB0"/>
    <w:rsid w:val="7BE317F4"/>
    <w:rsid w:val="7BE7311E"/>
    <w:rsid w:val="7BE80742"/>
    <w:rsid w:val="7BEA187C"/>
    <w:rsid w:val="7BEE6D56"/>
    <w:rsid w:val="7BF65720"/>
    <w:rsid w:val="7BF72769"/>
    <w:rsid w:val="7BFA0BA7"/>
    <w:rsid w:val="7BFA616A"/>
    <w:rsid w:val="7BFD0651"/>
    <w:rsid w:val="7C06033D"/>
    <w:rsid w:val="7C07666A"/>
    <w:rsid w:val="7C0B397D"/>
    <w:rsid w:val="7C105053"/>
    <w:rsid w:val="7C112B53"/>
    <w:rsid w:val="7C1204AE"/>
    <w:rsid w:val="7C143715"/>
    <w:rsid w:val="7C161177"/>
    <w:rsid w:val="7C213CBD"/>
    <w:rsid w:val="7C221B0C"/>
    <w:rsid w:val="7C226D31"/>
    <w:rsid w:val="7C235DD3"/>
    <w:rsid w:val="7C261411"/>
    <w:rsid w:val="7C273AA5"/>
    <w:rsid w:val="7C287C6D"/>
    <w:rsid w:val="7C2A0B02"/>
    <w:rsid w:val="7C2C1ADD"/>
    <w:rsid w:val="7C322819"/>
    <w:rsid w:val="7C334B90"/>
    <w:rsid w:val="7C36798F"/>
    <w:rsid w:val="7C396FE7"/>
    <w:rsid w:val="7C3A0E22"/>
    <w:rsid w:val="7C441FD0"/>
    <w:rsid w:val="7C44733A"/>
    <w:rsid w:val="7C527425"/>
    <w:rsid w:val="7C5703D4"/>
    <w:rsid w:val="7C5B0D5C"/>
    <w:rsid w:val="7C632ADD"/>
    <w:rsid w:val="7C6952FA"/>
    <w:rsid w:val="7C6C318B"/>
    <w:rsid w:val="7C714FF6"/>
    <w:rsid w:val="7C7539D7"/>
    <w:rsid w:val="7C7748AE"/>
    <w:rsid w:val="7C7C66CE"/>
    <w:rsid w:val="7C7D7B98"/>
    <w:rsid w:val="7C7F6126"/>
    <w:rsid w:val="7C861488"/>
    <w:rsid w:val="7C8B25E7"/>
    <w:rsid w:val="7C8E5DD1"/>
    <w:rsid w:val="7C8F338B"/>
    <w:rsid w:val="7C8F4115"/>
    <w:rsid w:val="7C996119"/>
    <w:rsid w:val="7C9A2924"/>
    <w:rsid w:val="7CA05E97"/>
    <w:rsid w:val="7CA2115B"/>
    <w:rsid w:val="7CA90555"/>
    <w:rsid w:val="7CAB46E0"/>
    <w:rsid w:val="7CAC4721"/>
    <w:rsid w:val="7CB06096"/>
    <w:rsid w:val="7CB118FE"/>
    <w:rsid w:val="7CB2106B"/>
    <w:rsid w:val="7CB9659A"/>
    <w:rsid w:val="7CC07D21"/>
    <w:rsid w:val="7CC838FB"/>
    <w:rsid w:val="7CC95C48"/>
    <w:rsid w:val="7CCA4FA8"/>
    <w:rsid w:val="7CD301B9"/>
    <w:rsid w:val="7CD74731"/>
    <w:rsid w:val="7CDB2AC9"/>
    <w:rsid w:val="7CDC7D90"/>
    <w:rsid w:val="7CE20FE9"/>
    <w:rsid w:val="7CEB3E39"/>
    <w:rsid w:val="7CF44BB2"/>
    <w:rsid w:val="7D033077"/>
    <w:rsid w:val="7D0A0C3B"/>
    <w:rsid w:val="7D0F5289"/>
    <w:rsid w:val="7D100EF8"/>
    <w:rsid w:val="7D12473C"/>
    <w:rsid w:val="7D197D5D"/>
    <w:rsid w:val="7D1A1894"/>
    <w:rsid w:val="7D1B05AD"/>
    <w:rsid w:val="7D1B1D6D"/>
    <w:rsid w:val="7D1C0BC3"/>
    <w:rsid w:val="7D1C3FF1"/>
    <w:rsid w:val="7D21093C"/>
    <w:rsid w:val="7D240922"/>
    <w:rsid w:val="7D242486"/>
    <w:rsid w:val="7D257B11"/>
    <w:rsid w:val="7D2E34DD"/>
    <w:rsid w:val="7D355C9B"/>
    <w:rsid w:val="7D364DEC"/>
    <w:rsid w:val="7D3969E6"/>
    <w:rsid w:val="7D3F6F52"/>
    <w:rsid w:val="7D3F6FE8"/>
    <w:rsid w:val="7D472B0D"/>
    <w:rsid w:val="7D49146F"/>
    <w:rsid w:val="7D4C1F07"/>
    <w:rsid w:val="7D4E77A1"/>
    <w:rsid w:val="7D4F56B5"/>
    <w:rsid w:val="7D566D2D"/>
    <w:rsid w:val="7D5713CC"/>
    <w:rsid w:val="7D5D3B5C"/>
    <w:rsid w:val="7D5F446A"/>
    <w:rsid w:val="7D5F587F"/>
    <w:rsid w:val="7D651D2E"/>
    <w:rsid w:val="7D6813ED"/>
    <w:rsid w:val="7D686ED2"/>
    <w:rsid w:val="7D6E7236"/>
    <w:rsid w:val="7D6F0026"/>
    <w:rsid w:val="7D70534C"/>
    <w:rsid w:val="7D732D34"/>
    <w:rsid w:val="7D813604"/>
    <w:rsid w:val="7D8137DB"/>
    <w:rsid w:val="7D856A06"/>
    <w:rsid w:val="7D875BE0"/>
    <w:rsid w:val="7D884E70"/>
    <w:rsid w:val="7D8A2C51"/>
    <w:rsid w:val="7D8D28BC"/>
    <w:rsid w:val="7D8E73B4"/>
    <w:rsid w:val="7D941605"/>
    <w:rsid w:val="7D955EDD"/>
    <w:rsid w:val="7D97264B"/>
    <w:rsid w:val="7D981CC8"/>
    <w:rsid w:val="7D9E5FE1"/>
    <w:rsid w:val="7DA924DD"/>
    <w:rsid w:val="7DAD3CAD"/>
    <w:rsid w:val="7DB46D92"/>
    <w:rsid w:val="7DBF14AB"/>
    <w:rsid w:val="7DBF233F"/>
    <w:rsid w:val="7DC2155D"/>
    <w:rsid w:val="7DC45470"/>
    <w:rsid w:val="7DCB20BB"/>
    <w:rsid w:val="7DCD72C6"/>
    <w:rsid w:val="7DCF318E"/>
    <w:rsid w:val="7DDB163F"/>
    <w:rsid w:val="7DDE1CA6"/>
    <w:rsid w:val="7DDF5020"/>
    <w:rsid w:val="7DE25265"/>
    <w:rsid w:val="7DEA372F"/>
    <w:rsid w:val="7DEA7360"/>
    <w:rsid w:val="7DEE733B"/>
    <w:rsid w:val="7DF41824"/>
    <w:rsid w:val="7DF6276B"/>
    <w:rsid w:val="7DF838C8"/>
    <w:rsid w:val="7DFA1C1D"/>
    <w:rsid w:val="7DFE0168"/>
    <w:rsid w:val="7DFF42DA"/>
    <w:rsid w:val="7E054B70"/>
    <w:rsid w:val="7E0717F5"/>
    <w:rsid w:val="7E0A4F4B"/>
    <w:rsid w:val="7E0D01E6"/>
    <w:rsid w:val="7E0E406B"/>
    <w:rsid w:val="7E10372A"/>
    <w:rsid w:val="7E106BD8"/>
    <w:rsid w:val="7E1349FF"/>
    <w:rsid w:val="7E240606"/>
    <w:rsid w:val="7E243C77"/>
    <w:rsid w:val="7E25353B"/>
    <w:rsid w:val="7E253EE9"/>
    <w:rsid w:val="7E2705F0"/>
    <w:rsid w:val="7E27391B"/>
    <w:rsid w:val="7E2A318D"/>
    <w:rsid w:val="7E307573"/>
    <w:rsid w:val="7E366234"/>
    <w:rsid w:val="7E392D53"/>
    <w:rsid w:val="7E392FFA"/>
    <w:rsid w:val="7E397C9F"/>
    <w:rsid w:val="7E3A6B5C"/>
    <w:rsid w:val="7E414361"/>
    <w:rsid w:val="7E443EC2"/>
    <w:rsid w:val="7E457F3F"/>
    <w:rsid w:val="7E4864A6"/>
    <w:rsid w:val="7E4A3E96"/>
    <w:rsid w:val="7E582582"/>
    <w:rsid w:val="7E6437AD"/>
    <w:rsid w:val="7E677190"/>
    <w:rsid w:val="7E696F66"/>
    <w:rsid w:val="7E6C4AA8"/>
    <w:rsid w:val="7E6F5F40"/>
    <w:rsid w:val="7E730194"/>
    <w:rsid w:val="7E757644"/>
    <w:rsid w:val="7E7771FB"/>
    <w:rsid w:val="7E7A3171"/>
    <w:rsid w:val="7E7B0326"/>
    <w:rsid w:val="7E7C0D54"/>
    <w:rsid w:val="7E810F56"/>
    <w:rsid w:val="7E852187"/>
    <w:rsid w:val="7E8E633B"/>
    <w:rsid w:val="7E8F2DB7"/>
    <w:rsid w:val="7E901F72"/>
    <w:rsid w:val="7E903C62"/>
    <w:rsid w:val="7E953238"/>
    <w:rsid w:val="7E9932C5"/>
    <w:rsid w:val="7E9B4499"/>
    <w:rsid w:val="7E9D439E"/>
    <w:rsid w:val="7EA25D8D"/>
    <w:rsid w:val="7EA47E05"/>
    <w:rsid w:val="7EAC6265"/>
    <w:rsid w:val="7EAE5127"/>
    <w:rsid w:val="7EB46308"/>
    <w:rsid w:val="7EB5169C"/>
    <w:rsid w:val="7EBA57F0"/>
    <w:rsid w:val="7EBA6E13"/>
    <w:rsid w:val="7EBC50D9"/>
    <w:rsid w:val="7EC13CD5"/>
    <w:rsid w:val="7EC67C69"/>
    <w:rsid w:val="7ED0357A"/>
    <w:rsid w:val="7ED0666E"/>
    <w:rsid w:val="7ED16540"/>
    <w:rsid w:val="7ED43BE4"/>
    <w:rsid w:val="7ED615FB"/>
    <w:rsid w:val="7ED7676F"/>
    <w:rsid w:val="7ED83BD8"/>
    <w:rsid w:val="7ED95B58"/>
    <w:rsid w:val="7EE00935"/>
    <w:rsid w:val="7EE728B5"/>
    <w:rsid w:val="7EEC723F"/>
    <w:rsid w:val="7EEE057C"/>
    <w:rsid w:val="7EF41320"/>
    <w:rsid w:val="7EF556E3"/>
    <w:rsid w:val="7EFB3342"/>
    <w:rsid w:val="7EFC77F3"/>
    <w:rsid w:val="7F065A0F"/>
    <w:rsid w:val="7F093712"/>
    <w:rsid w:val="7F0D0C4F"/>
    <w:rsid w:val="7F116370"/>
    <w:rsid w:val="7F155CC9"/>
    <w:rsid w:val="7F1D04D8"/>
    <w:rsid w:val="7F207F01"/>
    <w:rsid w:val="7F2664E6"/>
    <w:rsid w:val="7F2A6A4A"/>
    <w:rsid w:val="7F2C4E5F"/>
    <w:rsid w:val="7F2E3C3C"/>
    <w:rsid w:val="7F310372"/>
    <w:rsid w:val="7F324EE6"/>
    <w:rsid w:val="7F3B10B8"/>
    <w:rsid w:val="7F3D3884"/>
    <w:rsid w:val="7F401292"/>
    <w:rsid w:val="7F4176B0"/>
    <w:rsid w:val="7F447795"/>
    <w:rsid w:val="7F4502F2"/>
    <w:rsid w:val="7F47536B"/>
    <w:rsid w:val="7F4B4DC5"/>
    <w:rsid w:val="7F5721A0"/>
    <w:rsid w:val="7F575A88"/>
    <w:rsid w:val="7F5D1A7D"/>
    <w:rsid w:val="7F5F289F"/>
    <w:rsid w:val="7F67531B"/>
    <w:rsid w:val="7F6A72FE"/>
    <w:rsid w:val="7F6F67E7"/>
    <w:rsid w:val="7F771ED9"/>
    <w:rsid w:val="7F7C1B3C"/>
    <w:rsid w:val="7F7E5938"/>
    <w:rsid w:val="7F7F4488"/>
    <w:rsid w:val="7F834B15"/>
    <w:rsid w:val="7F8B0994"/>
    <w:rsid w:val="7F8B664C"/>
    <w:rsid w:val="7F8C0ECB"/>
    <w:rsid w:val="7F8C3389"/>
    <w:rsid w:val="7F8F58AE"/>
    <w:rsid w:val="7F9509E8"/>
    <w:rsid w:val="7F976AC8"/>
    <w:rsid w:val="7F9A3492"/>
    <w:rsid w:val="7FA126B2"/>
    <w:rsid w:val="7FA70D58"/>
    <w:rsid w:val="7FA732E8"/>
    <w:rsid w:val="7FB62B10"/>
    <w:rsid w:val="7FBA58D3"/>
    <w:rsid w:val="7FC04F1B"/>
    <w:rsid w:val="7FC206A7"/>
    <w:rsid w:val="7FC25384"/>
    <w:rsid w:val="7FC7255D"/>
    <w:rsid w:val="7FCF377F"/>
    <w:rsid w:val="7FCF5E33"/>
    <w:rsid w:val="7FD6338F"/>
    <w:rsid w:val="7FDD0878"/>
    <w:rsid w:val="7FE32296"/>
    <w:rsid w:val="7FE44ACE"/>
    <w:rsid w:val="7FE578D8"/>
    <w:rsid w:val="7FE90CF5"/>
    <w:rsid w:val="7FE93556"/>
    <w:rsid w:val="7FF4118E"/>
    <w:rsid w:val="7FF64D97"/>
    <w:rsid w:val="7FF729EC"/>
    <w:rsid w:val="7FF759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99"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6"/>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widowControl/>
      <w:spacing w:beforeLines="50" w:line="480" w:lineRule="exact"/>
      <w:outlineLvl w:val="3"/>
    </w:pPr>
    <w:rPr>
      <w:rFonts w:eastAsia="黑体"/>
      <w:bCs/>
      <w:color w:val="000000"/>
      <w:sz w:val="28"/>
      <w:szCs w:val="28"/>
    </w:rPr>
  </w:style>
  <w:style w:type="paragraph" w:styleId="6">
    <w:name w:val="heading 5"/>
    <w:basedOn w:val="1"/>
    <w:next w:val="1"/>
    <w:qFormat/>
    <w:uiPriority w:val="0"/>
    <w:pPr>
      <w:keepNext/>
      <w:keepLines/>
      <w:widowControl/>
      <w:spacing w:before="280" w:after="290" w:line="376" w:lineRule="auto"/>
      <w:outlineLvl w:val="4"/>
    </w:pPr>
    <w:rPr>
      <w:b/>
      <w:bCs/>
      <w:color w:val="000000"/>
      <w:sz w:val="28"/>
      <w:szCs w:val="28"/>
    </w:rPr>
  </w:style>
  <w:style w:type="paragraph" w:styleId="7">
    <w:name w:val="heading 6"/>
    <w:basedOn w:val="1"/>
    <w:next w:val="1"/>
    <w:qFormat/>
    <w:uiPriority w:val="0"/>
    <w:pPr>
      <w:keepNext/>
      <w:keepLines/>
      <w:widowControl/>
      <w:spacing w:before="240" w:after="64" w:line="320" w:lineRule="auto"/>
      <w:outlineLvl w:val="5"/>
    </w:pPr>
    <w:rPr>
      <w:rFonts w:ascii="Arial" w:hAnsi="Arial" w:eastAsia="黑体"/>
      <w:b/>
      <w:bCs/>
      <w:color w:val="000000"/>
      <w:sz w:val="24"/>
    </w:rPr>
  </w:style>
  <w:style w:type="paragraph" w:styleId="8">
    <w:name w:val="heading 7"/>
    <w:basedOn w:val="1"/>
    <w:next w:val="1"/>
    <w:qFormat/>
    <w:uiPriority w:val="0"/>
    <w:pPr>
      <w:keepNext/>
      <w:keepLines/>
      <w:widowControl/>
      <w:spacing w:before="240" w:after="64" w:line="320" w:lineRule="auto"/>
      <w:outlineLvl w:val="6"/>
    </w:pPr>
    <w:rPr>
      <w:b/>
      <w:bCs/>
      <w:color w:val="000000"/>
      <w:sz w:val="24"/>
    </w:rPr>
  </w:style>
  <w:style w:type="paragraph" w:styleId="9">
    <w:name w:val="heading 8"/>
    <w:basedOn w:val="1"/>
    <w:next w:val="1"/>
    <w:qFormat/>
    <w:uiPriority w:val="0"/>
    <w:pPr>
      <w:keepNext/>
      <w:keepLines/>
      <w:widowControl/>
      <w:spacing w:before="240" w:after="64" w:line="320" w:lineRule="auto"/>
      <w:outlineLvl w:val="7"/>
    </w:pPr>
    <w:rPr>
      <w:rFonts w:ascii="Arial" w:hAnsi="Arial" w:eastAsia="黑体"/>
      <w:color w:val="000000"/>
      <w:sz w:val="24"/>
    </w:rPr>
  </w:style>
  <w:style w:type="paragraph" w:styleId="10">
    <w:name w:val="heading 9"/>
    <w:basedOn w:val="1"/>
    <w:next w:val="1"/>
    <w:qFormat/>
    <w:uiPriority w:val="0"/>
    <w:pPr>
      <w:keepNext/>
      <w:keepLines/>
      <w:widowControl/>
      <w:spacing w:beforeLines="50" w:after="64" w:line="400" w:lineRule="exact"/>
      <w:jc w:val="center"/>
      <w:outlineLvl w:val="8"/>
    </w:pPr>
    <w:rPr>
      <w:color w:val="000000"/>
      <w:sz w:val="24"/>
      <w:szCs w:val="21"/>
    </w:rPr>
  </w:style>
  <w:style w:type="character" w:default="1" w:styleId="47">
    <w:name w:val="Default Paragraph Font"/>
    <w:link w:val="48"/>
    <w:semiHidden/>
    <w:unhideWhenUsed/>
    <w:qFormat/>
    <w:uiPriority w:val="1"/>
    <w:rPr>
      <w:rFonts w:ascii="宋体" w:hAnsi="宋体" w:cs="宋体"/>
      <w:snapToGrid w:val="0"/>
      <w:kern w:val="0"/>
      <w:sz w:val="24"/>
      <w:szCs w:val="24"/>
    </w:rPr>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1050"/>
      <w:jc w:val="left"/>
    </w:pPr>
    <w:rPr>
      <w:rFonts w:asciiTheme="minorHAnsi" w:hAnsiTheme="minorHAnsi"/>
      <w:sz w:val="20"/>
      <w:szCs w:val="20"/>
    </w:rPr>
  </w:style>
  <w:style w:type="paragraph" w:styleId="12">
    <w:name w:val="Normal Indent"/>
    <w:basedOn w:val="1"/>
    <w:link w:val="68"/>
    <w:qFormat/>
    <w:uiPriority w:val="99"/>
    <w:pPr>
      <w:ind w:firstLine="420" w:firstLineChars="200"/>
    </w:pPr>
    <w:rPr>
      <w:szCs w:val="20"/>
    </w:rPr>
  </w:style>
  <w:style w:type="paragraph" w:styleId="13">
    <w:name w:val="caption"/>
    <w:basedOn w:val="1"/>
    <w:next w:val="1"/>
    <w:qFormat/>
    <w:uiPriority w:val="0"/>
    <w:rPr>
      <w:rFonts w:ascii="Arial" w:hAnsi="Arial" w:eastAsia="黑体" w:cs="Arial"/>
      <w:sz w:val="20"/>
      <w:szCs w:val="20"/>
    </w:r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3"/>
    <w:basedOn w:val="1"/>
    <w:qFormat/>
    <w:uiPriority w:val="0"/>
    <w:pPr>
      <w:spacing w:after="120"/>
    </w:pPr>
    <w:rPr>
      <w:sz w:val="16"/>
      <w:szCs w:val="16"/>
    </w:rPr>
  </w:style>
  <w:style w:type="paragraph" w:styleId="17">
    <w:name w:val="Body Text"/>
    <w:basedOn w:val="1"/>
    <w:qFormat/>
    <w:uiPriority w:val="0"/>
    <w:pPr>
      <w:spacing w:after="120"/>
    </w:pPr>
  </w:style>
  <w:style w:type="paragraph" w:styleId="18">
    <w:name w:val="Body Text Indent"/>
    <w:basedOn w:val="1"/>
    <w:qFormat/>
    <w:uiPriority w:val="0"/>
    <w:pPr>
      <w:tabs>
        <w:tab w:val="left" w:pos="7500"/>
      </w:tabs>
      <w:spacing w:line="440" w:lineRule="exact"/>
      <w:ind w:firstLine="560" w:firstLineChars="200"/>
    </w:pPr>
    <w:rPr>
      <w:rFonts w:ascii="楷体_GB2312" w:eastAsia="楷体_GB2312"/>
      <w:sz w:val="28"/>
    </w:rPr>
  </w:style>
  <w:style w:type="paragraph" w:styleId="19">
    <w:name w:val="List Bullet 2"/>
    <w:basedOn w:val="1"/>
    <w:qFormat/>
    <w:uiPriority w:val="0"/>
    <w:pPr>
      <w:spacing w:after="40"/>
      <w:jc w:val="center"/>
    </w:pPr>
    <w:rPr>
      <w:rFonts w:ascii="宋体" w:hAnsi="宋体"/>
    </w:rPr>
  </w:style>
  <w:style w:type="paragraph" w:styleId="20">
    <w:name w:val="toc 5"/>
    <w:basedOn w:val="1"/>
    <w:next w:val="1"/>
    <w:unhideWhenUsed/>
    <w:qFormat/>
    <w:uiPriority w:val="0"/>
    <w:pPr>
      <w:ind w:left="630"/>
      <w:jc w:val="left"/>
    </w:pPr>
    <w:rPr>
      <w:rFonts w:asciiTheme="minorHAnsi" w:hAnsiTheme="minorHAnsi"/>
      <w:sz w:val="20"/>
      <w:szCs w:val="20"/>
    </w:rPr>
  </w:style>
  <w:style w:type="paragraph" w:styleId="21">
    <w:name w:val="toc 3"/>
    <w:basedOn w:val="1"/>
    <w:next w:val="1"/>
    <w:unhideWhenUsed/>
    <w:qFormat/>
    <w:uiPriority w:val="0"/>
    <w:pPr>
      <w:ind w:left="210"/>
      <w:jc w:val="left"/>
    </w:pPr>
    <w:rPr>
      <w:rFonts w:asciiTheme="minorHAnsi" w:hAnsiTheme="minorHAnsi"/>
      <w:sz w:val="20"/>
      <w:szCs w:val="20"/>
    </w:rPr>
  </w:style>
  <w:style w:type="paragraph" w:styleId="22">
    <w:name w:val="Plain Text"/>
    <w:basedOn w:val="1"/>
    <w:link w:val="63"/>
    <w:qFormat/>
    <w:uiPriority w:val="0"/>
    <w:rPr>
      <w:rFonts w:ascii="宋体" w:hAnsi="Courier New" w:cs="Courier New"/>
      <w:szCs w:val="21"/>
    </w:rPr>
  </w:style>
  <w:style w:type="paragraph" w:styleId="23">
    <w:name w:val="toc 8"/>
    <w:basedOn w:val="1"/>
    <w:next w:val="1"/>
    <w:unhideWhenUsed/>
    <w:qFormat/>
    <w:uiPriority w:val="0"/>
    <w:pPr>
      <w:ind w:left="1260"/>
      <w:jc w:val="left"/>
    </w:pPr>
    <w:rPr>
      <w:rFonts w:asciiTheme="minorHAnsi" w:hAnsiTheme="minorHAnsi"/>
      <w:sz w:val="20"/>
      <w:szCs w:val="20"/>
    </w:rPr>
  </w:style>
  <w:style w:type="paragraph" w:styleId="24">
    <w:name w:val="Date"/>
    <w:basedOn w:val="1"/>
    <w:next w:val="1"/>
    <w:qFormat/>
    <w:uiPriority w:val="0"/>
    <w:pPr>
      <w:ind w:left="100" w:leftChars="2500"/>
    </w:pPr>
  </w:style>
  <w:style w:type="paragraph" w:styleId="25">
    <w:name w:val="Body Text Indent 2"/>
    <w:basedOn w:val="1"/>
    <w:link w:val="58"/>
    <w:qFormat/>
    <w:uiPriority w:val="0"/>
    <w:pPr>
      <w:spacing w:after="120" w:line="480" w:lineRule="auto"/>
      <w:ind w:left="420" w:leftChars="200"/>
    </w:pPr>
  </w:style>
  <w:style w:type="paragraph" w:styleId="26">
    <w:name w:val="Balloon Text"/>
    <w:basedOn w:val="1"/>
    <w:link w:val="225"/>
    <w:qFormat/>
    <w:uiPriority w:val="99"/>
    <w:rPr>
      <w:sz w:val="18"/>
      <w:szCs w:val="18"/>
    </w:rPr>
  </w:style>
  <w:style w:type="paragraph" w:styleId="27">
    <w:name w:val="footer"/>
    <w:basedOn w:val="1"/>
    <w:link w:val="61"/>
    <w:qFormat/>
    <w:uiPriority w:val="99"/>
    <w:pPr>
      <w:tabs>
        <w:tab w:val="center" w:pos="4153"/>
        <w:tab w:val="right" w:pos="8306"/>
      </w:tabs>
      <w:snapToGrid w:val="0"/>
      <w:jc w:val="left"/>
    </w:pPr>
    <w:rPr>
      <w:sz w:val="18"/>
      <w:szCs w:val="18"/>
    </w:rPr>
  </w:style>
  <w:style w:type="paragraph" w:styleId="2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before="360"/>
      <w:jc w:val="left"/>
    </w:pPr>
    <w:rPr>
      <w:rFonts w:asciiTheme="majorHAnsi" w:hAnsiTheme="majorHAnsi"/>
      <w:b/>
      <w:bCs/>
      <w:caps/>
      <w:sz w:val="24"/>
    </w:rPr>
  </w:style>
  <w:style w:type="paragraph" w:styleId="30">
    <w:name w:val="toc 4"/>
    <w:basedOn w:val="1"/>
    <w:next w:val="1"/>
    <w:unhideWhenUsed/>
    <w:qFormat/>
    <w:uiPriority w:val="0"/>
    <w:pPr>
      <w:ind w:left="420"/>
      <w:jc w:val="left"/>
    </w:pPr>
    <w:rPr>
      <w:rFonts w:asciiTheme="minorHAnsi" w:hAnsiTheme="minorHAnsi"/>
      <w:sz w:val="20"/>
      <w:szCs w:val="20"/>
    </w:rPr>
  </w:style>
  <w:style w:type="paragraph" w:styleId="31">
    <w:name w:val="List"/>
    <w:basedOn w:val="1"/>
    <w:qFormat/>
    <w:uiPriority w:val="0"/>
    <w:pPr>
      <w:ind w:left="200" w:hanging="200" w:hangingChars="200"/>
    </w:pPr>
  </w:style>
  <w:style w:type="paragraph" w:styleId="32">
    <w:name w:val="toc 6"/>
    <w:basedOn w:val="1"/>
    <w:next w:val="1"/>
    <w:unhideWhenUsed/>
    <w:qFormat/>
    <w:uiPriority w:val="0"/>
    <w:pPr>
      <w:ind w:left="840"/>
      <w:jc w:val="left"/>
    </w:pPr>
    <w:rPr>
      <w:rFonts w:asciiTheme="minorHAnsi" w:hAnsiTheme="minorHAnsi"/>
      <w:sz w:val="20"/>
      <w:szCs w:val="20"/>
    </w:rPr>
  </w:style>
  <w:style w:type="paragraph" w:styleId="33">
    <w:name w:val="Body Text Indent 3"/>
    <w:basedOn w:val="1"/>
    <w:link w:val="67"/>
    <w:qFormat/>
    <w:uiPriority w:val="0"/>
    <w:pPr>
      <w:spacing w:after="120"/>
      <w:ind w:left="420" w:leftChars="200"/>
    </w:pPr>
    <w:rPr>
      <w:sz w:val="16"/>
      <w:szCs w:val="16"/>
    </w:rPr>
  </w:style>
  <w:style w:type="paragraph" w:styleId="34">
    <w:name w:val="toc 2"/>
    <w:basedOn w:val="1"/>
    <w:next w:val="1"/>
    <w:unhideWhenUsed/>
    <w:qFormat/>
    <w:uiPriority w:val="0"/>
    <w:pPr>
      <w:spacing w:before="240"/>
      <w:jc w:val="left"/>
    </w:pPr>
    <w:rPr>
      <w:rFonts w:asciiTheme="minorHAnsi" w:hAnsiTheme="minorHAnsi"/>
      <w:b/>
      <w:bCs/>
      <w:sz w:val="20"/>
      <w:szCs w:val="20"/>
    </w:rPr>
  </w:style>
  <w:style w:type="paragraph" w:styleId="35">
    <w:name w:val="toc 9"/>
    <w:basedOn w:val="1"/>
    <w:next w:val="1"/>
    <w:unhideWhenUsed/>
    <w:qFormat/>
    <w:uiPriority w:val="0"/>
    <w:pPr>
      <w:ind w:left="1470"/>
      <w:jc w:val="left"/>
    </w:pPr>
    <w:rPr>
      <w:rFonts w:asciiTheme="minorHAnsi" w:hAnsiTheme="minorHAnsi"/>
      <w:sz w:val="20"/>
      <w:szCs w:val="20"/>
    </w:rPr>
  </w:style>
  <w:style w:type="paragraph" w:styleId="36">
    <w:name w:val="Body Text 2"/>
    <w:basedOn w:val="1"/>
    <w:qFormat/>
    <w:uiPriority w:val="0"/>
    <w:pPr>
      <w:spacing w:after="120" w:line="480" w:lineRule="auto"/>
    </w:pPr>
  </w:style>
  <w:style w:type="paragraph" w:styleId="37">
    <w:name w:val="HTML Preformatted"/>
    <w:basedOn w:val="1"/>
    <w:link w:val="24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8">
    <w:name w:val="Normal (Web)"/>
    <w:basedOn w:val="1"/>
    <w:qFormat/>
    <w:uiPriority w:val="99"/>
    <w:pPr>
      <w:widowControl/>
      <w:spacing w:before="100" w:beforeAutospacing="1" w:after="100" w:afterAutospacing="1"/>
      <w:jc w:val="left"/>
    </w:pPr>
    <w:rPr>
      <w:rFonts w:ascii="宋体" w:hAnsi="宋体"/>
      <w:kern w:val="0"/>
      <w:sz w:val="24"/>
    </w:rPr>
  </w:style>
  <w:style w:type="paragraph" w:styleId="39">
    <w:name w:val="index 1"/>
    <w:basedOn w:val="1"/>
    <w:next w:val="1"/>
    <w:qFormat/>
    <w:uiPriority w:val="0"/>
    <w:pPr>
      <w:tabs>
        <w:tab w:val="left" w:pos="5580"/>
      </w:tabs>
      <w:adjustRightInd w:val="0"/>
      <w:snapToGrid w:val="0"/>
      <w:spacing w:line="280" w:lineRule="exact"/>
      <w:jc w:val="center"/>
    </w:pPr>
    <w:rPr>
      <w:rFonts w:ascii="宋体" w:hAnsi="宋体"/>
      <w:spacing w:val="10"/>
    </w:rPr>
  </w:style>
  <w:style w:type="paragraph" w:styleId="40">
    <w:name w:val="Title"/>
    <w:basedOn w:val="1"/>
    <w:next w:val="1"/>
    <w:link w:val="190"/>
    <w:qFormat/>
    <w:uiPriority w:val="0"/>
    <w:pPr>
      <w:spacing w:before="240" w:after="60"/>
      <w:jc w:val="left"/>
      <w:outlineLvl w:val="0"/>
    </w:pPr>
    <w:rPr>
      <w:rFonts w:asciiTheme="majorHAnsi" w:hAnsiTheme="majorHAnsi" w:cstheme="majorBidi"/>
      <w:b/>
      <w:bCs/>
      <w:sz w:val="32"/>
      <w:szCs w:val="32"/>
    </w:rPr>
  </w:style>
  <w:style w:type="paragraph" w:styleId="41">
    <w:name w:val="annotation subject"/>
    <w:basedOn w:val="15"/>
    <w:next w:val="15"/>
    <w:semiHidden/>
    <w:qFormat/>
    <w:uiPriority w:val="0"/>
    <w:rPr>
      <w:b/>
      <w:bCs/>
    </w:rPr>
  </w:style>
  <w:style w:type="paragraph" w:styleId="42">
    <w:name w:val="Body Text First Indent"/>
    <w:basedOn w:val="17"/>
    <w:qFormat/>
    <w:uiPriority w:val="0"/>
    <w:pPr>
      <w:ind w:firstLine="420" w:firstLineChars="100"/>
    </w:pPr>
  </w:style>
  <w:style w:type="paragraph" w:styleId="43">
    <w:name w:val="Body Text First Indent 2"/>
    <w:basedOn w:val="18"/>
    <w:next w:val="1"/>
    <w:qFormat/>
    <w:uiPriority w:val="0"/>
    <w:pPr>
      <w:widowControl/>
      <w:spacing w:after="120" w:line="240" w:lineRule="auto"/>
      <w:ind w:left="420" w:leftChars="200" w:firstLine="420" w:firstLineChars="200"/>
      <w:jc w:val="left"/>
    </w:pPr>
    <w:rPr>
      <w:spacing w:val="0"/>
      <w:sz w:val="21"/>
      <w:szCs w:val="24"/>
    </w:r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6">
    <w:name w:val="Table Grid 1"/>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paragraph" w:customStyle="1" w:styleId="48">
    <w:name w:val=" Char Char Char Char Char Char Char Char Char Char Char Char Char Char Char Char Char Char1 Char Char Char Char Char Char Char Char Char Char Char Char Char Char Char Char"/>
    <w:basedOn w:val="1"/>
    <w:next w:val="1"/>
    <w:link w:val="47"/>
    <w:qFormat/>
    <w:uiPriority w:val="0"/>
    <w:pPr>
      <w:spacing w:line="360" w:lineRule="auto"/>
      <w:ind w:firstLine="200" w:firstLineChars="200"/>
    </w:pPr>
    <w:rPr>
      <w:rFonts w:ascii="宋体" w:hAnsi="宋体" w:cs="宋体"/>
      <w:snapToGrid w:val="0"/>
      <w:kern w:val="0"/>
      <w:sz w:val="24"/>
      <w:szCs w:val="24"/>
    </w:rPr>
  </w:style>
  <w:style w:type="character" w:styleId="49">
    <w:name w:val="Strong"/>
    <w:basedOn w:val="47"/>
    <w:qFormat/>
    <w:uiPriority w:val="22"/>
    <w:rPr>
      <w:b/>
      <w:bCs/>
    </w:rPr>
  </w:style>
  <w:style w:type="character" w:styleId="50">
    <w:name w:val="page number"/>
    <w:basedOn w:val="47"/>
    <w:qFormat/>
    <w:uiPriority w:val="0"/>
  </w:style>
  <w:style w:type="character" w:styleId="51">
    <w:name w:val="Emphasis"/>
    <w:basedOn w:val="47"/>
    <w:qFormat/>
    <w:uiPriority w:val="20"/>
    <w:rPr>
      <w:color w:val="CC0000"/>
    </w:rPr>
  </w:style>
  <w:style w:type="character" w:styleId="52">
    <w:name w:val="Hyperlink"/>
    <w:basedOn w:val="47"/>
    <w:qFormat/>
    <w:uiPriority w:val="99"/>
    <w:rPr>
      <w:color w:val="0000FF"/>
      <w:u w:val="single"/>
    </w:rPr>
  </w:style>
  <w:style w:type="character" w:styleId="53">
    <w:name w:val="HTML Code"/>
    <w:basedOn w:val="47"/>
    <w:qFormat/>
    <w:uiPriority w:val="0"/>
    <w:rPr>
      <w:rFonts w:hint="default" w:ascii="Courier New" w:hAnsi="Courier New" w:eastAsia="宋体" w:cs="Courier New"/>
      <w:sz w:val="24"/>
      <w:szCs w:val="24"/>
    </w:rPr>
  </w:style>
  <w:style w:type="character" w:styleId="54">
    <w:name w:val="annotation reference"/>
    <w:basedOn w:val="47"/>
    <w:semiHidden/>
    <w:qFormat/>
    <w:uiPriority w:val="0"/>
    <w:rPr>
      <w:sz w:val="21"/>
      <w:szCs w:val="21"/>
    </w:rPr>
  </w:style>
  <w:style w:type="paragraph" w:customStyle="1" w:styleId="55">
    <w:name w:val="li_正文"/>
    <w:basedOn w:val="1"/>
    <w:qFormat/>
    <w:uiPriority w:val="0"/>
    <w:pPr>
      <w:tabs>
        <w:tab w:val="left" w:pos="2340"/>
        <w:tab w:val="left" w:pos="4320"/>
      </w:tabs>
      <w:adjustRightInd/>
      <w:snapToGrid/>
      <w:spacing w:line="240" w:lineRule="auto"/>
      <w:ind w:firstLine="530" w:firstLineChars="200"/>
      <w:jc w:val="left"/>
    </w:pPr>
    <w:rPr>
      <w:rFonts w:ascii="Calibri" w:hAnsi="Calibri"/>
      <w:sz w:val="28"/>
      <w:szCs w:val="28"/>
    </w:rPr>
  </w:style>
  <w:style w:type="character" w:customStyle="1" w:styleId="56">
    <w:name w:val="标题 3 Char"/>
    <w:basedOn w:val="47"/>
    <w:link w:val="5"/>
    <w:qFormat/>
    <w:uiPriority w:val="0"/>
    <w:rPr>
      <w:rFonts w:eastAsia="宋体"/>
      <w:b/>
      <w:bCs/>
      <w:kern w:val="2"/>
      <w:sz w:val="32"/>
      <w:szCs w:val="32"/>
      <w:lang w:val="en-US" w:eastAsia="zh-CN" w:bidi="ar-SA"/>
    </w:rPr>
  </w:style>
  <w:style w:type="paragraph" w:customStyle="1" w:styleId="57">
    <w:name w:val="标题3 Char Char Char Char"/>
    <w:basedOn w:val="1"/>
    <w:qFormat/>
    <w:uiPriority w:val="0"/>
    <w:pPr>
      <w:spacing w:line="560" w:lineRule="exact"/>
    </w:pPr>
    <w:rPr>
      <w:rFonts w:eastAsia="黑体"/>
      <w:sz w:val="30"/>
      <w:szCs w:val="30"/>
    </w:rPr>
  </w:style>
  <w:style w:type="character" w:customStyle="1" w:styleId="58">
    <w:name w:val="正文文本缩进 2 Char"/>
    <w:basedOn w:val="47"/>
    <w:link w:val="25"/>
    <w:qFormat/>
    <w:uiPriority w:val="0"/>
    <w:rPr>
      <w:rFonts w:eastAsia="宋体"/>
      <w:kern w:val="2"/>
      <w:sz w:val="21"/>
      <w:szCs w:val="24"/>
      <w:lang w:val="en-US" w:eastAsia="zh-CN" w:bidi="ar-SA"/>
    </w:rPr>
  </w:style>
  <w:style w:type="paragraph" w:customStyle="1" w:styleId="59">
    <w:name w:val="公式"/>
    <w:basedOn w:val="1"/>
    <w:qFormat/>
    <w:uiPriority w:val="0"/>
    <w:pPr>
      <w:spacing w:beforeLines="50" w:afterLines="50"/>
      <w:jc w:val="center"/>
    </w:pPr>
    <w:rPr>
      <w:sz w:val="24"/>
      <w:szCs w:val="20"/>
    </w:rPr>
  </w:style>
  <w:style w:type="paragraph" w:customStyle="1" w:styleId="60">
    <w:name w:val="表格式"/>
    <w:basedOn w:val="31"/>
    <w:qFormat/>
    <w:uiPriority w:val="0"/>
    <w:pPr>
      <w:spacing w:line="400" w:lineRule="exact"/>
      <w:ind w:left="0" w:firstLine="0" w:firstLineChars="0"/>
      <w:jc w:val="center"/>
    </w:pPr>
    <w:rPr>
      <w:rFonts w:ascii="宋体"/>
      <w:szCs w:val="20"/>
    </w:rPr>
  </w:style>
  <w:style w:type="character" w:customStyle="1" w:styleId="61">
    <w:name w:val="页脚 Char"/>
    <w:basedOn w:val="47"/>
    <w:link w:val="27"/>
    <w:qFormat/>
    <w:uiPriority w:val="99"/>
    <w:rPr>
      <w:rFonts w:eastAsia="宋体"/>
      <w:kern w:val="2"/>
      <w:sz w:val="18"/>
      <w:szCs w:val="18"/>
      <w:lang w:val="en-US" w:eastAsia="zh-CN" w:bidi="ar-SA"/>
    </w:rPr>
  </w:style>
  <w:style w:type="paragraph" w:customStyle="1" w:styleId="62">
    <w:name w:val="Char Char Char Char Char Char1 Char Char Char Char"/>
    <w:basedOn w:val="1"/>
    <w:semiHidden/>
    <w:qFormat/>
    <w:uiPriority w:val="0"/>
    <w:pPr>
      <w:spacing w:line="360" w:lineRule="auto"/>
      <w:ind w:firstLine="200" w:firstLineChars="200"/>
    </w:pPr>
    <w:rPr>
      <w:rFonts w:ascii="宋体" w:hAnsi="宋体" w:cs="宋体"/>
      <w:sz w:val="24"/>
    </w:rPr>
  </w:style>
  <w:style w:type="character" w:customStyle="1" w:styleId="63">
    <w:name w:val="纯文本 Char"/>
    <w:basedOn w:val="47"/>
    <w:link w:val="22"/>
    <w:qFormat/>
    <w:uiPriority w:val="0"/>
    <w:rPr>
      <w:rFonts w:ascii="宋体" w:hAnsi="Courier New" w:eastAsia="宋体" w:cs="Courier New"/>
      <w:kern w:val="2"/>
      <w:sz w:val="21"/>
      <w:szCs w:val="21"/>
      <w:lang w:val="en-US" w:eastAsia="zh-CN" w:bidi="ar-SA"/>
    </w:rPr>
  </w:style>
  <w:style w:type="paragraph" w:customStyle="1" w:styleId="64">
    <w:name w:val="应填表格"/>
    <w:basedOn w:val="1"/>
    <w:qFormat/>
    <w:uiPriority w:val="0"/>
    <w:pPr>
      <w:adjustRightInd w:val="0"/>
      <w:spacing w:before="40" w:after="40"/>
      <w:jc w:val="left"/>
      <w:textAlignment w:val="baseline"/>
    </w:pPr>
    <w:rPr>
      <w:kern w:val="0"/>
      <w:sz w:val="24"/>
      <w:szCs w:val="20"/>
    </w:rPr>
  </w:style>
  <w:style w:type="paragraph" w:customStyle="1" w:styleId="65">
    <w:name w:val="Char"/>
    <w:basedOn w:val="1"/>
    <w:qFormat/>
    <w:uiPriority w:val="0"/>
    <w:pPr>
      <w:snapToGrid w:val="0"/>
      <w:spacing w:line="360" w:lineRule="auto"/>
      <w:ind w:firstLine="529" w:firstLineChars="200"/>
    </w:pPr>
    <w:rPr>
      <w:rFonts w:ascii="宋体" w:hAnsi="宋体"/>
      <w:b/>
    </w:rPr>
  </w:style>
  <w:style w:type="character" w:customStyle="1" w:styleId="66">
    <w:name w:val="zi1"/>
    <w:basedOn w:val="47"/>
    <w:qFormat/>
    <w:uiPriority w:val="0"/>
    <w:rPr>
      <w:color w:val="003366"/>
      <w:sz w:val="18"/>
      <w:szCs w:val="18"/>
    </w:rPr>
  </w:style>
  <w:style w:type="character" w:customStyle="1" w:styleId="67">
    <w:name w:val="正文文本缩进 3 Char"/>
    <w:basedOn w:val="47"/>
    <w:link w:val="33"/>
    <w:qFormat/>
    <w:uiPriority w:val="0"/>
    <w:rPr>
      <w:rFonts w:eastAsia="宋体"/>
      <w:kern w:val="2"/>
      <w:sz w:val="16"/>
      <w:szCs w:val="16"/>
      <w:lang w:val="en-US" w:eastAsia="zh-CN" w:bidi="ar-SA"/>
    </w:rPr>
  </w:style>
  <w:style w:type="character" w:customStyle="1" w:styleId="68">
    <w:name w:val="正文缩进 Char1"/>
    <w:basedOn w:val="47"/>
    <w:link w:val="12"/>
    <w:qFormat/>
    <w:uiPriority w:val="0"/>
    <w:rPr>
      <w:rFonts w:eastAsia="宋体"/>
      <w:kern w:val="2"/>
      <w:sz w:val="21"/>
      <w:lang w:val="en-US" w:eastAsia="zh-CN" w:bidi="ar-SA"/>
    </w:rPr>
  </w:style>
  <w:style w:type="paragraph" w:customStyle="1" w:styleId="69">
    <w:name w:val="表格"/>
    <w:basedOn w:val="70"/>
    <w:link w:val="211"/>
    <w:qFormat/>
    <w:uiPriority w:val="0"/>
    <w:pPr>
      <w:jc w:val="center"/>
    </w:pPr>
    <w:rPr>
      <w:sz w:val="24"/>
    </w:rPr>
  </w:style>
  <w:style w:type="paragraph" w:customStyle="1" w:styleId="70">
    <w:name w:val="表格标题"/>
    <w:basedOn w:val="1"/>
    <w:qFormat/>
    <w:uiPriority w:val="1"/>
    <w:pPr>
      <w:spacing w:before="120" w:after="40" w:line="320" w:lineRule="exact"/>
      <w:ind w:firstLine="0" w:firstLineChars="0"/>
      <w:jc w:val="center"/>
    </w:pPr>
    <w:rPr>
      <w:rFonts w:eastAsia="宋体"/>
      <w:sz w:val="21"/>
    </w:rPr>
  </w:style>
  <w:style w:type="paragraph" w:customStyle="1" w:styleId="71">
    <w:name w:val="简单回函地址"/>
    <w:basedOn w:val="1"/>
    <w:qFormat/>
    <w:uiPriority w:val="0"/>
    <w:pPr>
      <w:widowControl/>
    </w:pPr>
    <w:rPr>
      <w:color w:val="000000"/>
      <w:sz w:val="28"/>
      <w:szCs w:val="28"/>
    </w:rPr>
  </w:style>
  <w:style w:type="paragraph" w:customStyle="1" w:styleId="72">
    <w:name w:val="xl25"/>
    <w:basedOn w:val="1"/>
    <w:qFormat/>
    <w:uiPriority w:val="0"/>
    <w:pPr>
      <w:widowControl/>
      <w:spacing w:before="100" w:beforeAutospacing="1" w:after="100" w:afterAutospacing="1"/>
      <w:jc w:val="center"/>
      <w:textAlignment w:val="top"/>
    </w:pPr>
    <w:rPr>
      <w:kern w:val="0"/>
      <w:szCs w:val="21"/>
    </w:rPr>
  </w:style>
  <w:style w:type="paragraph" w:customStyle="1" w:styleId="73">
    <w:name w:val="图表文字"/>
    <w:basedOn w:val="1"/>
    <w:qFormat/>
    <w:uiPriority w:val="0"/>
    <w:pPr>
      <w:spacing w:line="320" w:lineRule="exact"/>
    </w:pPr>
    <w:rPr>
      <w:spacing w:val="-6"/>
      <w:sz w:val="24"/>
    </w:rPr>
  </w:style>
  <w:style w:type="paragraph" w:customStyle="1" w:styleId="74">
    <w:name w:val="表格文字"/>
    <w:basedOn w:val="1"/>
    <w:next w:val="1"/>
    <w:qFormat/>
    <w:uiPriority w:val="0"/>
    <w:pPr>
      <w:adjustRightInd w:val="0"/>
      <w:spacing w:line="400" w:lineRule="atLeast"/>
      <w:jc w:val="center"/>
    </w:pPr>
    <w:rPr>
      <w:kern w:val="24"/>
      <w:sz w:val="24"/>
      <w:szCs w:val="20"/>
    </w:rPr>
  </w:style>
  <w:style w:type="paragraph" w:customStyle="1" w:styleId="7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24"/>
    </w:rPr>
  </w:style>
  <w:style w:type="paragraph" w:customStyle="1" w:styleId="76">
    <w:name w:val="Char3"/>
    <w:basedOn w:val="1"/>
    <w:qFormat/>
    <w:uiPriority w:val="0"/>
    <w:pPr>
      <w:snapToGrid w:val="0"/>
      <w:spacing w:line="360" w:lineRule="auto"/>
      <w:ind w:firstLine="529" w:firstLineChars="200"/>
    </w:pPr>
    <w:rPr>
      <w:rFonts w:ascii="宋体" w:hAnsi="宋体"/>
      <w:b/>
    </w:rPr>
  </w:style>
  <w:style w:type="paragraph" w:customStyle="1" w:styleId="77">
    <w:name w:val="默认段落字体 Para Char Char Char Char"/>
    <w:basedOn w:val="1"/>
    <w:qFormat/>
    <w:uiPriority w:val="0"/>
  </w:style>
  <w:style w:type="paragraph" w:customStyle="1" w:styleId="78">
    <w:name w:val="xl24"/>
    <w:basedOn w:val="1"/>
    <w:qFormat/>
    <w:uiPriority w:val="0"/>
    <w:pPr>
      <w:widowControl/>
      <w:spacing w:before="100" w:beforeAutospacing="1" w:after="100" w:afterAutospacing="1"/>
      <w:jc w:val="center"/>
    </w:pPr>
    <w:rPr>
      <w:rFonts w:eastAsia="Arial Unicode MS"/>
      <w:kern w:val="0"/>
      <w:sz w:val="24"/>
    </w:rPr>
  </w:style>
  <w:style w:type="paragraph" w:customStyle="1" w:styleId="79">
    <w:name w:val="样式1"/>
    <w:basedOn w:val="1"/>
    <w:qFormat/>
    <w:uiPriority w:val="0"/>
    <w:pPr>
      <w:spacing w:before="60" w:line="460" w:lineRule="exact"/>
      <w:ind w:firstLine="454"/>
    </w:pPr>
    <w:rPr>
      <w:sz w:val="24"/>
      <w:szCs w:val="20"/>
    </w:rPr>
  </w:style>
  <w:style w:type="paragraph" w:customStyle="1" w:styleId="80">
    <w:name w:val="标1"/>
    <w:basedOn w:val="1"/>
    <w:link w:val="81"/>
    <w:qFormat/>
    <w:uiPriority w:val="0"/>
    <w:pPr>
      <w:spacing w:before="60" w:line="460" w:lineRule="exact"/>
      <w:outlineLvl w:val="0"/>
    </w:pPr>
    <w:rPr>
      <w:b/>
      <w:sz w:val="32"/>
      <w:szCs w:val="20"/>
    </w:rPr>
  </w:style>
  <w:style w:type="character" w:customStyle="1" w:styleId="81">
    <w:name w:val="标1 Char"/>
    <w:basedOn w:val="47"/>
    <w:link w:val="80"/>
    <w:qFormat/>
    <w:uiPriority w:val="0"/>
    <w:rPr>
      <w:rFonts w:eastAsia="宋体"/>
      <w:b/>
      <w:kern w:val="2"/>
      <w:sz w:val="32"/>
      <w:lang w:val="en-US" w:eastAsia="zh-CN" w:bidi="ar-SA"/>
    </w:rPr>
  </w:style>
  <w:style w:type="paragraph" w:customStyle="1" w:styleId="82">
    <w:name w:val="Char Char Char Char"/>
    <w:basedOn w:val="1"/>
    <w:qFormat/>
    <w:uiPriority w:val="0"/>
    <w:pPr>
      <w:tabs>
        <w:tab w:val="left" w:pos="360"/>
      </w:tabs>
      <w:spacing w:line="300" w:lineRule="auto"/>
      <w:ind w:left="360" w:hanging="360" w:firstLineChars="200"/>
    </w:pPr>
    <w:rPr>
      <w:sz w:val="24"/>
    </w:rPr>
  </w:style>
  <w:style w:type="character" w:customStyle="1" w:styleId="83">
    <w:name w:val="报告表  段 Char"/>
    <w:basedOn w:val="47"/>
    <w:link w:val="84"/>
    <w:qFormat/>
    <w:uiPriority w:val="0"/>
    <w:rPr>
      <w:rFonts w:ascii="宋体" w:eastAsia="宋体"/>
      <w:sz w:val="24"/>
      <w:lang w:val="en-US" w:eastAsia="zh-CN" w:bidi="ar-SA"/>
    </w:rPr>
  </w:style>
  <w:style w:type="paragraph" w:customStyle="1" w:styleId="84">
    <w:name w:val="报告表  段"/>
    <w:basedOn w:val="1"/>
    <w:link w:val="83"/>
    <w:qFormat/>
    <w:uiPriority w:val="0"/>
    <w:pPr>
      <w:adjustRightInd w:val="0"/>
      <w:spacing w:line="360" w:lineRule="auto"/>
      <w:ind w:firstLine="505"/>
      <w:textAlignment w:val="baseline"/>
    </w:pPr>
    <w:rPr>
      <w:rFonts w:ascii="宋体"/>
      <w:kern w:val="0"/>
      <w:sz w:val="24"/>
      <w:szCs w:val="20"/>
    </w:rPr>
  </w:style>
  <w:style w:type="paragraph" w:customStyle="1" w:styleId="85">
    <w:name w:val="da"/>
    <w:basedOn w:val="1"/>
    <w:qFormat/>
    <w:uiPriority w:val="0"/>
    <w:pPr>
      <w:widowControl/>
      <w:spacing w:before="100" w:beforeAutospacing="1" w:after="100" w:afterAutospacing="1"/>
      <w:jc w:val="left"/>
    </w:pPr>
    <w:rPr>
      <w:rFonts w:ascii="ˎ̥" w:hAnsi="ˎ̥" w:cs="宋体"/>
      <w:color w:val="000000"/>
      <w:kern w:val="0"/>
      <w:sz w:val="24"/>
    </w:rPr>
  </w:style>
  <w:style w:type="character" w:customStyle="1" w:styleId="86">
    <w:name w:val="da1"/>
    <w:basedOn w:val="47"/>
    <w:qFormat/>
    <w:uiPriority w:val="0"/>
    <w:rPr>
      <w:rFonts w:hint="default" w:ascii="ˎ̥" w:hAnsi="ˎ̥"/>
      <w:sz w:val="24"/>
      <w:szCs w:val="24"/>
    </w:rPr>
  </w:style>
  <w:style w:type="character" w:customStyle="1" w:styleId="87">
    <w:name w:val="hei141"/>
    <w:basedOn w:val="47"/>
    <w:qFormat/>
    <w:uiPriority w:val="0"/>
    <w:rPr>
      <w:color w:val="000000"/>
      <w:sz w:val="21"/>
      <w:szCs w:val="21"/>
    </w:rPr>
  </w:style>
  <w:style w:type="paragraph" w:customStyle="1" w:styleId="88">
    <w:name w:val="表头标题"/>
    <w:basedOn w:val="1"/>
    <w:qFormat/>
    <w:uiPriority w:val="0"/>
    <w:pPr>
      <w:adjustRightInd w:val="0"/>
      <w:snapToGrid w:val="0"/>
      <w:jc w:val="center"/>
    </w:pPr>
    <w:rPr>
      <w:b/>
      <w:bCs/>
      <w:color w:val="FF0000"/>
      <w:sz w:val="28"/>
      <w:szCs w:val="28"/>
    </w:rPr>
  </w:style>
  <w:style w:type="character" w:customStyle="1" w:styleId="89">
    <w:name w:val="a121"/>
    <w:basedOn w:val="47"/>
    <w:qFormat/>
    <w:uiPriority w:val="0"/>
    <w:rPr>
      <w:rFonts w:hint="default" w:ascii="ˎ̥" w:hAnsi="ˎ̥"/>
      <w:color w:val="004891"/>
      <w:sz w:val="18"/>
      <w:szCs w:val="18"/>
      <w:u w:val="none"/>
    </w:rPr>
  </w:style>
  <w:style w:type="paragraph" w:customStyle="1" w:styleId="90">
    <w:name w:val="Char1"/>
    <w:basedOn w:val="1"/>
    <w:qFormat/>
    <w:uiPriority w:val="0"/>
    <w:pPr>
      <w:snapToGrid w:val="0"/>
      <w:spacing w:line="360" w:lineRule="auto"/>
      <w:ind w:firstLine="200" w:firstLineChars="200"/>
    </w:pPr>
    <w:rPr>
      <w:rFonts w:eastAsia="仿宋_GB2312"/>
      <w:sz w:val="24"/>
    </w:rPr>
  </w:style>
  <w:style w:type="paragraph" w:customStyle="1" w:styleId="91">
    <w:name w:val="kt2"/>
    <w:basedOn w:val="1"/>
    <w:qFormat/>
    <w:uiPriority w:val="0"/>
    <w:pPr>
      <w:adjustRightInd w:val="0"/>
      <w:snapToGrid w:val="0"/>
      <w:jc w:val="center"/>
    </w:pPr>
    <w:rPr>
      <w:rFonts w:ascii="宋体" w:hAnsi="宋体"/>
      <w:snapToGrid w:val="0"/>
    </w:rPr>
  </w:style>
  <w:style w:type="paragraph" w:customStyle="1" w:styleId="92">
    <w:name w:val="1"/>
    <w:basedOn w:val="1"/>
    <w:next w:val="22"/>
    <w:qFormat/>
    <w:uiPriority w:val="0"/>
    <w:rPr>
      <w:rFonts w:ascii="宋体" w:hAnsi="Courier New"/>
      <w:szCs w:val="20"/>
    </w:rPr>
  </w:style>
  <w:style w:type="paragraph" w:customStyle="1" w:styleId="93">
    <w:name w:val="样式2"/>
    <w:basedOn w:val="1"/>
    <w:qFormat/>
    <w:uiPriority w:val="0"/>
    <w:pPr>
      <w:spacing w:line="300" w:lineRule="auto"/>
      <w:jc w:val="center"/>
    </w:pPr>
    <w:rPr>
      <w:sz w:val="18"/>
      <w:szCs w:val="21"/>
    </w:rPr>
  </w:style>
  <w:style w:type="paragraph" w:customStyle="1" w:styleId="94">
    <w:name w:val="正文内容"/>
    <w:basedOn w:val="1"/>
    <w:link w:val="95"/>
    <w:qFormat/>
    <w:uiPriority w:val="0"/>
    <w:pPr>
      <w:overflowPunct w:val="0"/>
      <w:topLinePunct/>
      <w:spacing w:beforeLines="50" w:line="520" w:lineRule="exact"/>
      <w:ind w:firstLine="560" w:firstLineChars="200"/>
    </w:pPr>
    <w:rPr>
      <w:sz w:val="28"/>
      <w:szCs w:val="28"/>
    </w:rPr>
  </w:style>
  <w:style w:type="character" w:customStyle="1" w:styleId="95">
    <w:name w:val="正文内容 Char Char"/>
    <w:basedOn w:val="47"/>
    <w:link w:val="94"/>
    <w:qFormat/>
    <w:uiPriority w:val="0"/>
    <w:rPr>
      <w:rFonts w:eastAsia="宋体"/>
      <w:kern w:val="2"/>
      <w:sz w:val="28"/>
      <w:szCs w:val="28"/>
      <w:lang w:val="en-US" w:eastAsia="zh-CN" w:bidi="ar-SA"/>
    </w:rPr>
  </w:style>
  <w:style w:type="paragraph" w:customStyle="1" w:styleId="96">
    <w:name w:val="正文1"/>
    <w:basedOn w:val="1"/>
    <w:qFormat/>
    <w:uiPriority w:val="0"/>
    <w:pPr>
      <w:spacing w:line="500" w:lineRule="exact"/>
      <w:ind w:firstLine="560"/>
    </w:pPr>
    <w:rPr>
      <w:sz w:val="28"/>
    </w:rPr>
  </w:style>
  <w:style w:type="paragraph" w:customStyle="1" w:styleId="97">
    <w:name w:val="山焦报告正文"/>
    <w:basedOn w:val="1"/>
    <w:qFormat/>
    <w:uiPriority w:val="0"/>
    <w:pPr>
      <w:adjustRightInd w:val="0"/>
      <w:snapToGrid w:val="0"/>
      <w:spacing w:beforeLines="25" w:line="440" w:lineRule="exact"/>
      <w:ind w:firstLine="200" w:firstLineChars="200"/>
    </w:pPr>
    <w:rPr>
      <w:color w:val="000000"/>
      <w:sz w:val="24"/>
    </w:rPr>
  </w:style>
  <w:style w:type="paragraph" w:customStyle="1" w:styleId="98">
    <w:name w:val="表格文字/16"/>
    <w:basedOn w:val="1"/>
    <w:qFormat/>
    <w:uiPriority w:val="0"/>
    <w:pPr>
      <w:adjustRightInd w:val="0"/>
      <w:snapToGrid w:val="0"/>
      <w:spacing w:line="320" w:lineRule="exact"/>
      <w:jc w:val="center"/>
    </w:pPr>
    <w:rPr>
      <w:color w:val="000000"/>
      <w:kern w:val="32"/>
      <w:szCs w:val="20"/>
    </w:rPr>
  </w:style>
  <w:style w:type="paragraph" w:customStyle="1" w:styleId="99">
    <w:name w:val="表格文字9"/>
    <w:basedOn w:val="74"/>
    <w:qFormat/>
    <w:uiPriority w:val="0"/>
    <w:pPr>
      <w:snapToGrid w:val="0"/>
      <w:spacing w:line="400" w:lineRule="exact"/>
    </w:pPr>
    <w:rPr>
      <w:color w:val="000000"/>
      <w:kern w:val="32"/>
      <w:sz w:val="18"/>
    </w:rPr>
  </w:style>
  <w:style w:type="paragraph" w:customStyle="1" w:styleId="100">
    <w:name w:val="正文文字缩进"/>
    <w:basedOn w:val="1"/>
    <w:next w:val="1"/>
    <w:qFormat/>
    <w:uiPriority w:val="0"/>
    <w:pPr>
      <w:autoSpaceDE w:val="0"/>
      <w:autoSpaceDN w:val="0"/>
      <w:adjustRightInd w:val="0"/>
      <w:jc w:val="left"/>
    </w:pPr>
    <w:rPr>
      <w:rFonts w:ascii="宋体"/>
      <w:kern w:val="0"/>
      <w:sz w:val="24"/>
    </w:rPr>
  </w:style>
  <w:style w:type="paragraph" w:customStyle="1" w:styleId="101">
    <w:name w:val="3号宋体正文"/>
    <w:basedOn w:val="1"/>
    <w:qFormat/>
    <w:uiPriority w:val="0"/>
    <w:pPr>
      <w:spacing w:line="360" w:lineRule="auto"/>
      <w:ind w:firstLine="737"/>
      <w:jc w:val="left"/>
    </w:pPr>
    <w:rPr>
      <w:rFonts w:eastAsia="仿宋_GB2312"/>
      <w:snapToGrid w:val="0"/>
      <w:spacing w:val="20"/>
      <w:sz w:val="32"/>
    </w:rPr>
  </w:style>
  <w:style w:type="paragraph" w:customStyle="1" w:styleId="102">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03">
    <w:name w:val="样式 标题 2H2Chapter Heading2nd levelh22Titre2l2Heading 2ph...1"/>
    <w:basedOn w:val="4"/>
    <w:qFormat/>
    <w:uiPriority w:val="0"/>
    <w:pPr>
      <w:keepNext w:val="0"/>
      <w:keepLines w:val="0"/>
      <w:tabs>
        <w:tab w:val="left" w:pos="851"/>
      </w:tabs>
      <w:autoSpaceDE w:val="0"/>
      <w:autoSpaceDN w:val="0"/>
      <w:adjustRightInd w:val="0"/>
      <w:spacing w:before="360" w:after="120" w:line="240" w:lineRule="auto"/>
    </w:pPr>
    <w:rPr>
      <w:rFonts w:ascii="宋体" w:hAnsi="宋体" w:eastAsia="宋体" w:cs="宋体"/>
      <w:kern w:val="0"/>
      <w:szCs w:val="20"/>
    </w:rPr>
  </w:style>
  <w:style w:type="paragraph" w:customStyle="1" w:styleId="104">
    <w:name w:val="样式 标题 3H3标题 3 Char Char CharSectionh33rd levelSection SubH..."/>
    <w:basedOn w:val="5"/>
    <w:qFormat/>
    <w:uiPriority w:val="0"/>
    <w:pPr>
      <w:keepNext w:val="0"/>
      <w:keepLines w:val="0"/>
      <w:tabs>
        <w:tab w:val="left" w:pos="720"/>
      </w:tabs>
      <w:autoSpaceDE w:val="0"/>
      <w:autoSpaceDN w:val="0"/>
      <w:adjustRightInd w:val="0"/>
      <w:spacing w:before="240" w:after="0" w:line="240" w:lineRule="auto"/>
      <w:ind w:left="720" w:hanging="720"/>
    </w:pPr>
    <w:rPr>
      <w:rFonts w:ascii="宋体" w:cs="宋体"/>
      <w:color w:val="000000"/>
      <w:kern w:val="0"/>
      <w:sz w:val="30"/>
      <w:szCs w:val="20"/>
    </w:rPr>
  </w:style>
  <w:style w:type="paragraph" w:customStyle="1" w:styleId="105">
    <w:name w:val="标准表题"/>
    <w:basedOn w:val="12"/>
    <w:qFormat/>
    <w:uiPriority w:val="0"/>
    <w:pPr>
      <w:autoSpaceDE w:val="0"/>
      <w:autoSpaceDN w:val="0"/>
      <w:adjustRightInd w:val="0"/>
      <w:spacing w:before="240"/>
      <w:ind w:firstLine="0" w:firstLineChars="0"/>
      <w:jc w:val="center"/>
    </w:pPr>
    <w:rPr>
      <w:rFonts w:ascii="宋体" w:hAnsi="宋体" w:cs="宋体"/>
      <w:b/>
      <w:bCs/>
      <w:kern w:val="0"/>
      <w:sz w:val="24"/>
    </w:rPr>
  </w:style>
  <w:style w:type="paragraph" w:customStyle="1" w:styleId="106">
    <w:name w:val="标准表格正文"/>
    <w:basedOn w:val="1"/>
    <w:qFormat/>
    <w:uiPriority w:val="0"/>
    <w:pPr>
      <w:spacing w:line="360" w:lineRule="exact"/>
      <w:jc w:val="center"/>
    </w:pPr>
    <w:rPr>
      <w:rFonts w:ascii="宋体" w:hAnsi="宋体" w:cs="宋体"/>
      <w:kern w:val="0"/>
      <w:szCs w:val="20"/>
    </w:rPr>
  </w:style>
  <w:style w:type="paragraph" w:customStyle="1" w:styleId="107">
    <w:name w:val="Char Char1 Char Char Char Char Char Char"/>
    <w:basedOn w:val="1"/>
    <w:qFormat/>
    <w:uiPriority w:val="0"/>
    <w:pPr>
      <w:widowControl/>
      <w:spacing w:after="160" w:line="240" w:lineRule="exact"/>
      <w:jc w:val="left"/>
    </w:pPr>
    <w:rPr>
      <w:szCs w:val="20"/>
    </w:rPr>
  </w:style>
  <w:style w:type="paragraph" w:customStyle="1" w:styleId="108">
    <w:name w:val="kt1"/>
    <w:basedOn w:val="1"/>
    <w:qFormat/>
    <w:uiPriority w:val="0"/>
    <w:pPr>
      <w:adjustRightInd w:val="0"/>
      <w:snapToGrid w:val="0"/>
      <w:spacing w:line="480" w:lineRule="exact"/>
      <w:jc w:val="center"/>
    </w:pPr>
    <w:rPr>
      <w:color w:val="FF0000"/>
      <w:sz w:val="24"/>
    </w:rPr>
  </w:style>
  <w:style w:type="paragraph" w:customStyle="1" w:styleId="109">
    <w:name w:val="bgt"/>
    <w:basedOn w:val="1"/>
    <w:next w:val="1"/>
    <w:qFormat/>
    <w:uiPriority w:val="0"/>
    <w:pPr>
      <w:adjustRightInd w:val="0"/>
      <w:snapToGrid w:val="0"/>
      <w:ind w:left="480"/>
      <w:jc w:val="center"/>
    </w:pPr>
    <w:rPr>
      <w:rFonts w:ascii="宋体" w:hAnsi="宋体"/>
      <w:b/>
      <w:sz w:val="28"/>
      <w:szCs w:val="28"/>
    </w:rPr>
  </w:style>
  <w:style w:type="paragraph" w:customStyle="1" w:styleId="110">
    <w:name w:val="xl26"/>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宋体" w:eastAsia="仿宋_GB2312"/>
      <w:color w:val="000000"/>
      <w:kern w:val="0"/>
      <w:szCs w:val="21"/>
    </w:rPr>
  </w:style>
  <w:style w:type="paragraph" w:customStyle="1" w:styleId="111">
    <w:name w:val="封面标准文稿编辑信息"/>
    <w:qFormat/>
    <w:uiPriority w:val="0"/>
    <w:pPr>
      <w:spacing w:before="180" w:line="180" w:lineRule="atLeast"/>
      <w:jc w:val="center"/>
    </w:pPr>
    <w:rPr>
      <w:rFonts w:hint="eastAsia" w:ascii="宋体" w:hAnsi="Times New Roman" w:eastAsia="宋体" w:cs="Times New Roman"/>
      <w:sz w:val="21"/>
      <w:lang w:val="en-US" w:eastAsia="zh-CN" w:bidi="ar-SA"/>
    </w:rPr>
  </w:style>
  <w:style w:type="paragraph" w:customStyle="1" w:styleId="112">
    <w:name w:val="表头"/>
    <w:basedOn w:val="12"/>
    <w:qFormat/>
    <w:uiPriority w:val="0"/>
    <w:pPr>
      <w:spacing w:before="240" w:line="480" w:lineRule="exact"/>
      <w:ind w:firstLine="0" w:firstLineChars="0"/>
      <w:jc w:val="center"/>
    </w:pPr>
    <w:rPr>
      <w:rFonts w:ascii="宋体" w:eastAsia="黑体"/>
      <w:spacing w:val="6"/>
      <w:position w:val="10"/>
    </w:rPr>
  </w:style>
  <w:style w:type="paragraph" w:customStyle="1" w:styleId="113">
    <w:name w:val="编号文字"/>
    <w:basedOn w:val="1"/>
    <w:qFormat/>
    <w:uiPriority w:val="0"/>
    <w:pPr>
      <w:tabs>
        <w:tab w:val="left" w:pos="1550"/>
      </w:tabs>
      <w:snapToGrid w:val="0"/>
      <w:spacing w:line="440" w:lineRule="exact"/>
      <w:ind w:left="1550" w:hanging="990"/>
    </w:pPr>
    <w:rPr>
      <w:kern w:val="0"/>
      <w:sz w:val="24"/>
      <w:szCs w:val="20"/>
    </w:rPr>
  </w:style>
  <w:style w:type="paragraph" w:customStyle="1" w:styleId="114">
    <w:name w:val="Char11"/>
    <w:basedOn w:val="1"/>
    <w:qFormat/>
    <w:uiPriority w:val="0"/>
    <w:pPr>
      <w:spacing w:line="360" w:lineRule="auto"/>
      <w:ind w:firstLine="200" w:firstLineChars="200"/>
    </w:pPr>
    <w:rPr>
      <w:rFonts w:ascii="宋体" w:hAnsi="宋体" w:cs="宋体"/>
      <w:sz w:val="24"/>
    </w:rPr>
  </w:style>
  <w:style w:type="paragraph" w:customStyle="1" w:styleId="115">
    <w:name w:val="表体"/>
    <w:basedOn w:val="1"/>
    <w:qFormat/>
    <w:uiPriority w:val="0"/>
    <w:pPr>
      <w:spacing w:before="40" w:after="40"/>
      <w:jc w:val="center"/>
    </w:pPr>
    <w:rPr>
      <w:color w:val="000080"/>
    </w:rPr>
  </w:style>
  <w:style w:type="character" w:customStyle="1" w:styleId="116">
    <w:name w:val="keyword1"/>
    <w:basedOn w:val="47"/>
    <w:qFormat/>
    <w:uiPriority w:val="0"/>
  </w:style>
  <w:style w:type="paragraph" w:customStyle="1" w:styleId="117">
    <w:name w:val="Char Char Char1 Char Char Char Char Char Char Char Char Char Char"/>
    <w:basedOn w:val="1"/>
    <w:qFormat/>
    <w:uiPriority w:val="0"/>
    <w:rPr>
      <w:szCs w:val="21"/>
    </w:rPr>
  </w:style>
  <w:style w:type="paragraph" w:customStyle="1" w:styleId="118">
    <w:name w:val="样式2 Char"/>
    <w:basedOn w:val="1"/>
    <w:qFormat/>
    <w:uiPriority w:val="0"/>
    <w:pPr>
      <w:autoSpaceDE w:val="0"/>
      <w:autoSpaceDN w:val="0"/>
      <w:snapToGrid w:val="0"/>
      <w:spacing w:line="360" w:lineRule="auto"/>
    </w:pPr>
    <w:rPr>
      <w:rFonts w:eastAsia="楷体_GB2312"/>
      <w:spacing w:val="10"/>
      <w:sz w:val="24"/>
    </w:rPr>
  </w:style>
  <w:style w:type="paragraph" w:customStyle="1" w:styleId="119">
    <w:name w:val="敏感表"/>
    <w:basedOn w:val="1"/>
    <w:next w:val="1"/>
    <w:qFormat/>
    <w:uiPriority w:val="0"/>
    <w:pPr>
      <w:topLinePunct/>
      <w:adjustRightInd w:val="0"/>
      <w:spacing w:line="240" w:lineRule="atLeast"/>
      <w:jc w:val="center"/>
      <w:textAlignment w:val="bottom"/>
    </w:pPr>
    <w:rPr>
      <w:kern w:val="0"/>
      <w:szCs w:val="20"/>
    </w:rPr>
  </w:style>
  <w:style w:type="paragraph" w:customStyle="1" w:styleId="120">
    <w:name w:val="标题四"/>
    <w:basedOn w:val="1"/>
    <w:qFormat/>
    <w:uiPriority w:val="0"/>
    <w:pPr>
      <w:spacing w:beforeLines="30"/>
    </w:pPr>
    <w:rPr>
      <w:rFonts w:ascii="楷体_GB2312" w:eastAsia="楷体_GB2312"/>
      <w:b/>
      <w:sz w:val="24"/>
    </w:rPr>
  </w:style>
  <w:style w:type="paragraph" w:customStyle="1" w:styleId="121">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character" w:customStyle="1" w:styleId="122">
    <w:name w:val="表格文字 Char"/>
    <w:basedOn w:val="47"/>
    <w:qFormat/>
    <w:uiPriority w:val="0"/>
    <w:rPr>
      <w:rFonts w:eastAsia="宋体"/>
      <w:kern w:val="2"/>
      <w:sz w:val="21"/>
      <w:lang w:val="en-US" w:eastAsia="zh-CN" w:bidi="ar-SA"/>
    </w:rPr>
  </w:style>
  <w:style w:type="paragraph" w:customStyle="1" w:styleId="123">
    <w:name w:val="444"/>
    <w:basedOn w:val="12"/>
    <w:qFormat/>
    <w:uiPriority w:val="0"/>
    <w:pPr>
      <w:spacing w:line="460" w:lineRule="exact"/>
      <w:ind w:firstLine="480"/>
    </w:pPr>
    <w:rPr>
      <w:rFonts w:hAnsi="宋体"/>
      <w:sz w:val="24"/>
      <w:szCs w:val="24"/>
    </w:rPr>
  </w:style>
  <w:style w:type="character" w:customStyle="1" w:styleId="124">
    <w:name w:val="h31"/>
    <w:basedOn w:val="47"/>
    <w:qFormat/>
    <w:uiPriority w:val="0"/>
    <w:rPr>
      <w:sz w:val="24"/>
      <w:szCs w:val="24"/>
    </w:rPr>
  </w:style>
  <w:style w:type="character" w:customStyle="1" w:styleId="125">
    <w:name w:val="articlebody3"/>
    <w:basedOn w:val="47"/>
    <w:qFormat/>
    <w:uiPriority w:val="0"/>
    <w:rPr>
      <w:sz w:val="21"/>
      <w:szCs w:val="21"/>
    </w:rPr>
  </w:style>
  <w:style w:type="character" w:customStyle="1" w:styleId="126">
    <w:name w:val="表格内容 Char"/>
    <w:basedOn w:val="47"/>
    <w:qFormat/>
    <w:uiPriority w:val="0"/>
    <w:rPr>
      <w:rFonts w:ascii="宋体" w:hAnsi="Courier New"/>
      <w:kern w:val="2"/>
      <w:sz w:val="21"/>
    </w:rPr>
  </w:style>
  <w:style w:type="paragraph" w:customStyle="1" w:styleId="127">
    <w:name w:val="纯文本2"/>
    <w:basedOn w:val="1"/>
    <w:qFormat/>
    <w:uiPriority w:val="0"/>
    <w:pPr>
      <w:autoSpaceDE w:val="0"/>
      <w:autoSpaceDN w:val="0"/>
      <w:adjustRightInd w:val="0"/>
      <w:spacing w:line="341" w:lineRule="auto"/>
      <w:jc w:val="left"/>
      <w:textAlignment w:val="baseline"/>
    </w:pPr>
    <w:rPr>
      <w:rFonts w:ascii="宋体" w:hAnsi="Courier New"/>
      <w:kern w:val="0"/>
      <w:szCs w:val="20"/>
    </w:rPr>
  </w:style>
  <w:style w:type="character" w:customStyle="1" w:styleId="128">
    <w:name w:val="rrrrrrr"/>
    <w:basedOn w:val="47"/>
    <w:qFormat/>
    <w:uiPriority w:val="0"/>
  </w:style>
  <w:style w:type="paragraph" w:customStyle="1" w:styleId="129">
    <w:name w:val="正文标准样式"/>
    <w:basedOn w:val="1"/>
    <w:qFormat/>
    <w:uiPriority w:val="0"/>
    <w:pPr>
      <w:adjustRightInd w:val="0"/>
      <w:spacing w:line="300" w:lineRule="auto"/>
      <w:ind w:firstLine="482"/>
    </w:pPr>
    <w:rPr>
      <w:kern w:val="0"/>
      <w:sz w:val="24"/>
      <w:szCs w:val="20"/>
    </w:rPr>
  </w:style>
  <w:style w:type="character" w:customStyle="1" w:styleId="130">
    <w:name w:val="date2"/>
    <w:basedOn w:val="47"/>
    <w:qFormat/>
    <w:uiPriority w:val="0"/>
    <w:rPr>
      <w:sz w:val="22"/>
      <w:szCs w:val="22"/>
    </w:rPr>
  </w:style>
  <w:style w:type="paragraph" w:customStyle="1" w:styleId="131">
    <w:name w:val="标题4"/>
    <w:basedOn w:val="1"/>
    <w:next w:val="1"/>
    <w:link w:val="152"/>
    <w:qFormat/>
    <w:uiPriority w:val="0"/>
    <w:pPr>
      <w:autoSpaceDE w:val="0"/>
      <w:autoSpaceDN w:val="0"/>
      <w:adjustRightInd w:val="0"/>
      <w:spacing w:beforeLines="50" w:line="480" w:lineRule="exact"/>
      <w:ind w:firstLine="480" w:firstLineChars="200"/>
    </w:pPr>
    <w:rPr>
      <w:rFonts w:eastAsia="黑体"/>
      <w:kern w:val="0"/>
      <w:sz w:val="24"/>
      <w:lang w:val="zh-CN"/>
    </w:rPr>
  </w:style>
  <w:style w:type="paragraph" w:customStyle="1" w:styleId="132">
    <w:name w:val="正文2"/>
    <w:basedOn w:val="1"/>
    <w:qFormat/>
    <w:uiPriority w:val="0"/>
    <w:pPr>
      <w:adjustRightInd w:val="0"/>
      <w:snapToGrid w:val="0"/>
      <w:spacing w:line="440" w:lineRule="atLeast"/>
      <w:ind w:firstLine="567"/>
    </w:pPr>
    <w:rPr>
      <w:sz w:val="24"/>
      <w:szCs w:val="20"/>
    </w:rPr>
  </w:style>
  <w:style w:type="character" w:customStyle="1" w:styleId="133">
    <w:name w:val="headline-content2"/>
    <w:basedOn w:val="47"/>
    <w:qFormat/>
    <w:uiPriority w:val="0"/>
  </w:style>
  <w:style w:type="paragraph" w:customStyle="1" w:styleId="134">
    <w:name w:val="标准正文"/>
    <w:basedOn w:val="1"/>
    <w:link w:val="135"/>
    <w:qFormat/>
    <w:uiPriority w:val="0"/>
    <w:pPr>
      <w:adjustRightInd w:val="0"/>
      <w:snapToGrid w:val="0"/>
      <w:spacing w:line="300" w:lineRule="auto"/>
      <w:ind w:firstLine="200" w:firstLineChars="200"/>
      <w:jc w:val="left"/>
    </w:pPr>
    <w:rPr>
      <w:sz w:val="24"/>
      <w:szCs w:val="22"/>
    </w:rPr>
  </w:style>
  <w:style w:type="character" w:customStyle="1" w:styleId="135">
    <w:name w:val="标准正文 Char"/>
    <w:basedOn w:val="47"/>
    <w:link w:val="134"/>
    <w:qFormat/>
    <w:uiPriority w:val="0"/>
    <w:rPr>
      <w:kern w:val="2"/>
      <w:sz w:val="24"/>
      <w:szCs w:val="22"/>
    </w:rPr>
  </w:style>
  <w:style w:type="paragraph" w:customStyle="1" w:styleId="136">
    <w:name w:val="样式3"/>
    <w:basedOn w:val="3"/>
    <w:qFormat/>
    <w:uiPriority w:val="0"/>
    <w:pPr>
      <w:keepLines w:val="0"/>
      <w:adjustRightInd w:val="0"/>
      <w:snapToGrid w:val="0"/>
      <w:spacing w:before="0" w:after="0" w:line="240" w:lineRule="auto"/>
      <w:jc w:val="center"/>
    </w:pPr>
    <w:rPr>
      <w:rFonts w:ascii="宋体" w:hAnsi="宋体"/>
      <w:b w:val="0"/>
      <w:color w:val="000000"/>
      <w:kern w:val="2"/>
      <w:sz w:val="21"/>
      <w:szCs w:val="20"/>
    </w:rPr>
  </w:style>
  <w:style w:type="paragraph" w:customStyle="1" w:styleId="137">
    <w:name w:val="我的标题3"/>
    <w:basedOn w:val="5"/>
    <w:qFormat/>
    <w:uiPriority w:val="0"/>
    <w:pPr>
      <w:adjustRightInd w:val="0"/>
      <w:snapToGrid w:val="0"/>
      <w:spacing w:before="60" w:after="60" w:line="460" w:lineRule="exact"/>
    </w:pPr>
    <w:rPr>
      <w:rFonts w:eastAsia="黑体"/>
      <w:b w:val="0"/>
      <w:sz w:val="28"/>
      <w:szCs w:val="20"/>
    </w:rPr>
  </w:style>
  <w:style w:type="paragraph" w:customStyle="1" w:styleId="138">
    <w:name w:val="样式9"/>
    <w:basedOn w:val="1"/>
    <w:qFormat/>
    <w:uiPriority w:val="0"/>
    <w:pPr>
      <w:adjustRightInd w:val="0"/>
      <w:snapToGrid w:val="0"/>
      <w:spacing w:line="240" w:lineRule="exact"/>
      <w:jc w:val="center"/>
    </w:pPr>
    <w:rPr>
      <w:rFonts w:hAnsi="宋体" w:eastAsia="Times New Roman"/>
      <w:szCs w:val="21"/>
    </w:rPr>
  </w:style>
  <w:style w:type="paragraph" w:customStyle="1" w:styleId="139">
    <w:name w:val="普通文字"/>
    <w:basedOn w:val="1"/>
    <w:qFormat/>
    <w:uiPriority w:val="0"/>
    <w:pPr>
      <w:adjustRightInd w:val="0"/>
      <w:snapToGrid w:val="0"/>
      <w:spacing w:line="360" w:lineRule="exact"/>
      <w:textAlignment w:val="baseline"/>
    </w:pPr>
    <w:rPr>
      <w:rFonts w:eastAsia="仿宋_GB2312"/>
      <w:kern w:val="21"/>
      <w:szCs w:val="20"/>
    </w:rPr>
  </w:style>
  <w:style w:type="character" w:customStyle="1" w:styleId="140">
    <w:name w:val="apple-style-span"/>
    <w:basedOn w:val="47"/>
    <w:qFormat/>
    <w:uiPriority w:val="0"/>
  </w:style>
  <w:style w:type="character" w:customStyle="1" w:styleId="141">
    <w:name w:val="apple-converted-space"/>
    <w:basedOn w:val="47"/>
    <w:qFormat/>
    <w:uiPriority w:val="0"/>
  </w:style>
  <w:style w:type="paragraph" w:customStyle="1" w:styleId="14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43">
    <w:name w:val="正文00"/>
    <w:basedOn w:val="1"/>
    <w:link w:val="145"/>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144">
    <w:name w:val="表中字"/>
    <w:basedOn w:val="1"/>
    <w:link w:val="146"/>
    <w:qFormat/>
    <w:uiPriority w:val="0"/>
    <w:pPr>
      <w:spacing w:line="240" w:lineRule="atLeast"/>
      <w:jc w:val="center"/>
    </w:pPr>
    <w:rPr>
      <w:szCs w:val="22"/>
      <w:u w:color="000000"/>
      <w:lang w:val="zh-CN"/>
    </w:rPr>
  </w:style>
  <w:style w:type="character" w:customStyle="1" w:styleId="145">
    <w:name w:val="正文00 Char"/>
    <w:basedOn w:val="47"/>
    <w:link w:val="143"/>
    <w:qFormat/>
    <w:uiPriority w:val="0"/>
    <w:rPr>
      <w:rFonts w:eastAsia="宋体"/>
      <w:sz w:val="28"/>
      <w:szCs w:val="24"/>
      <w:u w:color="000000"/>
      <w:lang w:val="en-US" w:eastAsia="zh-CN" w:bidi="ar-SA"/>
    </w:rPr>
  </w:style>
  <w:style w:type="character" w:customStyle="1" w:styleId="146">
    <w:name w:val="表中字 Char"/>
    <w:basedOn w:val="47"/>
    <w:link w:val="144"/>
    <w:qFormat/>
    <w:uiPriority w:val="0"/>
    <w:rPr>
      <w:rFonts w:eastAsia="宋体"/>
      <w:kern w:val="2"/>
      <w:sz w:val="21"/>
      <w:szCs w:val="22"/>
      <w:u w:color="000000"/>
      <w:lang w:val="zh-CN" w:eastAsia="zh-CN" w:bidi="ar-SA"/>
    </w:rPr>
  </w:style>
  <w:style w:type="paragraph" w:customStyle="1" w:styleId="147">
    <w:name w:val="五号表格"/>
    <w:basedOn w:val="1"/>
    <w:link w:val="148"/>
    <w:qFormat/>
    <w:uiPriority w:val="0"/>
    <w:pPr>
      <w:jc w:val="center"/>
    </w:pPr>
    <w:rPr>
      <w:szCs w:val="21"/>
    </w:rPr>
  </w:style>
  <w:style w:type="character" w:customStyle="1" w:styleId="148">
    <w:name w:val="5号表格 Char"/>
    <w:basedOn w:val="47"/>
    <w:link w:val="147"/>
    <w:qFormat/>
    <w:uiPriority w:val="0"/>
    <w:rPr>
      <w:rFonts w:eastAsia="宋体"/>
      <w:kern w:val="2"/>
      <w:sz w:val="21"/>
      <w:szCs w:val="21"/>
      <w:lang w:val="en-US" w:eastAsia="zh-CN" w:bidi="ar-SA"/>
    </w:rPr>
  </w:style>
  <w:style w:type="paragraph" w:customStyle="1" w:styleId="149">
    <w:name w:val="Char Char2 Char Char"/>
    <w:basedOn w:val="1"/>
    <w:qFormat/>
    <w:uiPriority w:val="0"/>
    <w:pPr>
      <w:spacing w:line="560" w:lineRule="exact"/>
    </w:pPr>
    <w:rPr>
      <w:rFonts w:eastAsia="黑体"/>
      <w:sz w:val="30"/>
      <w:szCs w:val="30"/>
    </w:rPr>
  </w:style>
  <w:style w:type="paragraph" w:customStyle="1" w:styleId="150">
    <w:name w:val="四号表头"/>
    <w:basedOn w:val="134"/>
    <w:link w:val="151"/>
    <w:qFormat/>
    <w:uiPriority w:val="0"/>
    <w:pPr>
      <w:ind w:firstLine="0" w:firstLineChars="0"/>
      <w:jc w:val="center"/>
    </w:pPr>
  </w:style>
  <w:style w:type="character" w:customStyle="1" w:styleId="151">
    <w:name w:val="四号表头 Char"/>
    <w:basedOn w:val="135"/>
    <w:link w:val="150"/>
    <w:qFormat/>
    <w:uiPriority w:val="0"/>
    <w:rPr>
      <w:rFonts w:eastAsia="宋体"/>
      <w:kern w:val="2"/>
      <w:sz w:val="24"/>
      <w:szCs w:val="22"/>
      <w:lang w:val="en-US" w:eastAsia="zh-CN" w:bidi="ar-SA"/>
    </w:rPr>
  </w:style>
  <w:style w:type="character" w:customStyle="1" w:styleId="152">
    <w:name w:val="标题4 Char"/>
    <w:basedOn w:val="145"/>
    <w:link w:val="131"/>
    <w:qFormat/>
    <w:uiPriority w:val="0"/>
    <w:rPr>
      <w:rFonts w:eastAsia="黑体"/>
      <w:sz w:val="24"/>
      <w:szCs w:val="24"/>
      <w:u w:color="000000"/>
      <w:lang w:val="zh-CN" w:eastAsia="zh-CN" w:bidi="ar-SA"/>
    </w:rPr>
  </w:style>
  <w:style w:type="character" w:customStyle="1" w:styleId="153">
    <w:name w:val="君邦正文 Char"/>
    <w:link w:val="154"/>
    <w:qFormat/>
    <w:uiPriority w:val="0"/>
    <w:rPr>
      <w:snapToGrid w:val="0"/>
      <w:sz w:val="24"/>
      <w:lang w:val="en-US" w:eastAsia="zh-CN" w:bidi="ar-SA"/>
    </w:rPr>
  </w:style>
  <w:style w:type="paragraph" w:customStyle="1" w:styleId="154">
    <w:name w:val="君邦正文"/>
    <w:link w:val="153"/>
    <w:qFormat/>
    <w:uiPriority w:val="0"/>
    <w:pPr>
      <w:spacing w:after="60" w:line="360" w:lineRule="auto"/>
      <w:ind w:firstLine="480" w:firstLineChars="200"/>
      <w:jc w:val="both"/>
    </w:pPr>
    <w:rPr>
      <w:rFonts w:ascii="Times New Roman" w:hAnsi="Times New Roman" w:eastAsia="宋体" w:cs="Times New Roman"/>
      <w:snapToGrid w:val="0"/>
      <w:sz w:val="24"/>
      <w:lang w:val="en-US" w:eastAsia="zh-CN" w:bidi="ar-SA"/>
    </w:rPr>
  </w:style>
  <w:style w:type="paragraph" w:customStyle="1" w:styleId="155">
    <w:name w:val="表头样式"/>
    <w:basedOn w:val="1"/>
    <w:next w:val="142"/>
    <w:link w:val="156"/>
    <w:qFormat/>
    <w:uiPriority w:val="0"/>
    <w:pPr>
      <w:snapToGrid w:val="0"/>
      <w:jc w:val="center"/>
    </w:pPr>
    <w:rPr>
      <w:rFonts w:eastAsia="楷体_GB2312"/>
      <w:b/>
      <w:sz w:val="24"/>
    </w:rPr>
  </w:style>
  <w:style w:type="character" w:customStyle="1" w:styleId="156">
    <w:name w:val="表头样式 Char"/>
    <w:link w:val="155"/>
    <w:qFormat/>
    <w:uiPriority w:val="0"/>
    <w:rPr>
      <w:rFonts w:eastAsia="楷体_GB2312"/>
      <w:b/>
      <w:kern w:val="2"/>
      <w:sz w:val="24"/>
      <w:szCs w:val="24"/>
      <w:lang w:val="en-US" w:eastAsia="zh-CN" w:bidi="ar-SA"/>
    </w:rPr>
  </w:style>
  <w:style w:type="paragraph" w:customStyle="1" w:styleId="157">
    <w:name w:val="zhang正文"/>
    <w:basedOn w:val="18"/>
    <w:qFormat/>
    <w:uiPriority w:val="0"/>
    <w:pPr>
      <w:tabs>
        <w:tab w:val="clear" w:pos="7500"/>
      </w:tabs>
      <w:autoSpaceDE w:val="0"/>
      <w:autoSpaceDN w:val="0"/>
      <w:adjustRightInd w:val="0"/>
      <w:snapToGrid w:val="0"/>
      <w:spacing w:line="500" w:lineRule="exact"/>
      <w:ind w:firstLine="539" w:firstLineChars="0"/>
      <w:textAlignment w:val="baseline"/>
    </w:pPr>
    <w:rPr>
      <w:rFonts w:ascii="Times New Roman"/>
      <w:kern w:val="0"/>
      <w:szCs w:val="20"/>
    </w:rPr>
  </w:style>
  <w:style w:type="paragraph" w:customStyle="1" w:styleId="158">
    <w:name w:val="二级无标题条"/>
    <w:basedOn w:val="1"/>
    <w:qFormat/>
    <w:uiPriority w:val="0"/>
  </w:style>
  <w:style w:type="paragraph" w:customStyle="1" w:styleId="159">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60">
    <w:name w:val="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styleId="161">
    <w:name w:val="List Paragraph"/>
    <w:basedOn w:val="1"/>
    <w:qFormat/>
    <w:uiPriority w:val="34"/>
    <w:pPr>
      <w:ind w:firstLine="420" w:firstLineChars="200"/>
    </w:pPr>
  </w:style>
  <w:style w:type="character" w:styleId="162">
    <w:name w:val="Placeholder Text"/>
    <w:basedOn w:val="47"/>
    <w:semiHidden/>
    <w:qFormat/>
    <w:uiPriority w:val="99"/>
    <w:rPr>
      <w:color w:val="808080"/>
    </w:rPr>
  </w:style>
  <w:style w:type="paragraph" w:customStyle="1" w:styleId="163">
    <w:name w:val="报告书正文"/>
    <w:basedOn w:val="1"/>
    <w:link w:val="164"/>
    <w:semiHidden/>
    <w:qFormat/>
    <w:uiPriority w:val="0"/>
    <w:pPr>
      <w:spacing w:line="360" w:lineRule="auto"/>
      <w:ind w:firstLine="480" w:firstLineChars="200"/>
    </w:pPr>
    <w:rPr>
      <w:sz w:val="24"/>
    </w:rPr>
  </w:style>
  <w:style w:type="character" w:customStyle="1" w:styleId="164">
    <w:name w:val="报告书正文 Char"/>
    <w:basedOn w:val="47"/>
    <w:link w:val="163"/>
    <w:semiHidden/>
    <w:qFormat/>
    <w:uiPriority w:val="0"/>
    <w:rPr>
      <w:kern w:val="2"/>
      <w:sz w:val="24"/>
      <w:szCs w:val="24"/>
    </w:rPr>
  </w:style>
  <w:style w:type="paragraph" w:customStyle="1" w:styleId="165">
    <w:name w:val="Char Char Char Char1"/>
    <w:basedOn w:val="1"/>
    <w:qFormat/>
    <w:uiPriority w:val="0"/>
    <w:pPr>
      <w:snapToGrid w:val="0"/>
      <w:spacing w:line="360" w:lineRule="auto"/>
      <w:ind w:firstLine="529" w:firstLineChars="200"/>
    </w:pPr>
    <w:rPr>
      <w:rFonts w:ascii="宋体" w:hAnsi="宋体"/>
      <w:b/>
    </w:rPr>
  </w:style>
  <w:style w:type="paragraph" w:customStyle="1" w:styleId="166">
    <w:name w:val="注居中"/>
    <w:basedOn w:val="1"/>
    <w:qFormat/>
    <w:uiPriority w:val="0"/>
    <w:pPr>
      <w:spacing w:before="120" w:after="120" w:line="240" w:lineRule="exact"/>
      <w:jc w:val="center"/>
    </w:pPr>
    <w:rPr>
      <w:rFonts w:ascii="黑体" w:eastAsia="黑体"/>
      <w:color w:val="000000"/>
      <w:kern w:val="0"/>
      <w:szCs w:val="20"/>
    </w:rPr>
  </w:style>
  <w:style w:type="paragraph" w:customStyle="1" w:styleId="167">
    <w:name w:val="Char2"/>
    <w:basedOn w:val="1"/>
    <w:qFormat/>
    <w:uiPriority w:val="0"/>
    <w:rPr>
      <w:rFonts w:ascii="Tahoma" w:hAnsi="Tahoma"/>
      <w:sz w:val="24"/>
      <w:szCs w:val="20"/>
    </w:rPr>
  </w:style>
  <w:style w:type="paragraph" w:customStyle="1" w:styleId="168">
    <w:name w:val="a"/>
    <w:basedOn w:val="1"/>
    <w:link w:val="169"/>
    <w:qFormat/>
    <w:uiPriority w:val="0"/>
    <w:pPr>
      <w:spacing w:line="540" w:lineRule="exact"/>
      <w:ind w:firstLine="200" w:firstLineChars="200"/>
    </w:pPr>
    <w:rPr>
      <w:rFonts w:ascii="宋体" w:hAnsi="宋体" w:cs="Courier New"/>
      <w:b/>
      <w:bCs/>
      <w:sz w:val="28"/>
      <w:szCs w:val="21"/>
    </w:rPr>
  </w:style>
  <w:style w:type="character" w:customStyle="1" w:styleId="169">
    <w:name w:val="a Char"/>
    <w:basedOn w:val="47"/>
    <w:link w:val="168"/>
    <w:qFormat/>
    <w:uiPriority w:val="0"/>
    <w:rPr>
      <w:rFonts w:ascii="宋体" w:hAnsi="宋体" w:cs="Courier New"/>
      <w:b/>
      <w:bCs/>
      <w:kern w:val="2"/>
      <w:sz w:val="28"/>
      <w:szCs w:val="21"/>
    </w:rPr>
  </w:style>
  <w:style w:type="paragraph" w:customStyle="1" w:styleId="170">
    <w:name w:val="AAAA"/>
    <w:basedOn w:val="2"/>
    <w:qFormat/>
    <w:uiPriority w:val="0"/>
    <w:pPr>
      <w:widowControl w:val="0"/>
      <w:spacing w:beforeLines="0" w:line="500" w:lineRule="exact"/>
      <w:ind w:firstLine="200" w:firstLineChars="200"/>
    </w:pPr>
    <w:rPr>
      <w:rFonts w:ascii="宋体" w:hAnsi="宋体" w:eastAsia="宋体"/>
      <w:bCs w:val="0"/>
      <w:color w:val="auto"/>
    </w:rPr>
  </w:style>
  <w:style w:type="paragraph" w:customStyle="1" w:styleId="171">
    <w:name w:val="样式 a + 非加粗 首行缩进:  2 字符"/>
    <w:basedOn w:val="168"/>
    <w:qFormat/>
    <w:uiPriority w:val="0"/>
    <w:pPr>
      <w:ind w:firstLine="560"/>
    </w:pPr>
    <w:rPr>
      <w:rFonts w:cs="宋体"/>
      <w:b w:val="0"/>
      <w:bCs w:val="0"/>
      <w:szCs w:val="20"/>
    </w:rPr>
  </w:style>
  <w:style w:type="paragraph" w:customStyle="1" w:styleId="172">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173">
    <w:name w:val="a Char Char Char Char"/>
    <w:basedOn w:val="47"/>
    <w:link w:val="174"/>
    <w:qFormat/>
    <w:uiPriority w:val="0"/>
    <w:rPr>
      <w:rFonts w:ascii="宋体" w:hAnsi="宋体"/>
      <w:bCs/>
      <w:kern w:val="2"/>
      <w:sz w:val="28"/>
      <w:szCs w:val="28"/>
      <w:lang w:val="en-US" w:eastAsia="zh-CN" w:bidi="ar-SA"/>
    </w:rPr>
  </w:style>
  <w:style w:type="paragraph" w:customStyle="1" w:styleId="174">
    <w:name w:val="a Char Char Char"/>
    <w:link w:val="173"/>
    <w:qFormat/>
    <w:uiPriority w:val="0"/>
    <w:pPr>
      <w:spacing w:line="540" w:lineRule="exact"/>
      <w:ind w:firstLine="561"/>
    </w:pPr>
    <w:rPr>
      <w:rFonts w:ascii="宋体" w:hAnsi="宋体" w:eastAsia="宋体" w:cs="Times New Roman"/>
      <w:bCs/>
      <w:kern w:val="2"/>
      <w:sz w:val="28"/>
      <w:szCs w:val="28"/>
      <w:lang w:val="en-US" w:eastAsia="zh-CN" w:bidi="ar-SA"/>
    </w:rPr>
  </w:style>
  <w:style w:type="paragraph" w:customStyle="1" w:styleId="175">
    <w:name w:val="标准样式"/>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17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7">
    <w:name w:val="a正文排版格式 Char Char"/>
    <w:basedOn w:val="47"/>
    <w:link w:val="178"/>
    <w:qFormat/>
    <w:uiPriority w:val="0"/>
    <w:rPr>
      <w:rFonts w:ascii="仿宋_GB2312" w:eastAsia="仿宋_GB2312"/>
      <w:sz w:val="28"/>
      <w:szCs w:val="28"/>
    </w:rPr>
  </w:style>
  <w:style w:type="paragraph" w:customStyle="1" w:styleId="178">
    <w:name w:val="a正文排版格式"/>
    <w:basedOn w:val="1"/>
    <w:link w:val="177"/>
    <w:qFormat/>
    <w:uiPriority w:val="0"/>
    <w:pPr>
      <w:tabs>
        <w:tab w:val="left" w:pos="2520"/>
      </w:tabs>
      <w:ind w:firstLine="560" w:firstLineChars="200"/>
    </w:pPr>
    <w:rPr>
      <w:rFonts w:ascii="仿宋_GB2312" w:eastAsia="仿宋_GB2312"/>
      <w:kern w:val="0"/>
      <w:sz w:val="28"/>
      <w:szCs w:val="28"/>
    </w:rPr>
  </w:style>
  <w:style w:type="paragraph" w:customStyle="1" w:styleId="179">
    <w:name w:val="6表内文字 居中"/>
    <w:basedOn w:val="1"/>
    <w:qFormat/>
    <w:uiPriority w:val="0"/>
    <w:pPr>
      <w:adjustRightInd w:val="0"/>
      <w:spacing w:line="240" w:lineRule="atLeast"/>
      <w:jc w:val="center"/>
      <w:textAlignment w:val="baseline"/>
    </w:pPr>
    <w:rPr>
      <w:snapToGrid w:val="0"/>
      <w:kern w:val="0"/>
    </w:rPr>
  </w:style>
  <w:style w:type="paragraph" w:customStyle="1" w:styleId="180">
    <w:name w:val="0报告表正文"/>
    <w:basedOn w:val="18"/>
    <w:qFormat/>
    <w:uiPriority w:val="0"/>
    <w:pPr>
      <w:tabs>
        <w:tab w:val="clear" w:pos="7500"/>
      </w:tabs>
      <w:spacing w:line="300" w:lineRule="auto"/>
      <w:ind w:firstLine="200"/>
    </w:pPr>
    <w:rPr>
      <w:rFonts w:ascii="Times New Roman" w:eastAsia="宋体" w:cs="宋体"/>
      <w:kern w:val="0"/>
      <w:sz w:val="24"/>
      <w:szCs w:val="20"/>
    </w:rPr>
  </w:style>
  <w:style w:type="paragraph" w:customStyle="1" w:styleId="181">
    <w:name w:val="段落"/>
    <w:basedOn w:val="1"/>
    <w:link w:val="182"/>
    <w:qFormat/>
    <w:uiPriority w:val="0"/>
    <w:pPr>
      <w:adjustRightInd w:val="0"/>
      <w:snapToGrid w:val="0"/>
      <w:spacing w:line="360" w:lineRule="auto"/>
      <w:ind w:firstLine="200" w:firstLineChars="200"/>
      <w:jc w:val="left"/>
    </w:pPr>
    <w:rPr>
      <w:bCs/>
      <w:sz w:val="24"/>
      <w:szCs w:val="21"/>
    </w:rPr>
  </w:style>
  <w:style w:type="character" w:customStyle="1" w:styleId="182">
    <w:name w:val="段落 Char"/>
    <w:link w:val="181"/>
    <w:qFormat/>
    <w:uiPriority w:val="0"/>
    <w:rPr>
      <w:bCs/>
      <w:kern w:val="2"/>
      <w:sz w:val="24"/>
      <w:szCs w:val="21"/>
    </w:rPr>
  </w:style>
  <w:style w:type="paragraph" w:customStyle="1" w:styleId="183">
    <w:name w:val="报告正文"/>
    <w:basedOn w:val="1"/>
    <w:link w:val="184"/>
    <w:qFormat/>
    <w:uiPriority w:val="0"/>
    <w:pPr>
      <w:spacing w:line="360" w:lineRule="auto"/>
      <w:ind w:firstLine="480" w:firstLineChars="200"/>
    </w:pPr>
    <w:rPr>
      <w:rFonts w:cs="宋体"/>
      <w:sz w:val="24"/>
      <w:szCs w:val="20"/>
    </w:rPr>
  </w:style>
  <w:style w:type="character" w:customStyle="1" w:styleId="184">
    <w:name w:val="报告正文 Char"/>
    <w:basedOn w:val="47"/>
    <w:link w:val="183"/>
    <w:qFormat/>
    <w:uiPriority w:val="0"/>
    <w:rPr>
      <w:rFonts w:cs="宋体"/>
      <w:kern w:val="2"/>
      <w:sz w:val="24"/>
    </w:rPr>
  </w:style>
  <w:style w:type="paragraph" w:customStyle="1" w:styleId="185">
    <w:name w:val="Char Char Char Char Char Char Char"/>
    <w:basedOn w:val="1"/>
    <w:qFormat/>
    <w:uiPriority w:val="0"/>
    <w:rPr>
      <w:szCs w:val="21"/>
    </w:rPr>
  </w:style>
  <w:style w:type="paragraph" w:customStyle="1" w:styleId="186">
    <w:name w:val="新段落"/>
    <w:basedOn w:val="176"/>
    <w:qFormat/>
    <w:uiPriority w:val="0"/>
    <w:pPr>
      <w:snapToGrid w:val="0"/>
      <w:spacing w:line="440" w:lineRule="exact"/>
      <w:ind w:firstLine="200" w:firstLineChars="200"/>
      <w:jc w:val="both"/>
    </w:pPr>
    <w:rPr>
      <w:rFonts w:ascii="Times New Roman" w:cs="Times New Roman" w:eastAsiaTheme="minorEastAsia"/>
    </w:rPr>
  </w:style>
  <w:style w:type="paragraph" w:customStyle="1" w:styleId="187">
    <w:name w:val="陆正文"/>
    <w:basedOn w:val="1"/>
    <w:qFormat/>
    <w:uiPriority w:val="0"/>
    <w:pPr>
      <w:tabs>
        <w:tab w:val="left" w:pos="1575"/>
      </w:tabs>
      <w:adjustRightInd w:val="0"/>
      <w:snapToGrid w:val="0"/>
      <w:spacing w:line="440" w:lineRule="exact"/>
      <w:ind w:firstLine="200" w:firstLineChars="200"/>
    </w:pPr>
    <w:rPr>
      <w:rFonts w:cs="Arial"/>
      <w:color w:val="000000" w:themeColor="text1"/>
      <w:sz w:val="24"/>
      <w14:textFill>
        <w14:solidFill>
          <w14:schemeClr w14:val="tx1"/>
        </w14:solidFill>
      </w14:textFill>
    </w:rPr>
  </w:style>
  <w:style w:type="paragraph" w:customStyle="1" w:styleId="188">
    <w:name w:val="陆文"/>
    <w:basedOn w:val="1"/>
    <w:qFormat/>
    <w:uiPriority w:val="0"/>
    <w:pPr>
      <w:tabs>
        <w:tab w:val="left" w:pos="1575"/>
      </w:tabs>
      <w:adjustRightInd w:val="0"/>
      <w:snapToGrid w:val="0"/>
      <w:spacing w:line="440" w:lineRule="exact"/>
      <w:ind w:firstLine="480" w:firstLineChars="200"/>
    </w:pPr>
    <w:rPr>
      <w:rFonts w:cs="Arial"/>
      <w:sz w:val="24"/>
    </w:rPr>
  </w:style>
  <w:style w:type="character" w:customStyle="1" w:styleId="189">
    <w:name w:val="标题 1 Char"/>
    <w:link w:val="3"/>
    <w:qFormat/>
    <w:uiPriority w:val="0"/>
    <w:rPr>
      <w:b/>
      <w:bCs/>
      <w:kern w:val="44"/>
      <w:sz w:val="44"/>
      <w:szCs w:val="44"/>
    </w:rPr>
  </w:style>
  <w:style w:type="character" w:customStyle="1" w:styleId="190">
    <w:name w:val="标题 Char"/>
    <w:basedOn w:val="47"/>
    <w:link w:val="40"/>
    <w:qFormat/>
    <w:uiPriority w:val="0"/>
    <w:rPr>
      <w:rFonts w:asciiTheme="majorHAnsi" w:hAnsiTheme="majorHAnsi" w:cstheme="majorBidi"/>
      <w:b/>
      <w:bCs/>
      <w:kern w:val="2"/>
      <w:sz w:val="32"/>
      <w:szCs w:val="32"/>
    </w:rPr>
  </w:style>
  <w:style w:type="paragraph" w:customStyle="1" w:styleId="191">
    <w:name w:val="交科院报告表段落"/>
    <w:basedOn w:val="183"/>
    <w:link w:val="194"/>
    <w:qFormat/>
    <w:uiPriority w:val="0"/>
    <w:pPr>
      <w:spacing w:line="440" w:lineRule="exact"/>
      <w:ind w:firstLine="200"/>
      <w:contextualSpacing/>
    </w:pPr>
    <w:rPr>
      <w:color w:val="000000" w:themeColor="text1"/>
      <w:spacing w:val="4"/>
      <w14:textFill>
        <w14:solidFill>
          <w14:schemeClr w14:val="tx1"/>
        </w14:solidFill>
      </w14:textFill>
    </w:rPr>
  </w:style>
  <w:style w:type="paragraph" w:customStyle="1" w:styleId="192">
    <w:name w:val="陆正文样式1"/>
    <w:basedOn w:val="186"/>
    <w:qFormat/>
    <w:uiPriority w:val="0"/>
  </w:style>
  <w:style w:type="paragraph" w:customStyle="1" w:styleId="193">
    <w:name w:val="交科院报告表正文"/>
    <w:basedOn w:val="1"/>
    <w:link w:val="196"/>
    <w:qFormat/>
    <w:uiPriority w:val="0"/>
    <w:pPr>
      <w:spacing w:line="440" w:lineRule="exact"/>
      <w:ind w:firstLine="480" w:firstLineChars="200"/>
    </w:pPr>
    <w:rPr>
      <w:sz w:val="24"/>
    </w:rPr>
  </w:style>
  <w:style w:type="character" w:customStyle="1" w:styleId="194">
    <w:name w:val="交科院报告表段落 Char"/>
    <w:basedOn w:val="184"/>
    <w:link w:val="191"/>
    <w:qFormat/>
    <w:uiPriority w:val="0"/>
    <w:rPr>
      <w:rFonts w:cs="宋体"/>
      <w:color w:val="000000" w:themeColor="text1"/>
      <w:spacing w:val="4"/>
      <w:kern w:val="2"/>
      <w:sz w:val="24"/>
      <w14:textFill>
        <w14:solidFill>
          <w14:schemeClr w14:val="tx1"/>
        </w14:solidFill>
      </w14:textFill>
    </w:rPr>
  </w:style>
  <w:style w:type="paragraph" w:customStyle="1" w:styleId="195">
    <w:name w:val="交科院"/>
    <w:basedOn w:val="188"/>
    <w:qFormat/>
    <w:uiPriority w:val="0"/>
  </w:style>
  <w:style w:type="character" w:customStyle="1" w:styleId="196">
    <w:name w:val="交科院报告表正文 Char"/>
    <w:basedOn w:val="47"/>
    <w:link w:val="193"/>
    <w:qFormat/>
    <w:uiPriority w:val="0"/>
    <w:rPr>
      <w:kern w:val="2"/>
      <w:sz w:val="24"/>
      <w:szCs w:val="24"/>
    </w:rPr>
  </w:style>
  <w:style w:type="paragraph" w:customStyle="1" w:styleId="197">
    <w:name w:val="交科院表头"/>
    <w:basedOn w:val="1"/>
    <w:link w:val="199"/>
    <w:qFormat/>
    <w:uiPriority w:val="0"/>
    <w:pPr>
      <w:adjustRightInd w:val="0"/>
      <w:snapToGrid w:val="0"/>
      <w:spacing w:line="440" w:lineRule="exact"/>
      <w:jc w:val="center"/>
    </w:pPr>
    <w:rPr>
      <w:rFonts w:eastAsiaTheme="minorEastAsia"/>
      <w:b/>
      <w:szCs w:val="21"/>
    </w:rPr>
  </w:style>
  <w:style w:type="paragraph" w:customStyle="1" w:styleId="198">
    <w:name w:val="交科院表格"/>
    <w:basedOn w:val="1"/>
    <w:link w:val="200"/>
    <w:qFormat/>
    <w:uiPriority w:val="0"/>
    <w:pPr>
      <w:wordWrap w:val="0"/>
      <w:adjustRightInd w:val="0"/>
      <w:snapToGrid w:val="0"/>
      <w:spacing w:line="440" w:lineRule="exact"/>
      <w:jc w:val="center"/>
    </w:pPr>
    <w:rPr>
      <w:color w:val="000000"/>
      <w:szCs w:val="21"/>
    </w:rPr>
  </w:style>
  <w:style w:type="character" w:customStyle="1" w:styleId="199">
    <w:name w:val="交科院表头 Char"/>
    <w:basedOn w:val="47"/>
    <w:link w:val="197"/>
    <w:qFormat/>
    <w:uiPriority w:val="0"/>
    <w:rPr>
      <w:rFonts w:eastAsiaTheme="minorEastAsia"/>
      <w:b/>
      <w:kern w:val="2"/>
      <w:sz w:val="21"/>
      <w:szCs w:val="21"/>
    </w:rPr>
  </w:style>
  <w:style w:type="character" w:customStyle="1" w:styleId="200">
    <w:name w:val="交科院表格 Char"/>
    <w:basedOn w:val="47"/>
    <w:link w:val="198"/>
    <w:qFormat/>
    <w:uiPriority w:val="0"/>
    <w:rPr>
      <w:color w:val="000000"/>
      <w:kern w:val="2"/>
      <w:sz w:val="21"/>
      <w:szCs w:val="21"/>
    </w:rPr>
  </w:style>
  <w:style w:type="paragraph" w:customStyle="1" w:styleId="201">
    <w:name w:val="环评表-表内正文"/>
    <w:basedOn w:val="17"/>
    <w:qFormat/>
    <w:uiPriority w:val="0"/>
    <w:pPr>
      <w:adjustRightInd w:val="0"/>
      <w:snapToGrid w:val="0"/>
      <w:spacing w:after="0" w:line="300" w:lineRule="auto"/>
      <w:ind w:firstLine="480" w:firstLineChars="200"/>
    </w:pPr>
    <w:rPr>
      <w:sz w:val="24"/>
    </w:rPr>
  </w:style>
  <w:style w:type="paragraph" w:customStyle="1" w:styleId="202">
    <w:name w:val="陆样式正文"/>
    <w:basedOn w:val="1"/>
    <w:link w:val="203"/>
    <w:qFormat/>
    <w:uiPriority w:val="0"/>
    <w:pPr>
      <w:adjustRightInd w:val="0"/>
      <w:snapToGrid w:val="0"/>
      <w:spacing w:line="360" w:lineRule="auto"/>
      <w:ind w:firstLine="200" w:firstLineChars="200"/>
    </w:pPr>
    <w:rPr>
      <w:rFonts w:cs="宋体"/>
      <w:kern w:val="0"/>
      <w:sz w:val="24"/>
    </w:rPr>
  </w:style>
  <w:style w:type="character" w:customStyle="1" w:styleId="203">
    <w:name w:val="陆样式正文 Char"/>
    <w:basedOn w:val="47"/>
    <w:link w:val="202"/>
    <w:qFormat/>
    <w:uiPriority w:val="0"/>
    <w:rPr>
      <w:rFonts w:cs="宋体"/>
      <w:sz w:val="24"/>
      <w:szCs w:val="24"/>
    </w:rPr>
  </w:style>
  <w:style w:type="paragraph" w:customStyle="1" w:styleId="204">
    <w:name w:val="_Style 4"/>
    <w:basedOn w:val="1"/>
    <w:qFormat/>
    <w:uiPriority w:val="0"/>
    <w:pPr>
      <w:snapToGrid w:val="0"/>
      <w:spacing w:line="360" w:lineRule="auto"/>
      <w:ind w:firstLine="529" w:firstLineChars="200"/>
    </w:pPr>
  </w:style>
  <w:style w:type="character" w:customStyle="1" w:styleId="205">
    <w:name w:val="font31"/>
    <w:basedOn w:val="47"/>
    <w:qFormat/>
    <w:uiPriority w:val="0"/>
    <w:rPr>
      <w:rFonts w:hint="eastAsia" w:ascii="宋体" w:hAnsi="宋体" w:eastAsia="宋体"/>
      <w:color w:val="000000"/>
      <w:sz w:val="16"/>
      <w:szCs w:val="16"/>
      <w:u w:val="none"/>
    </w:rPr>
  </w:style>
  <w:style w:type="character" w:customStyle="1" w:styleId="206">
    <w:name w:val="font71"/>
    <w:basedOn w:val="47"/>
    <w:qFormat/>
    <w:uiPriority w:val="0"/>
    <w:rPr>
      <w:rFonts w:hint="eastAsia" w:ascii="宋体" w:hAnsi="宋体" w:eastAsia="宋体"/>
      <w:color w:val="000000"/>
      <w:sz w:val="18"/>
      <w:szCs w:val="18"/>
      <w:u w:val="none"/>
    </w:rPr>
  </w:style>
  <w:style w:type="character" w:customStyle="1" w:styleId="207">
    <w:name w:val="font21"/>
    <w:basedOn w:val="47"/>
    <w:qFormat/>
    <w:uiPriority w:val="0"/>
    <w:rPr>
      <w:rFonts w:hint="eastAsia" w:ascii="宋体" w:hAnsi="宋体" w:eastAsia="宋体"/>
      <w:color w:val="000000"/>
      <w:sz w:val="20"/>
      <w:szCs w:val="20"/>
      <w:u w:val="none"/>
      <w:vertAlign w:val="superscript"/>
    </w:rPr>
  </w:style>
  <w:style w:type="character" w:customStyle="1" w:styleId="208">
    <w:name w:val="font41"/>
    <w:basedOn w:val="47"/>
    <w:qFormat/>
    <w:uiPriority w:val="0"/>
    <w:rPr>
      <w:rFonts w:hint="eastAsia" w:ascii="宋体" w:hAnsi="宋体" w:eastAsia="宋体"/>
      <w:color w:val="000000"/>
      <w:sz w:val="20"/>
      <w:szCs w:val="20"/>
      <w:u w:val="none"/>
    </w:rPr>
  </w:style>
  <w:style w:type="character" w:customStyle="1" w:styleId="209">
    <w:name w:val="font11"/>
    <w:basedOn w:val="47"/>
    <w:qFormat/>
    <w:uiPriority w:val="0"/>
    <w:rPr>
      <w:rFonts w:hint="eastAsia" w:ascii="宋体" w:hAnsi="宋体" w:eastAsia="宋体"/>
      <w:color w:val="000000"/>
      <w:sz w:val="22"/>
      <w:szCs w:val="22"/>
      <w:u w:val="none"/>
      <w:vertAlign w:val="superscript"/>
    </w:rPr>
  </w:style>
  <w:style w:type="character" w:customStyle="1" w:styleId="210">
    <w:name w:val="font01"/>
    <w:basedOn w:val="47"/>
    <w:qFormat/>
    <w:uiPriority w:val="0"/>
    <w:rPr>
      <w:color w:val="000000"/>
      <w:sz w:val="22"/>
      <w:szCs w:val="22"/>
      <w:u w:val="none"/>
    </w:rPr>
  </w:style>
  <w:style w:type="character" w:customStyle="1" w:styleId="211">
    <w:name w:val="表格 Char"/>
    <w:basedOn w:val="182"/>
    <w:link w:val="69"/>
    <w:qFormat/>
    <w:uiPriority w:val="0"/>
    <w:rPr>
      <w:bCs w:val="0"/>
      <w:kern w:val="2"/>
      <w:sz w:val="24"/>
      <w:szCs w:val="24"/>
    </w:rPr>
  </w:style>
  <w:style w:type="paragraph" w:customStyle="1" w:styleId="212">
    <w:name w:val="陆段落"/>
    <w:basedOn w:val="181"/>
    <w:link w:val="213"/>
    <w:qFormat/>
    <w:uiPriority w:val="0"/>
    <w:pPr>
      <w:spacing w:line="440" w:lineRule="exact"/>
    </w:pPr>
    <w:rPr>
      <w:color w:val="000000" w:themeColor="text1"/>
      <w14:textFill>
        <w14:solidFill>
          <w14:schemeClr w14:val="tx1"/>
        </w14:solidFill>
      </w14:textFill>
    </w:rPr>
  </w:style>
  <w:style w:type="character" w:customStyle="1" w:styleId="213">
    <w:name w:val="陆段落 Char"/>
    <w:basedOn w:val="182"/>
    <w:link w:val="212"/>
    <w:qFormat/>
    <w:uiPriority w:val="0"/>
    <w:rPr>
      <w:color w:val="000000" w:themeColor="text1"/>
      <w:kern w:val="2"/>
      <w:sz w:val="24"/>
      <w:szCs w:val="21"/>
      <w14:textFill>
        <w14:solidFill>
          <w14:schemeClr w14:val="tx1"/>
        </w14:solidFill>
      </w14:textFill>
    </w:rPr>
  </w:style>
  <w:style w:type="paragraph" w:customStyle="1" w:styleId="214">
    <w:name w:val="陆表格"/>
    <w:next w:val="212"/>
    <w:link w:val="215"/>
    <w:qFormat/>
    <w:uiPriority w:val="0"/>
    <w:pPr>
      <w:adjustRightInd w:val="0"/>
      <w:snapToGrid w:val="0"/>
      <w:jc w:val="center"/>
    </w:pPr>
    <w:rPr>
      <w:rFonts w:ascii="Times New Roman" w:hAnsi="Times New Roman" w:cs="Times New Roman" w:eastAsiaTheme="minorEastAsia"/>
      <w:bCs/>
      <w:kern w:val="2"/>
      <w:sz w:val="21"/>
      <w:szCs w:val="24"/>
      <w:lang w:val="en-US" w:eastAsia="zh-CN" w:bidi="ar-SA"/>
    </w:rPr>
  </w:style>
  <w:style w:type="character" w:customStyle="1" w:styleId="215">
    <w:name w:val="陆表格 Char"/>
    <w:basedOn w:val="47"/>
    <w:link w:val="214"/>
    <w:qFormat/>
    <w:uiPriority w:val="0"/>
    <w:rPr>
      <w:rFonts w:eastAsiaTheme="minorEastAsia"/>
      <w:bCs/>
      <w:kern w:val="2"/>
      <w:sz w:val="21"/>
      <w:szCs w:val="24"/>
    </w:rPr>
  </w:style>
  <w:style w:type="paragraph" w:customStyle="1" w:styleId="216">
    <w:name w:val="陆2级标题"/>
    <w:basedOn w:val="1"/>
    <w:qFormat/>
    <w:uiPriority w:val="0"/>
    <w:pPr>
      <w:adjustRightInd w:val="0"/>
      <w:snapToGrid w:val="0"/>
      <w:spacing w:line="440" w:lineRule="exact"/>
      <w:jc w:val="left"/>
    </w:pPr>
    <w:rPr>
      <w:rFonts w:eastAsiaTheme="minorEastAsia"/>
      <w:b/>
      <w:sz w:val="30"/>
    </w:rPr>
  </w:style>
  <w:style w:type="paragraph" w:customStyle="1" w:styleId="217">
    <w:name w:val="陆3级标题"/>
    <w:basedOn w:val="1"/>
    <w:qFormat/>
    <w:uiPriority w:val="0"/>
    <w:pPr>
      <w:adjustRightInd w:val="0"/>
      <w:snapToGrid w:val="0"/>
      <w:spacing w:line="440" w:lineRule="exact"/>
      <w:jc w:val="left"/>
    </w:pPr>
    <w:rPr>
      <w:rFonts w:eastAsiaTheme="minorEastAsia"/>
      <w:b/>
      <w:sz w:val="24"/>
    </w:rPr>
  </w:style>
  <w:style w:type="paragraph" w:customStyle="1" w:styleId="218">
    <w:name w:val="陆4级标题"/>
    <w:basedOn w:val="217"/>
    <w:qFormat/>
    <w:uiPriority w:val="0"/>
    <w:rPr>
      <w:b w:val="0"/>
    </w:rPr>
  </w:style>
  <w:style w:type="paragraph" w:customStyle="1" w:styleId="219">
    <w:name w:val="陆表头"/>
    <w:basedOn w:val="212"/>
    <w:next w:val="212"/>
    <w:link w:val="220"/>
    <w:qFormat/>
    <w:uiPriority w:val="0"/>
    <w:pPr>
      <w:ind w:firstLine="0" w:firstLineChars="0"/>
      <w:jc w:val="center"/>
    </w:pPr>
    <w:rPr>
      <w:b/>
      <w:sz w:val="21"/>
    </w:rPr>
  </w:style>
  <w:style w:type="character" w:customStyle="1" w:styleId="220">
    <w:name w:val="陆表头 Char"/>
    <w:basedOn w:val="213"/>
    <w:link w:val="219"/>
    <w:qFormat/>
    <w:uiPriority w:val="0"/>
    <w:rPr>
      <w:b/>
      <w:color w:val="000000" w:themeColor="text1"/>
      <w:kern w:val="2"/>
      <w:sz w:val="21"/>
      <w:szCs w:val="21"/>
      <w14:textFill>
        <w14:solidFill>
          <w14:schemeClr w14:val="tx1"/>
        </w14:solidFill>
      </w14:textFill>
    </w:rPr>
  </w:style>
  <w:style w:type="paragraph" w:customStyle="1" w:styleId="221">
    <w:name w:val="陆段落数字"/>
    <w:link w:val="222"/>
    <w:qFormat/>
    <w:uiPriority w:val="0"/>
    <w:pPr>
      <w:adjustRightInd w:val="0"/>
      <w:snapToGrid w:val="0"/>
      <w:spacing w:line="440" w:lineRule="exact"/>
    </w:pPr>
    <w:rPr>
      <w:rFonts w:ascii="Times New Roman" w:hAnsi="Times New Roman" w:eastAsia="Times New Roman" w:cs="Times New Roman"/>
      <w:bCs/>
      <w:color w:val="000000" w:themeColor="text1"/>
      <w:kern w:val="2"/>
      <w:sz w:val="24"/>
      <w:szCs w:val="21"/>
      <w:lang w:val="en-US" w:eastAsia="zh-CN" w:bidi="ar-SA"/>
      <w14:textFill>
        <w14:solidFill>
          <w14:schemeClr w14:val="tx1"/>
        </w14:solidFill>
      </w14:textFill>
    </w:rPr>
  </w:style>
  <w:style w:type="character" w:customStyle="1" w:styleId="222">
    <w:name w:val="陆段落数字 Char"/>
    <w:basedOn w:val="47"/>
    <w:link w:val="221"/>
    <w:qFormat/>
    <w:uiPriority w:val="0"/>
    <w:rPr>
      <w:rFonts w:eastAsia="Times New Roman"/>
      <w:bCs/>
      <w:color w:val="000000" w:themeColor="text1"/>
      <w:kern w:val="2"/>
      <w:sz w:val="24"/>
      <w:szCs w:val="21"/>
      <w14:textFill>
        <w14:solidFill>
          <w14:schemeClr w14:val="tx1"/>
        </w14:solidFill>
      </w14:textFill>
    </w:rPr>
  </w:style>
  <w:style w:type="paragraph" w:customStyle="1" w:styleId="223">
    <w:name w:val="交科院环评表正文"/>
    <w:basedOn w:val="212"/>
    <w:link w:val="224"/>
    <w:qFormat/>
    <w:uiPriority w:val="0"/>
    <w:pPr>
      <w:ind w:firstLine="480"/>
    </w:pPr>
    <w:rPr>
      <w:rFonts w:eastAsiaTheme="minorEastAsia"/>
    </w:rPr>
  </w:style>
  <w:style w:type="character" w:customStyle="1" w:styleId="224">
    <w:name w:val="交科院环评表正文 Char"/>
    <w:basedOn w:val="213"/>
    <w:link w:val="223"/>
    <w:qFormat/>
    <w:uiPriority w:val="0"/>
    <w:rPr>
      <w:rFonts w:eastAsiaTheme="minorEastAsia"/>
      <w:color w:val="000000" w:themeColor="text1"/>
      <w:kern w:val="2"/>
      <w:sz w:val="24"/>
      <w:szCs w:val="21"/>
      <w14:textFill>
        <w14:solidFill>
          <w14:schemeClr w14:val="tx1"/>
        </w14:solidFill>
      </w14:textFill>
    </w:rPr>
  </w:style>
  <w:style w:type="character" w:customStyle="1" w:styleId="225">
    <w:name w:val="批注框文本 Char"/>
    <w:link w:val="26"/>
    <w:qFormat/>
    <w:uiPriority w:val="99"/>
    <w:rPr>
      <w:kern w:val="2"/>
      <w:sz w:val="18"/>
      <w:szCs w:val="18"/>
    </w:rPr>
  </w:style>
  <w:style w:type="paragraph" w:customStyle="1" w:styleId="226">
    <w:name w:val="3 Char Char Char Char Char Char Char Char Char Char"/>
    <w:basedOn w:val="1"/>
    <w:qFormat/>
    <w:uiPriority w:val="0"/>
    <w:pPr>
      <w:snapToGrid w:val="0"/>
      <w:spacing w:line="360" w:lineRule="auto"/>
      <w:ind w:firstLine="200" w:firstLineChars="200"/>
    </w:pPr>
  </w:style>
  <w:style w:type="paragraph" w:customStyle="1" w:styleId="227">
    <w:name w:val="报告表表头"/>
    <w:basedOn w:val="1"/>
    <w:link w:val="229"/>
    <w:qFormat/>
    <w:uiPriority w:val="0"/>
    <w:pPr>
      <w:widowControl/>
      <w:jc w:val="center"/>
    </w:pPr>
    <w:rPr>
      <w:rFonts w:eastAsia="黑体"/>
    </w:rPr>
  </w:style>
  <w:style w:type="character" w:customStyle="1" w:styleId="228">
    <w:name w:val="nei1"/>
    <w:qFormat/>
    <w:uiPriority w:val="0"/>
    <w:rPr>
      <w:sz w:val="28"/>
      <w:szCs w:val="28"/>
    </w:rPr>
  </w:style>
  <w:style w:type="character" w:customStyle="1" w:styleId="229">
    <w:name w:val="报告表表头 Char"/>
    <w:basedOn w:val="47"/>
    <w:link w:val="227"/>
    <w:qFormat/>
    <w:uiPriority w:val="0"/>
    <w:rPr>
      <w:rFonts w:eastAsia="黑体"/>
      <w:kern w:val="2"/>
      <w:sz w:val="21"/>
      <w:szCs w:val="24"/>
    </w:rPr>
  </w:style>
  <w:style w:type="paragraph" w:customStyle="1" w:styleId="230">
    <w:name w:val="标题5"/>
    <w:basedOn w:val="1"/>
    <w:qFormat/>
    <w:uiPriority w:val="0"/>
    <w:pPr>
      <w:spacing w:line="360" w:lineRule="auto"/>
      <w:jc w:val="center"/>
    </w:pPr>
    <w:rPr>
      <w:rFonts w:ascii="仿宋_GB2312" w:hAnsi="宋体" w:eastAsia="仿宋_GB2312"/>
      <w:color w:val="000000"/>
      <w:kern w:val="36"/>
    </w:rPr>
  </w:style>
  <w:style w:type="paragraph" w:customStyle="1" w:styleId="231">
    <w:name w:val="我的标题2"/>
    <w:basedOn w:val="4"/>
    <w:qFormat/>
    <w:uiPriority w:val="0"/>
    <w:pPr>
      <w:spacing w:before="120" w:after="120" w:line="240" w:lineRule="auto"/>
      <w:ind w:firstLine="454"/>
      <w:jc w:val="left"/>
    </w:pPr>
    <w:rPr>
      <w:rFonts w:ascii="Times New Roman" w:hAnsi="Times New Roman"/>
      <w:b w:val="0"/>
      <w:bCs w:val="0"/>
      <w:spacing w:val="4"/>
      <w:szCs w:val="24"/>
    </w:rPr>
  </w:style>
  <w:style w:type="paragraph" w:customStyle="1" w:styleId="232">
    <w:name w:val="1.1.1标题"/>
    <w:basedOn w:val="5"/>
    <w:qFormat/>
    <w:uiPriority w:val="0"/>
    <w:pPr>
      <w:spacing w:before="240" w:after="120" w:line="360" w:lineRule="exact"/>
      <w:ind w:firstLine="570" w:firstLineChars="200"/>
    </w:pPr>
    <w:rPr>
      <w:rFonts w:eastAsia="黑体"/>
      <w:b w:val="0"/>
      <w:bCs w:val="0"/>
      <w:spacing w:val="2"/>
      <w:sz w:val="28"/>
      <w:szCs w:val="28"/>
    </w:rPr>
  </w:style>
  <w:style w:type="paragraph" w:customStyle="1" w:styleId="233">
    <w:name w:val="0正文"/>
    <w:basedOn w:val="18"/>
    <w:qFormat/>
    <w:uiPriority w:val="0"/>
    <w:pPr>
      <w:tabs>
        <w:tab w:val="clear" w:pos="7500"/>
      </w:tabs>
      <w:spacing w:line="300" w:lineRule="auto"/>
      <w:ind w:firstLine="480"/>
    </w:pPr>
    <w:rPr>
      <w:rFonts w:ascii="Times New Roman" w:eastAsia="宋体" w:cs="宋体"/>
      <w:kern w:val="0"/>
      <w:sz w:val="24"/>
      <w:szCs w:val="20"/>
    </w:rPr>
  </w:style>
  <w:style w:type="paragraph" w:customStyle="1" w:styleId="234">
    <w:name w:val="报告书-表标题"/>
    <w:basedOn w:val="1"/>
    <w:next w:val="1"/>
    <w:link w:val="235"/>
    <w:qFormat/>
    <w:uiPriority w:val="0"/>
    <w:pPr>
      <w:tabs>
        <w:tab w:val="left" w:pos="2760"/>
        <w:tab w:val="left" w:pos="3000"/>
      </w:tabs>
      <w:adjustRightInd w:val="0"/>
      <w:snapToGrid w:val="0"/>
      <w:jc w:val="center"/>
    </w:pPr>
    <w:rPr>
      <w:rFonts w:eastAsia="黑体"/>
      <w:b/>
      <w:lang w:val="zh-CN"/>
    </w:rPr>
  </w:style>
  <w:style w:type="character" w:customStyle="1" w:styleId="235">
    <w:name w:val="报告书-表标题 Char Char"/>
    <w:link w:val="234"/>
    <w:qFormat/>
    <w:uiPriority w:val="0"/>
    <w:rPr>
      <w:rFonts w:eastAsia="黑体"/>
      <w:b/>
      <w:kern w:val="2"/>
      <w:sz w:val="21"/>
      <w:szCs w:val="24"/>
      <w:lang w:val="zh-CN"/>
    </w:rPr>
  </w:style>
  <w:style w:type="paragraph" w:customStyle="1" w:styleId="236">
    <w:name w:val="5表标题"/>
    <w:link w:val="237"/>
    <w:qFormat/>
    <w:uiPriority w:val="0"/>
    <w:pPr>
      <w:jc w:val="center"/>
    </w:pPr>
    <w:rPr>
      <w:rFonts w:ascii="Times New Roman" w:hAnsi="Times New Roman" w:eastAsia="宋体" w:cs="Times New Roman"/>
      <w:b/>
      <w:bCs/>
      <w:kern w:val="2"/>
      <w:sz w:val="21"/>
      <w:lang w:val="en-US" w:eastAsia="zh-CN" w:bidi="ar-SA"/>
    </w:rPr>
  </w:style>
  <w:style w:type="character" w:customStyle="1" w:styleId="237">
    <w:name w:val="5表标题 Char"/>
    <w:link w:val="236"/>
    <w:qFormat/>
    <w:uiPriority w:val="0"/>
    <w:rPr>
      <w:b/>
      <w:bCs/>
      <w:kern w:val="2"/>
      <w:sz w:val="21"/>
    </w:rPr>
  </w:style>
  <w:style w:type="paragraph" w:customStyle="1" w:styleId="238">
    <w:name w:val="报告书—表注"/>
    <w:basedOn w:val="1"/>
    <w:next w:val="1"/>
    <w:link w:val="240"/>
    <w:qFormat/>
    <w:uiPriority w:val="0"/>
    <w:pPr>
      <w:tabs>
        <w:tab w:val="left" w:pos="2760"/>
        <w:tab w:val="left" w:pos="3000"/>
      </w:tabs>
      <w:adjustRightInd w:val="0"/>
      <w:snapToGrid w:val="0"/>
    </w:pPr>
    <w:rPr>
      <w:szCs w:val="21"/>
    </w:rPr>
  </w:style>
  <w:style w:type="paragraph" w:customStyle="1" w:styleId="239">
    <w:name w:val="6表头"/>
    <w:basedOn w:val="1"/>
    <w:qFormat/>
    <w:uiPriority w:val="0"/>
    <w:pPr>
      <w:widowControl/>
      <w:tabs>
        <w:tab w:val="left" w:pos="2760"/>
        <w:tab w:val="left" w:pos="3000"/>
      </w:tabs>
      <w:jc w:val="center"/>
    </w:pPr>
    <w:rPr>
      <w:rFonts w:cs="宋体"/>
      <w:b/>
      <w:szCs w:val="20"/>
    </w:rPr>
  </w:style>
  <w:style w:type="character" w:customStyle="1" w:styleId="240">
    <w:name w:val="报告书—表注 Char Char"/>
    <w:link w:val="238"/>
    <w:qFormat/>
    <w:uiPriority w:val="0"/>
    <w:rPr>
      <w:kern w:val="2"/>
      <w:sz w:val="21"/>
      <w:szCs w:val="21"/>
    </w:rPr>
  </w:style>
  <w:style w:type="paragraph" w:customStyle="1" w:styleId="241">
    <w:name w:val="新利正文"/>
    <w:basedOn w:val="1"/>
    <w:qFormat/>
    <w:uiPriority w:val="0"/>
    <w:pPr>
      <w:adjustRightInd w:val="0"/>
      <w:snapToGrid w:val="0"/>
      <w:spacing w:before="78" w:beforeLines="25" w:line="440" w:lineRule="exact"/>
      <w:ind w:firstLine="480" w:firstLineChars="200"/>
    </w:pPr>
    <w:rPr>
      <w:color w:val="000000"/>
      <w:kern w:val="32"/>
      <w:sz w:val="24"/>
    </w:rPr>
  </w:style>
  <w:style w:type="paragraph" w:customStyle="1" w:styleId="242">
    <w:name w:val="e 1.1.1.1标题"/>
    <w:basedOn w:val="1"/>
    <w:next w:val="1"/>
    <w:link w:val="243"/>
    <w:qFormat/>
    <w:uiPriority w:val="0"/>
    <w:pPr>
      <w:tabs>
        <w:tab w:val="left" w:pos="2760"/>
      </w:tabs>
      <w:adjustRightInd w:val="0"/>
      <w:snapToGrid w:val="0"/>
      <w:spacing w:line="300" w:lineRule="auto"/>
      <w:jc w:val="left"/>
      <w:outlineLvl w:val="3"/>
    </w:pPr>
    <w:rPr>
      <w:b/>
      <w:sz w:val="24"/>
      <w:szCs w:val="21"/>
    </w:rPr>
  </w:style>
  <w:style w:type="character" w:customStyle="1" w:styleId="243">
    <w:name w:val="e 1.1.1.1标题 字符"/>
    <w:link w:val="242"/>
    <w:qFormat/>
    <w:uiPriority w:val="0"/>
    <w:rPr>
      <w:b/>
      <w:kern w:val="2"/>
      <w:sz w:val="24"/>
      <w:szCs w:val="21"/>
    </w:rPr>
  </w:style>
  <w:style w:type="character" w:customStyle="1" w:styleId="244">
    <w:name w:val="HTML 预设格式 Char"/>
    <w:basedOn w:val="47"/>
    <w:link w:val="37"/>
    <w:qFormat/>
    <w:uiPriority w:val="99"/>
    <w:rPr>
      <w:rFonts w:ascii="Arial" w:hAnsi="Arial" w:cs="Arial"/>
      <w:sz w:val="24"/>
      <w:szCs w:val="24"/>
    </w:rPr>
  </w:style>
  <w:style w:type="paragraph" w:customStyle="1" w:styleId="245">
    <w:name w:val="我的标题4"/>
    <w:basedOn w:val="2"/>
    <w:qFormat/>
    <w:uiPriority w:val="0"/>
    <w:pPr>
      <w:widowControl w:val="0"/>
      <w:spacing w:beforeLines="0" w:line="500" w:lineRule="exact"/>
    </w:pPr>
    <w:rPr>
      <w:color w:val="auto"/>
      <w:sz w:val="24"/>
    </w:rPr>
  </w:style>
  <w:style w:type="paragraph" w:customStyle="1" w:styleId="246">
    <w:name w:val="Char2 Char Char Char Char Char Char Char Char Char Char Char Char"/>
    <w:basedOn w:val="1"/>
    <w:qFormat/>
    <w:uiPriority w:val="0"/>
    <w:pPr>
      <w:spacing w:line="560" w:lineRule="exact"/>
      <w:ind w:firstLine="200" w:firstLineChars="200"/>
    </w:pPr>
    <w:rPr>
      <w:rFonts w:ascii="宋体" w:hAnsi="宋体" w:cs="宋体"/>
      <w:sz w:val="28"/>
      <w:szCs w:val="28"/>
    </w:rPr>
  </w:style>
  <w:style w:type="paragraph" w:customStyle="1" w:styleId="247">
    <w:name w:val="Char5"/>
    <w:basedOn w:val="1"/>
    <w:qFormat/>
    <w:uiPriority w:val="0"/>
  </w:style>
  <w:style w:type="character" w:customStyle="1" w:styleId="248">
    <w:name w:val="grame"/>
    <w:basedOn w:val="47"/>
    <w:qFormat/>
    <w:uiPriority w:val="0"/>
  </w:style>
  <w:style w:type="paragraph" w:customStyle="1" w:styleId="249">
    <w:name w:val="Char4"/>
    <w:basedOn w:val="1"/>
    <w:qFormat/>
    <w:uiPriority w:val="0"/>
  </w:style>
  <w:style w:type="character" w:customStyle="1" w:styleId="250">
    <w:name w:val="表内 Char"/>
    <w:basedOn w:val="47"/>
    <w:link w:val="251"/>
    <w:qFormat/>
    <w:uiPriority w:val="0"/>
    <w:rPr>
      <w:rFonts w:ascii="宋体" w:hAnsi="宋体"/>
      <w:bCs/>
      <w:snapToGrid w:val="0"/>
      <w:color w:val="000000"/>
      <w:sz w:val="21"/>
      <w:szCs w:val="21"/>
    </w:rPr>
  </w:style>
  <w:style w:type="paragraph" w:customStyle="1" w:styleId="251">
    <w:name w:val="表内"/>
    <w:basedOn w:val="1"/>
    <w:link w:val="250"/>
    <w:qFormat/>
    <w:uiPriority w:val="0"/>
    <w:pPr>
      <w:adjustRightInd w:val="0"/>
      <w:snapToGrid w:val="0"/>
      <w:ind w:left="-105" w:leftChars="-50" w:right="-105" w:rightChars="-50"/>
      <w:jc w:val="center"/>
    </w:pPr>
    <w:rPr>
      <w:rFonts w:ascii="宋体" w:hAnsi="宋体"/>
      <w:bCs/>
      <w:snapToGrid w:val="0"/>
      <w:color w:val="000000"/>
      <w:kern w:val="0"/>
      <w:szCs w:val="21"/>
    </w:rPr>
  </w:style>
  <w:style w:type="paragraph" w:customStyle="1" w:styleId="252">
    <w:name w:val="Char6"/>
    <w:basedOn w:val="1"/>
    <w:qFormat/>
    <w:uiPriority w:val="0"/>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FFFF"/>
      <w:spacing w:val="4"/>
      <w:kern w:val="0"/>
      <w:sz w:val="20"/>
      <w:szCs w:val="21"/>
    </w:rPr>
  </w:style>
  <w:style w:type="paragraph" w:customStyle="1" w:styleId="254">
    <w:name w:val="报告书正文 Char Char Char"/>
    <w:basedOn w:val="1"/>
    <w:qFormat/>
    <w:uiPriority w:val="0"/>
    <w:pPr>
      <w:spacing w:line="300" w:lineRule="auto"/>
      <w:ind w:firstLine="480" w:firstLineChars="200"/>
    </w:pPr>
    <w:rPr>
      <w:color w:val="000000"/>
      <w:spacing w:val="4"/>
      <w:sz w:val="24"/>
    </w:rPr>
  </w:style>
  <w:style w:type="paragraph" w:customStyle="1" w:styleId="255">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256">
    <w:name w:val="默认段落字体 Para Char"/>
    <w:basedOn w:val="1"/>
    <w:qFormat/>
    <w:uiPriority w:val="0"/>
    <w:pPr>
      <w:spacing w:line="360" w:lineRule="auto"/>
      <w:ind w:firstLine="200" w:firstLineChars="200"/>
    </w:pPr>
    <w:rPr>
      <w:rFonts w:ascii="宋体" w:hAnsi="宋体" w:cs="宋体"/>
      <w:sz w:val="24"/>
    </w:rPr>
  </w:style>
  <w:style w:type="character" w:customStyle="1" w:styleId="257">
    <w:name w:val="表格内容5号 Char Char"/>
    <w:link w:val="258"/>
    <w:qFormat/>
    <w:uiPriority w:val="0"/>
    <w:rPr>
      <w:kern w:val="2"/>
      <w:sz w:val="21"/>
      <w:szCs w:val="24"/>
    </w:rPr>
  </w:style>
  <w:style w:type="paragraph" w:customStyle="1" w:styleId="258">
    <w:name w:val="表格内容5号"/>
    <w:link w:val="257"/>
    <w:qFormat/>
    <w:uiPriority w:val="0"/>
    <w:pPr>
      <w:widowControl w:val="0"/>
      <w:snapToGrid w:val="0"/>
      <w:spacing w:line="240" w:lineRule="atLeast"/>
      <w:jc w:val="center"/>
    </w:pPr>
    <w:rPr>
      <w:rFonts w:ascii="Times New Roman" w:hAnsi="Times New Roman" w:eastAsia="宋体" w:cs="Times New Roman"/>
      <w:kern w:val="2"/>
      <w:sz w:val="21"/>
      <w:szCs w:val="24"/>
      <w:lang w:val="en-US" w:eastAsia="zh-CN" w:bidi="ar-SA"/>
    </w:rPr>
  </w:style>
  <w:style w:type="paragraph" w:customStyle="1" w:styleId="259">
    <w:name w:val="Char7"/>
    <w:basedOn w:val="1"/>
    <w:qFormat/>
    <w:uiPriority w:val="0"/>
  </w:style>
  <w:style w:type="character" w:customStyle="1" w:styleId="260">
    <w:name w:val="表头1 Char"/>
    <w:qFormat/>
    <w:uiPriority w:val="0"/>
    <w:rPr>
      <w:rFonts w:eastAsia="楷体_GB2312"/>
      <w:b/>
      <w:sz w:val="24"/>
      <w:lang w:val="en-US" w:eastAsia="zh-CN" w:bidi="ar-SA"/>
    </w:rPr>
  </w:style>
  <w:style w:type="paragraph" w:customStyle="1" w:styleId="261">
    <w:name w:val="Char8"/>
    <w:basedOn w:val="1"/>
    <w:qFormat/>
    <w:uiPriority w:val="0"/>
  </w:style>
  <w:style w:type="paragraph" w:customStyle="1" w:styleId="262">
    <w:name w:val="正文文本 (2)"/>
    <w:basedOn w:val="1"/>
    <w:link w:val="265"/>
    <w:unhideWhenUsed/>
    <w:qFormat/>
    <w:uiPriority w:val="99"/>
    <w:pPr>
      <w:shd w:val="clear" w:color="auto" w:fill="FFFFFF"/>
      <w:spacing w:beforeLines="0" w:afterLines="0" w:line="456" w:lineRule="exact"/>
      <w:jc w:val="distribute"/>
    </w:pPr>
    <w:rPr>
      <w:rFonts w:hint="eastAsia" w:ascii="宋体" w:hAnsi="宋体" w:eastAsia="宋体"/>
      <w:sz w:val="22"/>
    </w:rPr>
  </w:style>
  <w:style w:type="paragraph" w:customStyle="1" w:styleId="263">
    <w:name w:val="表格文字2n"/>
    <w:basedOn w:val="1"/>
    <w:qFormat/>
    <w:uiPriority w:val="0"/>
    <w:pPr>
      <w:widowControl/>
      <w:spacing w:line="260" w:lineRule="exact"/>
      <w:ind w:firstLine="360"/>
      <w:jc w:val="center"/>
    </w:pPr>
    <w:rPr>
      <w:rFonts w:ascii="Calibri" w:hAnsi="Calibri"/>
      <w:kern w:val="0"/>
      <w:sz w:val="22"/>
      <w:szCs w:val="20"/>
      <w:lang w:eastAsia="en-US" w:bidi="en-US"/>
    </w:rPr>
  </w:style>
  <w:style w:type="character" w:customStyle="1" w:styleId="264">
    <w:name w:val="正文文本 (2) Exact"/>
    <w:basedOn w:val="265"/>
    <w:unhideWhenUsed/>
    <w:qFormat/>
    <w:uiPriority w:val="99"/>
    <w:rPr>
      <w:rFonts w:hint="default" w:ascii="宋体" w:hAnsi="宋体" w:eastAsia="宋体"/>
      <w:sz w:val="22"/>
      <w:lang w:val="en-US" w:eastAsia="en-US"/>
    </w:rPr>
  </w:style>
  <w:style w:type="character" w:customStyle="1" w:styleId="265">
    <w:name w:val="正文文本 (2)_"/>
    <w:basedOn w:val="47"/>
    <w:link w:val="262"/>
    <w:unhideWhenUsed/>
    <w:qFormat/>
    <w:uiPriority w:val="99"/>
    <w:rPr>
      <w:rFonts w:hint="eastAsia" w:ascii="宋体" w:hAnsi="宋体" w:eastAsia="宋体"/>
      <w:sz w:val="22"/>
    </w:rPr>
  </w:style>
  <w:style w:type="character" w:customStyle="1" w:styleId="266">
    <w:name w:val="正文文本 (2) + Georgia Exact"/>
    <w:basedOn w:val="265"/>
    <w:unhideWhenUsed/>
    <w:qFormat/>
    <w:uiPriority w:val="99"/>
    <w:rPr>
      <w:rFonts w:hint="default" w:ascii="Georgia" w:hAnsi="Georgia" w:eastAsia="Georgia"/>
      <w:sz w:val="22"/>
      <w:lang w:val="en-US" w:eastAsia="en-US"/>
    </w:rPr>
  </w:style>
  <w:style w:type="paragraph" w:customStyle="1" w:styleId="267">
    <w:name w:val="Table Paragraph"/>
    <w:basedOn w:val="1"/>
    <w:qFormat/>
    <w:uiPriority w:val="1"/>
  </w:style>
  <w:style w:type="paragraph" w:customStyle="1" w:styleId="268">
    <w:name w:val="样式4(正文)"/>
    <w:qFormat/>
    <w:uiPriority w:val="0"/>
    <w:pPr>
      <w:spacing w:before="25" w:beforeLines="25" w:line="440" w:lineRule="exact"/>
      <w:ind w:firstLine="200" w:firstLineChars="200"/>
    </w:pPr>
    <w:rPr>
      <w:rFonts w:ascii="Times New Roman" w:hAnsi="Times New Roman" w:eastAsia="宋体" w:cs="Times New Roman"/>
      <w:sz w:val="24"/>
      <w:lang w:val="en-US" w:eastAsia="zh-CN" w:bidi="ar-SA"/>
    </w:rPr>
  </w:style>
  <w:style w:type="paragraph" w:customStyle="1" w:styleId="269">
    <w:name w:val="a1"/>
    <w:basedOn w:val="1"/>
    <w:qFormat/>
    <w:uiPriority w:val="0"/>
    <w:pPr>
      <w:spacing w:line="480" w:lineRule="exact"/>
      <w:ind w:firstLine="480" w:firstLineChars="200"/>
    </w:pPr>
    <w:rPr>
      <w:kern w:val="0"/>
      <w:sz w:val="24"/>
    </w:rPr>
  </w:style>
  <w:style w:type="paragraph" w:customStyle="1" w:styleId="270">
    <w:name w:val="威顿报告正文"/>
    <w:basedOn w:val="1"/>
    <w:qFormat/>
    <w:uiPriority w:val="0"/>
    <w:pPr>
      <w:widowControl/>
      <w:adjustRightInd w:val="0"/>
      <w:snapToGrid w:val="0"/>
      <w:spacing w:before="25" w:beforeLines="25" w:line="440" w:lineRule="exact"/>
      <w:ind w:firstLine="200" w:firstLineChars="200"/>
      <w:jc w:val="left"/>
    </w:pPr>
    <w:rPr>
      <w:rFonts w:ascii="Calibri" w:hAnsi="Calibri"/>
      <w:color w:val="000000"/>
      <w:kern w:val="0"/>
      <w:sz w:val="24"/>
      <w:szCs w:val="22"/>
      <w:lang w:eastAsia="en-US" w:bidi="en-US"/>
    </w:rPr>
  </w:style>
  <w:style w:type="paragraph" w:customStyle="1" w:styleId="271">
    <w:name w:val="正文部分"/>
    <w:basedOn w:val="1"/>
    <w:qFormat/>
    <w:uiPriority w:val="0"/>
    <w:rPr>
      <w:rFonts w:ascii="楷体_GB2312" w:hAnsi="宋体" w:eastAsia="仿宋_GB2312"/>
      <w:b/>
      <w:szCs w:val="28"/>
    </w:rPr>
  </w:style>
  <w:style w:type="paragraph" w:customStyle="1" w:styleId="272">
    <w:name w:val="我的正文"/>
    <w:basedOn w:val="1"/>
    <w:qFormat/>
    <w:uiPriority w:val="99"/>
    <w:pPr>
      <w:spacing w:line="460" w:lineRule="exact"/>
      <w:ind w:firstLine="482"/>
    </w:pPr>
    <w:rPr>
      <w:sz w:val="24"/>
    </w:rPr>
  </w:style>
  <w:style w:type="paragraph" w:customStyle="1" w:styleId="273">
    <w:name w:val="流程图2中"/>
    <w:basedOn w:val="1"/>
    <w:qFormat/>
    <w:uiPriority w:val="0"/>
    <w:pPr>
      <w:widowControl/>
      <w:autoSpaceDE w:val="0"/>
      <w:autoSpaceDN w:val="0"/>
      <w:adjustRightInd w:val="0"/>
      <w:spacing w:line="320" w:lineRule="exact"/>
      <w:ind w:firstLine="360"/>
      <w:jc w:val="center"/>
    </w:pPr>
    <w:rPr>
      <w:rFonts w:ascii="Calibri" w:hAnsi="Calibri"/>
      <w:kern w:val="0"/>
      <w:sz w:val="22"/>
      <w:szCs w:val="20"/>
      <w:lang w:eastAsia="en-US" w:bidi="en-US"/>
    </w:rPr>
  </w:style>
  <w:style w:type="paragraph" w:customStyle="1" w:styleId="274">
    <w:name w:val="列出段落"/>
    <w:basedOn w:val="1"/>
    <w:qFormat/>
    <w:uiPriority w:val="0"/>
    <w:pPr>
      <w:ind w:left="1399" w:hanging="601"/>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4.wmf"/><Relationship Id="rId24" Type="http://schemas.openxmlformats.org/officeDocument/2006/relationships/oleObject" Target="embeddings/oleObject2.bin"/><Relationship Id="rId23" Type="http://schemas.openxmlformats.org/officeDocument/2006/relationships/image" Target="media/image3.wmf"/><Relationship Id="rId22" Type="http://schemas.openxmlformats.org/officeDocument/2006/relationships/oleObject" Target="embeddings/oleObject1.bin"/><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E1B1A9-352A-4E50-88CF-CF3AA751197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7105</Words>
  <Characters>40503</Characters>
  <Lines>337</Lines>
  <Paragraphs>95</Paragraphs>
  <TotalTime>7</TotalTime>
  <ScaleCrop>false</ScaleCrop>
  <LinksUpToDate>false</LinksUpToDate>
  <CharactersWithSpaces>47513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2018-10-29T02:51:00Z</dcterms:created>
  <dc:creator>qfr</dc:creator>
  <cp:lastModifiedBy>HP</cp:lastModifiedBy>
  <cp:lastPrinted>2018-12-04T03:46:00Z</cp:lastPrinted>
  <dcterms:modified xsi:type="dcterms:W3CDTF">2020-06-22T08:22:27Z</dcterms:modified>
  <dc:title>太谷加油站 项目</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