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eastAsia="zh-CN"/>
        </w:rPr>
      </w:pPr>
      <w:bookmarkStart w:id="0" w:name="_Toc21118"/>
      <w:bookmarkStart w:id="1" w:name="_Toc32048"/>
      <w:bookmarkStart w:id="2" w:name="_Toc31071"/>
      <w:r>
        <w:rPr>
          <w:rFonts w:hint="eastAsia" w:ascii="华文中宋" w:hAnsi="华文中宋" w:eastAsia="华文中宋"/>
          <w:color w:val="auto"/>
          <w:sz w:val="44"/>
          <w:szCs w:val="44"/>
          <w:lang w:eastAsia="zh-CN"/>
        </w:rPr>
        <w:t>静乐县住房和城乡建设管理局</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rPr>
          <w:rFonts w:hint="eastAsia"/>
          <w:lang w:val="en-US" w:eastAsia="zh-CN"/>
        </w:rPr>
        <w:t>2</w:t>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11</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keepNext w:val="0"/>
        <w:keepLines w:val="0"/>
        <w:widowControl w:val="0"/>
        <w:suppressLineNumbers w:val="0"/>
        <w:spacing w:before="0" w:beforeAutospacing="0" w:after="0" w:afterAutospacing="0"/>
        <w:ind w:left="0" w:right="0"/>
        <w:jc w:val="both"/>
        <w:rPr>
          <w:rFonts w:hint="eastAsia" w:ascii="仿宋_GB2312" w:hAnsi="楷体" w:eastAsia="仿宋_GB2312" w:cstheme="minorBidi"/>
          <w:kern w:val="2"/>
          <w:sz w:val="32"/>
          <w:szCs w:val="32"/>
          <w:lang w:val="en-US" w:eastAsia="zh-CN" w:bidi="ar-SA"/>
        </w:rPr>
      </w:pPr>
      <w:bookmarkStart w:id="7" w:name="_Toc12749"/>
      <w:r>
        <w:rPr>
          <w:rFonts w:hint="eastAsia" w:ascii="仿宋_GB2312" w:hAnsi="楷体" w:eastAsia="仿宋_GB2312" w:cstheme="minorBidi"/>
          <w:kern w:val="2"/>
          <w:sz w:val="32"/>
          <w:szCs w:val="32"/>
          <w:lang w:val="en-US" w:eastAsia="zh-CN" w:bidi="ar-SA"/>
        </w:rPr>
        <w:t>（一）主要职责：</w:t>
      </w:r>
    </w:p>
    <w:p>
      <w:pPr>
        <w:keepNext w:val="0"/>
        <w:keepLines w:val="0"/>
        <w:widowControl w:val="0"/>
        <w:suppressLineNumbers w:val="0"/>
        <w:spacing w:before="0" w:beforeAutospacing="0" w:after="0" w:afterAutospacing="0"/>
        <w:ind w:right="0"/>
        <w:jc w:val="left"/>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1</w:t>
      </w:r>
      <w:r>
        <w:rPr>
          <w:rFonts w:hint="eastAsia" w:ascii="仿宋_GB2312" w:hAnsi="楷体" w:cstheme="minorBidi"/>
          <w:kern w:val="2"/>
          <w:sz w:val="32"/>
          <w:szCs w:val="32"/>
          <w:lang w:val="en-US" w:eastAsia="zh-CN" w:bidi="ar-SA"/>
        </w:rPr>
        <w:t>.</w:t>
      </w:r>
      <w:r>
        <w:rPr>
          <w:rFonts w:hint="eastAsia" w:ascii="仿宋_GB2312" w:hAnsi="楷体" w:eastAsia="仿宋_GB2312" w:cstheme="minorBidi"/>
          <w:kern w:val="2"/>
          <w:sz w:val="32"/>
          <w:szCs w:val="32"/>
          <w:lang w:val="en-US" w:eastAsia="zh-CN" w:bidi="ar-SA"/>
        </w:rPr>
        <w:t>承担规范全县住房和城乡建设管理秩序的责任。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2.承担保障全县城镇低收入家庭住房的责任。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3.承担推进全县住房制度改革的责任。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4.承担依法组织编制和实施全县城乡规划的责任。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5.贯彻执行工程建设统一定额和行业标准，贯彻执行全县建设项目可行性研究评价方法、经济参数、建设标准和工程造价的管理制度，贯彻执行公共服务设施（不含通信设施）建设标准并监督执行，指导监督县各类工程建设标准定额的实施和工程造价计价。</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6.承担规范全县房地产市场秩序、监督管理房地产市场的责任。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7.监督管理全县建筑市场、规范市场各方主体行为。</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8.承担城乡建设的责任。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9.承担规范和指导全县村镇建设的责任。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10.承担全县建筑工程质量安全监管的责任。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11.承担推进全县建筑节能、城镇减排的工作责任。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12.承担对全县重点工程建设的协调、服务、监督、管理责任。</w:t>
      </w:r>
    </w:p>
    <w:p>
      <w:pPr>
        <w:pStyle w:val="11"/>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13.承办县人民政府交办的其他事项。</w:t>
      </w:r>
    </w:p>
    <w:p>
      <w:pPr>
        <w:keepNext w:val="0"/>
        <w:keepLines w:val="0"/>
        <w:widowControl w:val="0"/>
        <w:suppressLineNumbers w:val="0"/>
        <w:spacing w:before="0" w:beforeAutospacing="0" w:after="0" w:afterAutospacing="0"/>
        <w:ind w:left="0" w:right="0"/>
        <w:jc w:val="both"/>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 xml:space="preserve">    （二）机构设置情况</w:t>
      </w:r>
    </w:p>
    <w:p>
      <w:pPr>
        <w:pStyle w:val="12"/>
        <w:widowControl/>
        <w:spacing w:before="0" w:beforeAutospacing="0" w:after="0" w:afterAutospacing="0"/>
        <w:ind w:left="0" w:right="0" w:firstLine="640" w:firstLineChars="200"/>
        <w:rPr>
          <w:rFonts w:hint="eastAsia" w:ascii="仿宋_GB2312" w:hAnsi="楷体" w:eastAsia="仿宋_GB2312" w:cstheme="minorBidi"/>
          <w:kern w:val="2"/>
          <w:sz w:val="32"/>
          <w:szCs w:val="32"/>
          <w:lang w:val="en-US" w:eastAsia="zh-CN" w:bidi="ar-SA"/>
        </w:rPr>
      </w:pPr>
      <w:r>
        <w:rPr>
          <w:rFonts w:hint="eastAsia" w:ascii="仿宋_GB2312" w:hAnsi="楷体" w:eastAsia="仿宋_GB2312" w:cstheme="minorBidi"/>
          <w:kern w:val="2"/>
          <w:sz w:val="32"/>
          <w:szCs w:val="32"/>
          <w:lang w:val="en-US" w:eastAsia="zh-CN" w:bidi="ar-SA"/>
        </w:rPr>
        <w:t>住建局人员编制16人，其中公务员编制8人，事业人员8人。单位实有人员31人，公务员8人，事业人员23人。内设股室有：（1）法制股 （2）建筑市场管理股（3）办公室（4）质监站（5）安监站（6）村镇股等。</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437"/>
      <w:bookmarkStart w:id="10" w:name="_Toc871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szCs w:val="32"/>
          <w:lang w:val="en-US" w:eastAsia="zh-CN"/>
        </w:rPr>
        <w:t>4703.20</w:t>
      </w:r>
      <w:r>
        <w:rPr>
          <w:rFonts w:hint="eastAsia" w:ascii="仿宋_GB2312"/>
          <w:szCs w:val="32"/>
        </w:rPr>
        <w:t>万元、支出总计</w:t>
      </w:r>
      <w:r>
        <w:rPr>
          <w:rFonts w:hint="eastAsia" w:ascii="仿宋_GB2312"/>
          <w:szCs w:val="32"/>
          <w:lang w:val="en-US" w:eastAsia="zh-CN"/>
        </w:rPr>
        <w:t>4703.20</w:t>
      </w:r>
      <w:r>
        <w:rPr>
          <w:rFonts w:hint="eastAsia" w:ascii="仿宋_GB2312"/>
          <w:szCs w:val="32"/>
        </w:rPr>
        <w:t>万元。</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6807.64</w:t>
      </w:r>
      <w:r>
        <w:rPr>
          <w:rFonts w:hint="eastAsia" w:ascii="仿宋_GB2312"/>
          <w:color w:val="auto"/>
          <w:szCs w:val="32"/>
        </w:rPr>
        <w:t>万元，下降</w:t>
      </w:r>
      <w:r>
        <w:rPr>
          <w:rFonts w:hint="eastAsia" w:ascii="仿宋_GB2312"/>
          <w:color w:val="auto"/>
          <w:szCs w:val="32"/>
          <w:lang w:val="en-US" w:eastAsia="zh-CN"/>
        </w:rPr>
        <w:t>59.15</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6807.64</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59.15</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本年程减少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1" w:name="_Toc16754"/>
      <w:bookmarkStart w:id="12" w:name="_Toc1740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4703.20</w:t>
      </w:r>
      <w:r>
        <w:rPr>
          <w:rFonts w:hint="eastAsia" w:ascii="仿宋_GB2312"/>
          <w:szCs w:val="32"/>
        </w:rPr>
        <w:t>万元，其中：财政拨款收入</w:t>
      </w:r>
      <w:r>
        <w:rPr>
          <w:rFonts w:hint="eastAsia" w:ascii="仿宋_GB2312"/>
          <w:szCs w:val="32"/>
          <w:lang w:val="en-US" w:eastAsia="zh-CN"/>
        </w:rPr>
        <w:t>4703.20</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3" w:name="_Toc9596"/>
      <w:bookmarkStart w:id="14" w:name="_Toc22098"/>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4703.20</w:t>
      </w:r>
      <w:r>
        <w:rPr>
          <w:rFonts w:hint="eastAsia" w:ascii="仿宋_GB2312"/>
          <w:szCs w:val="32"/>
        </w:rPr>
        <w:t>万元，其中：基本支出</w:t>
      </w:r>
      <w:r>
        <w:rPr>
          <w:rFonts w:hint="eastAsia" w:ascii="仿宋_GB2312"/>
          <w:szCs w:val="32"/>
          <w:lang w:val="en-US" w:eastAsia="zh-CN"/>
        </w:rPr>
        <w:t>317.13</w:t>
      </w:r>
      <w:r>
        <w:rPr>
          <w:rFonts w:hint="eastAsia" w:ascii="仿宋_GB2312"/>
          <w:szCs w:val="32"/>
        </w:rPr>
        <w:t>万元，占比</w:t>
      </w:r>
      <w:r>
        <w:rPr>
          <w:rFonts w:hint="eastAsia" w:ascii="仿宋_GB2312"/>
          <w:szCs w:val="32"/>
          <w:lang w:val="en-US" w:eastAsia="zh-CN"/>
        </w:rPr>
        <w:t>6.75</w:t>
      </w:r>
      <w:r>
        <w:rPr>
          <w:rFonts w:hint="eastAsia" w:ascii="仿宋_GB2312"/>
          <w:szCs w:val="32"/>
        </w:rPr>
        <w:t>%；项目支出</w:t>
      </w:r>
      <w:r>
        <w:rPr>
          <w:rFonts w:hint="eastAsia" w:ascii="仿宋_GB2312"/>
          <w:szCs w:val="32"/>
          <w:lang w:val="en-US" w:eastAsia="zh-CN"/>
        </w:rPr>
        <w:t>4386.07</w:t>
      </w:r>
      <w:r>
        <w:rPr>
          <w:rFonts w:hint="eastAsia" w:ascii="仿宋_GB2312"/>
          <w:szCs w:val="32"/>
        </w:rPr>
        <w:t>万元，占比</w:t>
      </w:r>
      <w:r>
        <w:rPr>
          <w:rFonts w:hint="eastAsia" w:ascii="仿宋_GB2312"/>
          <w:szCs w:val="32"/>
          <w:lang w:val="en-US" w:eastAsia="zh-CN"/>
        </w:rPr>
        <w:t>93.25</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2142"/>
      <w:bookmarkStart w:id="16" w:name="_Toc4614"/>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lang w:val="en-US" w:eastAsia="zh-CN"/>
        </w:rPr>
        <w:t>4703.20</w:t>
      </w:r>
      <w:r>
        <w:rPr>
          <w:rFonts w:hint="eastAsia" w:ascii="仿宋_GB2312"/>
          <w:szCs w:val="32"/>
        </w:rPr>
        <w:t>万元、支出总计</w:t>
      </w:r>
      <w:r>
        <w:rPr>
          <w:rFonts w:hint="eastAsia" w:ascii="仿宋_GB2312"/>
          <w:color w:val="auto"/>
          <w:szCs w:val="32"/>
          <w:lang w:val="en-US" w:eastAsia="zh-CN"/>
        </w:rPr>
        <w:t>4703.20</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6807.64</w:t>
      </w:r>
      <w:r>
        <w:rPr>
          <w:rFonts w:hint="eastAsia" w:ascii="仿宋_GB2312"/>
          <w:color w:val="auto"/>
          <w:szCs w:val="32"/>
        </w:rPr>
        <w:t>万元，下降</w:t>
      </w:r>
      <w:r>
        <w:rPr>
          <w:rFonts w:hint="eastAsia" w:ascii="仿宋_GB2312"/>
          <w:color w:val="auto"/>
          <w:szCs w:val="32"/>
          <w:lang w:val="en-US" w:eastAsia="zh-CN"/>
        </w:rPr>
        <w:t>59.15</w:t>
      </w:r>
      <w:r>
        <w:rPr>
          <w:rFonts w:hint="eastAsia" w:ascii="仿宋_GB2312"/>
          <w:color w:val="auto"/>
          <w:szCs w:val="32"/>
        </w:rPr>
        <w:t>%，财政拨款支出总计减少</w:t>
      </w:r>
      <w:r>
        <w:rPr>
          <w:rFonts w:hint="eastAsia" w:ascii="仿宋_GB2312"/>
          <w:color w:val="auto"/>
          <w:szCs w:val="32"/>
          <w:lang w:val="en-US" w:eastAsia="zh-CN"/>
        </w:rPr>
        <w:t>6807.64</w:t>
      </w:r>
      <w:r>
        <w:rPr>
          <w:rFonts w:hint="eastAsia" w:ascii="仿宋_GB2312"/>
          <w:color w:val="auto"/>
          <w:szCs w:val="32"/>
        </w:rPr>
        <w:t>万元，下降</w:t>
      </w:r>
      <w:r>
        <w:rPr>
          <w:rFonts w:hint="eastAsia" w:ascii="仿宋_GB2312"/>
          <w:color w:val="auto"/>
          <w:szCs w:val="32"/>
          <w:lang w:val="en-US" w:eastAsia="zh-CN"/>
        </w:rPr>
        <w:t>59.1</w:t>
      </w:r>
      <w:r>
        <w:rPr>
          <w:rFonts w:hint="eastAsia" w:ascii="仿宋_GB2312"/>
          <w:color w:val="auto"/>
          <w:szCs w:val="32"/>
        </w:rPr>
        <w:t>%。主要原因是</w:t>
      </w:r>
      <w:r>
        <w:rPr>
          <w:rFonts w:hint="eastAsia" w:ascii="仿宋_GB2312"/>
          <w:color w:val="auto"/>
          <w:szCs w:val="32"/>
          <w:lang w:val="en-US" w:eastAsia="zh-CN"/>
        </w:rPr>
        <w:t>本年工程减少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6501"/>
      <w:bookmarkStart w:id="18" w:name="_Toc934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4703.20</w:t>
      </w:r>
      <w:r>
        <w:rPr>
          <w:rFonts w:hint="eastAsia" w:ascii="仿宋_GB2312"/>
          <w:szCs w:val="32"/>
        </w:rPr>
        <w:t>万元，</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6807.64</w:t>
      </w:r>
      <w:r>
        <w:rPr>
          <w:rFonts w:hint="eastAsia" w:ascii="仿宋_GB2312"/>
          <w:color w:val="auto"/>
          <w:szCs w:val="32"/>
        </w:rPr>
        <w:t>万元，</w:t>
      </w:r>
      <w:r>
        <w:rPr>
          <w:rFonts w:hint="eastAsia" w:ascii="仿宋_GB2312"/>
          <w:szCs w:val="32"/>
        </w:rPr>
        <w:t>下降</w:t>
      </w:r>
      <w:r>
        <w:rPr>
          <w:rFonts w:hint="eastAsia" w:ascii="仿宋_GB2312"/>
          <w:szCs w:val="32"/>
          <w:lang w:val="en-US" w:eastAsia="zh-CN"/>
        </w:rPr>
        <w:t>59.1</w:t>
      </w:r>
      <w:r>
        <w:rPr>
          <w:rFonts w:hint="eastAsia" w:ascii="仿宋_GB2312"/>
          <w:szCs w:val="32"/>
        </w:rPr>
        <w:t>%。主要原因是</w:t>
      </w:r>
      <w:r>
        <w:rPr>
          <w:rFonts w:hint="eastAsia" w:ascii="仿宋_GB2312"/>
          <w:szCs w:val="32"/>
          <w:lang w:val="en-US" w:eastAsia="zh-CN"/>
        </w:rPr>
        <w:t>本年工程减少</w:t>
      </w:r>
      <w:r>
        <w:rPr>
          <w:rFonts w:hint="eastAsia" w:ascii="仿宋_GB2312"/>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4703.20</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城乡社区支出</w:t>
      </w:r>
      <w:r>
        <w:rPr>
          <w:rFonts w:hint="eastAsia" w:ascii="仿宋_GB2312"/>
          <w:color w:val="auto"/>
          <w:szCs w:val="32"/>
          <w:lang w:val="en-US" w:eastAsia="zh-CN"/>
        </w:rPr>
        <w:t>4339.20万元；占92.26%；</w:t>
      </w:r>
      <w:r>
        <w:rPr>
          <w:rFonts w:hint="eastAsia" w:ascii="仿宋_GB2312"/>
          <w:color w:val="auto"/>
          <w:szCs w:val="32"/>
        </w:rPr>
        <w:t>住房保障支出</w:t>
      </w:r>
      <w:r>
        <w:rPr>
          <w:rFonts w:hint="eastAsia" w:ascii="仿宋_GB2312"/>
          <w:color w:val="auto"/>
          <w:szCs w:val="32"/>
          <w:lang w:val="en-US" w:eastAsia="zh-CN"/>
        </w:rPr>
        <w:t>364万元，占7.74%。</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4505.29</w:t>
      </w:r>
      <w:r>
        <w:rPr>
          <w:rFonts w:hint="eastAsia"/>
          <w:szCs w:val="32"/>
        </w:rPr>
        <w:t>万元，</w:t>
      </w:r>
      <w:r>
        <w:rPr>
          <w:rFonts w:hint="eastAsia"/>
          <w:szCs w:val="32"/>
          <w:lang w:eastAsia="zh-CN"/>
        </w:rPr>
        <w:t>本年度财政拨款支出预算调整数</w:t>
      </w:r>
      <w:r>
        <w:rPr>
          <w:rFonts w:hint="eastAsia"/>
          <w:szCs w:val="32"/>
          <w:lang w:val="en-US" w:eastAsia="zh-CN"/>
        </w:rPr>
        <w:t>4703.20万元，</w:t>
      </w:r>
      <w:r>
        <w:rPr>
          <w:rFonts w:hint="eastAsia"/>
          <w:szCs w:val="32"/>
        </w:rPr>
        <w:t>支出决</w:t>
      </w:r>
      <w:r>
        <w:rPr>
          <w:rFonts w:hint="eastAsia"/>
          <w:szCs w:val="32"/>
          <w:lang w:val="en-US" w:eastAsia="zh-CN"/>
        </w:rPr>
        <w:t>算4703.20</w:t>
      </w:r>
      <w:r>
        <w:rPr>
          <w:rFonts w:hint="eastAsia"/>
          <w:szCs w:val="32"/>
        </w:rPr>
        <w:t>万元，</w:t>
      </w:r>
      <w:r>
        <w:rPr>
          <w:rFonts w:hint="eastAsia"/>
          <w:szCs w:val="32"/>
          <w:lang w:eastAsia="zh-CN"/>
        </w:rPr>
        <w:t>占调整预算数的</w:t>
      </w:r>
      <w:r>
        <w:rPr>
          <w:rFonts w:hint="eastAsia"/>
          <w:szCs w:val="32"/>
          <w:lang w:val="en-US" w:eastAsia="zh-CN"/>
        </w:rPr>
        <w:t>100%。</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r>
              <w:rPr>
                <w:rFonts w:hint="eastAsia" w:ascii="宋体" w:hAnsi="宋体" w:cs="Arial"/>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卫生健康支出</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21004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公共卫生</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2100410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突发公共卫生事件应急处理</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城乡社区支出</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4798.44</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4339.20</w:t>
            </w:r>
          </w:p>
        </w:tc>
        <w:tc>
          <w:tcPr>
            <w:tcW w:w="139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城乡社区管理事务</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41.72</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3845.51</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9117.43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2120101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行政运行</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41.72</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344.75</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726.35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2120102</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一般行政管理事务</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4381.21</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39.80</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2120399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其他城乡社区公共设施支出</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4381.21</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21203</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城乡社区公共设施</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宋体" w:hAnsi="宋体" w:eastAsia="宋体" w:cs="宋体"/>
                <w:i w:val="0"/>
                <w:color w:val="000000"/>
                <w:kern w:val="0"/>
                <w:sz w:val="22"/>
                <w:szCs w:val="22"/>
                <w:u w:val="none"/>
                <w:lang w:val="en-US" w:eastAsia="zh-CN" w:bidi="ar"/>
              </w:rPr>
            </w:pPr>
          </w:p>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382.89</w:t>
            </w:r>
          </w:p>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lang w:val="en-US" w:eastAsia="zh-CN"/>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2120399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其他城乡社区公共设施支出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382.89</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21205</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城乡社区环境卫生</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125.72</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2120501</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城乡社区环境卫生</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125.72</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农林水支出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5055</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21305</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扶贫</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5055</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2130504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农村基础设施建设</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4055</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2130599</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其他扶贫支出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1000</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221</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住房保障支出</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1654.40</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364</w:t>
            </w:r>
          </w:p>
        </w:tc>
        <w:tc>
          <w:tcPr>
            <w:tcW w:w="139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22101</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保障性安居工程支出</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1654.40</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364</w:t>
            </w:r>
          </w:p>
        </w:tc>
        <w:tc>
          <w:tcPr>
            <w:tcW w:w="139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2210105</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农村危房改造</w:t>
            </w:r>
          </w:p>
        </w:tc>
        <w:tc>
          <w:tcPr>
            <w:tcW w:w="1876"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1654.40</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364</w:t>
            </w:r>
          </w:p>
        </w:tc>
        <w:tc>
          <w:tcPr>
            <w:tcW w:w="1393"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keepNext w:val="0"/>
              <w:keepLines w:val="0"/>
              <w:suppressLineNumbers w:val="0"/>
              <w:spacing w:before="0" w:beforeAutospacing="0" w:after="0" w:afterAutospacing="0"/>
              <w:ind w:left="0" w:leftChars="0" w:right="0" w:firstLine="0" w:firstLineChars="0"/>
              <w:jc w:val="center"/>
              <w:rPr>
                <w:rFonts w:hint="default" w:ascii="仿宋" w:hAnsi="仿宋" w:eastAsia="仿宋" w:cs="仿宋"/>
                <w:color w:val="FF0000"/>
                <w:sz w:val="24"/>
                <w:szCs w:val="24"/>
                <w:lang w:val="en-US" w:eastAsia="zh-CN"/>
              </w:rPr>
            </w:pPr>
            <w:r>
              <w:rPr>
                <w:rFonts w:hint="eastAsia" w:ascii="仿宋" w:hAnsi="仿宋" w:eastAsia="仿宋" w:cs="仿宋"/>
                <w:color w:val="auto"/>
                <w:sz w:val="24"/>
                <w:szCs w:val="24"/>
                <w:lang w:val="en-US" w:eastAsia="zh-CN"/>
              </w:rPr>
              <w:t>合计</w:t>
            </w:r>
          </w:p>
        </w:tc>
        <w:tc>
          <w:tcPr>
            <w:tcW w:w="2479"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FF0000"/>
                <w:sz w:val="24"/>
                <w:szCs w:val="24"/>
              </w:rPr>
            </w:pPr>
          </w:p>
        </w:tc>
        <w:tc>
          <w:tcPr>
            <w:tcW w:w="1876"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11510.84</w:t>
            </w:r>
          </w:p>
        </w:tc>
        <w:tc>
          <w:tcPr>
            <w:tcW w:w="1684"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4703.20</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-59.15</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leftChars="0" w:right="0" w:firstLine="280" w:firstLineChars="10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11510.84</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4703.20</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leftChars="0" w:right="0" w:rightChars="0" w:firstLine="0" w:firstLineChars="0"/>
              <w:jc w:val="right"/>
              <w:textAlignment w:val="center"/>
              <w:rPr>
                <w:rFonts w:hint="eastAsia" w:ascii="仿宋" w:hAnsi="仿宋" w:eastAsia="仿宋" w:cs="仿宋"/>
                <w:color w:val="auto"/>
                <w:kern w:val="0"/>
                <w:sz w:val="28"/>
                <w:szCs w:val="28"/>
              </w:rPr>
            </w:pPr>
            <w:r>
              <w:rPr>
                <w:rFonts w:hint="eastAsia" w:ascii="宋体" w:hAnsi="宋体" w:eastAsia="宋体" w:cs="宋体"/>
                <w:color w:val="auto"/>
                <w:kern w:val="0"/>
                <w:sz w:val="28"/>
                <w:szCs w:val="28"/>
                <w:lang w:val="en-US" w:eastAsia="zh-CN" w:bidi="ar"/>
              </w:rPr>
              <w:t>293.59</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300.91</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leftChars="0" w:right="0" w:rightChars="0" w:firstLine="0" w:firstLineChars="0"/>
              <w:jc w:val="right"/>
              <w:textAlignment w:val="center"/>
              <w:rPr>
                <w:rFonts w:hint="default" w:ascii="仿宋" w:hAnsi="仿宋" w:eastAsia="仿宋" w:cs="仿宋"/>
                <w:color w:val="auto"/>
                <w:kern w:val="0"/>
                <w:sz w:val="28"/>
                <w:szCs w:val="28"/>
                <w:lang w:val="en-US"/>
              </w:rPr>
            </w:pPr>
            <w:r>
              <w:rPr>
                <w:rFonts w:hint="eastAsia" w:ascii="宋体" w:hAnsi="宋体" w:eastAsia="宋体" w:cs="宋体"/>
                <w:color w:val="auto"/>
                <w:kern w:val="0"/>
                <w:sz w:val="28"/>
                <w:szCs w:val="28"/>
                <w:lang w:val="en-US" w:eastAsia="zh-CN" w:bidi="ar"/>
              </w:rPr>
              <w:t>550.38</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312.98</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leftChars="0" w:right="0" w:rightChars="0" w:firstLine="0" w:firstLineChars="0"/>
              <w:jc w:val="right"/>
              <w:rPr>
                <w:rFonts w:hint="eastAsia" w:ascii="仿宋" w:hAnsi="仿宋" w:eastAsia="仿宋" w:cs="仿宋"/>
                <w:color w:val="auto"/>
                <w:kern w:val="0"/>
                <w:sz w:val="28"/>
                <w:szCs w:val="28"/>
              </w:rPr>
            </w:pPr>
            <w:r>
              <w:rPr>
                <w:rFonts w:hint="eastAsia" w:ascii="宋体" w:hAnsi="宋体" w:eastAsia="宋体" w:cs="宋体"/>
                <w:color w:val="auto"/>
                <w:kern w:val="0"/>
                <w:sz w:val="28"/>
                <w:szCs w:val="28"/>
                <w:lang w:val="en-US" w:eastAsia="zh-CN" w:bidi="ar"/>
              </w:rPr>
              <w:t>9.23</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0.18</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spacing w:before="0" w:beforeAutospacing="0" w:after="0" w:afterAutospacing="0"/>
              <w:ind w:left="0" w:leftChars="0" w:right="0" w:rightChars="0" w:firstLine="0" w:firstLineChars="0"/>
              <w:jc w:val="right"/>
              <w:textAlignment w:val="center"/>
              <w:rPr>
                <w:rFonts w:hint="default" w:ascii="仿宋" w:hAnsi="仿宋" w:eastAsia="仿宋" w:cs="仿宋"/>
                <w:color w:val="auto"/>
                <w:kern w:val="0"/>
                <w:sz w:val="24"/>
                <w:szCs w:val="24"/>
                <w:lang w:val="en-US"/>
              </w:rPr>
            </w:pPr>
            <w:r>
              <w:rPr>
                <w:rFonts w:hint="eastAsia" w:ascii="宋体" w:hAnsi="宋体" w:eastAsia="宋体" w:cs="宋体"/>
                <w:color w:val="auto"/>
                <w:kern w:val="2"/>
                <w:sz w:val="24"/>
                <w:szCs w:val="24"/>
                <w:lang w:val="en-US" w:eastAsia="zh-CN" w:bidi="ar"/>
              </w:rPr>
              <w:t>9157.64</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539.13</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keepNext w:val="0"/>
              <w:keepLines w:val="0"/>
              <w:widowControl/>
              <w:suppressLineNumbers w:val="0"/>
              <w:spacing w:before="0" w:beforeAutospacing="0" w:after="0" w:afterAutospacing="0"/>
              <w:ind w:left="0" w:right="0" w:firstLine="562" w:firstLineChars="200"/>
              <w:jc w:val="lef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对企业补助</w:t>
            </w:r>
          </w:p>
        </w:tc>
        <w:tc>
          <w:tcPr>
            <w:tcW w:w="1837" w:type="dxa"/>
            <w:vAlign w:val="center"/>
          </w:tcPr>
          <w:p>
            <w:pPr>
              <w:keepNext w:val="0"/>
              <w:keepLines w:val="0"/>
              <w:widowControl/>
              <w:suppressLineNumbers w:val="0"/>
              <w:spacing w:before="0" w:beforeAutospacing="0" w:after="0" w:afterAutospacing="0"/>
              <w:ind w:left="0" w:leftChars="0" w:right="0" w:rightChars="0" w:firstLine="480" w:firstLineChars="200"/>
              <w:jc w:val="right"/>
              <w:textAlignment w:val="center"/>
              <w:rPr>
                <w:rFonts w:hint="eastAsia" w:ascii="仿宋" w:hAnsi="仿宋" w:eastAsia="仿宋" w:cs="仿宋"/>
                <w:color w:val="auto"/>
                <w:kern w:val="0"/>
                <w:sz w:val="24"/>
                <w:szCs w:val="24"/>
              </w:rPr>
            </w:pPr>
            <w:r>
              <w:rPr>
                <w:rFonts w:hint="eastAsia" w:ascii="宋体" w:hAnsi="宋体" w:eastAsia="宋体" w:cs="宋体"/>
                <w:color w:val="auto"/>
                <w:kern w:val="2"/>
                <w:sz w:val="24"/>
                <w:szCs w:val="24"/>
                <w:lang w:val="en-US" w:eastAsia="zh-CN" w:bidi="ar"/>
              </w:rPr>
              <w:t>1500</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3550</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136.67</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841"/>
      <w:bookmarkStart w:id="20" w:name="_Toc17728"/>
      <w:r>
        <w:rPr>
          <w:rFonts w:hint="eastAsia" w:ascii="仿宋" w:hAnsi="仿宋" w:eastAsia="仿宋" w:cs="仿宋"/>
          <w:b/>
          <w:bCs w:val="0"/>
          <w:lang w:val="en-US" w:eastAsia="zh-CN"/>
        </w:rPr>
        <w:t>六、一般公共预算财政拨款基本支出决算情况说明</w:t>
      </w:r>
      <w:bookmarkEnd w:id="19"/>
      <w:bookmarkEnd w:id="20"/>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317.13</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300.91</w:t>
      </w:r>
      <w:r>
        <w:rPr>
          <w:rFonts w:hint="eastAsia" w:ascii="仿宋_GB2312"/>
          <w:szCs w:val="32"/>
        </w:rPr>
        <w:t>万元</w:t>
      </w:r>
      <w:r>
        <w:rPr>
          <w:rFonts w:ascii="仿宋_GB2312"/>
          <w:szCs w:val="32"/>
        </w:rPr>
        <w:t>，</w:t>
      </w:r>
      <w:r>
        <w:rPr>
          <w:rFonts w:hint="eastAsia" w:ascii="仿宋_GB2312" w:hAnsi="Times New Roman" w:eastAsia="仿宋_GB2312" w:cs="仿宋_GB2312"/>
          <w:kern w:val="2"/>
          <w:sz w:val="32"/>
          <w:szCs w:val="32"/>
          <w:lang w:val="en-US" w:eastAsia="zh-CN" w:bidi="ar"/>
        </w:rPr>
        <w:t>主要包括基本工资</w:t>
      </w:r>
      <w:r>
        <w:rPr>
          <w:rFonts w:hint="eastAsia" w:ascii="仿宋_GB2312" w:hAnsi="Times New Roman" w:cs="仿宋_GB2312"/>
          <w:kern w:val="2"/>
          <w:sz w:val="32"/>
          <w:szCs w:val="32"/>
          <w:lang w:val="en-US" w:eastAsia="zh-CN" w:bidi="ar"/>
        </w:rPr>
        <w:t>131.09</w:t>
      </w:r>
      <w:r>
        <w:rPr>
          <w:rFonts w:hint="eastAsia" w:ascii="仿宋_GB2312" w:hAnsi="Times New Roman" w:eastAsia="仿宋_GB2312" w:cs="仿宋_GB2312"/>
          <w:kern w:val="2"/>
          <w:sz w:val="32"/>
          <w:szCs w:val="32"/>
          <w:lang w:val="en-US" w:eastAsia="zh-CN" w:bidi="ar"/>
        </w:rPr>
        <w:t>万元，津贴补贴</w:t>
      </w:r>
      <w:r>
        <w:rPr>
          <w:rFonts w:hint="eastAsia" w:ascii="仿宋_GB2312" w:hAnsi="Times New Roman" w:cs="仿宋_GB2312"/>
          <w:kern w:val="2"/>
          <w:sz w:val="32"/>
          <w:szCs w:val="32"/>
          <w:lang w:val="en-US" w:eastAsia="zh-CN" w:bidi="ar"/>
        </w:rPr>
        <w:t>35.54</w:t>
      </w:r>
      <w:r>
        <w:rPr>
          <w:rFonts w:hint="eastAsia" w:ascii="仿宋_GB2312" w:hAnsi="Times New Roman" w:eastAsia="仿宋_GB2312" w:cs="仿宋_GB2312"/>
          <w:kern w:val="2"/>
          <w:sz w:val="32"/>
          <w:szCs w:val="32"/>
          <w:lang w:val="en-US" w:eastAsia="zh-CN" w:bidi="ar"/>
        </w:rPr>
        <w:t>万元；奖金</w:t>
      </w:r>
      <w:r>
        <w:rPr>
          <w:rFonts w:hint="eastAsia" w:ascii="仿宋_GB2312" w:hAnsi="Times New Roman" w:cs="仿宋_GB2312"/>
          <w:kern w:val="2"/>
          <w:sz w:val="32"/>
          <w:szCs w:val="32"/>
          <w:lang w:val="en-US" w:eastAsia="zh-CN" w:bidi="ar"/>
        </w:rPr>
        <w:t>2.79</w:t>
      </w:r>
      <w:r>
        <w:rPr>
          <w:rFonts w:hint="eastAsia" w:ascii="仿宋_GB2312" w:hAnsi="Times New Roman" w:eastAsia="仿宋_GB2312" w:cs="仿宋_GB2312"/>
          <w:kern w:val="2"/>
          <w:sz w:val="32"/>
          <w:szCs w:val="32"/>
          <w:lang w:val="en-US" w:eastAsia="zh-CN" w:bidi="ar"/>
        </w:rPr>
        <w:t>万元，绩效工资</w:t>
      </w:r>
      <w:r>
        <w:rPr>
          <w:rFonts w:hint="eastAsia" w:ascii="仿宋_GB2312" w:hAnsi="Times New Roman" w:cs="仿宋_GB2312"/>
          <w:kern w:val="2"/>
          <w:sz w:val="32"/>
          <w:szCs w:val="32"/>
          <w:lang w:val="en-US" w:eastAsia="zh-CN" w:bidi="ar"/>
        </w:rPr>
        <w:t>60</w:t>
      </w:r>
      <w:r>
        <w:rPr>
          <w:rFonts w:hint="eastAsia" w:ascii="仿宋_GB2312" w:hAnsi="Times New Roman" w:eastAsia="仿宋_GB2312" w:cs="仿宋_GB2312"/>
          <w:kern w:val="2"/>
          <w:sz w:val="32"/>
          <w:szCs w:val="32"/>
          <w:lang w:val="en-US" w:eastAsia="zh-CN" w:bidi="ar"/>
        </w:rPr>
        <w:t>万元，机关事业单位基本养老保险缴费</w:t>
      </w:r>
      <w:r>
        <w:rPr>
          <w:rFonts w:hint="eastAsia" w:ascii="仿宋_GB2312" w:hAnsi="Times New Roman" w:cs="仿宋_GB2312"/>
          <w:kern w:val="2"/>
          <w:sz w:val="32"/>
          <w:szCs w:val="32"/>
          <w:lang w:val="en-US" w:eastAsia="zh-CN" w:bidi="ar"/>
        </w:rPr>
        <w:t>34.66</w:t>
      </w:r>
      <w:r>
        <w:rPr>
          <w:rFonts w:hint="eastAsia" w:ascii="仿宋_GB2312" w:hAnsi="Times New Roman" w:eastAsia="仿宋_GB2312" w:cs="仿宋_GB2312"/>
          <w:kern w:val="2"/>
          <w:sz w:val="32"/>
          <w:szCs w:val="32"/>
          <w:lang w:val="en-US" w:eastAsia="zh-CN" w:bidi="ar"/>
        </w:rPr>
        <w:t>万元；职工基本医疗保险缴费</w:t>
      </w:r>
      <w:r>
        <w:rPr>
          <w:rFonts w:hint="eastAsia" w:ascii="仿宋_GB2312" w:hAnsi="Times New Roman" w:cs="仿宋_GB2312"/>
          <w:kern w:val="2"/>
          <w:sz w:val="32"/>
          <w:szCs w:val="32"/>
          <w:lang w:val="en-US" w:eastAsia="zh-CN" w:bidi="ar"/>
        </w:rPr>
        <w:t>15.22</w:t>
      </w:r>
      <w:r>
        <w:rPr>
          <w:rFonts w:hint="eastAsia" w:ascii="仿宋_GB2312" w:hAnsi="Times New Roman" w:eastAsia="仿宋_GB2312" w:cs="仿宋_GB2312"/>
          <w:kern w:val="2"/>
          <w:sz w:val="32"/>
          <w:szCs w:val="32"/>
          <w:lang w:val="en-US" w:eastAsia="zh-CN" w:bidi="ar"/>
        </w:rPr>
        <w:t>万元；其他社会保障缴费</w:t>
      </w:r>
      <w:r>
        <w:rPr>
          <w:rFonts w:hint="eastAsia" w:ascii="仿宋_GB2312" w:hAnsi="Times New Roman" w:cs="仿宋_GB2312"/>
          <w:kern w:val="2"/>
          <w:sz w:val="32"/>
          <w:szCs w:val="32"/>
          <w:lang w:val="en-US" w:eastAsia="zh-CN" w:bidi="ar"/>
        </w:rPr>
        <w:t>0.28</w:t>
      </w:r>
      <w:r>
        <w:rPr>
          <w:rFonts w:hint="eastAsia" w:ascii="仿宋_GB2312" w:hAnsi="Times New Roman" w:eastAsia="仿宋_GB2312" w:cs="仿宋_GB2312"/>
          <w:kern w:val="2"/>
          <w:sz w:val="32"/>
          <w:szCs w:val="32"/>
          <w:lang w:val="en-US" w:eastAsia="zh-CN" w:bidi="ar"/>
        </w:rPr>
        <w:t>万元住房公积金</w:t>
      </w:r>
      <w:r>
        <w:rPr>
          <w:rFonts w:hint="eastAsia" w:ascii="仿宋_GB2312" w:hAnsi="Times New Roman" w:cs="仿宋_GB2312"/>
          <w:kern w:val="2"/>
          <w:sz w:val="32"/>
          <w:szCs w:val="32"/>
          <w:lang w:val="en-US" w:eastAsia="zh-CN" w:bidi="ar"/>
        </w:rPr>
        <w:t>21.33</w:t>
      </w:r>
      <w:r>
        <w:rPr>
          <w:rFonts w:hint="eastAsia" w:ascii="仿宋_GB2312" w:hAnsi="Times New Roman" w:eastAsia="仿宋_GB2312" w:cs="仿宋_GB2312"/>
          <w:kern w:val="2"/>
          <w:sz w:val="32"/>
          <w:szCs w:val="32"/>
          <w:lang w:val="en-US" w:eastAsia="zh-CN" w:bidi="ar"/>
        </w:rPr>
        <w:t>万元</w:t>
      </w:r>
      <w:r>
        <w:rPr>
          <w:rFonts w:hint="eastAsia" w:ascii="仿宋_GB2312" w:hAnsi="Times New Roman" w:cs="仿宋_GB2312"/>
          <w:kern w:val="2"/>
          <w:sz w:val="32"/>
          <w:szCs w:val="32"/>
          <w:lang w:val="en-US" w:eastAsia="zh-CN" w:bidi="ar"/>
        </w:rPr>
        <w:t>。</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对个人和家庭的补助</w:t>
      </w:r>
      <w:r>
        <w:rPr>
          <w:rFonts w:hint="eastAsia" w:ascii="仿宋_GB2312" w:hAnsi="Times New Roman" w:cs="仿宋_GB2312"/>
          <w:kern w:val="2"/>
          <w:sz w:val="32"/>
          <w:szCs w:val="32"/>
          <w:lang w:val="en-US" w:eastAsia="zh-CN" w:bidi="ar"/>
        </w:rPr>
        <w:t>（奖励金）0.18万元。</w:t>
      </w:r>
    </w:p>
    <w:p>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sz w:val="32"/>
          <w:szCs w:val="32"/>
          <w:lang w:val="en-US"/>
        </w:rPr>
      </w:pPr>
      <w:r>
        <w:rPr>
          <w:rFonts w:hint="eastAsia" w:ascii="仿宋_GB2312"/>
          <w:szCs w:val="32"/>
        </w:rPr>
        <w:t>公用</w:t>
      </w:r>
      <w:r>
        <w:rPr>
          <w:rFonts w:ascii="仿宋_GB2312"/>
          <w:szCs w:val="32"/>
        </w:rPr>
        <w:t>经费</w:t>
      </w:r>
      <w:r>
        <w:rPr>
          <w:rFonts w:hint="eastAsia" w:ascii="仿宋_GB2312"/>
          <w:szCs w:val="32"/>
          <w:lang w:val="en-US" w:eastAsia="zh-CN"/>
        </w:rPr>
        <w:t>16.04</w:t>
      </w:r>
      <w:r>
        <w:rPr>
          <w:rFonts w:hint="eastAsia" w:ascii="仿宋_GB2312"/>
          <w:szCs w:val="32"/>
        </w:rPr>
        <w:t>万元</w:t>
      </w:r>
      <w:r>
        <w:rPr>
          <w:rFonts w:ascii="仿宋_GB2312"/>
          <w:szCs w:val="32"/>
        </w:rPr>
        <w:t>，主要包</w:t>
      </w:r>
      <w:r>
        <w:rPr>
          <w:rFonts w:hint="eastAsia" w:ascii="仿宋_GB2312"/>
          <w:szCs w:val="32"/>
          <w:lang w:val="en-US" w:eastAsia="zh-CN"/>
        </w:rPr>
        <w:t>括：办公费5 万元，</w:t>
      </w:r>
      <w:r>
        <w:rPr>
          <w:rFonts w:hint="eastAsia" w:ascii="仿宋_GB2312" w:hAnsi="Times New Roman" w:eastAsia="仿宋_GB2312" w:cs="仿宋_GB2312"/>
          <w:kern w:val="2"/>
          <w:sz w:val="32"/>
          <w:szCs w:val="32"/>
          <w:lang w:val="en-US" w:eastAsia="zh-CN" w:bidi="ar"/>
        </w:rPr>
        <w:t>印刷费</w:t>
      </w:r>
      <w:r>
        <w:rPr>
          <w:rFonts w:hint="eastAsia" w:ascii="仿宋_GB2312" w:hAnsi="Times New Roman" w:cs="仿宋_GB2312"/>
          <w:kern w:val="2"/>
          <w:sz w:val="32"/>
          <w:szCs w:val="32"/>
          <w:lang w:val="en-US" w:eastAsia="zh-CN" w:bidi="ar"/>
        </w:rPr>
        <w:t>0.3</w:t>
      </w:r>
      <w:r>
        <w:rPr>
          <w:rFonts w:hint="eastAsia" w:ascii="仿宋_GB2312" w:hAnsi="Times New Roman" w:eastAsia="仿宋_GB2312" w:cs="仿宋_GB2312"/>
          <w:kern w:val="2"/>
          <w:sz w:val="32"/>
          <w:szCs w:val="32"/>
          <w:lang w:val="en-US" w:eastAsia="zh-CN" w:bidi="ar"/>
        </w:rPr>
        <w:t>万元</w:t>
      </w:r>
      <w:r>
        <w:rPr>
          <w:rFonts w:hint="eastAsia" w:ascii="仿宋_GB2312" w:hAnsi="Times New Roman" w:cs="仿宋_GB2312"/>
          <w:kern w:val="2"/>
          <w:sz w:val="32"/>
          <w:szCs w:val="32"/>
          <w:lang w:val="en-US" w:eastAsia="zh-CN" w:bidi="ar"/>
        </w:rPr>
        <w:t>，培训费0.36</w:t>
      </w:r>
      <w:r>
        <w:rPr>
          <w:rFonts w:hint="eastAsia" w:ascii="仿宋_GB2312" w:hAnsi="Times New Roman" w:eastAsia="仿宋_GB2312" w:cs="仿宋_GB2312"/>
          <w:kern w:val="2"/>
          <w:sz w:val="32"/>
          <w:szCs w:val="32"/>
          <w:lang w:val="en-US" w:eastAsia="zh-CN" w:bidi="ar"/>
        </w:rPr>
        <w:t>万元；</w:t>
      </w:r>
      <w:r>
        <w:rPr>
          <w:rFonts w:hint="eastAsia" w:ascii="仿宋_GB2312" w:hAnsi="Times New Roman" w:cs="仿宋_GB2312"/>
          <w:kern w:val="2"/>
          <w:sz w:val="32"/>
          <w:szCs w:val="32"/>
          <w:lang w:val="en-US" w:eastAsia="zh-CN" w:bidi="ar"/>
        </w:rPr>
        <w:t>劳务费0.1万元，工会费2.56万元，福利费2.14</w:t>
      </w:r>
      <w:r>
        <w:rPr>
          <w:rFonts w:hint="eastAsia" w:ascii="仿宋_GB2312" w:hAnsi="Times New Roman" w:eastAsia="仿宋_GB2312" w:cs="仿宋_GB2312"/>
          <w:kern w:val="2"/>
          <w:sz w:val="32"/>
          <w:szCs w:val="32"/>
          <w:lang w:val="en-US" w:eastAsia="zh-CN" w:bidi="ar"/>
        </w:rPr>
        <w:t>万元；其他交通费用</w:t>
      </w:r>
      <w:r>
        <w:rPr>
          <w:rFonts w:hint="eastAsia" w:ascii="仿宋_GB2312" w:hAnsi="Times New Roman" w:cs="仿宋_GB2312"/>
          <w:kern w:val="2"/>
          <w:sz w:val="32"/>
          <w:szCs w:val="32"/>
          <w:lang w:val="en-US" w:eastAsia="zh-CN" w:bidi="ar"/>
        </w:rPr>
        <w:t>5.58</w:t>
      </w:r>
      <w:r>
        <w:rPr>
          <w:rFonts w:hint="eastAsia" w:ascii="仿宋_GB2312" w:hAnsi="Times New Roman" w:eastAsia="仿宋_GB2312" w:cs="仿宋_GB2312"/>
          <w:kern w:val="2"/>
          <w:sz w:val="32"/>
          <w:szCs w:val="32"/>
          <w:lang w:val="en-US" w:eastAsia="zh-CN" w:bidi="ar"/>
        </w:rPr>
        <w:t>万元</w:t>
      </w:r>
      <w:r>
        <w:rPr>
          <w:rFonts w:hint="eastAsia" w:ascii="仿宋_GB2312" w:hAnsi="Times New Roman" w:cs="仿宋_GB2312"/>
          <w:kern w:val="2"/>
          <w:sz w:val="32"/>
          <w:szCs w:val="32"/>
          <w:lang w:val="en-US" w:eastAsia="zh-CN" w:bidi="ar"/>
        </w:rPr>
        <w:t>。</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4386.07</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1" w:name="_Toc2304"/>
      <w:bookmarkStart w:id="22" w:name="_Toc26508"/>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2.37</w:t>
      </w:r>
      <w:r>
        <w:rPr>
          <w:rFonts w:hint="eastAsia" w:ascii="仿宋_GB2312"/>
          <w:color w:val="auto"/>
          <w:szCs w:val="32"/>
        </w:rPr>
        <w:t>万元，</w:t>
      </w:r>
      <w:r>
        <w:rPr>
          <w:rFonts w:hint="eastAsia"/>
          <w:color w:val="auto"/>
          <w:sz w:val="28"/>
          <w:szCs w:val="28"/>
        </w:rPr>
        <w:t>公务用车购置及运行维护费</w:t>
      </w:r>
      <w:r>
        <w:rPr>
          <w:rFonts w:hint="eastAsia" w:ascii="仿宋_GB2312"/>
          <w:color w:val="auto"/>
          <w:szCs w:val="32"/>
        </w:rPr>
        <w:t>费支出决算</w:t>
      </w:r>
      <w:r>
        <w:rPr>
          <w:rFonts w:hint="eastAsia" w:ascii="仿宋_GB2312"/>
          <w:color w:val="auto"/>
          <w:szCs w:val="32"/>
          <w:lang w:val="en-US" w:eastAsia="zh-CN"/>
        </w:rPr>
        <w:t>2.37</w:t>
      </w:r>
      <w:r>
        <w:rPr>
          <w:rFonts w:hint="eastAsia" w:ascii="仿宋_GB2312"/>
          <w:color w:val="auto"/>
          <w:szCs w:val="32"/>
        </w:rPr>
        <w:t>万元，比上年增加</w:t>
      </w:r>
      <w:r>
        <w:rPr>
          <w:rFonts w:hint="eastAsia" w:ascii="仿宋_GB2312"/>
          <w:color w:val="auto"/>
          <w:szCs w:val="32"/>
          <w:lang w:val="en-US" w:eastAsia="zh-CN"/>
        </w:rPr>
        <w:t>2.37</w:t>
      </w:r>
      <w:r>
        <w:rPr>
          <w:rFonts w:hint="eastAsia" w:ascii="仿宋_GB2312"/>
          <w:color w:val="auto"/>
          <w:szCs w:val="32"/>
        </w:rPr>
        <w:t>万元，增长</w:t>
      </w:r>
      <w:r>
        <w:rPr>
          <w:rFonts w:hint="eastAsia" w:ascii="仿宋_GB2312"/>
          <w:color w:val="auto"/>
          <w:szCs w:val="32"/>
          <w:lang w:val="en-US" w:eastAsia="zh-CN"/>
        </w:rPr>
        <w:t>100</w:t>
      </w:r>
      <w:r>
        <w:rPr>
          <w:rFonts w:hint="eastAsia" w:ascii="仿宋_GB2312"/>
          <w:color w:val="auto"/>
          <w:szCs w:val="32"/>
        </w:rPr>
        <w:t>%。具体情况如下：</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spacing w:before="0" w:beforeAutospacing="0" w:after="0" w:afterAutospacing="0" w:line="300" w:lineRule="exact"/>
              <w:ind w:left="0" w:right="0" w:firstLine="2368" w:firstLineChars="1123"/>
              <w:rPr>
                <w:rFonts w:hint="eastAsia"/>
                <w:b/>
                <w:color w:val="000000"/>
                <w:sz w:val="21"/>
                <w:szCs w:val="21"/>
              </w:rPr>
            </w:pPr>
            <w:r>
              <w:rPr>
                <w:rFonts w:hint="eastAsia"/>
                <w:b/>
                <w:color w:val="000000"/>
                <w:sz w:val="21"/>
                <w:szCs w:val="21"/>
              </w:rPr>
              <w:t>年度</w:t>
            </w:r>
          </w:p>
          <w:p>
            <w:pPr>
              <w:pStyle w:val="8"/>
              <w:keepNext w:val="0"/>
              <w:keepLines w:val="0"/>
              <w:suppressLineNumbers w:val="0"/>
              <w:spacing w:before="0" w:beforeAutospacing="0" w:after="0" w:afterAutospacing="0" w:line="300" w:lineRule="exact"/>
              <w:ind w:left="0" w:right="0"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keepNext w:val="0"/>
              <w:keepLines w:val="0"/>
              <w:suppressLineNumbers w:val="0"/>
              <w:ind w:left="0" w:leftChars="0" w:righ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因公出国（境）费</w:t>
            </w: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公务接待费</w:t>
            </w: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leftChars="0" w:right="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keepNext w:val="0"/>
              <w:keepLines w:val="0"/>
              <w:suppressLineNumbers w:val="0"/>
              <w:ind w:left="0" w:right="0"/>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default" w:eastAsia="仿宋_GB2312"/>
                <w:color w:val="000000"/>
                <w:sz w:val="28"/>
                <w:szCs w:val="28"/>
                <w:lang w:val="en-US" w:eastAsia="zh-CN"/>
              </w:rPr>
            </w:pPr>
            <w:r>
              <w:rPr>
                <w:rFonts w:hint="eastAsia"/>
                <w:color w:val="000000"/>
                <w:sz w:val="28"/>
                <w:szCs w:val="28"/>
                <w:lang w:val="en-US" w:eastAsia="zh-CN"/>
              </w:rPr>
              <w:t>2.37</w:t>
            </w:r>
          </w:p>
        </w:tc>
        <w:tc>
          <w:tcPr>
            <w:tcW w:w="1418" w:type="dxa"/>
            <w:vAlign w:val="top"/>
          </w:tcPr>
          <w:p>
            <w:pPr>
              <w:pStyle w:val="8"/>
              <w:keepNext w:val="0"/>
              <w:keepLines w:val="0"/>
              <w:suppressLineNumbers w:val="0"/>
              <w:ind w:left="0" w:right="0"/>
              <w:jc w:val="right"/>
              <w:rPr>
                <w:rFonts w:hint="default" w:eastAsia="宋体"/>
                <w:color w:val="000000"/>
                <w:sz w:val="28"/>
                <w:szCs w:val="28"/>
                <w:lang w:val="en-US" w:eastAsia="zh-CN"/>
              </w:rPr>
            </w:pPr>
          </w:p>
        </w:tc>
      </w:tr>
    </w:tbl>
    <w:p>
      <w:pPr>
        <w:pStyle w:val="3"/>
        <w:rPr>
          <w:rFonts w:hint="eastAsia" w:ascii="仿宋" w:hAnsi="仿宋" w:eastAsia="仿宋" w:cs="仿宋"/>
          <w:b/>
          <w:bCs w:val="0"/>
          <w:lang w:val="en-US" w:eastAsia="zh-CN"/>
        </w:rPr>
      </w:pPr>
      <w:bookmarkStart w:id="31" w:name="_GoBack"/>
      <w:bookmarkEnd w:id="31"/>
      <w:bookmarkStart w:id="23" w:name="_Toc1792"/>
      <w:bookmarkStart w:id="24" w:name="_Toc9078"/>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16.05</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比20</w:t>
      </w:r>
      <w:r>
        <w:rPr>
          <w:rFonts w:hint="eastAsia" w:ascii="仿宋_GB2312" w:hAnsi="宋体"/>
          <w:szCs w:val="32"/>
          <w:lang w:val="en-US" w:eastAsia="zh-CN"/>
        </w:rPr>
        <w:t>20</w:t>
      </w:r>
      <w:r>
        <w:rPr>
          <w:rFonts w:hint="eastAsia" w:ascii="仿宋_GB2312" w:hAnsi="宋体"/>
          <w:szCs w:val="32"/>
        </w:rPr>
        <w:t>年减少</w:t>
      </w:r>
      <w:r>
        <w:rPr>
          <w:rFonts w:hint="eastAsia" w:ascii="仿宋_GB2312" w:hAnsi="宋体"/>
          <w:szCs w:val="32"/>
          <w:lang w:val="en-US" w:eastAsia="zh-CN"/>
        </w:rPr>
        <w:t>97.90</w:t>
      </w:r>
      <w:r>
        <w:rPr>
          <w:rFonts w:hint="eastAsia" w:ascii="仿宋_GB2312" w:hAnsi="宋体"/>
          <w:szCs w:val="32"/>
        </w:rPr>
        <w:t>万元，降低</w:t>
      </w:r>
      <w:r>
        <w:rPr>
          <w:rFonts w:hint="eastAsia" w:ascii="仿宋_GB2312" w:hAnsi="宋体"/>
          <w:szCs w:val="32"/>
          <w:lang w:val="en-US" w:eastAsia="zh-CN"/>
        </w:rPr>
        <w:t>85.58</w:t>
      </w:r>
      <w:r>
        <w:rPr>
          <w:rFonts w:hint="eastAsia" w:ascii="仿宋_GB2312" w:hAnsi="宋体"/>
          <w:szCs w:val="32"/>
        </w:rPr>
        <w:t>%。主要原因是：</w:t>
      </w:r>
      <w:r>
        <w:rPr>
          <w:rFonts w:hint="eastAsia" w:ascii="仿宋_GB2312" w:hAnsi="宋体"/>
          <w:szCs w:val="32"/>
          <w:lang w:val="en-US" w:eastAsia="zh-CN"/>
        </w:rPr>
        <w:t>经费减少。</w:t>
      </w: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eastAsia="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3628.20</w:t>
      </w:r>
      <w:r>
        <w:rPr>
          <w:rFonts w:hint="eastAsia" w:ascii="仿宋_GB2312"/>
          <w:szCs w:val="32"/>
        </w:rPr>
        <w:t>万元，其中：政府采购货物支出</w:t>
      </w:r>
      <w:r>
        <w:rPr>
          <w:rFonts w:hint="eastAsia" w:ascii="仿宋_GB2312"/>
          <w:szCs w:val="32"/>
          <w:lang w:val="en-US" w:eastAsia="zh-CN"/>
        </w:rPr>
        <w:t>9.13</w:t>
      </w:r>
      <w:r>
        <w:rPr>
          <w:rFonts w:hint="eastAsia" w:ascii="仿宋_GB2312"/>
          <w:szCs w:val="32"/>
        </w:rPr>
        <w:t>万元、政府采购工程支出</w:t>
      </w:r>
      <w:r>
        <w:rPr>
          <w:rFonts w:hint="eastAsia" w:ascii="仿宋_GB2312"/>
          <w:szCs w:val="32"/>
          <w:lang w:val="en-US" w:eastAsia="zh-CN"/>
        </w:rPr>
        <w:t>3619.06</w:t>
      </w:r>
      <w:r>
        <w:rPr>
          <w:rFonts w:hint="eastAsia" w:ascii="仿宋_GB2312"/>
          <w:szCs w:val="32"/>
        </w:rPr>
        <w:t>万元</w:t>
      </w:r>
      <w:r>
        <w:rPr>
          <w:rFonts w:hint="eastAsia" w:ascii="仿宋_GB2312"/>
          <w:szCs w:val="32"/>
          <w:lang w:eastAsia="zh-CN"/>
        </w:rPr>
        <w:t>。</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w:t>
      </w:r>
      <w:r>
        <w:rPr>
          <w:rFonts w:hint="eastAsia" w:ascii="仿宋_GB2312"/>
          <w:szCs w:val="32"/>
          <w:lang w:val="en-US" w:eastAsia="zh-CN"/>
        </w:rPr>
        <w:t>4</w:t>
      </w:r>
      <w:r>
        <w:rPr>
          <w:rFonts w:hint="eastAsia" w:ascii="仿宋_GB2312"/>
          <w:szCs w:val="32"/>
        </w:rPr>
        <w:t>辆。其他用车</w:t>
      </w:r>
      <w:r>
        <w:rPr>
          <w:rFonts w:hint="eastAsia" w:ascii="仿宋_GB2312"/>
          <w:szCs w:val="32"/>
          <w:lang w:val="en-US" w:eastAsia="zh-CN"/>
        </w:rPr>
        <w:t>4</w:t>
      </w:r>
      <w:r>
        <w:rPr>
          <w:rFonts w:hint="eastAsia" w:ascii="仿宋_GB2312"/>
          <w:szCs w:val="32"/>
        </w:rPr>
        <w:t>辆，其他用车主要是</w:t>
      </w:r>
      <w:r>
        <w:rPr>
          <w:rFonts w:hint="eastAsia" w:ascii="仿宋_GB2312"/>
          <w:szCs w:val="32"/>
          <w:lang w:val="en-US" w:eastAsia="zh-CN"/>
        </w:rPr>
        <w:t>公务用车</w:t>
      </w:r>
      <w:r>
        <w:rPr>
          <w:rFonts w:hint="eastAsia" w:ascii="仿宋_GB2312"/>
          <w:szCs w:val="32"/>
        </w:rPr>
        <w:t>；</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2"/>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2021年本单位重点项目绩效目标情况自评说明，涉及金额等。</w:t>
      </w:r>
    </w:p>
    <w:p>
      <w:pPr>
        <w:numPr>
          <w:ilvl w:val="0"/>
          <w:numId w:val="2"/>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专项资金类和</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00万元以上的经费补助类</w:t>
      </w: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lang w:val="en-US" w:eastAsia="zh-CN"/>
        </w:rPr>
        <w:t>个项目支出全面开展绩</w:t>
      </w:r>
      <w:r>
        <w:rPr>
          <w:rFonts w:hint="eastAsia" w:ascii="仿宋_GB2312" w:hAnsi="仿宋_GB2312" w:eastAsia="仿宋_GB2312" w:cs="仿宋_GB2312"/>
          <w:sz w:val="32"/>
          <w:szCs w:val="32"/>
          <w:lang w:val="en-US" w:eastAsia="zh-CN"/>
        </w:rPr>
        <w:t>效自评，涉及预算资金万元，占一般公共预算项目支出总额的XX%。</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ascii="仿宋_GB2312" w:hAnsi="仿宋_GB2312" w:eastAsia="仿宋_GB2312" w:cs="仿宋_GB2312"/>
          <w:color w:val="auto"/>
          <w:sz w:val="32"/>
          <w:u w:val="none"/>
        </w:rPr>
        <w:t>居民供热补贴</w:t>
      </w:r>
      <w:r>
        <w:rPr>
          <w:rFonts w:hint="eastAsia" w:ascii="仿宋_GB2312" w:hAnsi="仿宋_GB2312" w:eastAsia="仿宋_GB2312" w:cs="仿宋_GB2312"/>
          <w:sz w:val="32"/>
          <w:szCs w:val="32"/>
          <w:lang w:val="en-US" w:eastAsia="zh-CN"/>
        </w:rPr>
        <w:t>项目绩效自评综述：根据年初设定的绩效目标，项目自评得分为</w:t>
      </w:r>
      <w:r>
        <w:rPr>
          <w:color w:val="auto"/>
          <w:u w:val="none"/>
        </w:rPr>
        <w:t>99.5</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3550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3550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对2019-2020年采暖季居民供热单位成本与价格倒挂亏损，供热系统节能和环保改造，既有建筑供热经营设施改造，既有住宅供热经营设施改造，可再生能源、清洁能源供热运行等进行补贴；二是对2021年采暖季居民供热单位成本与价格倒挂亏损，供热系统节能和环保改造，可再生能源、清洁能源供热运行等进行补贴。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color w:val="auto"/>
          <w:sz w:val="32"/>
          <w:u w:val="none"/>
        </w:rPr>
        <w:t>居民供热补贴</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项目绩效自评综述：综合考虑预算执行情况、产出、效益、服务对象满意度各方面因素，通过数据采集及分析，最终评分结果：居民供热补贴（2021年）项目绩效自评价结果为:总得分99.5分，属于"优秀"。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2、静乐县2020年环境综合整治及设备采购项目</w:t>
      </w:r>
      <w:r>
        <w:rPr>
          <w:rFonts w:hint="eastAsia" w:ascii="仿宋_GB2312" w:hAnsi="仿宋_GB2312" w:eastAsia="仿宋_GB2312" w:cs="仿宋_GB2312"/>
          <w:sz w:val="32"/>
          <w:szCs w:val="32"/>
          <w:lang w:val="en-US" w:eastAsia="zh-CN"/>
        </w:rPr>
        <w:t>绩效自评综述：根据年初设定的绩效目标，项目自评得分为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193.5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193.5</w:t>
      </w:r>
      <w:r>
        <w:rPr>
          <w:rFonts w:hint="eastAsia" w:ascii="仿宋_GB2312" w:hAnsi="仿宋_GB2312" w:eastAsia="仿宋_GB2312" w:cs="仿宋_GB2312"/>
          <w:sz w:val="32"/>
          <w:szCs w:val="32"/>
          <w:lang w:val="en-US" w:eastAsia="zh-CN"/>
        </w:rPr>
        <w:t>万元，完成预算的100%。项目绩效目标完成情况：农村生活垃圾清运设备采购勾臂车10辆，垃圾箱504个，建设垃圾中转站3座。发现的主要问题及原因：无。下一步改进措施：无。</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居民供热补贴项目绩效自评综述：综合考虑预算执行情况、产出、效益、服务对象满意度各方面因素，通过数据采集及分析，最终评分结果：静乐县2020年环境综合整治及设备采购项目项目绩效自评价结果为:总得分100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ascii="仿宋_GB2312" w:hAnsi="仿宋_GB2312" w:eastAsia="仿宋_GB2312" w:cs="仿宋_GB2312"/>
          <w:color w:val="auto"/>
          <w:sz w:val="32"/>
          <w:u w:val="none"/>
        </w:rPr>
        <w:t>2014年创卫国家县城工程款</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93.23</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1800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390.11</w:t>
      </w:r>
      <w:r>
        <w:rPr>
          <w:rFonts w:hint="eastAsia" w:ascii="仿宋_GB2312" w:hAnsi="仿宋_GB2312" w:eastAsia="仿宋_GB2312" w:cs="仿宋_GB2312"/>
          <w:sz w:val="32"/>
          <w:szCs w:val="32"/>
          <w:lang w:val="en-US" w:eastAsia="zh-CN"/>
        </w:rPr>
        <w:t>万元，完成预算的100%。项目绩效目标完成情况：大力推进基础设施建设改造和市容市貌环境卫生整治管理，改善县城面貌，转变城乡居民生活观念，提升城市品位，优化发展环境。发现的主要问题及原因：无。下一步改进措施：无。</w:t>
      </w:r>
    </w:p>
    <w:p>
      <w:pPr>
        <w:numPr>
          <w:ilvl w:val="0"/>
          <w:numId w:val="0"/>
        </w:numPr>
        <w:rPr>
          <w:rFonts w:hint="eastAsia"/>
          <w:lang w:eastAsia="zh-CN"/>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color w:val="auto"/>
          <w:sz w:val="32"/>
          <w:u w:val="none"/>
        </w:rPr>
        <w:t>2014年创卫国家县城工程款</w:t>
      </w:r>
      <w:r>
        <w:rPr>
          <w:rFonts w:hint="eastAsia" w:ascii="仿宋_GB2312" w:hAnsi="仿宋_GB2312" w:eastAsia="仿宋_GB2312" w:cs="仿宋_GB2312"/>
          <w:sz w:val="32"/>
          <w:szCs w:val="32"/>
          <w:lang w:val="en-US" w:eastAsia="zh-CN"/>
        </w:rPr>
        <w:t>项目绩效自评综述：</w:t>
      </w:r>
      <w:r>
        <w:rPr>
          <w:rFonts w:hint="eastAsia"/>
          <w:lang w:eastAsia="zh-CN"/>
        </w:rPr>
        <w:t>综合考虑预算执行情况、产出、效益、服务对象满意度各方面因素，通过数据采集及分析，最终评分结果：</w:t>
      </w:r>
      <w:r>
        <w:rPr>
          <w:color w:val="auto"/>
          <w:u w:val="none"/>
        </w:rPr>
        <w:t>2014年创卫国家县城工程款</w:t>
      </w:r>
      <w:r>
        <w:rPr>
          <w:rFonts w:hint="eastAsia"/>
          <w:lang w:eastAsia="zh-CN"/>
        </w:rPr>
        <w:t>项目绩效自评价结果为:总得分</w:t>
      </w:r>
      <w:r>
        <w:rPr>
          <w:color w:val="auto"/>
          <w:u w:val="none"/>
        </w:rPr>
        <w:t>93.23</w:t>
      </w:r>
      <w:r>
        <w:rPr>
          <w:rFonts w:hint="eastAsia"/>
          <w:lang w:eastAsia="zh-CN"/>
        </w:rPr>
        <w:t>分，属于"</w:t>
      </w:r>
      <w:r>
        <w:rPr>
          <w:color w:val="auto"/>
          <w:u w:val="none"/>
        </w:rPr>
        <w:t>优秀</w:t>
      </w:r>
      <w:r>
        <w:rPr>
          <w:rFonts w:hint="eastAsia"/>
          <w:lang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（公开项目对应的绩效自评价评分表以附件形式公开）</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0"/>
        </w:numPr>
        <w:spacing w:line="580" w:lineRule="exact"/>
        <w:ind w:firstLine="321" w:firstLineChars="100"/>
        <w:outlineLvl w:val="0"/>
        <w:rPr>
          <w:rFonts w:hint="default" w:ascii="仿宋_GB2312" w:eastAsia="仿宋_GB2312"/>
          <w:b/>
          <w:szCs w:val="32"/>
          <w:lang w:val="en-US" w:eastAsia="zh-CN"/>
        </w:rPr>
      </w:pPr>
      <w:bookmarkStart w:id="28" w:name="_Toc8450"/>
      <w:bookmarkStart w:id="29" w:name="_Toc28108"/>
      <w:r>
        <w:rPr>
          <w:rFonts w:hint="eastAsia" w:ascii="仿宋_GB2312"/>
          <w:b/>
          <w:szCs w:val="32"/>
          <w:lang w:eastAsia="zh-CN"/>
        </w:rPr>
        <w:t>（</w:t>
      </w:r>
      <w:r>
        <w:rPr>
          <w:rFonts w:hint="eastAsia" w:ascii="仿宋_GB2312"/>
          <w:b/>
          <w:szCs w:val="32"/>
          <w:lang w:val="en-US" w:eastAsia="zh-CN"/>
        </w:rPr>
        <w:t>五</w:t>
      </w:r>
      <w:r>
        <w:rPr>
          <w:rFonts w:hint="eastAsia" w:ascii="仿宋_GB2312"/>
          <w:b/>
          <w:szCs w:val="32"/>
          <w:lang w:eastAsia="zh-CN"/>
        </w:rPr>
        <w:t>）</w:t>
      </w:r>
      <w:r>
        <w:rPr>
          <w:rFonts w:hint="eastAsia" w:ascii="仿宋_GB2312"/>
          <w:b/>
          <w:szCs w:val="32"/>
        </w:rPr>
        <w:t>其他需要说明的事项</w:t>
      </w:r>
      <w:bookmarkEnd w:id="28"/>
      <w:bookmarkEnd w:id="29"/>
      <w:r>
        <w:rPr>
          <w:rFonts w:hint="eastAsia" w:ascii="仿宋_GB2312"/>
          <w:b/>
          <w:szCs w:val="32"/>
          <w:lang w:eastAsia="zh-CN"/>
        </w:rPr>
        <w:t>：</w:t>
      </w:r>
      <w:r>
        <w:rPr>
          <w:rFonts w:hint="eastAsia" w:ascii="仿宋_GB2312"/>
          <w:b/>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单位名称：静乐县住房和城乡建设管理局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79EE8"/>
    <w:multiLevelType w:val="singleLevel"/>
    <w:tmpl w:val="4B779EE8"/>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lMjc5MjNkZGU3M2ZhNDNmYWZhYjdiNDRlNjJiZDgifQ=="/>
  </w:docVars>
  <w:rsids>
    <w:rsidRoot w:val="495520D0"/>
    <w:rsid w:val="030817EE"/>
    <w:rsid w:val="03696819"/>
    <w:rsid w:val="08127D29"/>
    <w:rsid w:val="087D4F70"/>
    <w:rsid w:val="0AE33456"/>
    <w:rsid w:val="13A7655C"/>
    <w:rsid w:val="16654CDD"/>
    <w:rsid w:val="1716743B"/>
    <w:rsid w:val="177B18E6"/>
    <w:rsid w:val="18326714"/>
    <w:rsid w:val="19130502"/>
    <w:rsid w:val="1A4A5C33"/>
    <w:rsid w:val="1D1223AB"/>
    <w:rsid w:val="1DAF36FB"/>
    <w:rsid w:val="1F267800"/>
    <w:rsid w:val="22FB2F5C"/>
    <w:rsid w:val="2528591D"/>
    <w:rsid w:val="2701594C"/>
    <w:rsid w:val="27426717"/>
    <w:rsid w:val="28764535"/>
    <w:rsid w:val="28BB7C93"/>
    <w:rsid w:val="28BC02E0"/>
    <w:rsid w:val="2DE51689"/>
    <w:rsid w:val="300F0A69"/>
    <w:rsid w:val="34231631"/>
    <w:rsid w:val="37943B50"/>
    <w:rsid w:val="3821117E"/>
    <w:rsid w:val="3E1B28DF"/>
    <w:rsid w:val="42C12CEC"/>
    <w:rsid w:val="44401A62"/>
    <w:rsid w:val="48C4221B"/>
    <w:rsid w:val="495520D0"/>
    <w:rsid w:val="4A012068"/>
    <w:rsid w:val="4A874883"/>
    <w:rsid w:val="4E2F62F0"/>
    <w:rsid w:val="4EE977F3"/>
    <w:rsid w:val="5278706B"/>
    <w:rsid w:val="53A30631"/>
    <w:rsid w:val="548D01B0"/>
    <w:rsid w:val="58882AA0"/>
    <w:rsid w:val="59CF08DA"/>
    <w:rsid w:val="5C790993"/>
    <w:rsid w:val="5CDC7264"/>
    <w:rsid w:val="5D134BCF"/>
    <w:rsid w:val="5EC01F6A"/>
    <w:rsid w:val="61313BD4"/>
    <w:rsid w:val="6212027E"/>
    <w:rsid w:val="63AB51DF"/>
    <w:rsid w:val="649C6DC9"/>
    <w:rsid w:val="657840E4"/>
    <w:rsid w:val="6AE46F6F"/>
    <w:rsid w:val="6D615F14"/>
    <w:rsid w:val="6E8277D3"/>
    <w:rsid w:val="715A78E4"/>
    <w:rsid w:val="72A8609B"/>
    <w:rsid w:val="72F515F7"/>
    <w:rsid w:val="738C1CD1"/>
    <w:rsid w:val="7761744D"/>
    <w:rsid w:val="77735654"/>
    <w:rsid w:val="7A4472BE"/>
    <w:rsid w:val="7E4A5CF2"/>
    <w:rsid w:val="7E5C5409"/>
    <w:rsid w:val="7EFE6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HTML Address"/>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2">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3">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4060</Words>
  <Characters>4852</Characters>
  <Lines>0</Lines>
  <Paragraphs>0</Paragraphs>
  <ScaleCrop>false</ScaleCrop>
  <LinksUpToDate>false</LinksUpToDate>
  <CharactersWithSpaces>5669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2022-09-15T03:35:11Z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30DA01B1524F443CA23F7F516F8118F3</vt:lpwstr>
  </property>
</Properties>
</file>