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民政局2021年困难群众救助补助资金（中央资金）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静乐县民政局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静乐县民政局-202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民政局2021年困难群众救助补助资金</w:t>
      </w:r>
    </w:p>
    <w:p>
      <w:pPr>
        <w:pStyle w:val="44"/>
        <w:ind w:left="280" w:firstLine="562"/>
        <w:rPr>
          <w:lang w:eastAsia="zh-CN"/>
        </w:rPr>
      </w:pPr>
      <w:r>
        <w:rPr>
          <w:rFonts w:hint="eastAsia"/>
          <w:b/>
          <w:bCs/>
          <w:lang w:val="en-US" w:eastAsia="zh-CN"/>
        </w:rPr>
        <w:t>立项依据：</w:t>
      </w:r>
      <w:r>
        <w:rPr>
          <w:rFonts w:hint="eastAsia"/>
          <w:lang w:eastAsia="zh-CN"/>
        </w:rPr>
        <w:t>根据山西省财政厅《关于提前下达2021年中央和省级财政困难群众救助补助资金及省级财政残疾人生活和护理补贴预算指标的通知》（晋财社【2020】275号）文件精神 《财政部 民政部关于提前下达2021年中央财政困难群众救助补助资金预算的通知》（财社【2020】190号</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保障城乡低保、特困人员、临时救助、孤儿的基本生活。</w:t>
      </w:r>
    </w:p>
    <w:p>
      <w:pPr>
        <w:pStyle w:val="44"/>
        <w:ind w:left="280" w:firstLine="562"/>
        <w:rPr>
          <w:lang w:eastAsia="zh-CN"/>
        </w:rPr>
      </w:pPr>
      <w:r>
        <w:rPr>
          <w:rFonts w:hint="eastAsia"/>
          <w:b/>
          <w:bCs/>
          <w:lang w:val="en-US" w:eastAsia="zh-CN"/>
        </w:rPr>
        <w:t>保证项目实施的措施与制度：</w:t>
      </w:r>
      <w:r>
        <w:rPr>
          <w:rFonts w:hint="eastAsia"/>
          <w:lang w:eastAsia="zh-CN"/>
        </w:rPr>
        <w:t>《社会救助暂行办法》、《国务院关于全面建立临时救助制度的通知》、《民政部 财政部关于进一步加强和改进临时救助工作的意见》、《特困人员认定办法》、《城市最低生活保障条例》、《国务院关于进一步加强和改进最低生活保障工作的意见》。</w:t>
      </w:r>
    </w:p>
    <w:p>
      <w:pPr>
        <w:pStyle w:val="44"/>
        <w:ind w:left="280" w:firstLine="562"/>
        <w:rPr>
          <w:lang w:eastAsia="zh-CN"/>
        </w:rPr>
      </w:pPr>
      <w:r>
        <w:rPr>
          <w:rFonts w:hint="eastAsia"/>
          <w:b/>
          <w:bCs/>
          <w:lang w:val="en-US" w:eastAsia="zh-CN"/>
        </w:rPr>
        <w:t>项目实施计划：</w:t>
      </w:r>
      <w:r>
        <w:rPr>
          <w:rFonts w:hint="eastAsia"/>
          <w:lang w:eastAsia="zh-CN"/>
        </w:rPr>
        <w:t>按程序拨付使用，按月及时发放到位，专款专用，做好绩效运行监控。</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6477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6477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6477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6477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6477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1.规范城乡低保政策实施，低保对象基本生活得到有效保障；</w:t>
        <w:br/>
        <w:t>2.统筹城乡特困人员救助供养工作，保障特困人员基本生活；</w:t>
        <w:br/>
        <w:t>3.规范实施临时救助政策，实现及时高效，救急解难；</w:t>
        <w:br/>
        <w:t>4.为生活无着流浪乞讨人员提供临时食宿、协助返乡等救助；</w:t>
        <w:br/>
        <w:t>5.孤儿生活保障政策规范高效实施，保障孤儿基本生活。</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1.规范城乡低保政策实施，低保对象基本生活得到有效保障；2.统筹城乡特困人员救助供养工作，保障特困人员基本生活；3.规范实施临时救助政策，实现及时高效，救急解难；4.为生活无着流浪乞讨人员提供临时食宿、协助返乡等救助；5.孤儿生活保障政策规范高效实施，保障孤儿基本生活。</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民政局2021年困难群众救助补助资金（中央资金）</w:t>
      </w:r>
      <w:r>
        <w:rPr>
          <w:rFonts w:hint="eastAsia"/>
          <w:lang w:eastAsia="zh-CN"/>
        </w:rPr>
        <w:t>项目绩效自评价结果为:总得分</w:t>
      </w:r>
      <w:r>
        <w:rPr>
          <w:color w:val=""/>
          <w:u w:val="none"/>
        </w:rPr>
        <w:t>96.67</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临时救助数（人）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&gt;=2600人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2600人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&gt;=2585人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2585人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110人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农村低保补助人数（人）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19152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19352人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3.42</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城市低保补助人数（人）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3448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3448人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特困供养救助标准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=6217元/年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6217元/年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城市低保救助标准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=503元/月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503元/月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农村低保救助标准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=4718元/年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4718元/年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城市低保发放及时率（%）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特困人员救助金发放及时率（%）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临时救助金发放及时率（%）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流浪乞讨人员救助及时率（%）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特困人员救助金发放准确率（%）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低保发放准确率（%）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孤儿生活保障政策知晓率（%）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协助流浪乞讨人员寻亲返乡率（%）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低保政策知晓率（%）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困难群众基本生活救助和孤儿基本生活保障制度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不断完善</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不断完善</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低保补助对象满意度（%）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特困救助对象满意度（%）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流浪乞讨人员满意度（%）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按程序拨付，按月及时发放到位，专款专用，做好绩效运行监控。</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困难群众救助补助资金发放及时，落实到位。保障求助对象基本生活。</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保障城乡低保、特困人员、孤儿基本生活，为流浪乞讨人员提供及时救助。</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强化财务管理，规范会计核算</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预算执行不够严格</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加强专项资金管理，严格按项目实行分类核算。依据年度工作任务准确测算。</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临时救助数（人）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&gt;=2600人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2600人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&gt;=2585人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2585人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城市低保补助人数（人）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3448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3448人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110人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农村低保补助人数（人）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3.42</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19152</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19352人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101.04%</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3.42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农村低保人数增加</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特困供养救助标准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=6217元/年</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6217元/年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=1000元/月</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1000元/月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农村低保救助标准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=4718元/年</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4718元/年</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城市低保救助标准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=503元/月</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503元/月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城市低保发放及时率（%）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特困人员救助金发放及时率（%）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临时救助金发放及时率（%）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流浪乞讨人员救助及时率（%）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农村低保发放及时率（%）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&gt;=97%</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低保发放准确率（%）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特困人员救助金发放准确率（%）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孤儿基本生活费补贴发放准确率（%）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特困人员救助政策知晓率（%）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孤儿生活保障政策知晓率（%）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协助流浪乞讨人员寻亲返乡率（%）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低保政策知晓率（%）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困难群众基本生活救助和孤儿基本生活保障制度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不断完善</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不断完善</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困难群众救助制度不断完善</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特困救助对象满意度（%）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孤儿满意度（%）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流浪乞讨人员满意度（%）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低保补助对象满意度（%）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3.33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