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220" w:after="330" w:line="480" w:lineRule="auto"/>
        <w:ind w:firstLine="881" w:firstLineChars="200"/>
        <w:jc w:val="center"/>
        <w:textAlignment w:val="auto"/>
        <w:rPr>
          <w:rFonts w:hint="eastAsia" w:ascii="华文中宋" w:hAnsi="华文中宋" w:eastAsia="华文中宋"/>
          <w:color w:val="auto"/>
          <w:sz w:val="44"/>
          <w:szCs w:val="44"/>
          <w:lang w:val="en-US" w:eastAsia="zh-CN"/>
        </w:rPr>
      </w:pPr>
      <w:bookmarkStart w:id="0" w:name="_Toc29887"/>
      <w:bookmarkStart w:id="1" w:name="_Toc8196"/>
      <w:bookmarkStart w:id="2" w:name="_Toc29719"/>
      <w:bookmarkStart w:id="3" w:name="_Toc22998"/>
      <w:bookmarkStart w:id="4" w:name="_Toc2605"/>
      <w:bookmarkStart w:id="5" w:name="_Toc32048"/>
      <w:bookmarkStart w:id="6" w:name="_Toc21118"/>
      <w:bookmarkStart w:id="7" w:name="_Toc31071"/>
      <w:r>
        <w:rPr>
          <w:rFonts w:hint="eastAsia" w:ascii="华文中宋" w:hAnsi="华文中宋" w:eastAsia="华文中宋"/>
          <w:color w:val="auto"/>
          <w:sz w:val="44"/>
          <w:szCs w:val="44"/>
          <w:lang w:val="en-US" w:eastAsia="zh-CN"/>
        </w:rPr>
        <w:t>静乐县第三中学附属小学</w:t>
      </w:r>
      <w:bookmarkEnd w:id="0"/>
      <w:bookmarkEnd w:id="1"/>
      <w:bookmarkEnd w:id="2"/>
      <w:bookmarkEnd w:id="3"/>
      <w:bookmarkEnd w:id="4"/>
    </w:p>
    <w:p>
      <w:pPr>
        <w:pStyle w:val="2"/>
        <w:keepNext/>
        <w:keepLines/>
        <w:pageBreakBefore w:val="0"/>
        <w:widowControl w:val="0"/>
        <w:kinsoku/>
        <w:wordWrap/>
        <w:overflowPunct/>
        <w:topLinePunct w:val="0"/>
        <w:autoSpaceDE/>
        <w:autoSpaceDN/>
        <w:bidi w:val="0"/>
        <w:adjustRightInd/>
        <w:snapToGrid/>
        <w:spacing w:before="220" w:after="330" w:line="480" w:lineRule="auto"/>
        <w:ind w:firstLine="881" w:firstLineChars="200"/>
        <w:jc w:val="center"/>
        <w:textAlignment w:val="auto"/>
        <w:rPr>
          <w:rFonts w:hint="eastAsia" w:ascii="华文中宋" w:hAnsi="华文中宋" w:eastAsia="华文中宋"/>
          <w:color w:val="auto"/>
          <w:sz w:val="44"/>
          <w:szCs w:val="44"/>
          <w:lang w:val="en-US" w:eastAsia="zh-CN"/>
        </w:rPr>
      </w:pPr>
      <w:bookmarkStart w:id="8" w:name="_Toc5050"/>
      <w:bookmarkStart w:id="9" w:name="_Toc22215"/>
      <w:bookmarkStart w:id="10" w:name="_Toc11486"/>
      <w:bookmarkStart w:id="11" w:name="_Toc15579"/>
      <w:bookmarkStart w:id="12" w:name="_Toc14838"/>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5"/>
      <w:bookmarkEnd w:id="6"/>
      <w:bookmarkEnd w:id="7"/>
      <w:bookmarkEnd w:id="8"/>
      <w:bookmarkEnd w:id="9"/>
      <w:bookmarkEnd w:id="10"/>
      <w:bookmarkEnd w:id="11"/>
      <w:bookmarkEnd w:id="12"/>
    </w:p>
    <w:p>
      <w:pPr>
        <w:pStyle w:val="8"/>
        <w:tabs>
          <w:tab w:val="right" w:leader="dot" w:pos="8306"/>
        </w:tabs>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 TOC \o "1-3" \h \u </w:instrText>
      </w:r>
      <w:r>
        <w:rPr>
          <w:rFonts w:hint="eastAsia" w:ascii="仿宋" w:hAnsi="仿宋" w:eastAsia="仿宋" w:cs="仿宋"/>
          <w:color w:val="auto"/>
          <w:sz w:val="32"/>
          <w:szCs w:val="32"/>
          <w:lang w:val="en-US" w:eastAsia="zh-CN"/>
        </w:rPr>
        <w:fldChar w:fldCharType="separate"/>
      </w:r>
    </w:p>
    <w:p>
      <w:pPr>
        <w:pStyle w:val="8"/>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_Toc16593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_Toc16593 \h </w:instrText>
      </w:r>
      <w:r>
        <w:fldChar w:fldCharType="separate"/>
      </w:r>
      <w:r>
        <w:t>2</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_Toc20660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_Toc20660 \h </w:instrText>
      </w:r>
      <w:r>
        <w:fldChar w:fldCharType="separate"/>
      </w:r>
      <w:r>
        <w:t>2</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_Toc9542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_Toc9542 \h </w:instrText>
      </w:r>
      <w:r>
        <w:fldChar w:fldCharType="separate"/>
      </w:r>
      <w:r>
        <w:t>3</w:t>
      </w:r>
      <w:r>
        <w:fldChar w:fldCharType="end"/>
      </w:r>
      <w:r>
        <w:rPr>
          <w:rFonts w:hint="eastAsia" w:ascii="仿宋" w:hAnsi="仿宋" w:eastAsia="仿宋" w:cs="仿宋"/>
          <w:color w:val="auto"/>
          <w:szCs w:val="32"/>
          <w:lang w:val="en-US" w:eastAsia="zh-CN"/>
        </w:rPr>
        <w:fldChar w:fldCharType="end"/>
      </w:r>
    </w:p>
    <w:p>
      <w:pPr>
        <w:pStyle w:val="8"/>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_Toc7208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_Toc7208 \h </w:instrText>
      </w:r>
      <w:r>
        <w:fldChar w:fldCharType="separate"/>
      </w:r>
      <w:r>
        <w:t>3</w:t>
      </w:r>
      <w:r>
        <w:fldChar w:fldCharType="end"/>
      </w:r>
      <w:r>
        <w:rPr>
          <w:rFonts w:hint="eastAsia" w:ascii="仿宋" w:hAnsi="仿宋" w:eastAsia="仿宋" w:cs="仿宋"/>
          <w:color w:val="auto"/>
          <w:szCs w:val="32"/>
          <w:lang w:val="en-US" w:eastAsia="zh-CN"/>
        </w:rPr>
        <w:fldChar w:fldCharType="end"/>
      </w:r>
    </w:p>
    <w:p>
      <w:pPr>
        <w:pStyle w:val="8"/>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_Toc22795 </w:instrText>
      </w:r>
      <w:r>
        <w:rPr>
          <w:rFonts w:hint="eastAsia" w:ascii="仿宋" w:hAnsi="仿宋" w:eastAsia="仿宋" w:cs="仿宋"/>
          <w:szCs w:val="32"/>
          <w:lang w:val="en-US" w:eastAsia="zh-CN"/>
        </w:rPr>
        <w:fldChar w:fldCharType="separate"/>
      </w:r>
      <w:r>
        <w:rPr>
          <w:rFonts w:hint="eastAsia"/>
          <w:szCs w:val="36"/>
          <w:lang w:val="en-US" w:eastAsia="zh-CN"/>
        </w:rPr>
        <w:t>第三部分  20</w:t>
      </w:r>
      <w:bookmarkStart w:id="126" w:name="_GoBack"/>
      <w:bookmarkEnd w:id="126"/>
      <w:r>
        <w:rPr>
          <w:rFonts w:hint="eastAsia"/>
          <w:szCs w:val="36"/>
          <w:lang w:val="en-US" w:eastAsia="zh-CN"/>
        </w:rPr>
        <w:t>21年度部门决算情况说明</w:t>
      </w:r>
      <w:r>
        <w:tab/>
      </w:r>
      <w:r>
        <w:fldChar w:fldCharType="begin"/>
      </w:r>
      <w:r>
        <w:instrText xml:space="preserve"> PAGEREF _Toc22795 \h </w:instrText>
      </w:r>
      <w:r>
        <w:fldChar w:fldCharType="separate"/>
      </w:r>
      <w:r>
        <w:t>4</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_Toc25599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_Toc25599 \h </w:instrText>
      </w:r>
      <w:r>
        <w:fldChar w:fldCharType="separate"/>
      </w:r>
      <w:r>
        <w:t>4</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_Toc1530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_Toc1530 \h </w:instrText>
      </w:r>
      <w:r>
        <w:fldChar w:fldCharType="separate"/>
      </w:r>
      <w:r>
        <w:t>4</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_Toc119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_Toc119 \h </w:instrText>
      </w:r>
      <w:r>
        <w:fldChar w:fldCharType="separate"/>
      </w:r>
      <w:r>
        <w:t>4</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_Toc13536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_Toc13536 \h </w:instrText>
      </w:r>
      <w:r>
        <w:fldChar w:fldCharType="separate"/>
      </w:r>
      <w:r>
        <w:t>5</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_Toc17931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_Toc17931 \h </w:instrText>
      </w:r>
      <w:r>
        <w:fldChar w:fldCharType="separate"/>
      </w:r>
      <w:r>
        <w:t>5</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_Toc7241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_Toc7241 \h </w:instrText>
      </w:r>
      <w:r>
        <w:fldChar w:fldCharType="separate"/>
      </w:r>
      <w:r>
        <w:t>6</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_Toc1182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_Toc1182 \h </w:instrText>
      </w:r>
      <w:r>
        <w:fldChar w:fldCharType="separate"/>
      </w:r>
      <w:r>
        <w:t>7</w:t>
      </w:r>
      <w:r>
        <w:fldChar w:fldCharType="end"/>
      </w:r>
      <w:r>
        <w:rPr>
          <w:rFonts w:hint="eastAsia" w:ascii="仿宋" w:hAnsi="仿宋" w:eastAsia="仿宋" w:cs="仿宋"/>
          <w:color w:val="auto"/>
          <w:szCs w:val="32"/>
          <w:lang w:val="en-US" w:eastAsia="zh-CN"/>
        </w:rPr>
        <w:fldChar w:fldCharType="end"/>
      </w:r>
    </w:p>
    <w:p>
      <w:pPr>
        <w:pStyle w:val="9"/>
        <w:tabs>
          <w:tab w:val="right" w:leader="dot" w:pos="8306"/>
        </w:tabs>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_Toc7653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_Toc7653 \h </w:instrText>
      </w:r>
      <w:r>
        <w:fldChar w:fldCharType="separate"/>
      </w:r>
      <w:r>
        <w:t>7</w:t>
      </w:r>
      <w:r>
        <w:fldChar w:fldCharType="end"/>
      </w:r>
      <w:r>
        <w:rPr>
          <w:rFonts w:hint="eastAsia" w:ascii="仿宋" w:hAnsi="仿宋" w:eastAsia="仿宋" w:cs="仿宋"/>
          <w:color w:val="auto"/>
          <w:szCs w:val="32"/>
          <w:lang w:val="en-US" w:eastAsia="zh-CN"/>
        </w:rPr>
        <w:fldChar w:fldCharType="end"/>
      </w:r>
    </w:p>
    <w:p>
      <w:pPr>
        <w:pStyle w:val="8"/>
        <w:tabs>
          <w:tab w:val="right" w:leader="dot" w:pos="8306"/>
        </w:tabs>
        <w:ind w:left="0" w:leftChars="0" w:firstLine="960" w:firstLineChars="300"/>
      </w:pPr>
      <w:r>
        <w:rPr>
          <w:rFonts w:hint="eastAsia" w:ascii="仿宋" w:hAnsi="仿宋" w:eastAsia="仿宋" w:cs="仿宋"/>
          <w:color w:val="auto"/>
          <w:szCs w:val="32"/>
          <w:lang w:val="en-US" w:eastAsia="zh-CN"/>
        </w:rPr>
        <w:fldChar w:fldCharType="begin"/>
      </w:r>
      <w:r>
        <w:rPr>
          <w:rFonts w:hint="eastAsia" w:ascii="仿宋" w:hAnsi="仿宋" w:eastAsia="仿宋" w:cs="仿宋"/>
          <w:szCs w:val="32"/>
          <w:lang w:val="en-US" w:eastAsia="zh-CN"/>
        </w:rPr>
        <w:instrText xml:space="preserve"> HYPERLINK \l _Toc2992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_Toc2992 \h </w:instrText>
      </w:r>
      <w:r>
        <w:fldChar w:fldCharType="separate"/>
      </w:r>
      <w:r>
        <w:t>8</w:t>
      </w:r>
      <w: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13" w:name="_Toc30398"/>
      <w:bookmarkStart w:id="14" w:name="_Toc16593"/>
      <w:bookmarkStart w:id="15" w:name="_Toc7964"/>
      <w:bookmarkStart w:id="16" w:name="_Toc16932"/>
      <w:bookmarkStart w:id="17" w:name="_Toc31140"/>
      <w:bookmarkStart w:id="18" w:name="_Toc23288"/>
      <w:bookmarkStart w:id="19" w:name="_Toc21254"/>
      <w:r>
        <w:rPr>
          <w:rFonts w:hint="eastAsia"/>
          <w:color w:val="auto"/>
          <w:sz w:val="36"/>
          <w:szCs w:val="36"/>
        </w:rPr>
        <w:t>第一部分  概况</w:t>
      </w:r>
      <w:bookmarkEnd w:id="13"/>
      <w:bookmarkEnd w:id="14"/>
      <w:bookmarkEnd w:id="15"/>
      <w:bookmarkEnd w:id="16"/>
      <w:bookmarkEnd w:id="17"/>
      <w:bookmarkEnd w:id="18"/>
      <w:bookmarkEnd w:id="19"/>
    </w:p>
    <w:p>
      <w:pPr>
        <w:pStyle w:val="3"/>
        <w:rPr>
          <w:rFonts w:hint="eastAsia" w:ascii="仿宋" w:hAnsi="仿宋" w:eastAsia="仿宋" w:cs="仿宋"/>
          <w:b w:val="0"/>
          <w:bCs/>
          <w:color w:val="auto"/>
        </w:rPr>
      </w:pPr>
      <w:bookmarkStart w:id="20" w:name="_Toc4461"/>
      <w:bookmarkStart w:id="21" w:name="_Toc24066"/>
      <w:bookmarkStart w:id="22" w:name="_Toc322"/>
      <w:bookmarkStart w:id="23" w:name="_Toc7131"/>
      <w:bookmarkStart w:id="24" w:name="_Toc18925"/>
      <w:bookmarkStart w:id="25" w:name="_Toc696"/>
      <w:bookmarkStart w:id="26" w:name="_Toc20660"/>
      <w:r>
        <w:rPr>
          <w:rFonts w:hint="eastAsia" w:ascii="仿宋" w:hAnsi="仿宋" w:eastAsia="仿宋" w:cs="仿宋"/>
          <w:b w:val="0"/>
          <w:bCs/>
          <w:color w:val="auto"/>
        </w:rPr>
        <w:t>一、本部门职责</w:t>
      </w:r>
      <w:bookmarkEnd w:id="20"/>
      <w:bookmarkEnd w:id="21"/>
      <w:bookmarkEnd w:id="22"/>
      <w:bookmarkEnd w:id="23"/>
      <w:bookmarkEnd w:id="24"/>
      <w:bookmarkEnd w:id="25"/>
      <w:bookmarkEnd w:id="26"/>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1.负责贯彻党的教育方针，坚持社会主义办学方向，实行教育与生产劳动相结合，对学生进行德育、智育、体育、美育和劳动等方面的教育。</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2.负责依法制定学校章程，并按照章程自主管理。</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3.负责配合各级人民政府依法动员、组织适龄儿童、少年入学，严格控制学生辍学，依法保证适龄儿童、少年接受学前教育。</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4.负责制定学校教育发展规划，并抓好组织实施和落实工作。</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5.负责按照教育主管部门发布的指导性教学计划、教学大纲，组织实施教育教学活动。负责依据国家教育主管部门有关教学计划、课程设置等方面的规定，决定和实施本校的教学计划，组织教学评比、集体备课，对学生进行统一考核等。</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6.负责学籍管理并对学生实施奖励或处分。</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7.负责依法制定本校教师及其他职工聘任办法并对教师及其他员工实施包括奖励、处分在内的具体管理活动，依法聘任、解聘有关教师和其他职工。</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8.负责聘任、培训、考核教师，依法奖励或处分教师和其他职工。</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9.负责科学管理、合理使用学校的设施和经费，并积极筹措资金，改善办学条件。</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10.负责维护学校、师生的合法权益，有权拒绝任何组织和个人对教育教学活动进行非法干涉。</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color w:val="auto"/>
        </w:rPr>
      </w:pPr>
      <w:r>
        <w:rPr>
          <w:rFonts w:hint="eastAsia" w:ascii="仿宋" w:hAnsi="仿宋" w:eastAsia="仿宋" w:cs="仿宋"/>
          <w:color w:val="auto"/>
          <w:sz w:val="30"/>
          <w:szCs w:val="30"/>
        </w:rPr>
        <w:t>11.依法接受各级教育行政部门的检查指导和人民群众的监督。</w:t>
      </w:r>
    </w:p>
    <w:p>
      <w:pPr>
        <w:pStyle w:val="3"/>
        <w:rPr>
          <w:rFonts w:hint="eastAsia" w:ascii="仿宋" w:hAnsi="仿宋" w:eastAsia="仿宋" w:cs="仿宋"/>
          <w:b w:val="0"/>
          <w:bCs/>
          <w:color w:val="auto"/>
        </w:rPr>
      </w:pPr>
      <w:bookmarkStart w:id="27" w:name="_Toc9542"/>
      <w:bookmarkStart w:id="28" w:name="_Toc23221"/>
      <w:bookmarkStart w:id="29" w:name="_Toc10745"/>
      <w:bookmarkStart w:id="30" w:name="_Toc7652"/>
      <w:bookmarkStart w:id="31" w:name="_Toc2753"/>
      <w:bookmarkStart w:id="32" w:name="_Toc9155"/>
      <w:bookmarkStart w:id="33" w:name="_Toc275"/>
      <w:r>
        <w:rPr>
          <w:rFonts w:hint="eastAsia" w:ascii="仿宋" w:hAnsi="仿宋" w:eastAsia="仿宋" w:cs="仿宋"/>
          <w:b w:val="0"/>
          <w:bCs/>
          <w:color w:val="auto"/>
        </w:rPr>
        <w:t>二、机构设置情况</w:t>
      </w:r>
      <w:bookmarkEnd w:id="27"/>
      <w:bookmarkEnd w:id="28"/>
      <w:bookmarkEnd w:id="29"/>
      <w:bookmarkEnd w:id="30"/>
      <w:bookmarkEnd w:id="31"/>
      <w:bookmarkEnd w:id="32"/>
      <w:bookmarkEnd w:id="33"/>
    </w:p>
    <w:p>
      <w:pPr>
        <w:pStyle w:val="3"/>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413" w:lineRule="auto"/>
        <w:ind w:left="0" w:leftChars="0" w:right="0" w:rightChars="0" w:firstLine="416" w:firstLineChars="139"/>
        <w:jc w:val="both"/>
        <w:textAlignment w:val="auto"/>
        <w:outlineLvl w:val="1"/>
        <w:rPr>
          <w:rFonts w:hint="eastAsia" w:ascii="仿宋" w:hAnsi="仿宋" w:eastAsia="仿宋" w:cs="仿宋"/>
          <w:b w:val="0"/>
          <w:bCs/>
          <w:color w:val="auto"/>
          <w:sz w:val="30"/>
          <w:szCs w:val="30"/>
        </w:rPr>
      </w:pPr>
      <w:bookmarkStart w:id="34" w:name="_Toc7076"/>
      <w:bookmarkStart w:id="35" w:name="_Toc23164"/>
      <w:bookmarkStart w:id="36" w:name="_Toc30126"/>
      <w:bookmarkStart w:id="37" w:name="_Toc861"/>
      <w:bookmarkStart w:id="38" w:name="_Toc32206"/>
      <w:r>
        <w:rPr>
          <w:rFonts w:hint="eastAsia" w:ascii="仿宋" w:hAnsi="仿宋" w:eastAsia="仿宋" w:cs="仿宋"/>
          <w:b w:val="0"/>
          <w:bCs/>
          <w:color w:val="auto"/>
          <w:sz w:val="30"/>
          <w:szCs w:val="30"/>
        </w:rPr>
        <w:t>内设科室有：</w:t>
      </w:r>
      <w:r>
        <w:rPr>
          <w:rFonts w:hint="eastAsia" w:ascii="仿宋" w:hAnsi="仿宋" w:eastAsia="仿宋" w:cs="仿宋"/>
          <w:b w:val="0"/>
          <w:bCs/>
          <w:color w:val="auto"/>
          <w:sz w:val="30"/>
          <w:szCs w:val="30"/>
          <w:lang w:eastAsia="zh-CN"/>
        </w:rPr>
        <w:t>（</w:t>
      </w:r>
      <w:r>
        <w:rPr>
          <w:rFonts w:hint="eastAsia" w:ascii="仿宋" w:hAnsi="仿宋" w:eastAsia="仿宋" w:cs="仿宋"/>
          <w:b w:val="0"/>
          <w:bCs/>
          <w:color w:val="auto"/>
          <w:sz w:val="30"/>
          <w:szCs w:val="30"/>
          <w:lang w:val="en-US" w:eastAsia="zh-CN"/>
        </w:rPr>
        <w:t>1</w:t>
      </w:r>
      <w:r>
        <w:rPr>
          <w:rFonts w:hint="eastAsia" w:ascii="仿宋" w:hAnsi="仿宋" w:eastAsia="仿宋" w:cs="仿宋"/>
          <w:b w:val="0"/>
          <w:bCs/>
          <w:color w:val="auto"/>
          <w:sz w:val="30"/>
          <w:szCs w:val="30"/>
          <w:lang w:eastAsia="zh-CN"/>
        </w:rPr>
        <w:t>）校长室</w:t>
      </w:r>
      <w:r>
        <w:rPr>
          <w:rFonts w:hint="eastAsia" w:ascii="仿宋" w:hAnsi="仿宋" w:eastAsia="仿宋" w:cs="仿宋"/>
          <w:b w:val="0"/>
          <w:bCs/>
          <w:color w:val="auto"/>
          <w:sz w:val="30"/>
          <w:szCs w:val="30"/>
        </w:rPr>
        <w:t>（</w:t>
      </w:r>
      <w:r>
        <w:rPr>
          <w:rFonts w:hint="eastAsia" w:ascii="仿宋" w:hAnsi="仿宋" w:eastAsia="仿宋" w:cs="仿宋"/>
          <w:b w:val="0"/>
          <w:bCs/>
          <w:color w:val="auto"/>
          <w:sz w:val="30"/>
          <w:szCs w:val="30"/>
          <w:lang w:val="en-US" w:eastAsia="zh-CN"/>
        </w:rPr>
        <w:t>2</w:t>
      </w:r>
      <w:r>
        <w:rPr>
          <w:rFonts w:hint="eastAsia" w:ascii="仿宋" w:hAnsi="仿宋" w:eastAsia="仿宋" w:cs="仿宋"/>
          <w:b w:val="0"/>
          <w:bCs/>
          <w:color w:val="auto"/>
          <w:sz w:val="30"/>
          <w:szCs w:val="30"/>
        </w:rPr>
        <w:t>）教导处 （</w:t>
      </w:r>
      <w:r>
        <w:rPr>
          <w:rFonts w:hint="eastAsia" w:ascii="仿宋" w:hAnsi="仿宋" w:eastAsia="仿宋" w:cs="仿宋"/>
          <w:b w:val="0"/>
          <w:bCs/>
          <w:color w:val="auto"/>
          <w:sz w:val="30"/>
          <w:szCs w:val="30"/>
          <w:lang w:val="en-US" w:eastAsia="zh-CN"/>
        </w:rPr>
        <w:t>3</w:t>
      </w:r>
      <w:r>
        <w:rPr>
          <w:rFonts w:hint="eastAsia" w:ascii="仿宋" w:hAnsi="仿宋" w:eastAsia="仿宋" w:cs="仿宋"/>
          <w:b w:val="0"/>
          <w:bCs/>
          <w:color w:val="auto"/>
          <w:sz w:val="30"/>
          <w:szCs w:val="30"/>
        </w:rPr>
        <w:t>）</w:t>
      </w:r>
      <w:r>
        <w:rPr>
          <w:rFonts w:hint="eastAsia" w:ascii="仿宋" w:hAnsi="仿宋" w:eastAsia="仿宋" w:cs="仿宋"/>
          <w:b w:val="0"/>
          <w:bCs/>
          <w:color w:val="auto"/>
          <w:sz w:val="30"/>
          <w:szCs w:val="30"/>
          <w:lang w:eastAsia="zh-CN"/>
        </w:rPr>
        <w:t>政教</w:t>
      </w:r>
      <w:r>
        <w:rPr>
          <w:rFonts w:hint="eastAsia" w:ascii="仿宋" w:hAnsi="仿宋" w:eastAsia="仿宋" w:cs="仿宋"/>
          <w:b w:val="0"/>
          <w:bCs/>
          <w:color w:val="auto"/>
          <w:sz w:val="30"/>
          <w:szCs w:val="30"/>
        </w:rPr>
        <w:t>处（</w:t>
      </w:r>
      <w:r>
        <w:rPr>
          <w:rFonts w:hint="eastAsia" w:ascii="仿宋" w:hAnsi="仿宋" w:eastAsia="仿宋" w:cs="仿宋"/>
          <w:b w:val="0"/>
          <w:bCs/>
          <w:color w:val="auto"/>
          <w:sz w:val="30"/>
          <w:szCs w:val="30"/>
          <w:lang w:val="en-US" w:eastAsia="zh-CN"/>
        </w:rPr>
        <w:t>4</w:t>
      </w:r>
      <w:r>
        <w:rPr>
          <w:rFonts w:hint="eastAsia" w:ascii="仿宋" w:hAnsi="仿宋" w:eastAsia="仿宋" w:cs="仿宋"/>
          <w:b w:val="0"/>
          <w:bCs/>
          <w:color w:val="auto"/>
          <w:sz w:val="30"/>
          <w:szCs w:val="30"/>
        </w:rPr>
        <w:t>）教研室（5）财务室。</w:t>
      </w:r>
      <w:bookmarkEnd w:id="34"/>
      <w:bookmarkEnd w:id="35"/>
      <w:bookmarkEnd w:id="36"/>
      <w:bookmarkEnd w:id="37"/>
      <w:bookmarkEnd w:id="38"/>
    </w:p>
    <w:p>
      <w:pPr>
        <w:pStyle w:val="3"/>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413" w:lineRule="auto"/>
        <w:ind w:left="0" w:leftChars="0" w:right="0" w:rightChars="0" w:firstLine="416" w:firstLineChars="139"/>
        <w:jc w:val="left"/>
        <w:textAlignment w:val="auto"/>
        <w:outlineLvl w:val="1"/>
        <w:rPr>
          <w:rFonts w:hint="eastAsia"/>
          <w:color w:val="auto"/>
        </w:rPr>
      </w:pPr>
      <w:bookmarkStart w:id="39" w:name="_Toc14896"/>
      <w:bookmarkStart w:id="40" w:name="_Toc6951"/>
      <w:bookmarkStart w:id="41" w:name="_Toc24005"/>
      <w:bookmarkStart w:id="42" w:name="_Toc32432"/>
      <w:bookmarkStart w:id="43" w:name="_Toc2226"/>
      <w:r>
        <w:rPr>
          <w:rFonts w:hint="eastAsia" w:ascii="仿宋" w:hAnsi="仿宋" w:eastAsia="仿宋" w:cs="仿宋"/>
          <w:b w:val="0"/>
          <w:bCs/>
          <w:color w:val="auto"/>
          <w:sz w:val="30"/>
          <w:szCs w:val="30"/>
          <w:highlight w:val="none"/>
          <w:lang w:val="en-US" w:eastAsia="zh-CN" w:bidi="ar-SA"/>
        </w:rPr>
        <w:t>为规范学校内部控制，提高学校管理水平，为了更好的做好学校内部控制建设工作，特设内控领导工作小组</w:t>
      </w:r>
      <w:bookmarkEnd w:id="39"/>
      <w:bookmarkEnd w:id="40"/>
      <w:bookmarkEnd w:id="41"/>
      <w:bookmarkEnd w:id="42"/>
      <w:bookmarkEnd w:id="43"/>
      <w:r>
        <w:rPr>
          <w:rFonts w:hint="eastAsia" w:ascii="仿宋" w:hAnsi="仿宋" w:eastAsia="仿宋" w:cs="仿宋"/>
          <w:b w:val="0"/>
          <w:bCs/>
          <w:color w:val="auto"/>
          <w:sz w:val="30"/>
          <w:szCs w:val="30"/>
          <w:highlight w:val="none"/>
          <w:lang w:val="en-US" w:eastAsia="zh-CN" w:bidi="ar-SA"/>
        </w:rPr>
        <w:t>。</w:t>
      </w:r>
    </w:p>
    <w:p>
      <w:pPr>
        <w:pStyle w:val="2"/>
        <w:rPr>
          <w:rFonts w:hint="eastAsia"/>
          <w:b/>
          <w:bCs w:val="0"/>
          <w:color w:val="auto"/>
          <w:sz w:val="36"/>
          <w:szCs w:val="36"/>
          <w:lang w:val="en-US" w:eastAsia="zh-CN"/>
        </w:rPr>
      </w:pPr>
      <w:bookmarkStart w:id="44" w:name="_Toc12749"/>
      <w:bookmarkStart w:id="45" w:name="_Toc704"/>
      <w:bookmarkStart w:id="46" w:name="_Toc4140"/>
      <w:bookmarkStart w:id="47" w:name="_Toc29864"/>
      <w:bookmarkStart w:id="48" w:name="_Toc1703"/>
      <w:bookmarkStart w:id="49" w:name="_Toc7208"/>
      <w:r>
        <w:rPr>
          <w:rFonts w:hint="eastAsia"/>
          <w:b/>
          <w:color w:val="auto"/>
          <w:sz w:val="36"/>
          <w:szCs w:val="36"/>
          <w:lang w:val="en-US" w:eastAsia="zh-CN"/>
        </w:rPr>
        <w:t>第二部分  2021年度部门决算报表（附表）</w:t>
      </w:r>
      <w:bookmarkEnd w:id="44"/>
      <w:bookmarkEnd w:id="45"/>
      <w:bookmarkEnd w:id="46"/>
      <w:bookmarkEnd w:id="47"/>
      <w:bookmarkEnd w:id="48"/>
      <w:bookmarkEnd w:id="4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50" w:name="_Toc1594"/>
      <w:bookmarkStart w:id="51" w:name="_Toc24696"/>
      <w:bookmarkStart w:id="52" w:name="_Toc22795"/>
      <w:bookmarkStart w:id="53" w:name="_Toc29325"/>
      <w:bookmarkStart w:id="54" w:name="_Toc4601"/>
      <w:bookmarkStart w:id="55" w:name="_Toc29952"/>
      <w:r>
        <w:rPr>
          <w:rFonts w:hint="eastAsia"/>
          <w:b/>
          <w:color w:val="auto"/>
          <w:sz w:val="36"/>
          <w:szCs w:val="36"/>
          <w:lang w:val="en-US" w:eastAsia="zh-CN"/>
        </w:rPr>
        <w:t>第三部分  2021年度部门决算情况说明</w:t>
      </w:r>
      <w:bookmarkEnd w:id="50"/>
      <w:bookmarkEnd w:id="51"/>
      <w:bookmarkEnd w:id="52"/>
      <w:bookmarkEnd w:id="53"/>
      <w:bookmarkEnd w:id="54"/>
      <w:bookmarkEnd w:id="55"/>
    </w:p>
    <w:p>
      <w:pPr>
        <w:pStyle w:val="3"/>
        <w:rPr>
          <w:rFonts w:hint="eastAsia" w:ascii="仿宋" w:hAnsi="仿宋" w:eastAsia="仿宋" w:cs="仿宋"/>
          <w:b/>
          <w:bCs w:val="0"/>
          <w:color w:val="auto"/>
          <w:lang w:val="en-US" w:eastAsia="zh-CN"/>
        </w:rPr>
      </w:pPr>
      <w:bookmarkStart w:id="56" w:name="_Toc437"/>
      <w:bookmarkStart w:id="57" w:name="_Toc6476"/>
      <w:bookmarkStart w:id="58" w:name="_Toc20693"/>
      <w:bookmarkStart w:id="59" w:name="_Toc8717"/>
      <w:bookmarkStart w:id="60" w:name="_Toc25599"/>
      <w:bookmarkStart w:id="61" w:name="_Toc19204"/>
      <w:bookmarkStart w:id="62" w:name="_Toc15090"/>
      <w:r>
        <w:rPr>
          <w:rFonts w:hint="eastAsia" w:ascii="仿宋" w:hAnsi="仿宋" w:eastAsia="仿宋" w:cs="仿宋"/>
          <w:b/>
          <w:bCs w:val="0"/>
          <w:color w:val="auto"/>
          <w:lang w:val="en-US" w:eastAsia="zh-CN"/>
        </w:rPr>
        <w:t>一、收入支出决算总体情况说明</w:t>
      </w:r>
      <w:bookmarkEnd w:id="56"/>
      <w:bookmarkEnd w:id="57"/>
      <w:bookmarkEnd w:id="58"/>
      <w:bookmarkEnd w:id="59"/>
      <w:bookmarkEnd w:id="60"/>
      <w:bookmarkEnd w:id="61"/>
      <w:bookmarkEnd w:id="6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808.48</w:t>
      </w:r>
      <w:r>
        <w:rPr>
          <w:rFonts w:hint="eastAsia" w:ascii="仿宋_GB2312"/>
          <w:color w:val="auto"/>
          <w:szCs w:val="32"/>
        </w:rPr>
        <w:t>万元、支出总计</w:t>
      </w:r>
      <w:r>
        <w:rPr>
          <w:rFonts w:hint="eastAsia" w:ascii="仿宋_GB2312"/>
          <w:color w:val="auto"/>
          <w:szCs w:val="32"/>
          <w:lang w:val="en-US" w:eastAsia="zh-CN"/>
        </w:rPr>
        <w:t>808.48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增长44.22</w:t>
      </w:r>
      <w:r>
        <w:rPr>
          <w:rFonts w:hint="eastAsia" w:ascii="仿宋_GB2312"/>
          <w:color w:val="auto"/>
          <w:szCs w:val="32"/>
        </w:rPr>
        <w:t>万元，</w:t>
      </w:r>
      <w:r>
        <w:rPr>
          <w:rFonts w:hint="eastAsia" w:ascii="仿宋_GB2312"/>
          <w:color w:val="auto"/>
          <w:szCs w:val="32"/>
          <w:lang w:val="en-US" w:eastAsia="zh-CN"/>
        </w:rPr>
        <w:t>增长5.79</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增长44.22</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增长5.79</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增加教职工</w:t>
      </w:r>
      <w:r>
        <w:rPr>
          <w:rFonts w:hint="eastAsia" w:ascii="仿宋_GB2312"/>
          <w:color w:val="auto"/>
          <w:szCs w:val="32"/>
          <w:lang w:val="en-US" w:eastAsia="zh-CN"/>
        </w:rPr>
        <w:t>7人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63" w:name="_Toc2270"/>
      <w:bookmarkStart w:id="64" w:name="_Toc1530"/>
      <w:bookmarkStart w:id="65" w:name="_Toc17404"/>
      <w:bookmarkStart w:id="66" w:name="_Toc29306"/>
      <w:bookmarkStart w:id="67" w:name="_Toc30201"/>
      <w:bookmarkStart w:id="68" w:name="_Toc26070"/>
      <w:bookmarkStart w:id="69" w:name="_Toc16754"/>
      <w:r>
        <w:rPr>
          <w:rFonts w:hint="eastAsia" w:ascii="仿宋" w:hAnsi="仿宋" w:eastAsia="仿宋" w:cs="仿宋"/>
          <w:b/>
          <w:bCs w:val="0"/>
          <w:color w:val="auto"/>
          <w:lang w:val="en-US" w:eastAsia="zh-CN"/>
        </w:rPr>
        <w:t>二、收入决算情况说明</w:t>
      </w:r>
      <w:bookmarkEnd w:id="63"/>
      <w:bookmarkEnd w:id="64"/>
      <w:bookmarkEnd w:id="65"/>
      <w:bookmarkEnd w:id="66"/>
      <w:bookmarkEnd w:id="67"/>
      <w:bookmarkEnd w:id="68"/>
      <w:bookmarkEnd w:id="69"/>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808.48</w:t>
      </w:r>
      <w:r>
        <w:rPr>
          <w:rFonts w:hint="eastAsia" w:ascii="仿宋_GB2312"/>
          <w:color w:val="auto"/>
          <w:szCs w:val="32"/>
        </w:rPr>
        <w:t>万元，其中：财政拨款收入</w:t>
      </w:r>
      <w:r>
        <w:rPr>
          <w:rFonts w:hint="eastAsia" w:ascii="仿宋_GB2312"/>
          <w:color w:val="auto"/>
          <w:szCs w:val="32"/>
          <w:lang w:val="en-US" w:eastAsia="zh-CN"/>
        </w:rPr>
        <w:t>808.48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70" w:name="_Toc131"/>
      <w:bookmarkStart w:id="71" w:name="_Toc32425"/>
      <w:bookmarkStart w:id="72" w:name="_Toc20859"/>
      <w:bookmarkStart w:id="73" w:name="_Toc119"/>
      <w:bookmarkStart w:id="74" w:name="_Toc9596"/>
      <w:bookmarkStart w:id="75" w:name="_Toc5338"/>
      <w:bookmarkStart w:id="76" w:name="_Toc22098"/>
      <w:r>
        <w:rPr>
          <w:rFonts w:hint="eastAsia" w:ascii="仿宋" w:hAnsi="仿宋" w:eastAsia="仿宋" w:cs="仿宋"/>
          <w:b/>
          <w:bCs w:val="0"/>
          <w:color w:val="auto"/>
          <w:lang w:val="en-US" w:eastAsia="zh-CN"/>
        </w:rPr>
        <w:t>三、支出决算情况说明</w:t>
      </w:r>
      <w:bookmarkEnd w:id="70"/>
      <w:bookmarkEnd w:id="71"/>
      <w:bookmarkEnd w:id="72"/>
      <w:bookmarkEnd w:id="73"/>
      <w:bookmarkEnd w:id="74"/>
      <w:bookmarkEnd w:id="75"/>
      <w:bookmarkEnd w:id="76"/>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本年支出合计</w:t>
      </w:r>
      <w:r>
        <w:rPr>
          <w:rFonts w:hint="eastAsia" w:ascii="仿宋_GB2312"/>
          <w:color w:val="auto"/>
          <w:szCs w:val="32"/>
          <w:lang w:val="en-US" w:eastAsia="zh-CN"/>
        </w:rPr>
        <w:t>808.48</w:t>
      </w:r>
      <w:r>
        <w:rPr>
          <w:rFonts w:hint="eastAsia" w:ascii="仿宋_GB2312"/>
          <w:color w:val="auto"/>
          <w:szCs w:val="32"/>
        </w:rPr>
        <w:t>万元，其中：基本支出</w:t>
      </w:r>
      <w:r>
        <w:rPr>
          <w:rFonts w:hint="eastAsia" w:ascii="仿宋_GB2312"/>
          <w:color w:val="auto"/>
          <w:szCs w:val="32"/>
          <w:lang w:val="en-US" w:eastAsia="zh-CN"/>
        </w:rPr>
        <w:t>695.45</w:t>
      </w:r>
      <w:r>
        <w:rPr>
          <w:rFonts w:hint="eastAsia" w:ascii="仿宋_GB2312"/>
          <w:color w:val="auto"/>
          <w:szCs w:val="32"/>
        </w:rPr>
        <w:t>万元，占比</w:t>
      </w:r>
      <w:r>
        <w:rPr>
          <w:rFonts w:hint="eastAsia" w:ascii="仿宋_GB2312"/>
          <w:color w:val="auto"/>
          <w:szCs w:val="32"/>
          <w:lang w:val="en-US" w:eastAsia="zh-CN"/>
        </w:rPr>
        <w:t>-9%</w:t>
      </w:r>
      <w:r>
        <w:rPr>
          <w:rFonts w:hint="eastAsia" w:ascii="仿宋_GB2312"/>
          <w:color w:val="auto"/>
          <w:szCs w:val="32"/>
        </w:rPr>
        <w:t>%；项目支出</w:t>
      </w:r>
      <w:r>
        <w:rPr>
          <w:rFonts w:hint="eastAsia" w:ascii="仿宋_GB2312"/>
          <w:color w:val="auto"/>
          <w:szCs w:val="32"/>
          <w:lang w:val="en-US" w:eastAsia="zh-CN"/>
        </w:rPr>
        <w:t>113.03</w:t>
      </w:r>
      <w:r>
        <w:rPr>
          <w:rFonts w:hint="eastAsia" w:ascii="仿宋_GB2312"/>
          <w:color w:val="auto"/>
          <w:szCs w:val="32"/>
        </w:rPr>
        <w:t>万元，</w:t>
      </w:r>
      <w:r>
        <w:rPr>
          <w:rFonts w:hint="eastAsia" w:ascii="仿宋_GB2312"/>
          <w:color w:val="auto"/>
          <w:szCs w:val="32"/>
          <w:lang w:val="en-US" w:eastAsia="zh-CN"/>
        </w:rPr>
        <w:t>2020年无项目支出</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77" w:name="_Toc13536"/>
      <w:bookmarkStart w:id="78" w:name="_Toc2142"/>
      <w:bookmarkStart w:id="79" w:name="_Toc13052"/>
      <w:bookmarkStart w:id="80" w:name="_Toc4614"/>
      <w:bookmarkStart w:id="81" w:name="_Toc18897"/>
      <w:bookmarkStart w:id="82" w:name="_Toc32410"/>
      <w:bookmarkStart w:id="83" w:name="_Toc18664"/>
      <w:r>
        <w:rPr>
          <w:rFonts w:hint="eastAsia" w:ascii="仿宋" w:hAnsi="仿宋" w:eastAsia="仿宋" w:cs="仿宋"/>
          <w:b/>
          <w:bCs w:val="0"/>
          <w:color w:val="auto"/>
          <w:lang w:val="en-US" w:eastAsia="zh-CN"/>
        </w:rPr>
        <w:t>四、财政拨款收入支出决算总体情况说明</w:t>
      </w:r>
      <w:bookmarkEnd w:id="77"/>
      <w:bookmarkEnd w:id="78"/>
      <w:bookmarkEnd w:id="79"/>
      <w:bookmarkEnd w:id="80"/>
      <w:bookmarkEnd w:id="81"/>
      <w:bookmarkEnd w:id="82"/>
      <w:bookmarkEnd w:id="83"/>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808.48</w:t>
      </w:r>
      <w:r>
        <w:rPr>
          <w:rFonts w:hint="eastAsia" w:ascii="仿宋_GB2312"/>
          <w:color w:val="auto"/>
          <w:szCs w:val="32"/>
        </w:rPr>
        <w:t>万元、支出总计</w:t>
      </w:r>
      <w:r>
        <w:rPr>
          <w:rFonts w:hint="eastAsia" w:ascii="仿宋_GB2312"/>
          <w:color w:val="auto"/>
          <w:szCs w:val="32"/>
          <w:lang w:val="en-US" w:eastAsia="zh-CN"/>
        </w:rPr>
        <w:t>808.48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增长44.22</w:t>
      </w:r>
      <w:r>
        <w:rPr>
          <w:rFonts w:hint="eastAsia" w:ascii="仿宋_GB2312"/>
          <w:color w:val="auto"/>
          <w:szCs w:val="32"/>
        </w:rPr>
        <w:t>万元，</w:t>
      </w:r>
      <w:r>
        <w:rPr>
          <w:rFonts w:hint="eastAsia" w:ascii="仿宋_GB2312"/>
          <w:color w:val="auto"/>
          <w:szCs w:val="32"/>
          <w:lang w:val="en-US" w:eastAsia="zh-CN"/>
        </w:rPr>
        <w:t>增长5.79</w:t>
      </w:r>
      <w:r>
        <w:rPr>
          <w:rFonts w:hint="eastAsia" w:ascii="仿宋_GB2312"/>
          <w:color w:val="auto"/>
          <w:szCs w:val="32"/>
        </w:rPr>
        <w:t>%，财政拨款支出总计</w:t>
      </w:r>
      <w:r>
        <w:rPr>
          <w:rFonts w:hint="eastAsia" w:ascii="仿宋_GB2312"/>
          <w:color w:val="auto"/>
          <w:szCs w:val="32"/>
          <w:lang w:val="en-US" w:eastAsia="zh-CN"/>
        </w:rPr>
        <w:t>增长44.22</w:t>
      </w:r>
      <w:r>
        <w:rPr>
          <w:rFonts w:hint="eastAsia" w:ascii="仿宋_GB2312"/>
          <w:color w:val="auto"/>
          <w:szCs w:val="32"/>
        </w:rPr>
        <w:t>万元，</w:t>
      </w:r>
      <w:r>
        <w:rPr>
          <w:rFonts w:hint="eastAsia" w:ascii="仿宋_GB2312"/>
          <w:color w:val="auto"/>
          <w:szCs w:val="32"/>
          <w:lang w:val="en-US" w:eastAsia="zh-CN"/>
        </w:rPr>
        <w:t>增长5.79</w:t>
      </w:r>
      <w:r>
        <w:rPr>
          <w:rFonts w:hint="eastAsia" w:ascii="仿宋_GB2312"/>
          <w:color w:val="auto"/>
          <w:szCs w:val="32"/>
        </w:rPr>
        <w:t>%。主要原因是主要原因是</w:t>
      </w:r>
      <w:r>
        <w:rPr>
          <w:rFonts w:hint="eastAsia" w:ascii="仿宋_GB2312"/>
          <w:color w:val="auto"/>
          <w:szCs w:val="32"/>
          <w:lang w:eastAsia="zh-CN"/>
        </w:rPr>
        <w:t>增加教职工</w:t>
      </w:r>
      <w:r>
        <w:rPr>
          <w:rFonts w:hint="eastAsia" w:ascii="仿宋_GB2312"/>
          <w:color w:val="auto"/>
          <w:szCs w:val="32"/>
          <w:lang w:val="en-US" w:eastAsia="zh-CN"/>
        </w:rPr>
        <w:t>7人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84" w:name="_Toc14129"/>
      <w:bookmarkStart w:id="85" w:name="_Toc9341"/>
      <w:bookmarkStart w:id="86" w:name="_Toc17931"/>
      <w:bookmarkStart w:id="87" w:name="_Toc13475"/>
      <w:bookmarkStart w:id="88" w:name="_Toc22763"/>
      <w:bookmarkStart w:id="89" w:name="_Toc6501"/>
      <w:bookmarkStart w:id="90" w:name="_Toc18440"/>
      <w:r>
        <w:rPr>
          <w:rFonts w:hint="eastAsia" w:ascii="仿宋" w:hAnsi="仿宋" w:eastAsia="仿宋" w:cs="仿宋"/>
          <w:b/>
          <w:bCs w:val="0"/>
          <w:color w:val="auto"/>
          <w:lang w:val="en-US" w:eastAsia="zh-CN"/>
        </w:rPr>
        <w:t>五、一般公共预算财政拨款支出决算情况说明</w:t>
      </w:r>
      <w:bookmarkEnd w:id="84"/>
      <w:bookmarkEnd w:id="85"/>
      <w:bookmarkEnd w:id="86"/>
      <w:bookmarkEnd w:id="87"/>
      <w:bookmarkEnd w:id="88"/>
      <w:bookmarkEnd w:id="89"/>
      <w:bookmarkEnd w:id="9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808.48</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增长44.22</w:t>
      </w:r>
      <w:r>
        <w:rPr>
          <w:rFonts w:hint="eastAsia" w:ascii="仿宋_GB2312"/>
          <w:color w:val="auto"/>
          <w:szCs w:val="32"/>
        </w:rPr>
        <w:t>万元，</w:t>
      </w:r>
      <w:r>
        <w:rPr>
          <w:rFonts w:hint="eastAsia" w:ascii="仿宋_GB2312"/>
          <w:color w:val="auto"/>
          <w:szCs w:val="32"/>
          <w:lang w:val="en-US" w:eastAsia="zh-CN"/>
        </w:rPr>
        <w:t>增长5.79</w:t>
      </w:r>
      <w:r>
        <w:rPr>
          <w:rFonts w:hint="eastAsia" w:ascii="仿宋_GB2312"/>
          <w:color w:val="auto"/>
          <w:szCs w:val="32"/>
        </w:rPr>
        <w:t>%。主要原因是主要原因是</w:t>
      </w:r>
      <w:r>
        <w:rPr>
          <w:rFonts w:hint="eastAsia" w:ascii="仿宋_GB2312"/>
          <w:color w:val="auto"/>
          <w:szCs w:val="32"/>
          <w:lang w:eastAsia="zh-CN"/>
        </w:rPr>
        <w:t>增加教职工</w:t>
      </w:r>
      <w:r>
        <w:rPr>
          <w:rFonts w:hint="eastAsia" w:ascii="仿宋_GB2312"/>
          <w:color w:val="auto"/>
          <w:szCs w:val="32"/>
          <w:lang w:val="en-US" w:eastAsia="zh-CN"/>
        </w:rPr>
        <w:t>7人</w:t>
      </w:r>
      <w:r>
        <w:rPr>
          <w:rFonts w:hint="eastAsia" w:ascii="仿宋_GB2312"/>
          <w:color w:val="auto"/>
          <w:szCs w:val="32"/>
        </w:rPr>
        <w:t>。其中，</w:t>
      </w:r>
      <w:r>
        <w:rPr>
          <w:rFonts w:hint="eastAsia" w:ascii="仿宋_GB2312"/>
          <w:color w:val="auto"/>
          <w:szCs w:val="32"/>
          <w:lang w:val="en-US" w:eastAsia="zh-CN"/>
        </w:rPr>
        <w:t>政府性基金预算支出无</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808.48</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808.48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lang w:val="en-US" w:eastAsia="zh-CN"/>
        </w:rPr>
        <w:t>808.48</w:t>
      </w:r>
      <w:r>
        <w:rPr>
          <w:rFonts w:hint="eastAsia"/>
          <w:color w:val="auto"/>
          <w:szCs w:val="32"/>
        </w:rPr>
        <w:t>万元，支出决算</w:t>
      </w:r>
      <w:r>
        <w:rPr>
          <w:rFonts w:hint="eastAsia" w:ascii="仿宋_GB2312"/>
          <w:color w:val="auto"/>
          <w:szCs w:val="32"/>
          <w:lang w:val="en-US" w:eastAsia="zh-CN"/>
        </w:rPr>
        <w:t>808.48</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left"/>
              <w:textAlignment w:val="center"/>
              <w:rPr>
                <w:rFonts w:hint="eastAsia"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205</w:t>
            </w:r>
          </w:p>
        </w:tc>
        <w:tc>
          <w:tcPr>
            <w:tcW w:w="2479" w:type="dxa"/>
            <w:vAlign w:val="center"/>
          </w:tcPr>
          <w:p>
            <w:pPr>
              <w:keepNext w:val="0"/>
              <w:keepLines w:val="0"/>
              <w:widowControl/>
              <w:suppressLineNumbers w:val="0"/>
              <w:ind w:firstLine="480" w:firstLineChars="200"/>
              <w:jc w:val="left"/>
              <w:textAlignment w:val="center"/>
              <w:rPr>
                <w:rFonts w:hint="eastAsia"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教育支出</w:t>
            </w:r>
          </w:p>
        </w:tc>
        <w:tc>
          <w:tcPr>
            <w:tcW w:w="1876" w:type="dxa"/>
            <w:vAlign w:val="center"/>
          </w:tcPr>
          <w:p>
            <w:pPr>
              <w:keepNext w:val="0"/>
              <w:keepLines w:val="0"/>
              <w:widowControl/>
              <w:suppressLineNumbers w:val="0"/>
              <w:ind w:firstLine="480" w:firstLineChars="200"/>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764.26</w:t>
            </w:r>
          </w:p>
        </w:tc>
        <w:tc>
          <w:tcPr>
            <w:tcW w:w="1684" w:type="dxa"/>
            <w:vAlign w:val="center"/>
          </w:tcPr>
          <w:p>
            <w:pPr>
              <w:keepNext w:val="0"/>
              <w:keepLines w:val="0"/>
              <w:widowControl/>
              <w:suppressLineNumbers w:val="0"/>
              <w:ind w:firstLine="480" w:firstLineChars="200"/>
              <w:jc w:val="center"/>
              <w:textAlignment w:val="center"/>
              <w:rPr>
                <w:rFonts w:hint="default"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808.48</w:t>
            </w:r>
          </w:p>
        </w:tc>
        <w:tc>
          <w:tcPr>
            <w:tcW w:w="1393" w:type="dxa"/>
            <w:vAlign w:val="top"/>
          </w:tcPr>
          <w:p>
            <w:pPr>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_GB2312"/>
                <w:color w:val="auto"/>
                <w:sz w:val="24"/>
                <w:szCs w:val="24"/>
                <w:lang w:val="en-US" w:eastAsia="zh-CN"/>
              </w:rPr>
              <w:t>5.79</w:t>
            </w:r>
            <w:r>
              <w:rPr>
                <w:rFonts w:hint="eastAsia" w:ascii="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left"/>
              <w:textAlignment w:val="center"/>
              <w:rPr>
                <w:rFonts w:hint="eastAsia"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20502</w:t>
            </w:r>
          </w:p>
        </w:tc>
        <w:tc>
          <w:tcPr>
            <w:tcW w:w="2479" w:type="dxa"/>
            <w:vAlign w:val="center"/>
          </w:tcPr>
          <w:p>
            <w:pPr>
              <w:keepNext w:val="0"/>
              <w:keepLines w:val="0"/>
              <w:widowControl/>
              <w:suppressLineNumbers w:val="0"/>
              <w:ind w:firstLine="480" w:firstLineChars="200"/>
              <w:jc w:val="left"/>
              <w:textAlignment w:val="center"/>
              <w:rPr>
                <w:rFonts w:hint="eastAsia"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普通教育</w:t>
            </w:r>
          </w:p>
        </w:tc>
        <w:tc>
          <w:tcPr>
            <w:tcW w:w="1876" w:type="dxa"/>
            <w:vAlign w:val="center"/>
          </w:tcPr>
          <w:p>
            <w:pPr>
              <w:keepNext w:val="0"/>
              <w:keepLines w:val="0"/>
              <w:widowControl/>
              <w:suppressLineNumbers w:val="0"/>
              <w:ind w:firstLine="480" w:firstLineChars="200"/>
              <w:jc w:val="center"/>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764.26</w:t>
            </w:r>
          </w:p>
        </w:tc>
        <w:tc>
          <w:tcPr>
            <w:tcW w:w="1684" w:type="dxa"/>
            <w:vAlign w:val="center"/>
          </w:tcPr>
          <w:p>
            <w:pPr>
              <w:keepNext w:val="0"/>
              <w:keepLines w:val="0"/>
              <w:widowControl/>
              <w:suppressLineNumbers w:val="0"/>
              <w:ind w:firstLine="480" w:firstLineChars="200"/>
              <w:jc w:val="center"/>
              <w:textAlignment w:val="center"/>
              <w:rPr>
                <w:rFonts w:hint="default"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808.48</w:t>
            </w:r>
          </w:p>
        </w:tc>
        <w:tc>
          <w:tcPr>
            <w:tcW w:w="1393" w:type="dxa"/>
            <w:vAlign w:val="top"/>
          </w:tcPr>
          <w:p>
            <w:pPr>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_GB2312"/>
                <w:color w:val="auto"/>
                <w:sz w:val="24"/>
                <w:szCs w:val="24"/>
                <w:lang w:val="en-US" w:eastAsia="zh-CN"/>
              </w:rPr>
              <w:t>5.79</w:t>
            </w:r>
            <w:r>
              <w:rPr>
                <w:rFonts w:hint="eastAsia" w:ascii="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80" w:firstLineChars="200"/>
              <w:jc w:val="left"/>
              <w:textAlignment w:val="center"/>
              <w:rPr>
                <w:rFonts w:hint="default"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2050202</w:t>
            </w:r>
          </w:p>
        </w:tc>
        <w:tc>
          <w:tcPr>
            <w:tcW w:w="2479" w:type="dxa"/>
            <w:vAlign w:val="center"/>
          </w:tcPr>
          <w:p>
            <w:pPr>
              <w:keepNext w:val="0"/>
              <w:keepLines w:val="0"/>
              <w:widowControl/>
              <w:suppressLineNumbers w:val="0"/>
              <w:ind w:firstLine="480" w:firstLineChars="200"/>
              <w:jc w:val="left"/>
              <w:textAlignment w:val="center"/>
              <w:rPr>
                <w:rFonts w:hint="eastAsia" w:ascii="仿宋" w:hAnsi="仿宋" w:eastAsia="仿宋" w:cs="仿宋"/>
                <w:color w:val="auto"/>
                <w:kern w:val="2"/>
                <w:sz w:val="24"/>
                <w:szCs w:val="24"/>
                <w:lang w:val="en-US" w:eastAsia="zh-CN" w:bidi="ar-SA"/>
              </w:rPr>
            </w:pPr>
            <w:r>
              <w:rPr>
                <w:rFonts w:hint="eastAsia" w:ascii="宋体" w:hAnsi="宋体" w:eastAsia="宋体" w:cs="宋体"/>
                <w:i w:val="0"/>
                <w:iCs w:val="0"/>
                <w:color w:val="auto"/>
                <w:kern w:val="0"/>
                <w:sz w:val="24"/>
                <w:szCs w:val="24"/>
                <w:u w:val="none"/>
                <w:lang w:val="en-US" w:eastAsia="zh-CN" w:bidi="ar"/>
              </w:rPr>
              <w:t xml:space="preserve">  小学教育</w:t>
            </w:r>
          </w:p>
        </w:tc>
        <w:tc>
          <w:tcPr>
            <w:tcW w:w="1876" w:type="dxa"/>
            <w:vAlign w:val="center"/>
          </w:tcPr>
          <w:p>
            <w:pPr>
              <w:keepNext w:val="0"/>
              <w:keepLines w:val="0"/>
              <w:widowControl/>
              <w:suppressLineNumbers w:val="0"/>
              <w:ind w:firstLine="480" w:firstLineChars="200"/>
              <w:jc w:val="center"/>
              <w:textAlignment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640.05</w:t>
            </w:r>
          </w:p>
        </w:tc>
        <w:tc>
          <w:tcPr>
            <w:tcW w:w="1684" w:type="dxa"/>
            <w:vAlign w:val="center"/>
          </w:tcPr>
          <w:p>
            <w:pPr>
              <w:keepNext w:val="0"/>
              <w:keepLines w:val="0"/>
              <w:widowControl/>
              <w:suppressLineNumbers w:val="0"/>
              <w:wordWrap/>
              <w:ind w:firstLine="480" w:firstLineChars="200"/>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790.87</w:t>
            </w:r>
          </w:p>
        </w:tc>
        <w:tc>
          <w:tcPr>
            <w:tcW w:w="1393" w:type="dxa"/>
            <w:vAlign w:val="top"/>
          </w:tcPr>
          <w:p>
            <w:pPr>
              <w:ind w:left="0" w:leftChars="0" w:firstLine="0" w:firstLineChars="0"/>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2050299</w:t>
            </w:r>
          </w:p>
        </w:tc>
        <w:tc>
          <w:tcPr>
            <w:tcW w:w="2479" w:type="dxa"/>
            <w:vAlign w:val="top"/>
          </w:tcPr>
          <w:p>
            <w:pPr>
              <w:ind w:left="0" w:leftChars="0" w:firstLine="0" w:firstLineChars="0"/>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其他普通教育支出</w:t>
            </w:r>
          </w:p>
        </w:tc>
        <w:tc>
          <w:tcPr>
            <w:tcW w:w="1876" w:type="dxa"/>
            <w:vAlign w:val="top"/>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124.21</w:t>
            </w:r>
          </w:p>
        </w:tc>
        <w:tc>
          <w:tcPr>
            <w:tcW w:w="1684" w:type="dxa"/>
            <w:vAlign w:val="top"/>
          </w:tcPr>
          <w:p>
            <w:pPr>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17.61</w:t>
            </w:r>
          </w:p>
        </w:tc>
        <w:tc>
          <w:tcPr>
            <w:tcW w:w="1393" w:type="dxa"/>
            <w:vAlign w:val="top"/>
          </w:tcPr>
          <w:p>
            <w:pPr>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p>
        </w:tc>
        <w:tc>
          <w:tcPr>
            <w:tcW w:w="2479" w:type="dxa"/>
            <w:vAlign w:val="top"/>
          </w:tcPr>
          <w:p>
            <w:pPr>
              <w:jc w:val="left"/>
              <w:rPr>
                <w:rFonts w:hint="eastAsia" w:ascii="仿宋" w:hAnsi="仿宋" w:eastAsia="仿宋" w:cs="仿宋"/>
                <w:color w:val="auto"/>
                <w:sz w:val="24"/>
                <w:szCs w:val="24"/>
              </w:rPr>
            </w:pPr>
          </w:p>
        </w:tc>
        <w:tc>
          <w:tcPr>
            <w:tcW w:w="1876" w:type="dxa"/>
            <w:vAlign w:val="top"/>
          </w:tcPr>
          <w:p>
            <w:pPr>
              <w:jc w:val="center"/>
              <w:rPr>
                <w:rFonts w:hint="eastAsia" w:ascii="仿宋" w:hAnsi="仿宋" w:eastAsia="仿宋" w:cs="仿宋"/>
                <w:color w:val="auto"/>
                <w:sz w:val="24"/>
                <w:szCs w:val="24"/>
              </w:rPr>
            </w:pPr>
          </w:p>
        </w:tc>
        <w:tc>
          <w:tcPr>
            <w:tcW w:w="1684" w:type="dxa"/>
            <w:vAlign w:val="top"/>
          </w:tcPr>
          <w:p>
            <w:pPr>
              <w:jc w:val="center"/>
              <w:rPr>
                <w:rFonts w:hint="eastAsia" w:ascii="仿宋" w:hAnsi="仿宋" w:eastAsia="仿宋" w:cs="仿宋"/>
                <w:color w:val="auto"/>
                <w:sz w:val="24"/>
                <w:szCs w:val="24"/>
                <w:lang w:val="en-US" w:eastAsia="zh-CN"/>
              </w:rPr>
            </w:pPr>
          </w:p>
        </w:tc>
        <w:tc>
          <w:tcPr>
            <w:tcW w:w="1393" w:type="dxa"/>
            <w:vAlign w:val="top"/>
          </w:tcPr>
          <w:p>
            <w:pPr>
              <w:jc w:val="center"/>
              <w:rPr>
                <w:rFonts w:hint="eastAsia" w:ascii="仿宋" w:hAnsi="仿宋" w:eastAsia="仿宋" w:cs="仿宋"/>
                <w:color w:val="auto"/>
                <w:sz w:val="24"/>
                <w:szCs w:val="24"/>
              </w:rPr>
            </w:pP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764.26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808.48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619.15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689.53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118.49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89.87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19.43</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16.18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12.9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91" w:name="_Toc841"/>
      <w:bookmarkStart w:id="92" w:name="_Toc7241"/>
      <w:bookmarkStart w:id="93" w:name="_Toc17728"/>
      <w:bookmarkStart w:id="94" w:name="_Toc18359"/>
      <w:bookmarkStart w:id="95" w:name="_Toc10171"/>
      <w:bookmarkStart w:id="96" w:name="_Toc25073"/>
      <w:bookmarkStart w:id="97" w:name="_Toc11216"/>
      <w:r>
        <w:rPr>
          <w:rFonts w:hint="eastAsia" w:ascii="仿宋" w:hAnsi="仿宋" w:eastAsia="仿宋" w:cs="仿宋"/>
          <w:b/>
          <w:bCs w:val="0"/>
          <w:color w:val="auto"/>
          <w:lang w:val="en-US" w:eastAsia="zh-CN"/>
        </w:rPr>
        <w:t>六、一般公共预算财政拨款基本支出决算情况说明</w:t>
      </w:r>
      <w:bookmarkEnd w:id="91"/>
      <w:bookmarkEnd w:id="92"/>
      <w:bookmarkEnd w:id="93"/>
      <w:bookmarkEnd w:id="94"/>
      <w:bookmarkEnd w:id="95"/>
      <w:bookmarkEnd w:id="96"/>
      <w:bookmarkEnd w:id="97"/>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695.45</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689.53</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工资福利支出</w:t>
      </w:r>
      <w:r>
        <w:rPr>
          <w:rFonts w:hint="eastAsia" w:ascii="仿宋_GB2312"/>
          <w:color w:val="auto"/>
          <w:szCs w:val="32"/>
          <w:lang w:val="en-US" w:eastAsia="zh-CN"/>
        </w:rPr>
        <w:t>689.53万元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59200</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工会费</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113.03</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98" w:name="_Toc26865"/>
      <w:bookmarkStart w:id="99" w:name="_Toc26508"/>
      <w:bookmarkStart w:id="100" w:name="_Toc20359"/>
      <w:bookmarkStart w:id="101" w:name="_Toc2304"/>
      <w:bookmarkStart w:id="102" w:name="_Toc1182"/>
      <w:bookmarkStart w:id="103" w:name="_Toc518"/>
      <w:bookmarkStart w:id="104" w:name="_Toc10872"/>
      <w:r>
        <w:rPr>
          <w:rFonts w:hint="eastAsia" w:ascii="仿宋" w:hAnsi="仿宋" w:eastAsia="仿宋" w:cs="仿宋"/>
          <w:b/>
          <w:bCs w:val="0"/>
          <w:color w:val="auto"/>
          <w:lang w:val="en-US" w:eastAsia="zh-CN"/>
        </w:rPr>
        <w:t>七、一般公共预算财政拨款“三公”经费支出决算情况说明</w:t>
      </w:r>
      <w:bookmarkEnd w:id="98"/>
      <w:bookmarkEnd w:id="99"/>
      <w:bookmarkEnd w:id="100"/>
      <w:bookmarkEnd w:id="101"/>
      <w:bookmarkEnd w:id="102"/>
      <w:bookmarkEnd w:id="103"/>
      <w:bookmarkEnd w:id="10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b/>
          <w:color w:val="auto"/>
          <w:szCs w:val="32"/>
        </w:rPr>
        <w:t>本</w:t>
      </w:r>
      <w:r>
        <w:rPr>
          <w:rFonts w:hint="eastAsia"/>
          <w:b/>
          <w:color w:val="auto"/>
          <w:szCs w:val="32"/>
          <w:lang w:eastAsia="zh-CN"/>
        </w:rPr>
        <w:t>单位</w:t>
      </w:r>
      <w:r>
        <w:rPr>
          <w:rFonts w:hint="eastAsia"/>
          <w:b/>
          <w:color w:val="auto"/>
          <w:szCs w:val="32"/>
        </w:rPr>
        <w:t>无三公经费</w:t>
      </w:r>
      <w:r>
        <w:rPr>
          <w:rFonts w:hint="eastAsia"/>
          <w:b/>
          <w:color w:val="auto"/>
          <w:szCs w:val="32"/>
          <w:lang w:eastAsia="zh-CN"/>
        </w:rPr>
        <w:t>支出</w:t>
      </w:r>
      <w:r>
        <w:rPr>
          <w:rFonts w:hint="eastAsia"/>
          <w:b/>
          <w:color w:val="auto"/>
          <w:szCs w:val="32"/>
        </w:rPr>
        <w:t>。</w:t>
      </w:r>
    </w:p>
    <w:p>
      <w:pPr>
        <w:pStyle w:val="10"/>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10"/>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10"/>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10"/>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因公出国（境）费</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auto"/>
                <w:sz w:val="28"/>
                <w:szCs w:val="28"/>
              </w:rPr>
            </w:pPr>
            <w:r>
              <w:rPr>
                <w:rFonts w:hint="eastAsia"/>
                <w:color w:val="auto"/>
                <w:sz w:val="28"/>
                <w:szCs w:val="28"/>
              </w:rPr>
              <w:t>公务接待费</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10"/>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10"/>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10"/>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10"/>
              <w:jc w:val="right"/>
              <w:rPr>
                <w:rFonts w:hint="eastAsia" w:eastAsia="宋体"/>
                <w:color w:val="auto"/>
                <w:sz w:val="28"/>
                <w:szCs w:val="28"/>
                <w:lang w:val="en-US" w:eastAsia="zh-CN"/>
              </w:rPr>
            </w:pPr>
          </w:p>
        </w:tc>
      </w:tr>
    </w:tbl>
    <w:p>
      <w:pPr>
        <w:pStyle w:val="10"/>
        <w:spacing w:before="0" w:beforeAutospacing="0" w:after="0" w:afterAutospacing="0"/>
        <w:rPr>
          <w:rFonts w:hint="eastAsia"/>
          <w:b/>
          <w:color w:val="auto"/>
          <w:szCs w:val="32"/>
        </w:rPr>
      </w:pPr>
    </w:p>
    <w:p>
      <w:pPr>
        <w:pStyle w:val="3"/>
        <w:numPr>
          <w:ilvl w:val="0"/>
          <w:numId w:val="2"/>
        </w:numPr>
        <w:rPr>
          <w:rFonts w:hint="default"/>
          <w:lang w:val="en-US" w:eastAsia="zh-CN"/>
        </w:rPr>
      </w:pPr>
      <w:bookmarkStart w:id="105" w:name="_Toc7653"/>
      <w:bookmarkStart w:id="106" w:name="_Toc11643"/>
      <w:bookmarkStart w:id="107" w:name="_Toc9078"/>
      <w:bookmarkStart w:id="108" w:name="_Toc26991"/>
      <w:bookmarkStart w:id="109" w:name="_Toc1792"/>
      <w:bookmarkStart w:id="110" w:name="_Toc15892"/>
      <w:bookmarkStart w:id="111" w:name="_Toc27167"/>
      <w:r>
        <w:rPr>
          <w:rFonts w:hint="eastAsia" w:ascii="仿宋" w:hAnsi="仿宋" w:eastAsia="仿宋" w:cs="仿宋"/>
          <w:b/>
          <w:bCs w:val="0"/>
          <w:color w:val="auto"/>
          <w:lang w:val="en-US" w:eastAsia="zh-CN"/>
        </w:rPr>
        <w:t>其他重要事项情况说明</w:t>
      </w:r>
      <w:bookmarkEnd w:id="105"/>
      <w:bookmarkEnd w:id="106"/>
      <w:bookmarkEnd w:id="107"/>
      <w:bookmarkEnd w:id="108"/>
      <w:bookmarkEnd w:id="109"/>
      <w:bookmarkEnd w:id="110"/>
      <w:bookmarkEnd w:id="111"/>
    </w:p>
    <w:p>
      <w:pPr>
        <w:pStyle w:val="4"/>
        <w:ind w:firstLine="1405" w:firstLineChars="500"/>
        <w:rPr>
          <w:rFonts w:hint="default"/>
          <w:lang w:val="en-US" w:eastAsia="zh-CN"/>
        </w:rPr>
      </w:pPr>
      <w:r>
        <w:rPr>
          <w:rFonts w:hint="eastAsia" w:ascii="仿宋" w:hAnsi="仿宋" w:eastAsia="仿宋" w:cs="仿宋"/>
          <w:b/>
          <w:bCs w:val="0"/>
          <w:color w:val="auto"/>
          <w:lang w:val="en-US" w:eastAsia="zh-CN"/>
        </w:rPr>
        <w:t>2021年本单位无重要事项。</w:t>
      </w:r>
    </w:p>
    <w:p>
      <w:pPr>
        <w:rPr>
          <w:rFonts w:hint="eastAsia"/>
          <w:b/>
          <w:bCs/>
          <w:color w:val="auto"/>
        </w:rPr>
      </w:pPr>
      <w:bookmarkStart w:id="112" w:name="_Toc23407"/>
      <w:r>
        <w:rPr>
          <w:rFonts w:hint="eastAsia"/>
          <w:b/>
          <w:bCs/>
          <w:color w:val="auto"/>
        </w:rPr>
        <w:t>（一）机关运行经费支出情况说明</w:t>
      </w:r>
      <w:bookmarkEnd w:id="112"/>
    </w:p>
    <w:p>
      <w:pPr>
        <w:spacing w:line="580" w:lineRule="exact"/>
        <w:ind w:firstLine="1600" w:firstLineChars="50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21年</w:t>
      </w:r>
      <w:r>
        <w:rPr>
          <w:rFonts w:hint="eastAsia"/>
          <w:b/>
          <w:color w:val="auto"/>
          <w:szCs w:val="32"/>
        </w:rPr>
        <w:t>本</w:t>
      </w:r>
      <w:r>
        <w:rPr>
          <w:rFonts w:hint="eastAsia"/>
          <w:b/>
          <w:color w:val="auto"/>
          <w:szCs w:val="32"/>
          <w:lang w:eastAsia="zh-CN"/>
        </w:rPr>
        <w:t>单位</w:t>
      </w:r>
      <w:r>
        <w:rPr>
          <w:rFonts w:hint="eastAsia"/>
          <w:b/>
          <w:color w:val="auto"/>
          <w:szCs w:val="32"/>
        </w:rPr>
        <w:t>无机关运行经费。</w:t>
      </w:r>
    </w:p>
    <w:p>
      <w:pPr>
        <w:rPr>
          <w:rFonts w:hint="eastAsia"/>
          <w:b/>
          <w:bCs/>
          <w:color w:val="auto"/>
        </w:rPr>
      </w:pPr>
      <w:bookmarkStart w:id="113" w:name="_Toc16103"/>
      <w:r>
        <w:rPr>
          <w:rFonts w:hint="eastAsia"/>
          <w:b/>
          <w:bCs/>
          <w:color w:val="auto"/>
        </w:rPr>
        <w:t>（二）政府采购情况说明</w:t>
      </w:r>
      <w:bookmarkEnd w:id="113"/>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7.5</w:t>
      </w:r>
      <w:r>
        <w:rPr>
          <w:rFonts w:hint="eastAsia" w:ascii="仿宋_GB2312"/>
          <w:color w:val="auto"/>
          <w:szCs w:val="32"/>
        </w:rPr>
        <w:t>万元，其中：政府采购货物支出</w:t>
      </w:r>
      <w:r>
        <w:rPr>
          <w:rFonts w:hint="eastAsia" w:ascii="仿宋_GB2312"/>
          <w:color w:val="auto"/>
          <w:szCs w:val="32"/>
          <w:lang w:val="en-US" w:eastAsia="zh-CN"/>
        </w:rPr>
        <w:t>7.5</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114" w:name="_Toc19975"/>
      <w:r>
        <w:rPr>
          <w:rFonts w:hint="eastAsia"/>
          <w:b/>
          <w:bCs/>
          <w:color w:val="auto"/>
        </w:rPr>
        <w:t>（三）国有资产占用情况说明</w:t>
      </w:r>
      <w:bookmarkEnd w:id="114"/>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1606" w:firstLineChars="500"/>
        <w:rPr>
          <w:rFonts w:hint="default" w:ascii="仿宋" w:hAnsi="仿宋" w:eastAsia="仿宋" w:cs="仿宋"/>
          <w:b/>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本单位无重点项目</w:t>
      </w:r>
    </w:p>
    <w:p>
      <w:pPr>
        <w:numPr>
          <w:ilvl w:val="0"/>
          <w:numId w:val="3"/>
        </w:numPr>
        <w:spacing w:line="580" w:lineRule="exact"/>
        <w:ind w:firstLine="643" w:firstLineChars="200"/>
        <w:outlineLvl w:val="0"/>
        <w:rPr>
          <w:rFonts w:hint="eastAsia" w:ascii="仿宋_GB2312"/>
          <w:b/>
          <w:szCs w:val="32"/>
          <w:lang w:val="en-US" w:eastAsia="zh-CN"/>
        </w:rPr>
      </w:pPr>
      <w:bookmarkStart w:id="115" w:name="_Toc29251"/>
      <w:bookmarkStart w:id="116" w:name="_Toc22172"/>
      <w:bookmarkStart w:id="117" w:name="_Toc30780"/>
      <w:bookmarkStart w:id="118" w:name="_Toc11944"/>
      <w:bookmarkStart w:id="119" w:name="_Toc15"/>
      <w:r>
        <w:rPr>
          <w:rFonts w:hint="eastAsia" w:ascii="仿宋_GB2312"/>
          <w:b/>
          <w:szCs w:val="32"/>
        </w:rPr>
        <w:t>其他需要说明的事项</w:t>
      </w:r>
      <w:bookmarkEnd w:id="115"/>
      <w:bookmarkStart w:id="120" w:name="_Toc1080"/>
      <w:r>
        <w:rPr>
          <w:rFonts w:hint="eastAsia" w:ascii="仿宋_GB2312"/>
          <w:b/>
          <w:szCs w:val="32"/>
          <w:lang w:val="en-US" w:eastAsia="zh-CN"/>
        </w:rPr>
        <w:t xml:space="preserve">  </w:t>
      </w:r>
    </w:p>
    <w:p>
      <w:pPr>
        <w:numPr>
          <w:numId w:val="0"/>
        </w:numPr>
        <w:spacing w:line="580" w:lineRule="exact"/>
        <w:ind w:firstLine="1606" w:firstLineChars="500"/>
        <w:outlineLvl w:val="0"/>
        <w:rPr>
          <w:rFonts w:hint="default" w:ascii="仿宋_GB2312" w:eastAsia="仿宋_GB2312"/>
          <w:b/>
          <w:szCs w:val="32"/>
          <w:lang w:val="en-US" w:eastAsia="zh-CN"/>
        </w:rPr>
      </w:pPr>
      <w:r>
        <w:rPr>
          <w:rFonts w:hint="eastAsia" w:ascii="仿宋_GB2312"/>
          <w:b/>
          <w:szCs w:val="32"/>
          <w:lang w:val="en-US" w:eastAsia="zh-CN"/>
        </w:rPr>
        <w:t>无</w:t>
      </w:r>
      <w:bookmarkEnd w:id="116"/>
      <w:bookmarkEnd w:id="117"/>
      <w:bookmarkEnd w:id="118"/>
      <w:bookmarkEnd w:id="119"/>
      <w:bookmarkEnd w:id="120"/>
    </w:p>
    <w:p>
      <w:pPr>
        <w:pStyle w:val="2"/>
        <w:ind w:left="0" w:leftChars="0" w:firstLine="0" w:firstLineChars="0"/>
        <w:jc w:val="center"/>
        <w:rPr>
          <w:rFonts w:hint="eastAsia"/>
          <w:b/>
          <w:sz w:val="36"/>
          <w:szCs w:val="36"/>
          <w:lang w:val="en-US" w:eastAsia="zh-CN"/>
        </w:rPr>
      </w:pPr>
      <w:bookmarkStart w:id="121" w:name="_Toc2992"/>
      <w:bookmarkStart w:id="122" w:name="_Toc12987"/>
      <w:bookmarkStart w:id="123" w:name="_Toc21310"/>
      <w:bookmarkStart w:id="124" w:name="_Toc32595"/>
      <w:bookmarkStart w:id="125" w:name="_Toc24412"/>
      <w:r>
        <w:rPr>
          <w:rFonts w:hint="eastAsia"/>
          <w:b/>
          <w:sz w:val="36"/>
          <w:szCs w:val="36"/>
          <w:lang w:val="en-US" w:eastAsia="zh-CN"/>
        </w:rPr>
        <w:t>第四部分  名词解释</w:t>
      </w:r>
      <w:bookmarkEnd w:id="121"/>
      <w:bookmarkEnd w:id="122"/>
      <w:bookmarkEnd w:id="123"/>
      <w:bookmarkEnd w:id="124"/>
      <w:bookmarkEnd w:id="125"/>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单位名称：静乐县第三中学附属小学</w:t>
      </w:r>
    </w:p>
    <w:p>
      <w:pPr>
        <w:ind w:firstLine="4800" w:firstLineChars="1500"/>
        <w:rPr>
          <w:rFonts w:hint="eastAsia"/>
          <w:lang w:val="en-US" w:eastAsia="zh-CN"/>
        </w:rPr>
        <w:sectPr>
          <w:footerReference r:id="rId5" w:type="default"/>
          <w:pgSz w:w="11906" w:h="16838"/>
          <w:pgMar w:top="1440" w:right="1800" w:bottom="1440" w:left="1800" w:header="851" w:footer="992" w:gutter="0"/>
          <w:pgNumType w:start="1"/>
          <w:cols w:space="425" w:num="1"/>
          <w:docGrid w:type="lines" w:linePitch="381" w:charSpace="0"/>
        </w:sectPr>
      </w:pPr>
      <w:r>
        <w:rPr>
          <w:rFonts w:hint="eastAsia"/>
          <w:lang w:val="en-US" w:eastAsia="zh-CN"/>
        </w:rPr>
        <w:t>二〇二二年六月十五</w:t>
      </w:r>
    </w:p>
    <w:p>
      <w:pPr>
        <w:tabs>
          <w:tab w:val="left" w:pos="5406"/>
        </w:tabs>
        <w:bidi w:val="0"/>
        <w:spacing w:line="240" w:lineRule="auto"/>
        <w:ind w:left="0" w:leftChars="0" w:firstLine="0" w:firstLineChars="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sdtPr>
    <w:sdtContent>
      <w:p>
        <w:pPr>
          <w:pStyle w:val="6"/>
          <w:ind w:firstLine="360"/>
          <w:jc w:val="center"/>
        </w:pPr>
        <w:r>
          <w:fldChar w:fldCharType="begin"/>
        </w:r>
        <w:r>
          <w:instrText xml:space="preserve">PAGE   \* MERGEFORMAT</w:instrText>
        </w:r>
        <w:r>
          <w:fldChar w:fldCharType="separate"/>
        </w:r>
        <w:r>
          <w:rPr>
            <w:lang w:val="zh-CN"/>
          </w:rPr>
          <w:t>7</w:t>
        </w:r>
        <w:r>
          <w:fldChar w:fldCharType="end"/>
        </w:r>
      </w:p>
    </w:sdtContent>
  </w:sdt>
  <w:p>
    <w:pPr>
      <w:pStyle w:val="6"/>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185B6F"/>
    <w:multiLevelType w:val="singleLevel"/>
    <w:tmpl w:val="D8185B6F"/>
    <w:lvl w:ilvl="0" w:tentative="0">
      <w:start w:val="5"/>
      <w:numFmt w:val="chineseCounting"/>
      <w:suff w:val="nothing"/>
      <w:lvlText w:val="（%1）"/>
      <w:lvlJc w:val="left"/>
      <w:rPr>
        <w:rFonts w:hint="eastAsia"/>
      </w:rPr>
    </w:lvl>
  </w:abstractNum>
  <w:abstractNum w:abstractNumId="1">
    <w:nsid w:val="531BF05C"/>
    <w:multiLevelType w:val="singleLevel"/>
    <w:tmpl w:val="531BF05C"/>
    <w:lvl w:ilvl="0" w:tentative="0">
      <w:start w:val="8"/>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A4E7088"/>
    <w:rsid w:val="16654CDD"/>
    <w:rsid w:val="1A4A5C33"/>
    <w:rsid w:val="2701594C"/>
    <w:rsid w:val="27426717"/>
    <w:rsid w:val="2E637624"/>
    <w:rsid w:val="2FDC442E"/>
    <w:rsid w:val="37943B50"/>
    <w:rsid w:val="3821117E"/>
    <w:rsid w:val="3B826B5B"/>
    <w:rsid w:val="40457BFB"/>
    <w:rsid w:val="42C12CEC"/>
    <w:rsid w:val="430D3477"/>
    <w:rsid w:val="44401A62"/>
    <w:rsid w:val="495520D0"/>
    <w:rsid w:val="4A012068"/>
    <w:rsid w:val="53A30631"/>
    <w:rsid w:val="5EC01F6A"/>
    <w:rsid w:val="61053E2D"/>
    <w:rsid w:val="63AB51DF"/>
    <w:rsid w:val="649C6DC9"/>
    <w:rsid w:val="66521B42"/>
    <w:rsid w:val="6B2457F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9"/>
    <w:pPr>
      <w:keepNext/>
      <w:keepLines/>
      <w:spacing w:before="260" w:after="260" w:line="416" w:lineRule="auto"/>
      <w:jc w:val="left"/>
      <w:outlineLvl w:val="2"/>
    </w:pPr>
    <w:rPr>
      <w:rFonts w:cs="Times New Roman"/>
      <w:bCs/>
      <w:kern w:val="0"/>
      <w:szCs w:val="32"/>
      <w:lang w:val="zh-CN" w:eastAsia="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无间隔1"/>
    <w:qFormat/>
    <w:uiPriority w:val="99"/>
    <w:pPr>
      <w:ind w:firstLine="200" w:firstLineChars="200"/>
    </w:pPr>
    <w:rPr>
      <w:rFonts w:ascii="Times New Roman" w:hAnsi="Times New Roman" w:eastAsia="仿宋_GB2312" w:cs="Times New Roman"/>
      <w:sz w:val="30"/>
      <w:szCs w:val="22"/>
      <w:lang w:val="en-US" w:eastAsia="zh-CN" w:bidi="ar-SA"/>
    </w:rPr>
  </w:style>
  <w:style w:type="paragraph" w:customStyle="1" w:styleId="14">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5">
    <w:name w:val="闻政-正文二级标题"/>
    <w:basedOn w:val="3"/>
    <w:next w:val="14"/>
    <w:qFormat/>
    <w:uiPriority w:val="3"/>
    <w:pPr>
      <w:spacing w:before="120" w:after="60" w:line="500" w:lineRule="exact"/>
      <w:ind w:left="200" w:leftChars="200" w:firstLine="0" w:firstLineChars="0"/>
    </w:pPr>
    <w:rPr>
      <w:rFonts w:ascii="Times New Roman" w:hAnsi="Times New Roman"/>
      <w:sz w:val="28"/>
    </w:rPr>
  </w:style>
  <w:style w:type="paragraph" w:customStyle="1" w:styleId="16">
    <w:name w:val="闻政-正文一级标题"/>
    <w:basedOn w:val="5"/>
    <w:next w:val="14"/>
    <w:qFormat/>
    <w:uiPriority w:val="3"/>
    <w:pPr>
      <w:spacing w:before="120" w:after="60" w:line="500" w:lineRule="exact"/>
      <w:ind w:firstLine="0" w:firstLineChars="0"/>
      <w:outlineLvl w:val="0"/>
    </w:pPr>
    <w:rPr>
      <w:rFonts w:ascii="黑体" w:hAnsi="黑体" w:eastAsia="黑体"/>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2802</Words>
  <Characters>3217</Characters>
  <Lines>0</Lines>
  <Paragraphs>0</Paragraphs>
  <TotalTime>18</TotalTime>
  <ScaleCrop>false</ScaleCrop>
  <LinksUpToDate>false</LinksUpToDate>
  <CharactersWithSpaces>3337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2022-07-26T03:10:56Z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218C9324C33C47588CA9D99414AD9CD7</vt:lpwstr>
  </property>
</Properties>
</file>