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val="en-US" w:eastAsia="zh-CN"/>
        </w:rPr>
      </w:pPr>
      <w:bookmarkStart w:id="0" w:name="_Toc21118"/>
      <w:bookmarkStart w:id="1" w:name="_Toc32048"/>
      <w:bookmarkStart w:id="2" w:name="_Toc31071"/>
      <w:r>
        <w:rPr>
          <w:rFonts w:hint="eastAsia" w:ascii="华文中宋" w:hAnsi="华文中宋" w:eastAsia="华文中宋"/>
          <w:color w:val="auto"/>
          <w:sz w:val="44"/>
          <w:szCs w:val="44"/>
          <w:lang w:val="en-US" w:eastAsia="zh-CN"/>
        </w:rPr>
        <w:t>静乐县静乐县经济和信息化局</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pStyle w:val="8"/>
        <w:spacing w:before="0" w:beforeAutospacing="0" w:after="0" w:afterAutospacing="0"/>
        <w:ind w:firstLine="640"/>
        <w:rPr>
          <w:rFonts w:ascii="仿宋_GB2312"/>
          <w:sz w:val="32"/>
          <w:szCs w:val="32"/>
        </w:rPr>
      </w:pPr>
      <w:bookmarkStart w:id="7" w:name="_Toc12749"/>
      <w:r>
        <w:rPr>
          <w:rFonts w:hint="eastAsia" w:ascii="仿宋_GB2312"/>
          <w:sz w:val="32"/>
          <w:szCs w:val="32"/>
        </w:rPr>
        <w:t>静乐县工业和信息化局单位主要职责：</w:t>
      </w:r>
    </w:p>
    <w:p>
      <w:pPr>
        <w:pStyle w:val="8"/>
        <w:spacing w:before="0" w:beforeAutospacing="0" w:after="0" w:afterAutospacing="0"/>
        <w:ind w:firstLine="640"/>
        <w:rPr>
          <w:rFonts w:ascii="仿宋_GB2312"/>
          <w:sz w:val="32"/>
          <w:szCs w:val="32"/>
        </w:rPr>
      </w:pPr>
      <w:r>
        <w:rPr>
          <w:rFonts w:hint="eastAsia" w:ascii="仿宋_GB2312"/>
          <w:sz w:val="32"/>
          <w:szCs w:val="32"/>
        </w:rPr>
        <w:t>(一)贯彻执行国家、省、市经济和信息化工作及粮食工</w:t>
      </w:r>
    </w:p>
    <w:p>
      <w:pPr>
        <w:pStyle w:val="8"/>
        <w:spacing w:before="0" w:beforeAutospacing="0" w:after="0" w:afterAutospacing="0"/>
        <w:ind w:left="0" w:leftChars="0" w:firstLine="0" w:firstLineChars="0"/>
        <w:rPr>
          <w:rFonts w:hint="eastAsia" w:ascii="仿宋_GB2312"/>
          <w:sz w:val="32"/>
          <w:szCs w:val="32"/>
        </w:rPr>
      </w:pPr>
      <w:r>
        <w:rPr>
          <w:rFonts w:hint="eastAsia" w:ascii="仿宋_GB2312"/>
          <w:sz w:val="32"/>
          <w:szCs w:val="32"/>
        </w:rPr>
        <w:t xml:space="preserve">作的法律、法规、规章和方针、政策，研究拟定具体实施方案并组织实施。  </w:t>
      </w:r>
    </w:p>
    <w:p>
      <w:pPr>
        <w:pStyle w:val="8"/>
        <w:spacing w:before="0" w:beforeAutospacing="0" w:after="0" w:afterAutospacing="0"/>
        <w:ind w:firstLine="640"/>
        <w:rPr>
          <w:rFonts w:ascii="仿宋_GB2312"/>
          <w:sz w:val="32"/>
          <w:szCs w:val="32"/>
        </w:rPr>
      </w:pPr>
      <w:r>
        <w:rPr>
          <w:rFonts w:hint="eastAsia" w:ascii="仿宋_GB2312"/>
          <w:sz w:val="32"/>
          <w:szCs w:val="32"/>
        </w:rPr>
        <w:t xml:space="preserve"> (二)提出全县新型工业化发展战略、工作思路及具体措施，协调解决全县新型工业化进程中的各种问题，拟定并组织实施工业和信息化的发展规划，推进产业结构战略性调整和优化升级，推进信息化和工业化融合。</w:t>
      </w:r>
    </w:p>
    <w:p>
      <w:pPr>
        <w:pStyle w:val="8"/>
        <w:spacing w:before="0" w:beforeAutospacing="0" w:after="0" w:afterAutospacing="0"/>
        <w:ind w:firstLine="640"/>
        <w:rPr>
          <w:rFonts w:ascii="仿宋_GB2312"/>
          <w:sz w:val="32"/>
          <w:szCs w:val="32"/>
        </w:rPr>
      </w:pPr>
      <w:r>
        <w:rPr>
          <w:rFonts w:hint="eastAsia" w:ascii="仿宋_GB2312"/>
          <w:sz w:val="32"/>
          <w:szCs w:val="32"/>
        </w:rPr>
        <w:t xml:space="preserve"> (三)制定并组织实施全县工业和信息化的行业规划和产业政策，提出优化产业布局、结构的政策建议，对各种经济成份的企业实行宏观管理和指导，组织实施行业技术规范和标准，指导行业质量管理工作。</w:t>
      </w:r>
    </w:p>
    <w:p>
      <w:pPr>
        <w:pStyle w:val="8"/>
        <w:spacing w:before="0" w:beforeAutospacing="0" w:after="0" w:afterAutospacing="0"/>
        <w:ind w:firstLine="640"/>
        <w:rPr>
          <w:rFonts w:ascii="仿宋_GB2312"/>
          <w:sz w:val="32"/>
          <w:szCs w:val="32"/>
        </w:rPr>
      </w:pPr>
      <w:r>
        <w:rPr>
          <w:rFonts w:hint="eastAsia" w:ascii="仿宋_GB2312"/>
          <w:sz w:val="32"/>
          <w:szCs w:val="32"/>
        </w:rPr>
        <w:t xml:space="preserve"> (四)监测分析经济运行态势，进行预测预警和信息引导，协调解决经济运行中的重大问题并提出政策和建议；负责工业和信息化应急管理、产业安全及国防动员有关工作；负责紧急状态下重要物资生产组织工作；负责经济运行中的多种交通运输方式的综合协调；负责电力运行协调工作。</w:t>
      </w:r>
    </w:p>
    <w:p>
      <w:pPr>
        <w:pStyle w:val="8"/>
        <w:spacing w:before="0" w:beforeAutospacing="0" w:after="0" w:afterAutospacing="0"/>
        <w:ind w:firstLine="640"/>
        <w:rPr>
          <w:rFonts w:ascii="仿宋_GB2312"/>
          <w:sz w:val="32"/>
          <w:szCs w:val="32"/>
        </w:rPr>
      </w:pPr>
      <w:r>
        <w:rPr>
          <w:rFonts w:hint="eastAsia" w:ascii="仿宋_GB2312"/>
          <w:sz w:val="32"/>
          <w:szCs w:val="32"/>
        </w:rPr>
        <w:t xml:space="preserve"> (五)提出工业和信息化固定资产投资规模和方向(含利用外资和境外投资)，提出县级用于工业和信息化财政性建设资金安排的意见并组织实施；按规定权限，核准、报批工业和信息化企业技术改造类固定资产投资项目(不含煤炭类项目)并组织实施。</w:t>
      </w:r>
    </w:p>
    <w:p>
      <w:pPr>
        <w:pStyle w:val="8"/>
        <w:spacing w:before="0" w:beforeAutospacing="0" w:after="0" w:afterAutospacing="0"/>
        <w:ind w:firstLine="640"/>
        <w:rPr>
          <w:rFonts w:ascii="仿宋_GB2312"/>
          <w:sz w:val="32"/>
          <w:szCs w:val="32"/>
        </w:rPr>
      </w:pPr>
      <w:r>
        <w:rPr>
          <w:rFonts w:hint="eastAsia" w:ascii="仿宋_GB2312"/>
          <w:sz w:val="32"/>
          <w:szCs w:val="32"/>
        </w:rPr>
        <w:t>(六)拟定高新技术产业中涉及生物医药、新材料等的规</w:t>
      </w:r>
    </w:p>
    <w:p>
      <w:pPr>
        <w:pStyle w:val="8"/>
        <w:spacing w:before="0" w:beforeAutospacing="0" w:after="0" w:afterAutospacing="0"/>
        <w:ind w:left="0" w:leftChars="0" w:firstLine="0" w:firstLineChars="0"/>
        <w:rPr>
          <w:rFonts w:ascii="仿宋_GB2312"/>
          <w:sz w:val="32"/>
          <w:szCs w:val="32"/>
        </w:rPr>
      </w:pPr>
      <w:r>
        <w:rPr>
          <w:rFonts w:hint="eastAsia" w:ascii="仿宋_GB2312"/>
          <w:sz w:val="32"/>
          <w:szCs w:val="32"/>
        </w:rPr>
        <w:t>划、政策，执行相关标准并组织实施；指导工业和信息化产业的技术创新和技术进步，以先进适用技术优化提升‘传统产业，组织实施科技重大专项，推进相关科研成果产业化。</w:t>
      </w:r>
    </w:p>
    <w:p>
      <w:pPr>
        <w:pStyle w:val="8"/>
        <w:spacing w:before="0" w:beforeAutospacing="0" w:after="0" w:afterAutospacing="0"/>
        <w:ind w:firstLine="640"/>
        <w:rPr>
          <w:rFonts w:ascii="仿宋_GB2312"/>
          <w:sz w:val="32"/>
          <w:szCs w:val="32"/>
        </w:rPr>
      </w:pPr>
      <w:r>
        <w:rPr>
          <w:rFonts w:hint="eastAsia" w:ascii="仿宋_GB2312"/>
          <w:sz w:val="32"/>
          <w:szCs w:val="32"/>
        </w:rPr>
        <w:t>(七)承担全县原材料、装备制造、消费品工业等行业管</w:t>
      </w:r>
    </w:p>
    <w:p>
      <w:pPr>
        <w:pStyle w:val="8"/>
        <w:spacing w:before="0" w:beforeAutospacing="0" w:after="0" w:afterAutospacing="0"/>
        <w:ind w:left="0" w:leftChars="0" w:firstLine="0" w:firstLineChars="0"/>
        <w:rPr>
          <w:rFonts w:hint="eastAsia" w:ascii="仿宋_GB2312"/>
          <w:sz w:val="32"/>
          <w:szCs w:val="32"/>
          <w:lang w:val="en-US" w:eastAsia="zh-CN"/>
        </w:rPr>
      </w:pPr>
      <w:r>
        <w:rPr>
          <w:rFonts w:hint="eastAsia" w:ascii="仿宋_GB2312"/>
          <w:sz w:val="32"/>
          <w:szCs w:val="32"/>
        </w:rPr>
        <w:t>理工作。</w:t>
      </w:r>
      <w:r>
        <w:rPr>
          <w:rFonts w:hint="eastAsia" w:ascii="仿宋_GB2312"/>
          <w:sz w:val="32"/>
          <w:szCs w:val="32"/>
          <w:lang w:val="en-US" w:eastAsia="zh-CN"/>
        </w:rPr>
        <w:t xml:space="preserve"> </w:t>
      </w:r>
    </w:p>
    <w:p>
      <w:pPr>
        <w:pStyle w:val="8"/>
        <w:spacing w:before="0" w:beforeAutospacing="0" w:after="0" w:afterAutospacing="0"/>
        <w:ind w:left="0" w:leftChars="0" w:firstLine="640" w:firstLineChars="200"/>
        <w:rPr>
          <w:rFonts w:ascii="仿宋_GB2312"/>
          <w:sz w:val="32"/>
          <w:szCs w:val="32"/>
        </w:rPr>
      </w:pPr>
      <w:r>
        <w:rPr>
          <w:rFonts w:hint="eastAsia" w:ascii="仿宋_GB2312"/>
          <w:sz w:val="32"/>
          <w:szCs w:val="32"/>
        </w:rPr>
        <w:t xml:space="preserve"> (八)负责全县节能降耗工作，拟定年度工作计划并推动实施。负责全县节能监督管理工作和节能监察工作。具体负责全县工业和信息化领域节能工作。    </w:t>
      </w:r>
    </w:p>
    <w:p>
      <w:pPr>
        <w:pStyle w:val="8"/>
        <w:spacing w:before="0" w:beforeAutospacing="0" w:after="0" w:afterAutospacing="0"/>
        <w:ind w:firstLine="640"/>
        <w:rPr>
          <w:rFonts w:ascii="仿宋_GB2312"/>
          <w:sz w:val="32"/>
          <w:szCs w:val="32"/>
        </w:rPr>
      </w:pPr>
      <w:r>
        <w:rPr>
          <w:rFonts w:hint="eastAsia" w:ascii="仿宋_GB2312"/>
          <w:sz w:val="32"/>
          <w:szCs w:val="32"/>
        </w:rPr>
        <w:t>(九)综合分析经济社会与资源、环境协调发展的重大战</w:t>
      </w:r>
    </w:p>
    <w:p>
      <w:pPr>
        <w:pStyle w:val="8"/>
        <w:spacing w:before="0" w:beforeAutospacing="0" w:after="0" w:afterAutospacing="0"/>
        <w:ind w:left="0" w:leftChars="0" w:firstLine="0" w:firstLineChars="0"/>
        <w:rPr>
          <w:rFonts w:ascii="仿宋_GB2312"/>
          <w:sz w:val="32"/>
          <w:szCs w:val="32"/>
        </w:rPr>
      </w:pPr>
      <w:r>
        <w:rPr>
          <w:rFonts w:hint="eastAsia" w:ascii="仿宋_GB2312"/>
          <w:sz w:val="32"/>
          <w:szCs w:val="32"/>
        </w:rPr>
        <w:t>略问题，促进可持续发展。参与拟定全社会资源综合利用、清洁生产促进规划，负责全县工业和信息化领域的资源综合利用、清洁生产工作。组织协调相关重大示范工程和新产品、新技术、新设备、新材料的推广应用。</w:t>
      </w:r>
    </w:p>
    <w:p>
      <w:pPr>
        <w:pStyle w:val="8"/>
        <w:spacing w:before="0" w:beforeAutospacing="0" w:after="0" w:afterAutospacing="0"/>
        <w:ind w:firstLine="640"/>
        <w:rPr>
          <w:rFonts w:ascii="仿宋_GB2312"/>
          <w:sz w:val="32"/>
          <w:szCs w:val="32"/>
        </w:rPr>
      </w:pPr>
      <w:r>
        <w:rPr>
          <w:rFonts w:hint="eastAsia" w:ascii="仿宋_GB2312"/>
          <w:sz w:val="32"/>
          <w:szCs w:val="32"/>
        </w:rPr>
        <w:t>(十)参与编制能源基地建设规划；分析、监测煤电油气</w:t>
      </w:r>
    </w:p>
    <w:p>
      <w:pPr>
        <w:pStyle w:val="8"/>
        <w:spacing w:before="0" w:beforeAutospacing="0" w:after="0" w:afterAutospacing="0"/>
        <w:ind w:left="0" w:leftChars="0" w:firstLine="0" w:firstLineChars="0"/>
        <w:rPr>
          <w:rFonts w:ascii="仿宋_GB2312"/>
          <w:sz w:val="32"/>
          <w:szCs w:val="32"/>
        </w:rPr>
      </w:pPr>
      <w:r>
        <w:rPr>
          <w:rFonts w:hint="eastAsia" w:ascii="仿宋_GB2312"/>
          <w:sz w:val="32"/>
          <w:szCs w:val="32"/>
        </w:rPr>
        <w:t>运的供需态势和市场状况，负责产运需平衡衔接和日常调节，统筹协调全县煤电油气运保障工作；承担重大突发性事件状态下的紧急调度和综合协调；组织建立并调用煤电油气应急储备。</w:t>
      </w:r>
    </w:p>
    <w:p>
      <w:pPr>
        <w:pStyle w:val="8"/>
        <w:numPr>
          <w:ilvl w:val="0"/>
          <w:numId w:val="1"/>
        </w:numPr>
        <w:spacing w:before="0" w:beforeAutospacing="0" w:after="0" w:afterAutospacing="0"/>
        <w:ind w:firstLine="640"/>
        <w:rPr>
          <w:rFonts w:hint="eastAsia" w:ascii="仿宋_GB2312"/>
          <w:sz w:val="32"/>
          <w:szCs w:val="32"/>
        </w:rPr>
      </w:pPr>
      <w:r>
        <w:rPr>
          <w:rFonts w:hint="eastAsia" w:ascii="仿宋_GB2312"/>
          <w:sz w:val="32"/>
          <w:szCs w:val="32"/>
        </w:rPr>
        <w:t>推进工业和信息化体制改革和管理创新，提高行业综合素质和核心竞争力，指导工业和信息化相关行业加强安全生产管理。</w:t>
      </w:r>
    </w:p>
    <w:p>
      <w:pPr>
        <w:pStyle w:val="8"/>
        <w:numPr>
          <w:ilvl w:val="0"/>
          <w:numId w:val="0"/>
        </w:numPr>
        <w:spacing w:before="0" w:beforeAutospacing="0" w:after="0" w:afterAutospacing="0"/>
        <w:ind w:firstLine="640" w:firstLineChars="200"/>
        <w:rPr>
          <w:rFonts w:ascii="仿宋_GB2312"/>
          <w:sz w:val="32"/>
          <w:szCs w:val="32"/>
        </w:rPr>
      </w:pPr>
      <w:r>
        <w:rPr>
          <w:rFonts w:hint="eastAsia" w:ascii="仿宋_GB2312"/>
          <w:sz w:val="32"/>
          <w:szCs w:val="32"/>
        </w:rPr>
        <w:t xml:space="preserve"> (十二)统筹推进全县信息化工作，协调信息化建设中的重大问题，促进电信、广播电视和计算机网络融合，指导协调电子政务发展，推动跨行业、跨部门酌互联互通和重要信息资源的开发利用、共享。</w:t>
      </w:r>
    </w:p>
    <w:p>
      <w:pPr>
        <w:pStyle w:val="8"/>
        <w:spacing w:before="0" w:beforeAutospacing="0" w:after="0" w:afterAutospacing="0"/>
        <w:ind w:firstLine="640"/>
        <w:rPr>
          <w:rFonts w:ascii="仿宋_GB2312"/>
          <w:sz w:val="32"/>
          <w:szCs w:val="32"/>
        </w:rPr>
      </w:pPr>
      <w:r>
        <w:rPr>
          <w:rFonts w:hint="eastAsia" w:ascii="仿宋_GB2312"/>
          <w:sz w:val="32"/>
          <w:szCs w:val="32"/>
        </w:rPr>
        <w:t>(十三)指导全县软件业发展；组织实施软件、系统集成</w:t>
      </w:r>
    </w:p>
    <w:p>
      <w:pPr>
        <w:pStyle w:val="8"/>
        <w:spacing w:before="0" w:beforeAutospacing="0" w:after="0" w:afterAutospacing="0"/>
        <w:ind w:left="0" w:leftChars="0" w:firstLine="0" w:firstLineChars="0"/>
        <w:rPr>
          <w:rFonts w:ascii="仿宋_GB2312"/>
          <w:sz w:val="32"/>
          <w:szCs w:val="32"/>
        </w:rPr>
      </w:pPr>
      <w:r>
        <w:rPr>
          <w:rFonts w:hint="eastAsia" w:ascii="仿宋_GB2312"/>
          <w:sz w:val="32"/>
          <w:szCs w:val="32"/>
        </w:rPr>
        <w:t>及服务的技术规范和标准。</w:t>
      </w:r>
    </w:p>
    <w:p>
      <w:pPr>
        <w:pStyle w:val="8"/>
        <w:spacing w:before="0" w:beforeAutospacing="0" w:after="0" w:afterAutospacing="0"/>
        <w:ind w:left="0" w:leftChars="0" w:firstLine="640" w:firstLineChars="200"/>
        <w:rPr>
          <w:rFonts w:ascii="仿宋_GB2312"/>
          <w:sz w:val="32"/>
          <w:szCs w:val="32"/>
        </w:rPr>
      </w:pPr>
      <w:r>
        <w:rPr>
          <w:rFonts w:hint="eastAsia" w:ascii="仿宋_GB2312"/>
          <w:sz w:val="32"/>
          <w:szCs w:val="32"/>
        </w:rPr>
        <w:t xml:space="preserve"> (十四)承担全县网络安全及相关信息安全的责任，负责协调维护全县信息安全和信息安全保障体系建设，指导监督全县政府部门、重点行业的重要信息系统与基础信息网络的安全保障工作，协调处理网络与信息安全的有关重要事项。</w:t>
      </w:r>
    </w:p>
    <w:p>
      <w:pPr>
        <w:pStyle w:val="8"/>
        <w:spacing w:before="0" w:beforeAutospacing="0" w:after="0" w:afterAutospacing="0"/>
        <w:ind w:firstLine="640"/>
        <w:rPr>
          <w:rFonts w:ascii="仿宋_GB2312"/>
          <w:sz w:val="32"/>
          <w:szCs w:val="32"/>
        </w:rPr>
      </w:pPr>
      <w:r>
        <w:rPr>
          <w:rFonts w:hint="eastAsia" w:ascii="仿宋_GB2312"/>
          <w:sz w:val="32"/>
          <w:szCs w:val="32"/>
        </w:rPr>
        <w:t>(十五)负责工业和信息化领域经济技术对外交流及合作工作；负责全县工业产业示范基地、工业园区、信息产业园区的宏观指导、规划发展、组织协调和综合管理工作。</w:t>
      </w:r>
    </w:p>
    <w:p>
      <w:pPr>
        <w:pStyle w:val="8"/>
        <w:spacing w:before="0" w:beforeAutospacing="0" w:after="0" w:afterAutospacing="0"/>
        <w:ind w:firstLine="640"/>
        <w:rPr>
          <w:rFonts w:ascii="仿宋_GB2312"/>
          <w:sz w:val="32"/>
          <w:szCs w:val="32"/>
        </w:rPr>
      </w:pPr>
      <w:r>
        <w:rPr>
          <w:rFonts w:hint="eastAsia" w:ascii="仿宋_GB2312"/>
          <w:sz w:val="32"/>
          <w:szCs w:val="32"/>
        </w:rPr>
        <w:t>(十六)指导推进国有企业改革和重组，推进国有企业的</w:t>
      </w:r>
    </w:p>
    <w:p>
      <w:pPr>
        <w:pStyle w:val="8"/>
        <w:spacing w:before="0" w:beforeAutospacing="0" w:after="0" w:afterAutospacing="0"/>
        <w:ind w:left="0" w:leftChars="0" w:firstLine="0" w:firstLineChars="0"/>
        <w:rPr>
          <w:rFonts w:ascii="仿宋_GB2312"/>
          <w:sz w:val="32"/>
          <w:szCs w:val="32"/>
        </w:rPr>
      </w:pPr>
      <w:r>
        <w:rPr>
          <w:rFonts w:hint="eastAsia" w:ascii="仿宋_GB2312"/>
          <w:sz w:val="32"/>
          <w:szCs w:val="32"/>
        </w:rPr>
        <w:t>观代企业制度建设，完善公司治理结构，推动国有经济布局和结构的战略性调整。指导各种经济成份的中小企业的改革和发展。</w:t>
      </w:r>
    </w:p>
    <w:p>
      <w:pPr>
        <w:pStyle w:val="8"/>
        <w:spacing w:before="0" w:beforeAutospacing="0" w:after="0" w:afterAutospacing="0"/>
        <w:ind w:firstLine="640"/>
        <w:rPr>
          <w:rFonts w:ascii="仿宋_GB2312"/>
          <w:sz w:val="32"/>
          <w:szCs w:val="32"/>
        </w:rPr>
      </w:pPr>
      <w:r>
        <w:rPr>
          <w:rFonts w:hint="eastAsia" w:ascii="仿宋_GB2312"/>
          <w:sz w:val="32"/>
          <w:szCs w:val="32"/>
        </w:rPr>
        <w:t>(十七)根据《中华人民共和国公司法》，受县政府委托，</w:t>
      </w:r>
    </w:p>
    <w:p>
      <w:pPr>
        <w:pStyle w:val="8"/>
        <w:spacing w:before="0" w:beforeAutospacing="0" w:after="0" w:afterAutospacing="0"/>
        <w:ind w:left="0" w:leftChars="0" w:firstLine="0" w:firstLineChars="0"/>
        <w:rPr>
          <w:rFonts w:ascii="仿宋_GB2312"/>
          <w:sz w:val="32"/>
          <w:szCs w:val="32"/>
        </w:rPr>
      </w:pPr>
      <w:r>
        <w:rPr>
          <w:rFonts w:hint="eastAsia" w:ascii="仿宋_GB2312"/>
          <w:sz w:val="32"/>
          <w:szCs w:val="32"/>
        </w:rPr>
        <w:t>代表县政府履行出资人职责，对企业国有资产进行管理指导监督，对所管国有资产保值增值情况进行监督。</w:t>
      </w:r>
    </w:p>
    <w:p>
      <w:pPr>
        <w:pStyle w:val="8"/>
        <w:spacing w:before="0" w:beforeAutospacing="0" w:after="0" w:afterAutospacing="0"/>
        <w:ind w:left="0" w:leftChars="0" w:firstLine="640" w:firstLineChars="200"/>
        <w:rPr>
          <w:rFonts w:ascii="仿宋_GB2312"/>
          <w:sz w:val="32"/>
          <w:szCs w:val="32"/>
        </w:rPr>
      </w:pPr>
      <w:r>
        <w:rPr>
          <w:rFonts w:hint="eastAsia" w:ascii="仿宋_GB2312"/>
          <w:sz w:val="32"/>
          <w:szCs w:val="32"/>
        </w:rPr>
        <w:t xml:space="preserve"> (十八)负责推进流通产业结构调整；指导流通企业改革、商贸服务业和社区商业发展；提出促进商贸企业发展的政策建议；推动流通标准化和连锁经营、商业特许经营、物流配送、电子商务等观代流通方式的发展。</w:t>
      </w:r>
    </w:p>
    <w:p>
      <w:pPr>
        <w:pStyle w:val="8"/>
        <w:spacing w:before="0" w:beforeAutospacing="0" w:after="0" w:afterAutospacing="0"/>
        <w:ind w:firstLine="640"/>
        <w:rPr>
          <w:rFonts w:ascii="仿宋_GB2312"/>
          <w:sz w:val="32"/>
          <w:szCs w:val="32"/>
        </w:rPr>
      </w:pPr>
      <w:r>
        <w:rPr>
          <w:rFonts w:hint="eastAsia" w:ascii="仿宋_GB2312"/>
          <w:sz w:val="32"/>
          <w:szCs w:val="32"/>
        </w:rPr>
        <w:t>(十九)拟定全县贸易发展规划，促进城乡市场发展；研</w:t>
      </w:r>
    </w:p>
    <w:p>
      <w:pPr>
        <w:pStyle w:val="8"/>
        <w:spacing w:before="0" w:beforeAutospacing="0" w:after="0" w:afterAutospacing="0"/>
        <w:ind w:left="0" w:leftChars="0" w:firstLine="0" w:firstLineChars="0"/>
        <w:rPr>
          <w:rFonts w:ascii="仿宋_GB2312"/>
          <w:sz w:val="32"/>
          <w:szCs w:val="32"/>
        </w:rPr>
      </w:pPr>
      <w:r>
        <w:rPr>
          <w:rFonts w:hint="eastAsia" w:ascii="仿宋_GB2312"/>
          <w:sz w:val="32"/>
          <w:szCs w:val="32"/>
        </w:rPr>
        <w:t>究提出引导国内外资金投向市场体系建设的政策建议；指导大宗产品批发市场规划和城市商业网点规划、商业体系建设工作；推进农村市场体系建设，组织实施农村现代流通网络工程。</w:t>
      </w:r>
    </w:p>
    <w:p>
      <w:pPr>
        <w:pStyle w:val="8"/>
        <w:spacing w:before="0" w:beforeAutospacing="0" w:after="0" w:afterAutospacing="0"/>
        <w:ind w:firstLine="640"/>
        <w:rPr>
          <w:rFonts w:ascii="仿宋_GB2312"/>
          <w:sz w:val="32"/>
          <w:szCs w:val="32"/>
        </w:rPr>
      </w:pPr>
      <w:r>
        <w:rPr>
          <w:rFonts w:hint="eastAsia" w:ascii="仿宋_GB2312"/>
          <w:sz w:val="32"/>
          <w:szCs w:val="32"/>
        </w:rPr>
        <w:t xml:space="preserve"> (二十)承担牵头协调整顿和规范市场经济秩序工作的责任；拟定规范市场运行、流通秩序的政策；推动商务领域信用建设；指导商业信用销售；建立市场诚信公共服务平台；按有关规定对特殊流通行业进行监督管理。</w:t>
      </w:r>
    </w:p>
    <w:p>
      <w:pPr>
        <w:pStyle w:val="8"/>
        <w:spacing w:before="0" w:beforeAutospacing="0" w:after="0" w:afterAutospacing="0"/>
        <w:ind w:firstLine="640"/>
        <w:rPr>
          <w:rFonts w:ascii="仿宋_GB2312"/>
          <w:sz w:val="32"/>
          <w:szCs w:val="32"/>
        </w:rPr>
      </w:pPr>
      <w:r>
        <w:rPr>
          <w:rFonts w:hint="eastAsia" w:ascii="仿宋_GB2312"/>
          <w:sz w:val="32"/>
          <w:szCs w:val="32"/>
        </w:rPr>
        <w:t>(二十一)承担组织实施重要消费品市场调控和重要生产资料流通管理的责任；负责建立健全生活必需品市场供应应急管理机制；监测分析市场运行、商品供求状况：调节分析商品价格信息，进行预测预警和信息引导：按分工负责重要消费品储备管理和市场调控工作；按有关规定对成品油流通进行监督管理。</w:t>
      </w:r>
    </w:p>
    <w:p>
      <w:pPr>
        <w:pStyle w:val="8"/>
        <w:spacing w:before="0" w:beforeAutospacing="0" w:after="0" w:afterAutospacing="0"/>
        <w:ind w:firstLine="640"/>
        <w:rPr>
          <w:rFonts w:ascii="仿宋_GB2312"/>
          <w:sz w:val="32"/>
          <w:szCs w:val="32"/>
        </w:rPr>
      </w:pPr>
      <w:r>
        <w:rPr>
          <w:rFonts w:hint="eastAsia" w:ascii="仿宋_GB2312"/>
          <w:sz w:val="32"/>
          <w:szCs w:val="32"/>
        </w:rPr>
        <w:t>(二十二)研究提出全县粮食宏观调控、总量平衡以及粮食流通的中长期规划、收储、动用县级储备粮食的建议；拟定粮食流通体制改革方案并组织实施；推动国有粮食企业改革，研究提出现代粮食流通产业发展战略的建议。</w:t>
      </w:r>
    </w:p>
    <w:p>
      <w:pPr>
        <w:pStyle w:val="8"/>
        <w:spacing w:before="0" w:beforeAutospacing="0" w:after="0" w:afterAutospacing="0"/>
        <w:ind w:firstLine="640"/>
        <w:rPr>
          <w:rFonts w:ascii="仿宋_GB2312"/>
          <w:sz w:val="32"/>
          <w:szCs w:val="32"/>
        </w:rPr>
      </w:pPr>
      <w:r>
        <w:rPr>
          <w:rFonts w:hint="eastAsia" w:ascii="仿宋_GB2312"/>
          <w:sz w:val="32"/>
          <w:szCs w:val="32"/>
        </w:rPr>
        <w:t>(二十三)承担粮食监测预警和应急责任；承担全县粮食流通宏观调控的具体工作；研究提出粮食最低收购价原则的建议；指导协调最低收购价粮食等政策性粮食购销和粮食产销合作：组织实施全县粮食“放心粮油”工程建设。    。</w:t>
      </w:r>
    </w:p>
    <w:p>
      <w:pPr>
        <w:pStyle w:val="8"/>
        <w:spacing w:before="0" w:beforeAutospacing="0" w:after="0" w:afterAutospacing="0"/>
        <w:ind w:left="0" w:leftChars="0" w:firstLine="640" w:firstLineChars="200"/>
        <w:rPr>
          <w:rFonts w:ascii="仿宋_GB2312"/>
          <w:sz w:val="32"/>
          <w:szCs w:val="32"/>
        </w:rPr>
      </w:pPr>
      <w:r>
        <w:rPr>
          <w:rFonts w:hint="eastAsia" w:ascii="仿宋_GB2312"/>
          <w:sz w:val="32"/>
          <w:szCs w:val="32"/>
        </w:rPr>
        <w:t xml:space="preserve"> (二十四)制定全县粮食流通和县级储备粮油管理的有关规章制度并监督执行；制定粮食流通、粮食库存监督检查制度并组织实施；承担对粮食收购、销售、储存环节的粮食质量和原粮卫生监测；开展粮食收购质量调查和品质测报；承担粮食运输活动和政策性用粮的购销活动，以及执行省粮食流通统计制度的情况进行监督检查。</w:t>
      </w:r>
    </w:p>
    <w:p>
      <w:pPr>
        <w:pStyle w:val="8"/>
        <w:spacing w:before="0" w:beforeAutospacing="0" w:after="0" w:afterAutospacing="0"/>
        <w:ind w:firstLine="640"/>
        <w:rPr>
          <w:rFonts w:ascii="仿宋_GB2312"/>
          <w:sz w:val="32"/>
          <w:szCs w:val="32"/>
        </w:rPr>
      </w:pPr>
      <w:r>
        <w:rPr>
          <w:rFonts w:hint="eastAsia" w:ascii="仿宋_GB2312"/>
          <w:sz w:val="32"/>
          <w:szCs w:val="32"/>
        </w:rPr>
        <w:t>(二十五)负责粮食流通的行业管理，制定行业发展规划、政策；组织实施粮食收购市场准入标准；指导粮食流通的科技进步、技术改造和新技术推广；负责全县粮食质量监测体系建设；执行国家、省粮食质量标准和行业标准；制定粮食储存、运输的技术规范并监督执行；开展粮食流通的对外合作和交流。</w:t>
      </w:r>
    </w:p>
    <w:p>
      <w:pPr>
        <w:pStyle w:val="8"/>
        <w:spacing w:before="0" w:beforeAutospacing="0" w:after="0" w:afterAutospacing="0"/>
        <w:ind w:firstLine="640"/>
        <w:rPr>
          <w:rFonts w:ascii="仿宋_GB2312"/>
          <w:sz w:val="32"/>
          <w:szCs w:val="32"/>
        </w:rPr>
      </w:pPr>
      <w:r>
        <w:rPr>
          <w:rFonts w:hint="eastAsia" w:ascii="仿宋_GB2312"/>
          <w:sz w:val="32"/>
          <w:szCs w:val="32"/>
        </w:rPr>
        <w:t>(二十六)负责全县粮食仓储管理、技术推广和安全储存工作；指导粮食行业安全生产工作。维护全县粮食市场流通秩序，对全县粮食市场依法进行检查与管理。</w:t>
      </w:r>
    </w:p>
    <w:p>
      <w:pPr>
        <w:pStyle w:val="8"/>
        <w:spacing w:before="0" w:beforeAutospacing="0" w:after="0" w:afterAutospacing="0"/>
        <w:ind w:firstLine="640"/>
        <w:rPr>
          <w:rFonts w:ascii="仿宋_GB2312"/>
          <w:sz w:val="32"/>
          <w:szCs w:val="32"/>
        </w:rPr>
      </w:pPr>
      <w:r>
        <w:rPr>
          <w:rFonts w:hint="eastAsia" w:ascii="仿宋_GB2312"/>
          <w:sz w:val="32"/>
          <w:szCs w:val="32"/>
        </w:rPr>
        <w:t>(二十七)拟定全县粮食市场体系、粮食现代物流体系建设与发展规划并组织实施；编制粮食流通、仓储、加工设施建设规划；管理有关粮食流通设施国家和省、市投资项目。</w:t>
      </w:r>
    </w:p>
    <w:p>
      <w:pPr>
        <w:pStyle w:val="8"/>
        <w:spacing w:before="0" w:beforeAutospacing="0" w:after="0" w:afterAutospacing="0"/>
        <w:ind w:left="0" w:leftChars="0" w:firstLine="640" w:firstLineChars="200"/>
        <w:rPr>
          <w:rFonts w:ascii="仿宋_GB2312"/>
          <w:sz w:val="32"/>
          <w:szCs w:val="32"/>
        </w:rPr>
      </w:pPr>
      <w:r>
        <w:rPr>
          <w:rFonts w:hint="eastAsia" w:ascii="仿宋_GB2312"/>
          <w:sz w:val="32"/>
          <w:szCs w:val="32"/>
        </w:rPr>
        <w:t xml:space="preserve"> (二十八)承担县级储备粮油管理；会同有关部门研究提出县级储备粮油的规模、总体布局和收购、销售、计划；提出县级储备粮油规模建议；会同有关部门制定县储备粮油轮换计划并监督实施：监督检查县储备粮油的数量、质量和储存安全；制定县储备粮管理的技术规范并监督执行；承担全县军粮供应的相关工作。</w:t>
      </w:r>
    </w:p>
    <w:p>
      <w:pPr>
        <w:pStyle w:val="8"/>
        <w:spacing w:before="0" w:beforeAutospacing="0" w:after="0" w:afterAutospacing="0"/>
        <w:ind w:firstLine="640"/>
        <w:rPr>
          <w:rFonts w:ascii="仿宋_GB2312"/>
          <w:sz w:val="32"/>
          <w:szCs w:val="32"/>
        </w:rPr>
      </w:pPr>
      <w:r>
        <w:rPr>
          <w:rFonts w:hint="eastAsia" w:ascii="仿宋_GB2312"/>
          <w:sz w:val="32"/>
          <w:szCs w:val="32"/>
        </w:rPr>
        <w:t>(二十九)负责全社会粮食流通统计工作，建立健全全社会粮食流通统计制度：负责全县政策性粮油业务的财务管理和核算工作</w:t>
      </w:r>
      <w:r>
        <w:rPr>
          <w:rFonts w:hint="eastAsia" w:ascii="仿宋_GB2312"/>
          <w:sz w:val="32"/>
          <w:szCs w:val="32"/>
          <w:lang w:eastAsia="zh-CN"/>
        </w:rPr>
        <w:t>。</w:t>
      </w:r>
      <w:r>
        <w:rPr>
          <w:rFonts w:hint="eastAsia" w:ascii="仿宋_GB2312"/>
          <w:sz w:val="32"/>
          <w:szCs w:val="32"/>
        </w:rPr>
        <w:t xml:space="preserve">   </w:t>
      </w:r>
    </w:p>
    <w:p>
      <w:pPr>
        <w:pStyle w:val="8"/>
        <w:spacing w:before="0" w:beforeAutospacing="0" w:after="0" w:afterAutospacing="0"/>
        <w:ind w:firstLine="640"/>
        <w:rPr>
          <w:rFonts w:ascii="仿宋_GB2312"/>
          <w:sz w:val="32"/>
          <w:szCs w:val="32"/>
        </w:rPr>
      </w:pPr>
      <w:r>
        <w:rPr>
          <w:rFonts w:hint="eastAsia" w:ascii="仿宋_GB2312"/>
          <w:sz w:val="32"/>
          <w:szCs w:val="32"/>
        </w:rPr>
        <w:t>(三十)承办县人民政府交办的其他事项。</w:t>
      </w:r>
    </w:p>
    <w:p>
      <w:pPr>
        <w:pStyle w:val="3"/>
        <w:rPr>
          <w:rFonts w:hint="eastAsia" w:ascii="仿宋" w:hAnsi="仿宋" w:eastAsia="仿宋" w:cs="仿宋"/>
          <w:b w:val="0"/>
          <w:bCs/>
          <w:lang w:eastAsia="zh-CN"/>
        </w:rPr>
      </w:pPr>
      <w:bookmarkStart w:id="8" w:name="_Toc11407"/>
      <w:bookmarkStart w:id="9" w:name="_Toc13964"/>
      <w:r>
        <w:rPr>
          <w:rFonts w:hint="eastAsia" w:ascii="仿宋" w:hAnsi="仿宋" w:eastAsia="仿宋" w:cs="仿宋"/>
          <w:b w:val="0"/>
          <w:bCs/>
          <w:lang w:eastAsia="zh-CN"/>
        </w:rPr>
        <w:t>二、机构设置情况</w:t>
      </w:r>
      <w:bookmarkEnd w:id="8"/>
      <w:bookmarkEnd w:id="9"/>
    </w:p>
    <w:p>
      <w:pPr>
        <w:pStyle w:val="8"/>
        <w:numPr>
          <w:ilvl w:val="0"/>
          <w:numId w:val="0"/>
        </w:numPr>
        <w:spacing w:before="0" w:beforeAutospacing="0" w:after="0" w:afterAutospacing="0"/>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本单位行政编制6名，工勤人员2名，事业编制28人。2019年职工人数27人，内设办公室、工业和信息股、商贸股、国有资产管理股。</w:t>
      </w:r>
    </w:p>
    <w:p>
      <w:pPr>
        <w:pStyle w:val="2"/>
        <w:rPr>
          <w:rFonts w:hint="eastAsia"/>
          <w:b/>
          <w:bCs w:val="0"/>
          <w:sz w:val="36"/>
          <w:szCs w:val="36"/>
          <w:lang w:val="en-US" w:eastAsia="zh-CN"/>
        </w:rPr>
      </w:pPr>
      <w:r>
        <w:rPr>
          <w:rFonts w:hint="eastAsia"/>
          <w:b/>
          <w:sz w:val="36"/>
          <w:szCs w:val="36"/>
          <w:lang w:val="en-US" w:eastAsia="zh-CN"/>
        </w:rPr>
        <w:t>第二部分  2021年度部门决算报表（附表）</w:t>
      </w:r>
      <w:bookmarkEnd w:id="7"/>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年度收入</w:t>
      </w:r>
      <w:r>
        <w:rPr>
          <w:rFonts w:ascii="仿宋_GB2312"/>
          <w:szCs w:val="32"/>
        </w:rPr>
        <w:t>总计</w:t>
      </w:r>
      <w:r>
        <w:rPr>
          <w:rFonts w:hint="eastAsia" w:ascii="仿宋_GB2312"/>
          <w:szCs w:val="32"/>
          <w:lang w:val="en-US" w:eastAsia="zh-CN"/>
        </w:rPr>
        <w:t>1181.14</w:t>
      </w:r>
      <w:r>
        <w:rPr>
          <w:rFonts w:hint="eastAsia" w:ascii="仿宋_GB2312"/>
          <w:szCs w:val="32"/>
        </w:rPr>
        <w:t>万元、支出总计</w:t>
      </w:r>
      <w:r>
        <w:rPr>
          <w:rFonts w:hint="eastAsia" w:ascii="仿宋_GB2312"/>
          <w:szCs w:val="32"/>
          <w:lang w:val="en-US" w:eastAsia="zh-CN"/>
        </w:rPr>
        <w:t>1181.14</w:t>
      </w:r>
      <w:r>
        <w:rPr>
          <w:rFonts w:hint="eastAsia" w:ascii="仿宋_GB2312"/>
          <w:szCs w:val="32"/>
        </w:rPr>
        <w:t>万元。与20</w:t>
      </w:r>
      <w:r>
        <w:rPr>
          <w:rFonts w:hint="eastAsia" w:ascii="仿宋_GB2312"/>
          <w:szCs w:val="32"/>
          <w:lang w:val="en-US" w:eastAsia="zh-CN"/>
        </w:rPr>
        <w:t>20</w:t>
      </w:r>
      <w:r>
        <w:rPr>
          <w:rFonts w:hint="eastAsia" w:ascii="仿宋_GB2312"/>
          <w:szCs w:val="32"/>
        </w:rPr>
        <w:t>年相比，收入总计</w:t>
      </w:r>
      <w:r>
        <w:rPr>
          <w:rFonts w:hint="eastAsia" w:ascii="仿宋_GB2312"/>
          <w:color w:val="auto"/>
          <w:szCs w:val="32"/>
          <w:lang w:val="en-US" w:eastAsia="zh-CN"/>
        </w:rPr>
        <w:t>增长393.29</w:t>
      </w:r>
      <w:r>
        <w:rPr>
          <w:rFonts w:hint="eastAsia" w:ascii="仿宋_GB2312"/>
          <w:color w:val="auto"/>
          <w:szCs w:val="32"/>
        </w:rPr>
        <w:t>万元，</w:t>
      </w:r>
      <w:r>
        <w:rPr>
          <w:rFonts w:hint="eastAsia" w:ascii="仿宋_GB2312"/>
          <w:color w:val="auto"/>
          <w:szCs w:val="32"/>
          <w:lang w:val="en-US" w:eastAsia="zh-CN"/>
        </w:rPr>
        <w:t>增长49.92</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243.92</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17.12</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电商办支出减少</w:t>
      </w:r>
      <w:r>
        <w:rPr>
          <w:rFonts w:hint="eastAsia" w:ascii="仿宋_GB2312"/>
          <w:color w:val="auto"/>
          <w:szCs w:val="32"/>
        </w:rPr>
        <w:t>。</w:t>
      </w:r>
    </w:p>
    <w:p>
      <w:pPr>
        <w:pStyle w:val="3"/>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eastAsia="仿宋_GB2312"/>
          <w:szCs w:val="32"/>
          <w:lang w:eastAsia="zh-CN"/>
        </w:rPr>
      </w:pPr>
      <w:r>
        <w:rPr>
          <w:rFonts w:hint="eastAsia" w:ascii="仿宋_GB2312"/>
          <w:szCs w:val="32"/>
        </w:rPr>
        <w:t>本年收入合计</w:t>
      </w:r>
      <w:r>
        <w:rPr>
          <w:rFonts w:hint="eastAsia" w:ascii="仿宋_GB2312"/>
          <w:szCs w:val="32"/>
          <w:lang w:val="en-US" w:eastAsia="zh-CN"/>
        </w:rPr>
        <w:t>1181.14</w:t>
      </w:r>
      <w:r>
        <w:rPr>
          <w:rFonts w:hint="eastAsia" w:ascii="仿宋_GB2312"/>
          <w:szCs w:val="32"/>
        </w:rPr>
        <w:t>万元，其中：财政拨款收入</w:t>
      </w:r>
      <w:r>
        <w:rPr>
          <w:rFonts w:hint="eastAsia" w:ascii="仿宋_GB2312"/>
          <w:szCs w:val="32"/>
          <w:lang w:val="en-US" w:eastAsia="zh-CN"/>
        </w:rPr>
        <w:t>1181.14</w:t>
      </w:r>
      <w:r>
        <w:rPr>
          <w:rFonts w:hint="eastAsia" w:ascii="仿宋_GB2312"/>
          <w:szCs w:val="32"/>
        </w:rPr>
        <w:t>万元，占比</w:t>
      </w:r>
      <w:r>
        <w:rPr>
          <w:rFonts w:hint="eastAsia" w:ascii="仿宋_GB2312"/>
          <w:szCs w:val="32"/>
          <w:lang w:val="en-US" w:eastAsia="zh-CN"/>
        </w:rPr>
        <w:t>100</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eastAsia="仿宋_GB2312"/>
          <w:szCs w:val="32"/>
          <w:lang w:eastAsia="zh-CN"/>
        </w:rPr>
      </w:pPr>
      <w:r>
        <w:rPr>
          <w:rFonts w:hint="eastAsia" w:ascii="仿宋_GB2312"/>
          <w:szCs w:val="32"/>
        </w:rPr>
        <w:t>本年支出合计</w:t>
      </w:r>
      <w:r>
        <w:rPr>
          <w:rFonts w:hint="eastAsia" w:ascii="仿宋_GB2312"/>
          <w:szCs w:val="32"/>
          <w:lang w:val="en-US" w:eastAsia="zh-CN"/>
        </w:rPr>
        <w:t>1181.14</w:t>
      </w:r>
      <w:r>
        <w:rPr>
          <w:rFonts w:hint="eastAsia" w:ascii="仿宋_GB2312"/>
          <w:szCs w:val="32"/>
        </w:rPr>
        <w:t>万元，其中：基本支出</w:t>
      </w:r>
      <w:r>
        <w:rPr>
          <w:rFonts w:hint="eastAsia" w:ascii="仿宋_GB2312"/>
          <w:szCs w:val="32"/>
          <w:lang w:val="en-US" w:eastAsia="zh-CN"/>
        </w:rPr>
        <w:t>321.40</w:t>
      </w:r>
      <w:r>
        <w:rPr>
          <w:rFonts w:hint="eastAsia" w:ascii="仿宋_GB2312"/>
          <w:szCs w:val="32"/>
        </w:rPr>
        <w:t>万元，占比</w:t>
      </w:r>
      <w:r>
        <w:rPr>
          <w:rFonts w:hint="eastAsia" w:ascii="仿宋_GB2312"/>
          <w:szCs w:val="32"/>
          <w:lang w:val="en-US" w:eastAsia="zh-CN"/>
        </w:rPr>
        <w:t>27.21</w:t>
      </w:r>
      <w:r>
        <w:rPr>
          <w:rFonts w:hint="eastAsia" w:ascii="仿宋_GB2312"/>
          <w:szCs w:val="32"/>
        </w:rPr>
        <w:t>%；项目支出</w:t>
      </w:r>
      <w:r>
        <w:rPr>
          <w:rFonts w:hint="eastAsia" w:ascii="仿宋_GB2312"/>
          <w:szCs w:val="32"/>
          <w:lang w:val="en-US" w:eastAsia="zh-CN"/>
        </w:rPr>
        <w:t>859.74</w:t>
      </w:r>
      <w:r>
        <w:rPr>
          <w:rFonts w:hint="eastAsia" w:ascii="仿宋_GB2312"/>
          <w:szCs w:val="32"/>
        </w:rPr>
        <w:t>万元，占比</w:t>
      </w:r>
      <w:r>
        <w:rPr>
          <w:rFonts w:hint="eastAsia" w:ascii="仿宋_GB2312"/>
          <w:szCs w:val="32"/>
          <w:lang w:val="en-US" w:eastAsia="zh-CN"/>
        </w:rPr>
        <w:t>72.79</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1181.14</w:t>
      </w:r>
      <w:r>
        <w:rPr>
          <w:rFonts w:hint="eastAsia" w:ascii="仿宋_GB2312"/>
          <w:color w:val="auto"/>
          <w:szCs w:val="32"/>
        </w:rPr>
        <w:t>万元、支出总计</w:t>
      </w:r>
      <w:r>
        <w:rPr>
          <w:rFonts w:hint="eastAsia" w:ascii="仿宋_GB2312"/>
          <w:color w:val="auto"/>
          <w:szCs w:val="32"/>
          <w:lang w:val="en-US" w:eastAsia="zh-CN"/>
        </w:rPr>
        <w:t>1181.14</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增长393.29</w:t>
      </w:r>
      <w:r>
        <w:rPr>
          <w:rFonts w:hint="eastAsia" w:ascii="仿宋_GB2312"/>
          <w:color w:val="auto"/>
          <w:szCs w:val="32"/>
        </w:rPr>
        <w:t>万元，</w:t>
      </w:r>
      <w:r>
        <w:rPr>
          <w:rFonts w:hint="eastAsia" w:ascii="仿宋_GB2312"/>
          <w:color w:val="auto"/>
          <w:szCs w:val="32"/>
          <w:lang w:val="en-US" w:eastAsia="zh-CN"/>
        </w:rPr>
        <w:t>增长49.92</w:t>
      </w:r>
      <w:r>
        <w:rPr>
          <w:rFonts w:hint="eastAsia" w:ascii="仿宋_GB2312"/>
          <w:color w:val="auto"/>
          <w:szCs w:val="32"/>
        </w:rPr>
        <w:t>%，财政拨款支出总计减少</w:t>
      </w:r>
      <w:r>
        <w:rPr>
          <w:rFonts w:hint="eastAsia" w:ascii="仿宋_GB2312"/>
          <w:color w:val="auto"/>
          <w:szCs w:val="32"/>
          <w:lang w:val="en-US" w:eastAsia="zh-CN"/>
        </w:rPr>
        <w:t>243.92</w:t>
      </w:r>
      <w:r>
        <w:rPr>
          <w:rFonts w:hint="eastAsia" w:ascii="仿宋_GB2312"/>
          <w:color w:val="auto"/>
          <w:szCs w:val="32"/>
        </w:rPr>
        <w:t>万元，下降</w:t>
      </w:r>
      <w:r>
        <w:rPr>
          <w:rFonts w:hint="eastAsia" w:ascii="仿宋_GB2312"/>
          <w:color w:val="auto"/>
          <w:szCs w:val="32"/>
          <w:lang w:val="en-US" w:eastAsia="zh-CN"/>
        </w:rPr>
        <w:t>17.12</w:t>
      </w:r>
      <w:r>
        <w:rPr>
          <w:rFonts w:hint="eastAsia" w:ascii="仿宋_GB2312"/>
          <w:color w:val="auto"/>
          <w:szCs w:val="32"/>
        </w:rPr>
        <w:t>%。主要原因是</w:t>
      </w:r>
      <w:r>
        <w:rPr>
          <w:rFonts w:hint="eastAsia" w:ascii="仿宋_GB2312"/>
          <w:color w:val="auto"/>
          <w:szCs w:val="32"/>
          <w:lang w:val="en-US" w:eastAsia="zh-CN"/>
        </w:rPr>
        <w:t>电商办开支减少</w:t>
      </w:r>
      <w:r>
        <w:rPr>
          <w:rFonts w:hint="eastAsia" w:ascii="仿宋_GB2312"/>
          <w:color w:val="auto"/>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1181.14</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243.92</w:t>
      </w:r>
      <w:r>
        <w:rPr>
          <w:rFonts w:hint="eastAsia" w:ascii="仿宋_GB2312"/>
          <w:color w:val="auto"/>
          <w:szCs w:val="32"/>
        </w:rPr>
        <w:t>万元，下降</w:t>
      </w:r>
      <w:r>
        <w:rPr>
          <w:rFonts w:hint="eastAsia" w:ascii="仿宋_GB2312"/>
          <w:color w:val="auto"/>
          <w:szCs w:val="32"/>
          <w:lang w:val="en-US" w:eastAsia="zh-CN"/>
        </w:rPr>
        <w:t>17.12</w:t>
      </w:r>
      <w:r>
        <w:rPr>
          <w:rFonts w:hint="eastAsia" w:ascii="仿宋_GB2312"/>
          <w:color w:val="auto"/>
          <w:szCs w:val="32"/>
        </w:rPr>
        <w:t>%。主要原因是</w:t>
      </w:r>
      <w:r>
        <w:rPr>
          <w:rFonts w:hint="eastAsia" w:ascii="仿宋_GB2312"/>
          <w:color w:val="auto"/>
          <w:szCs w:val="32"/>
          <w:lang w:val="en-US" w:eastAsia="zh-CN"/>
        </w:rPr>
        <w:t>电商办支出减少</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1181.14</w:t>
      </w:r>
      <w:r>
        <w:rPr>
          <w:rFonts w:hint="eastAsia" w:ascii="仿宋_GB2312"/>
          <w:color w:val="auto"/>
          <w:szCs w:val="32"/>
        </w:rPr>
        <w:t>万元</w:t>
      </w:r>
      <w:r>
        <w:rPr>
          <w:rFonts w:ascii="仿宋_GB2312"/>
          <w:color w:val="auto"/>
          <w:szCs w:val="32"/>
        </w:rPr>
        <w:t>，主要用于以下方面：</w:t>
      </w:r>
      <w:r>
        <w:rPr>
          <w:rFonts w:hint="eastAsia" w:ascii="仿宋_GB2312"/>
          <w:color w:val="auto"/>
          <w:szCs w:val="32"/>
        </w:rPr>
        <w:t>一般公共服务支出</w:t>
      </w:r>
      <w:r>
        <w:rPr>
          <w:rFonts w:hint="eastAsia" w:ascii="仿宋_GB2312"/>
          <w:color w:val="auto"/>
          <w:szCs w:val="32"/>
          <w:lang w:val="en-US" w:eastAsia="zh-CN"/>
        </w:rPr>
        <w:t xml:space="preserve"> 321.40万元，卫生健康支出7万元，资源勘探工业信息等支出570.66万元，商业服务业等支出280.89万元 国有资本经营预算支出1.19万元，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szCs w:val="32"/>
          <w:lang w:val="en-US" w:eastAsia="zh-CN"/>
        </w:rPr>
        <w:t>1259.13</w:t>
      </w:r>
      <w:r>
        <w:rPr>
          <w:rFonts w:hint="eastAsia"/>
          <w:szCs w:val="32"/>
        </w:rPr>
        <w:t>万元，支出决算</w:t>
      </w:r>
      <w:r>
        <w:rPr>
          <w:rFonts w:hint="eastAsia"/>
          <w:szCs w:val="32"/>
          <w:lang w:val="en-US" w:eastAsia="zh-CN"/>
        </w:rPr>
        <w:t>1181.14</w:t>
      </w:r>
      <w:r>
        <w:rPr>
          <w:rFonts w:hint="eastAsia"/>
          <w:szCs w:val="32"/>
        </w:rPr>
        <w:t>万元，完成年初预算的</w:t>
      </w:r>
      <w:r>
        <w:rPr>
          <w:rFonts w:hint="eastAsia"/>
          <w:szCs w:val="32"/>
          <w:lang w:val="en-US" w:eastAsia="zh-CN"/>
        </w:rPr>
        <w:t>93.</w:t>
      </w:r>
      <w:r>
        <w:rPr>
          <w:rFonts w:hint="eastAsia"/>
          <w:color w:val="auto"/>
          <w:szCs w:val="32"/>
          <w:lang w:val="en-US" w:eastAsia="zh-CN"/>
        </w:rPr>
        <w:t>81</w:t>
      </w:r>
      <w:r>
        <w:rPr>
          <w:color w:val="auto"/>
          <w:szCs w:val="32"/>
        </w:rPr>
        <w:t>%</w:t>
      </w:r>
      <w:r>
        <w:rPr>
          <w:rFonts w:hint="eastAsia"/>
          <w:color w:val="auto"/>
          <w:szCs w:val="32"/>
        </w:rPr>
        <w:t>。其</w:t>
      </w:r>
      <w:r>
        <w:rPr>
          <w:rFonts w:hint="eastAsia"/>
          <w:szCs w:val="32"/>
        </w:rPr>
        <w:t>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118"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2490"/>
        <w:gridCol w:w="1875"/>
        <w:gridCol w:w="1659"/>
        <w:gridCol w:w="1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90"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5"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59"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656" w:type="dxa"/>
            <w:vAlign w:val="top"/>
          </w:tcPr>
          <w:p>
            <w:pPr>
              <w:widowControl/>
              <w:ind w:left="0" w:leftChars="0" w:firstLine="0" w:firstLineChars="0"/>
              <w:jc w:val="left"/>
              <w:rPr>
                <w:rFonts w:hint="default" w:ascii="宋体" w:hAnsi="宋体" w:eastAsia="宋体" w:cs="Arial"/>
                <w:b/>
                <w:color w:val="000000"/>
                <w:kern w:val="0"/>
                <w:sz w:val="24"/>
                <w:szCs w:val="24"/>
                <w:lang w:val="en-US" w:eastAsia="zh-CN"/>
              </w:rPr>
            </w:pPr>
            <w:r>
              <w:rPr>
                <w:rFonts w:hint="eastAsia" w:ascii="宋体" w:hAnsi="宋体" w:cs="Arial"/>
                <w:b/>
                <w:color w:val="000000"/>
                <w:kern w:val="0"/>
                <w:sz w:val="24"/>
                <w:szCs w:val="24"/>
                <w:lang w:eastAsia="zh-CN"/>
              </w:rPr>
              <w:t>增减变化</w:t>
            </w:r>
            <w:r>
              <w:rPr>
                <w:rFonts w:hint="eastAsia" w:ascii="宋体" w:hAnsi="宋体" w:cs="Arial"/>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top"/>
          </w:tcPr>
          <w:p>
            <w:pPr>
              <w:widowControl/>
              <w:ind w:left="0" w:leftChars="0" w:firstLine="0" w:firstLineChars="0"/>
              <w:jc w:val="center"/>
              <w:rPr>
                <w:rFonts w:hint="eastAsia" w:ascii="宋体" w:hAnsi="宋体" w:eastAsia="仿宋_GB2312" w:cs="Arial"/>
                <w:b/>
                <w:color w:val="000000"/>
                <w:kern w:val="0"/>
                <w:sz w:val="24"/>
                <w:szCs w:val="24"/>
                <w:lang w:val="en-US" w:eastAsia="zh-CN"/>
              </w:rPr>
            </w:pPr>
            <w:r>
              <w:rPr>
                <w:rFonts w:hint="eastAsia" w:ascii="宋体" w:hAnsi="宋体" w:cs="Arial"/>
                <w:b/>
                <w:color w:val="000000"/>
                <w:kern w:val="0"/>
                <w:sz w:val="24"/>
                <w:szCs w:val="24"/>
                <w:lang w:val="en-US" w:eastAsia="zh-CN"/>
              </w:rPr>
              <w:t>合计</w:t>
            </w:r>
          </w:p>
        </w:tc>
        <w:tc>
          <w:tcPr>
            <w:tcW w:w="2490" w:type="dxa"/>
            <w:vAlign w:val="top"/>
          </w:tcPr>
          <w:p>
            <w:pPr>
              <w:widowControl/>
              <w:jc w:val="both"/>
              <w:rPr>
                <w:rFonts w:hint="eastAsia" w:ascii="宋体" w:hAnsi="宋体" w:cs="Arial"/>
                <w:b/>
                <w:color w:val="000000"/>
                <w:kern w:val="0"/>
                <w:sz w:val="24"/>
                <w:szCs w:val="24"/>
              </w:rPr>
            </w:pPr>
          </w:p>
        </w:tc>
        <w:tc>
          <w:tcPr>
            <w:tcW w:w="1875" w:type="dxa"/>
            <w:vAlign w:val="top"/>
          </w:tcPr>
          <w:p>
            <w:pPr>
              <w:widowControl/>
              <w:jc w:val="right"/>
              <w:rPr>
                <w:rFonts w:hint="eastAsia" w:ascii="宋体" w:hAnsi="宋体" w:cs="Arial"/>
                <w:b/>
                <w:color w:val="000000"/>
                <w:kern w:val="0"/>
                <w:sz w:val="24"/>
                <w:szCs w:val="24"/>
                <w:lang w:val="en-US" w:eastAsia="zh-CN"/>
              </w:rPr>
            </w:pPr>
            <w:r>
              <w:rPr>
                <w:rFonts w:hint="eastAsia" w:ascii="宋体" w:hAnsi="宋体" w:cs="Arial"/>
                <w:b w:val="0"/>
                <w:bCs/>
                <w:color w:val="000000"/>
                <w:kern w:val="0"/>
                <w:sz w:val="24"/>
                <w:szCs w:val="24"/>
                <w:lang w:val="en-US" w:eastAsia="zh-CN"/>
              </w:rPr>
              <w:t>1</w:t>
            </w:r>
            <w:r>
              <w:rPr>
                <w:rFonts w:hint="eastAsia" w:ascii="宋体" w:hAnsi="宋体" w:eastAsia="宋体" w:cs="宋体"/>
                <w:b w:val="0"/>
                <w:bCs/>
                <w:i w:val="0"/>
                <w:color w:val="000000"/>
                <w:kern w:val="0"/>
                <w:sz w:val="22"/>
                <w:szCs w:val="22"/>
                <w:u w:val="none"/>
                <w:lang w:val="en-US" w:eastAsia="zh-CN" w:bidi="ar"/>
              </w:rPr>
              <w:t>425.0553</w:t>
            </w:r>
          </w:p>
        </w:tc>
        <w:tc>
          <w:tcPr>
            <w:tcW w:w="1659" w:type="dxa"/>
            <w:vAlign w:val="center"/>
          </w:tcPr>
          <w:p>
            <w:pPr>
              <w:keepNext w:val="0"/>
              <w:keepLines w:val="0"/>
              <w:widowControl/>
              <w:suppressLineNumbers w:val="0"/>
              <w:ind w:firstLine="440" w:firstLineChars="200"/>
              <w:jc w:val="right"/>
              <w:textAlignment w:val="center"/>
              <w:rPr>
                <w:rFonts w:hint="eastAsia" w:ascii="宋体" w:hAnsi="宋体" w:eastAsia="宋体" w:cs="Arial"/>
                <w:b/>
                <w:color w:val="000000"/>
                <w:kern w:val="0"/>
                <w:sz w:val="24"/>
                <w:szCs w:val="24"/>
                <w:lang w:val="en-US" w:eastAsia="zh-CN"/>
              </w:rPr>
            </w:pPr>
            <w:r>
              <w:rPr>
                <w:rFonts w:hint="eastAsia" w:ascii="宋体" w:hAnsi="宋体" w:eastAsia="宋体" w:cs="宋体"/>
                <w:i w:val="0"/>
                <w:color w:val="000000"/>
                <w:kern w:val="0"/>
                <w:sz w:val="22"/>
                <w:szCs w:val="22"/>
                <w:u w:val="none"/>
                <w:lang w:val="en-US" w:eastAsia="zh-CN" w:bidi="ar"/>
              </w:rPr>
              <w:t>1181.14</w:t>
            </w:r>
          </w:p>
        </w:tc>
        <w:tc>
          <w:tcPr>
            <w:tcW w:w="1656" w:type="dxa"/>
            <w:vAlign w:val="top"/>
          </w:tcPr>
          <w:p>
            <w:pPr>
              <w:widowControl/>
              <w:ind w:left="0" w:leftChars="0" w:firstLine="0" w:firstLineChars="0"/>
              <w:jc w:val="right"/>
              <w:rPr>
                <w:rFonts w:hint="default" w:ascii="宋体" w:hAnsi="宋体" w:cs="Arial"/>
                <w:b/>
                <w:color w:val="000000"/>
                <w:kern w:val="0"/>
                <w:sz w:val="24"/>
                <w:szCs w:val="24"/>
                <w:lang w:val="en-US" w:eastAsia="zh-CN"/>
              </w:rPr>
            </w:pPr>
            <w:r>
              <w:rPr>
                <w:rFonts w:hint="eastAsia" w:ascii="宋体" w:hAnsi="宋体" w:cs="Arial"/>
                <w:b/>
                <w:color w:val="000000"/>
                <w:kern w:val="0"/>
                <w:sz w:val="24"/>
                <w:szCs w:val="24"/>
                <w:lang w:val="en-US" w:eastAsia="zh-CN"/>
              </w:rPr>
              <w:t>-17.12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201</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一般公共服务支出</w:t>
            </w:r>
          </w:p>
        </w:tc>
        <w:tc>
          <w:tcPr>
            <w:tcW w:w="187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1221.7940</w:t>
            </w:r>
          </w:p>
        </w:tc>
        <w:tc>
          <w:tcPr>
            <w:tcW w:w="165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321.40</w:t>
            </w:r>
          </w:p>
        </w:tc>
        <w:tc>
          <w:tcPr>
            <w:tcW w:w="1656"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20103</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政府办公厅（室）及相关机构事务</w:t>
            </w:r>
          </w:p>
        </w:tc>
        <w:tc>
          <w:tcPr>
            <w:tcW w:w="187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1221.7940</w:t>
            </w:r>
          </w:p>
        </w:tc>
        <w:tc>
          <w:tcPr>
            <w:tcW w:w="165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321.40</w:t>
            </w:r>
          </w:p>
        </w:tc>
        <w:tc>
          <w:tcPr>
            <w:tcW w:w="1656"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2010301</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 xml:space="preserve">  行政运行</w:t>
            </w:r>
          </w:p>
        </w:tc>
        <w:tc>
          <w:tcPr>
            <w:tcW w:w="1875"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361.7374</w:t>
            </w:r>
          </w:p>
        </w:tc>
        <w:tc>
          <w:tcPr>
            <w:tcW w:w="1659"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321.40</w:t>
            </w:r>
          </w:p>
        </w:tc>
        <w:tc>
          <w:tcPr>
            <w:tcW w:w="1656" w:type="dxa"/>
            <w:vAlign w:val="top"/>
          </w:tcPr>
          <w:p>
            <w:pPr>
              <w:ind w:left="0" w:leftChars="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2010399</w:t>
            </w:r>
          </w:p>
        </w:tc>
        <w:tc>
          <w:tcPr>
            <w:tcW w:w="249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其他政府办公厅（室）及相关机构事务支出</w:t>
            </w:r>
          </w:p>
        </w:tc>
        <w:tc>
          <w:tcPr>
            <w:tcW w:w="1875"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860.0566</w:t>
            </w:r>
          </w:p>
        </w:tc>
        <w:tc>
          <w:tcPr>
            <w:tcW w:w="165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656" w:type="dxa"/>
            <w:vAlign w:val="top"/>
          </w:tcPr>
          <w:p>
            <w:pPr>
              <w:ind w:left="0" w:leftChars="0" w:firstLine="0" w:firstLineChars="0"/>
              <w:jc w:val="right"/>
              <w:rPr>
                <w:rFonts w:hint="default"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210</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卫生健康支出</w:t>
            </w:r>
          </w:p>
        </w:tc>
        <w:tc>
          <w:tcPr>
            <w:tcW w:w="187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15.1500</w:t>
            </w:r>
          </w:p>
        </w:tc>
        <w:tc>
          <w:tcPr>
            <w:tcW w:w="165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7.02</w:t>
            </w:r>
          </w:p>
        </w:tc>
        <w:tc>
          <w:tcPr>
            <w:tcW w:w="1656"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21004</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公共卫生</w:t>
            </w:r>
          </w:p>
        </w:tc>
        <w:tc>
          <w:tcPr>
            <w:tcW w:w="1875" w:type="dxa"/>
            <w:vAlign w:val="center"/>
          </w:tcPr>
          <w:p>
            <w:pPr>
              <w:keepNext w:val="0"/>
              <w:keepLines w:val="0"/>
              <w:widowControl/>
              <w:suppressLineNumbers w:val="0"/>
              <w:ind w:firstLine="440" w:firstLineChars="200"/>
              <w:jc w:val="right"/>
              <w:textAlignment w:val="center"/>
              <w:rPr>
                <w:rFonts w:hint="eastAsia" w:ascii="仿宋" w:hAnsi="仿宋" w:eastAsia="仿宋" w:cs="仿宋"/>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15.1500</w:t>
            </w:r>
          </w:p>
        </w:tc>
        <w:tc>
          <w:tcPr>
            <w:tcW w:w="165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7.02</w:t>
            </w:r>
          </w:p>
        </w:tc>
        <w:tc>
          <w:tcPr>
            <w:tcW w:w="1656" w:type="dxa"/>
            <w:vAlign w:val="top"/>
          </w:tcPr>
          <w:p>
            <w:pPr>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2100410</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 xml:space="preserve">  突发公共卫生事件应急处理</w:t>
            </w:r>
          </w:p>
        </w:tc>
        <w:tc>
          <w:tcPr>
            <w:tcW w:w="1875" w:type="dxa"/>
            <w:vAlign w:val="center"/>
          </w:tcPr>
          <w:p>
            <w:pPr>
              <w:keepNext w:val="0"/>
              <w:keepLines w:val="0"/>
              <w:widowControl/>
              <w:suppressLineNumbers w:val="0"/>
              <w:ind w:firstLine="440" w:firstLineChars="200"/>
              <w:jc w:val="right"/>
              <w:textAlignment w:val="center"/>
              <w:rPr>
                <w:rFonts w:hint="eastAsia" w:ascii="仿宋" w:hAnsi="仿宋" w:eastAsia="仿宋" w:cs="仿宋"/>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15.1500</w:t>
            </w:r>
          </w:p>
        </w:tc>
        <w:tc>
          <w:tcPr>
            <w:tcW w:w="165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7.02</w:t>
            </w:r>
          </w:p>
        </w:tc>
        <w:tc>
          <w:tcPr>
            <w:tcW w:w="1656" w:type="dxa"/>
            <w:vAlign w:val="top"/>
          </w:tcPr>
          <w:p>
            <w:pPr>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215</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资源勘探工业信息等支出</w:t>
            </w:r>
          </w:p>
        </w:tc>
        <w:tc>
          <w:tcPr>
            <w:tcW w:w="1875" w:type="dxa"/>
            <w:vAlign w:val="center"/>
          </w:tcPr>
          <w:p>
            <w:pPr>
              <w:keepNext w:val="0"/>
              <w:keepLines w:val="0"/>
              <w:widowControl/>
              <w:suppressLineNumbers w:val="0"/>
              <w:jc w:val="right"/>
              <w:textAlignment w:val="center"/>
              <w:rPr>
                <w:rFonts w:hint="eastAsia" w:ascii="仿宋" w:hAnsi="仿宋" w:eastAsia="仿宋" w:cs="仿宋"/>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47.6600</w:t>
            </w:r>
          </w:p>
        </w:tc>
        <w:tc>
          <w:tcPr>
            <w:tcW w:w="165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570.65</w:t>
            </w:r>
          </w:p>
        </w:tc>
        <w:tc>
          <w:tcPr>
            <w:tcW w:w="1656"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1097.34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21505</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工业和信息产业监管</w:t>
            </w:r>
          </w:p>
        </w:tc>
        <w:tc>
          <w:tcPr>
            <w:tcW w:w="1875" w:type="dxa"/>
            <w:vAlign w:val="center"/>
          </w:tcPr>
          <w:p>
            <w:pPr>
              <w:keepNext w:val="0"/>
              <w:keepLines w:val="0"/>
              <w:widowControl/>
              <w:suppressLineNumbers w:val="0"/>
              <w:jc w:val="right"/>
              <w:textAlignment w:val="center"/>
              <w:rPr>
                <w:rFonts w:hint="eastAsia" w:ascii="仿宋" w:hAnsi="仿宋" w:eastAsia="仿宋" w:cs="仿宋"/>
                <w:color w:val="000000"/>
                <w:sz w:val="24"/>
                <w:szCs w:val="24"/>
              </w:rPr>
            </w:pPr>
          </w:p>
        </w:tc>
        <w:tc>
          <w:tcPr>
            <w:tcW w:w="165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570.65</w:t>
            </w:r>
          </w:p>
        </w:tc>
        <w:tc>
          <w:tcPr>
            <w:tcW w:w="1656"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2150501</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 xml:space="preserve">  行政运行</w:t>
            </w:r>
          </w:p>
        </w:tc>
        <w:tc>
          <w:tcPr>
            <w:tcW w:w="1875" w:type="dxa"/>
            <w:vAlign w:val="center"/>
          </w:tcPr>
          <w:p>
            <w:pPr>
              <w:keepNext w:val="0"/>
              <w:keepLines w:val="0"/>
              <w:widowControl/>
              <w:suppressLineNumbers w:val="0"/>
              <w:jc w:val="right"/>
              <w:textAlignment w:val="center"/>
              <w:rPr>
                <w:rFonts w:hint="eastAsia" w:ascii="仿宋" w:hAnsi="仿宋" w:eastAsia="仿宋" w:cs="仿宋"/>
                <w:color w:val="000000"/>
                <w:sz w:val="24"/>
                <w:szCs w:val="24"/>
              </w:rPr>
            </w:pPr>
          </w:p>
        </w:tc>
        <w:tc>
          <w:tcPr>
            <w:tcW w:w="165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35.00</w:t>
            </w:r>
          </w:p>
        </w:tc>
        <w:tc>
          <w:tcPr>
            <w:tcW w:w="1656"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2150502</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 xml:space="preserve">  一般行政管理事务</w:t>
            </w:r>
          </w:p>
        </w:tc>
        <w:tc>
          <w:tcPr>
            <w:tcW w:w="1875" w:type="dxa"/>
            <w:vAlign w:val="top"/>
          </w:tcPr>
          <w:p>
            <w:pPr>
              <w:jc w:val="left"/>
              <w:rPr>
                <w:rFonts w:hint="eastAsia" w:ascii="仿宋" w:hAnsi="仿宋" w:eastAsia="仿宋" w:cs="仿宋"/>
                <w:color w:val="000000"/>
                <w:sz w:val="24"/>
                <w:szCs w:val="24"/>
              </w:rPr>
            </w:pPr>
          </w:p>
        </w:tc>
        <w:tc>
          <w:tcPr>
            <w:tcW w:w="165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39.47</w:t>
            </w:r>
          </w:p>
        </w:tc>
        <w:tc>
          <w:tcPr>
            <w:tcW w:w="1656" w:type="dxa"/>
            <w:vAlign w:val="top"/>
          </w:tcPr>
          <w:p>
            <w:pPr>
              <w:jc w:val="lef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2150599</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 xml:space="preserve">  其他工业和信息产业监管支出</w:t>
            </w:r>
          </w:p>
        </w:tc>
        <w:tc>
          <w:tcPr>
            <w:tcW w:w="1875" w:type="dxa"/>
            <w:vAlign w:val="top"/>
          </w:tcPr>
          <w:p>
            <w:pPr>
              <w:jc w:val="left"/>
              <w:rPr>
                <w:rFonts w:hint="eastAsia" w:ascii="仿宋" w:hAnsi="仿宋" w:eastAsia="仿宋" w:cs="仿宋"/>
                <w:color w:val="000000"/>
                <w:sz w:val="24"/>
                <w:szCs w:val="24"/>
              </w:rPr>
            </w:pPr>
          </w:p>
        </w:tc>
        <w:tc>
          <w:tcPr>
            <w:tcW w:w="1659"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rPr>
            </w:pPr>
            <w:r>
              <w:rPr>
                <w:rFonts w:hint="eastAsia" w:ascii="宋体" w:hAnsi="宋体" w:eastAsia="宋体" w:cs="宋体"/>
                <w:i w:val="0"/>
                <w:color w:val="000000"/>
                <w:kern w:val="0"/>
                <w:sz w:val="22"/>
                <w:szCs w:val="22"/>
                <w:u w:val="none"/>
                <w:lang w:val="en-US" w:eastAsia="zh-CN" w:bidi="ar"/>
              </w:rPr>
              <w:t>496.18</w:t>
            </w:r>
          </w:p>
        </w:tc>
        <w:tc>
          <w:tcPr>
            <w:tcW w:w="1656"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21508</w:t>
            </w:r>
          </w:p>
        </w:tc>
        <w:tc>
          <w:tcPr>
            <w:tcW w:w="249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支持中小企业发展和管理支出</w:t>
            </w:r>
          </w:p>
        </w:tc>
        <w:tc>
          <w:tcPr>
            <w:tcW w:w="187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47.6600</w:t>
            </w:r>
          </w:p>
        </w:tc>
        <w:tc>
          <w:tcPr>
            <w:tcW w:w="165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656"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2150805</w:t>
            </w:r>
          </w:p>
        </w:tc>
        <w:tc>
          <w:tcPr>
            <w:tcW w:w="249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中小企业发展专项</w:t>
            </w:r>
          </w:p>
        </w:tc>
        <w:tc>
          <w:tcPr>
            <w:tcW w:w="187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47.6600</w:t>
            </w:r>
          </w:p>
        </w:tc>
        <w:tc>
          <w:tcPr>
            <w:tcW w:w="165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656"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216</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商业服务业等支出</w:t>
            </w:r>
          </w:p>
        </w:tc>
        <w:tc>
          <w:tcPr>
            <w:tcW w:w="187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135.6514</w:t>
            </w:r>
          </w:p>
        </w:tc>
        <w:tc>
          <w:tcPr>
            <w:tcW w:w="165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280.89</w:t>
            </w:r>
          </w:p>
        </w:tc>
        <w:tc>
          <w:tcPr>
            <w:tcW w:w="1656"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107.07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21602</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商业流通事务</w:t>
            </w:r>
          </w:p>
        </w:tc>
        <w:tc>
          <w:tcPr>
            <w:tcW w:w="187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135.6514</w:t>
            </w:r>
          </w:p>
        </w:tc>
        <w:tc>
          <w:tcPr>
            <w:tcW w:w="1659"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20.00</w:t>
            </w:r>
          </w:p>
        </w:tc>
        <w:tc>
          <w:tcPr>
            <w:tcW w:w="1656"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2160299</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 xml:space="preserve">  其他商业流通事务支出</w:t>
            </w:r>
          </w:p>
        </w:tc>
        <w:tc>
          <w:tcPr>
            <w:tcW w:w="187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135.6514</w:t>
            </w:r>
          </w:p>
        </w:tc>
        <w:tc>
          <w:tcPr>
            <w:tcW w:w="1659"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20.00</w:t>
            </w:r>
          </w:p>
        </w:tc>
        <w:tc>
          <w:tcPr>
            <w:tcW w:w="1656" w:type="dxa"/>
            <w:vAlign w:val="top"/>
          </w:tcPr>
          <w:p>
            <w:pPr>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-85.26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21699</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其他商业服务业等支出</w:t>
            </w:r>
          </w:p>
        </w:tc>
        <w:tc>
          <w:tcPr>
            <w:tcW w:w="1875" w:type="dxa"/>
            <w:vAlign w:val="top"/>
          </w:tcPr>
          <w:p>
            <w:pPr>
              <w:jc w:val="left"/>
              <w:rPr>
                <w:rFonts w:hint="eastAsia" w:ascii="仿宋" w:hAnsi="仿宋" w:eastAsia="仿宋" w:cs="仿宋"/>
                <w:color w:val="000000"/>
                <w:sz w:val="24"/>
                <w:szCs w:val="24"/>
              </w:rPr>
            </w:pPr>
          </w:p>
        </w:tc>
        <w:tc>
          <w:tcPr>
            <w:tcW w:w="165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260.89</w:t>
            </w:r>
          </w:p>
        </w:tc>
        <w:tc>
          <w:tcPr>
            <w:tcW w:w="1656" w:type="dxa"/>
            <w:vAlign w:val="top"/>
          </w:tcPr>
          <w:p>
            <w:pPr>
              <w:jc w:val="lef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2169999</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 xml:space="preserve">  其他商业服务业等支出</w:t>
            </w:r>
          </w:p>
        </w:tc>
        <w:tc>
          <w:tcPr>
            <w:tcW w:w="1875" w:type="dxa"/>
            <w:vAlign w:val="top"/>
          </w:tcPr>
          <w:p>
            <w:pPr>
              <w:jc w:val="left"/>
              <w:rPr>
                <w:rFonts w:hint="eastAsia" w:ascii="仿宋" w:hAnsi="仿宋" w:eastAsia="仿宋" w:cs="仿宋"/>
                <w:color w:val="000000"/>
                <w:sz w:val="24"/>
                <w:szCs w:val="24"/>
              </w:rPr>
            </w:pPr>
          </w:p>
        </w:tc>
        <w:tc>
          <w:tcPr>
            <w:tcW w:w="165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260.89</w:t>
            </w:r>
          </w:p>
        </w:tc>
        <w:tc>
          <w:tcPr>
            <w:tcW w:w="1656" w:type="dxa"/>
            <w:vAlign w:val="top"/>
          </w:tcPr>
          <w:p>
            <w:pPr>
              <w:jc w:val="lef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222</w:t>
            </w:r>
          </w:p>
        </w:tc>
        <w:tc>
          <w:tcPr>
            <w:tcW w:w="249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粮油物资储备支出</w:t>
            </w:r>
          </w:p>
        </w:tc>
        <w:tc>
          <w:tcPr>
            <w:tcW w:w="187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4.8000</w:t>
            </w:r>
          </w:p>
        </w:tc>
        <w:tc>
          <w:tcPr>
            <w:tcW w:w="165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656" w:type="dxa"/>
            <w:vAlign w:val="top"/>
          </w:tcPr>
          <w:p>
            <w:pPr>
              <w:jc w:val="lef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22205</w:t>
            </w:r>
          </w:p>
        </w:tc>
        <w:tc>
          <w:tcPr>
            <w:tcW w:w="249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重要商品储备</w:t>
            </w:r>
          </w:p>
        </w:tc>
        <w:tc>
          <w:tcPr>
            <w:tcW w:w="187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4.8000</w:t>
            </w:r>
          </w:p>
        </w:tc>
        <w:tc>
          <w:tcPr>
            <w:tcW w:w="165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656" w:type="dxa"/>
            <w:vAlign w:val="top"/>
          </w:tcPr>
          <w:p>
            <w:pPr>
              <w:jc w:val="lef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2220503</w:t>
            </w:r>
          </w:p>
        </w:tc>
        <w:tc>
          <w:tcPr>
            <w:tcW w:w="249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肉类储备</w:t>
            </w:r>
          </w:p>
        </w:tc>
        <w:tc>
          <w:tcPr>
            <w:tcW w:w="187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4.8000</w:t>
            </w:r>
          </w:p>
        </w:tc>
        <w:tc>
          <w:tcPr>
            <w:tcW w:w="165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656" w:type="dxa"/>
            <w:vAlign w:val="top"/>
          </w:tcPr>
          <w:p>
            <w:pPr>
              <w:jc w:val="lef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223</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国有资本经营预算支出</w:t>
            </w:r>
          </w:p>
        </w:tc>
        <w:tc>
          <w:tcPr>
            <w:tcW w:w="1875" w:type="dxa"/>
            <w:vAlign w:val="top"/>
          </w:tcPr>
          <w:p>
            <w:pPr>
              <w:jc w:val="left"/>
              <w:rPr>
                <w:rFonts w:hint="eastAsia" w:ascii="仿宋" w:hAnsi="仿宋" w:eastAsia="仿宋" w:cs="仿宋"/>
                <w:color w:val="000000"/>
                <w:sz w:val="24"/>
                <w:szCs w:val="24"/>
              </w:rPr>
            </w:pPr>
          </w:p>
        </w:tc>
        <w:tc>
          <w:tcPr>
            <w:tcW w:w="165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1.18</w:t>
            </w:r>
          </w:p>
        </w:tc>
        <w:tc>
          <w:tcPr>
            <w:tcW w:w="1656" w:type="dxa"/>
            <w:vAlign w:val="top"/>
          </w:tcPr>
          <w:p>
            <w:pPr>
              <w:jc w:val="lef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22301</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解决历史遗留问题及改革成本支出</w:t>
            </w:r>
          </w:p>
        </w:tc>
        <w:tc>
          <w:tcPr>
            <w:tcW w:w="1875" w:type="dxa"/>
            <w:vAlign w:val="top"/>
          </w:tcPr>
          <w:p>
            <w:pPr>
              <w:jc w:val="left"/>
              <w:rPr>
                <w:rFonts w:hint="eastAsia" w:ascii="仿宋" w:hAnsi="仿宋" w:eastAsia="仿宋" w:cs="仿宋"/>
                <w:color w:val="000000"/>
                <w:sz w:val="24"/>
                <w:szCs w:val="24"/>
              </w:rPr>
            </w:pPr>
          </w:p>
        </w:tc>
        <w:tc>
          <w:tcPr>
            <w:tcW w:w="165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1.18</w:t>
            </w:r>
          </w:p>
        </w:tc>
        <w:tc>
          <w:tcPr>
            <w:tcW w:w="1656" w:type="dxa"/>
            <w:vAlign w:val="top"/>
          </w:tcPr>
          <w:p>
            <w:pPr>
              <w:jc w:val="lef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2230105</w:t>
            </w:r>
          </w:p>
        </w:tc>
        <w:tc>
          <w:tcPr>
            <w:tcW w:w="249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 xml:space="preserve">  国有企业退休人员社会化管理补助支出</w:t>
            </w:r>
          </w:p>
        </w:tc>
        <w:tc>
          <w:tcPr>
            <w:tcW w:w="1875" w:type="dxa"/>
            <w:vAlign w:val="top"/>
          </w:tcPr>
          <w:p>
            <w:pPr>
              <w:jc w:val="left"/>
              <w:rPr>
                <w:rFonts w:hint="eastAsia" w:ascii="仿宋" w:hAnsi="仿宋" w:eastAsia="仿宋" w:cs="仿宋"/>
                <w:color w:val="000000"/>
                <w:sz w:val="24"/>
                <w:szCs w:val="24"/>
              </w:rPr>
            </w:pPr>
          </w:p>
        </w:tc>
        <w:tc>
          <w:tcPr>
            <w:tcW w:w="165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1.18</w:t>
            </w:r>
          </w:p>
        </w:tc>
        <w:tc>
          <w:tcPr>
            <w:tcW w:w="1656" w:type="dxa"/>
            <w:vAlign w:val="top"/>
          </w:tcPr>
          <w:p>
            <w:pPr>
              <w:jc w:val="left"/>
              <w:rPr>
                <w:rFonts w:hint="eastAsia" w:ascii="仿宋" w:hAnsi="仿宋" w:eastAsia="仿宋" w:cs="仿宋"/>
                <w:color w:val="000000"/>
                <w:sz w:val="24"/>
                <w:szCs w:val="24"/>
              </w:rPr>
            </w:pPr>
          </w:p>
        </w:tc>
      </w:tr>
    </w:tbl>
    <w:p>
      <w:pPr>
        <w:numPr>
          <w:ilvl w:val="0"/>
          <w:numId w:val="2"/>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1425.06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1181.14</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872.34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299.75</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-65.64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251.45</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154.67</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-38.49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505.54</w:t>
            </w: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4.31</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0" w:firstLineChars="200"/>
              <w:jc w:val="left"/>
              <w:rPr>
                <w:rFonts w:hint="eastAsia" w:ascii="仿宋" w:hAnsi="仿宋" w:eastAsia="仿宋" w:cs="仿宋"/>
                <w:b/>
                <w:bCs/>
                <w:color w:val="auto"/>
                <w:kern w:val="0"/>
                <w:sz w:val="28"/>
                <w:szCs w:val="28"/>
                <w:lang w:val="en-US" w:eastAsia="zh-CN"/>
              </w:rPr>
            </w:pPr>
            <w:r>
              <w:rPr>
                <w:rFonts w:hint="eastAsia" w:ascii="仿宋" w:hAnsi="仿宋" w:eastAsia="仿宋" w:cs="仿宋"/>
                <w:color w:val="auto"/>
                <w:kern w:val="0"/>
                <w:sz w:val="28"/>
                <w:szCs w:val="28"/>
              </w:rPr>
              <w:t>对企业的补助</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296.96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221.18</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-25.52</w:t>
            </w: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321.40</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299.67</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rPr>
        <w:t>基本工资</w:t>
      </w:r>
      <w:r>
        <w:rPr>
          <w:rFonts w:hint="eastAsia" w:ascii="仿宋_GB2312"/>
          <w:szCs w:val="32"/>
          <w:lang w:val="en-US" w:eastAsia="zh-CN"/>
        </w:rPr>
        <w:t>134.90万元津贴补贴37.01万元；奖金2.64万元，绩效工资57.09万元，机关事业单位基本养老保险缴费34.97万元；职工基本医疗保险缴费15.44万元；其他社会保障缴费1.41万元住房公积金16.22万元；</w:t>
      </w:r>
      <w:r>
        <w:rPr>
          <w:rFonts w:hint="eastAsia" w:ascii="仿宋_GB2312"/>
          <w:szCs w:val="32"/>
        </w:rPr>
        <w:t>生活补助</w:t>
      </w:r>
      <w:r>
        <w:rPr>
          <w:rFonts w:hint="eastAsia" w:ascii="仿宋_GB2312"/>
          <w:szCs w:val="32"/>
          <w:lang w:val="en-US" w:eastAsia="zh-CN"/>
        </w:rPr>
        <w:t>24.06万元代缴社会保险费479.13万元；</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146.09</w:t>
      </w:r>
      <w:r>
        <w:rPr>
          <w:rFonts w:hint="eastAsia" w:ascii="仿宋_GB2312"/>
          <w:szCs w:val="32"/>
        </w:rPr>
        <w:t>万元</w:t>
      </w:r>
      <w:r>
        <w:rPr>
          <w:rFonts w:ascii="仿宋_GB2312"/>
          <w:szCs w:val="32"/>
        </w:rPr>
        <w:t>，主要</w:t>
      </w:r>
      <w:r>
        <w:rPr>
          <w:rFonts w:hint="eastAsia" w:ascii="仿宋_GB2312"/>
          <w:szCs w:val="32"/>
          <w:lang w:val="en-US" w:eastAsia="zh-CN"/>
        </w:rPr>
        <w:t>包括办公费20.82万元</w:t>
      </w:r>
      <w:r>
        <w:rPr>
          <w:rFonts w:ascii="仿宋_GB2312"/>
          <w:szCs w:val="32"/>
        </w:rPr>
        <w:t>。</w:t>
      </w:r>
      <w:r>
        <w:rPr>
          <w:rFonts w:hint="eastAsia" w:ascii="仿宋_GB2312"/>
          <w:szCs w:val="32"/>
        </w:rPr>
        <w:t>印刷费</w:t>
      </w:r>
      <w:r>
        <w:rPr>
          <w:rFonts w:hint="eastAsia" w:ascii="仿宋_GB2312"/>
          <w:szCs w:val="32"/>
          <w:lang w:val="en-US" w:eastAsia="zh-CN"/>
        </w:rPr>
        <w:t>4.8万元；维修（护）费59.92万元；租赁费47万元；劳务费1.8万元；委托业务费4万元；工会经费2.64万元；其他交通费用5.11万元；</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859.74</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304"/>
      <w:bookmarkStart w:id="24" w:name="_Toc26508"/>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FF0000"/>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b w:val="0"/>
          <w:bCs/>
          <w:color w:val="auto"/>
          <w:szCs w:val="32"/>
        </w:rPr>
        <w:t>本</w:t>
      </w:r>
      <w:r>
        <w:rPr>
          <w:rFonts w:hint="eastAsia"/>
          <w:b w:val="0"/>
          <w:bCs/>
          <w:color w:val="auto"/>
          <w:szCs w:val="32"/>
          <w:lang w:val="en-US" w:eastAsia="zh-CN"/>
        </w:rPr>
        <w:t>单位</w:t>
      </w:r>
      <w:r>
        <w:rPr>
          <w:rFonts w:hint="eastAsia"/>
          <w:b w:val="0"/>
          <w:bCs/>
          <w:color w:val="auto"/>
          <w:szCs w:val="32"/>
        </w:rPr>
        <w:t>无三公经费。</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default" w:eastAsia="宋体"/>
                <w:color w:val="000000"/>
                <w:sz w:val="28"/>
                <w:szCs w:val="28"/>
                <w:lang w:val="en-US" w:eastAsia="zh-CN"/>
              </w:rPr>
            </w:pPr>
            <w:r>
              <w:rPr>
                <w:rFonts w:hint="eastAsia" w:eastAsia="宋体"/>
                <w:color w:val="000000"/>
                <w:sz w:val="28"/>
                <w:szCs w:val="28"/>
                <w:lang w:val="en-US" w:eastAsia="zh-CN"/>
              </w:rPr>
              <w:t>0</w:t>
            </w:r>
          </w:p>
        </w:tc>
      </w:tr>
    </w:tbl>
    <w:p>
      <w:pPr>
        <w:pStyle w:val="8"/>
        <w:spacing w:before="0" w:beforeAutospacing="0" w:after="0" w:afterAutospacing="0"/>
        <w:ind w:left="0" w:leftChars="0" w:firstLine="0" w:firstLineChars="0"/>
        <w:rPr>
          <w:rFonts w:hint="eastAsia" w:eastAsia="仿宋_GB2312"/>
          <w:b/>
          <w:szCs w:val="32"/>
          <w:lang w:val="en-US" w:eastAsia="zh-CN"/>
        </w:rPr>
      </w:pPr>
    </w:p>
    <w:p>
      <w:pPr>
        <w:pStyle w:val="3"/>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default" w:eastAsia="仿宋_GB2312"/>
          <w:b/>
          <w:szCs w:val="32"/>
          <w:lang w:val="en-US" w:eastAsia="zh-CN"/>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21.73</w:t>
      </w:r>
      <w:r>
        <w:rPr>
          <w:rFonts w:hint="eastAsia" w:ascii="仿宋_GB2312" w:hAnsi="宋体"/>
          <w:szCs w:val="32"/>
        </w:rPr>
        <w:t>万元</w:t>
      </w:r>
      <w:r>
        <w:rPr>
          <w:rFonts w:hint="eastAsia" w:ascii="仿宋_GB2312" w:hAnsi="宋体"/>
          <w:szCs w:val="32"/>
          <w:lang w:eastAsia="zh-CN"/>
        </w:rPr>
        <w:t>，</w:t>
      </w:r>
      <w:r>
        <w:rPr>
          <w:rFonts w:hint="eastAsia" w:ascii="仿宋_GB2312" w:hAnsi="宋体"/>
          <w:szCs w:val="32"/>
        </w:rPr>
        <w:t>比20</w:t>
      </w:r>
      <w:r>
        <w:rPr>
          <w:rFonts w:hint="eastAsia" w:ascii="仿宋_GB2312" w:hAnsi="宋体"/>
          <w:szCs w:val="32"/>
          <w:lang w:val="en-US" w:eastAsia="zh-CN"/>
        </w:rPr>
        <w:t>20</w:t>
      </w:r>
      <w:r>
        <w:rPr>
          <w:rFonts w:hint="eastAsia" w:ascii="仿宋_GB2312" w:hAnsi="宋体"/>
          <w:szCs w:val="32"/>
        </w:rPr>
        <w:t>年减少</w:t>
      </w:r>
      <w:r>
        <w:rPr>
          <w:rFonts w:hint="eastAsia" w:ascii="仿宋_GB2312" w:hAnsi="宋体"/>
          <w:szCs w:val="32"/>
          <w:lang w:val="en-US" w:eastAsia="zh-CN"/>
        </w:rPr>
        <w:t>213.88</w:t>
      </w:r>
      <w:r>
        <w:rPr>
          <w:rFonts w:hint="eastAsia" w:ascii="仿宋_GB2312" w:hAnsi="宋体"/>
          <w:szCs w:val="32"/>
        </w:rPr>
        <w:t>万元，降低</w:t>
      </w:r>
      <w:r>
        <w:rPr>
          <w:rFonts w:hint="eastAsia" w:ascii="仿宋_GB2312" w:hAnsi="宋体"/>
          <w:szCs w:val="32"/>
          <w:lang w:val="en-US" w:eastAsia="zh-CN"/>
        </w:rPr>
        <w:t>89.84</w:t>
      </w:r>
      <w:r>
        <w:rPr>
          <w:rFonts w:hint="eastAsia" w:ascii="仿宋_GB2312" w:hAnsi="宋体"/>
          <w:szCs w:val="32"/>
        </w:rPr>
        <w:t>%。主要原因是：</w:t>
      </w:r>
      <w:r>
        <w:rPr>
          <w:rFonts w:hint="eastAsia" w:ascii="仿宋_GB2312" w:hAnsi="宋体"/>
          <w:szCs w:val="32"/>
          <w:lang w:val="en-US" w:eastAsia="zh-CN"/>
        </w:rPr>
        <w:t>创文经费减少。</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eastAsia="仿宋_GB2312"/>
          <w:szCs w:val="32"/>
          <w:lang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年度，政府采购支出总额</w:t>
      </w:r>
      <w:r>
        <w:rPr>
          <w:rFonts w:hint="eastAsia" w:ascii="仿宋_GB2312"/>
          <w:szCs w:val="32"/>
          <w:lang w:val="en-US" w:eastAsia="zh-CN"/>
        </w:rPr>
        <w:t>7.76</w:t>
      </w:r>
      <w:r>
        <w:rPr>
          <w:rFonts w:hint="eastAsia" w:ascii="仿宋_GB2312"/>
          <w:szCs w:val="32"/>
        </w:rPr>
        <w:t>万元，其中：政府采购货物支出</w:t>
      </w:r>
      <w:r>
        <w:rPr>
          <w:rFonts w:hint="eastAsia" w:ascii="仿宋_GB2312"/>
          <w:szCs w:val="32"/>
          <w:lang w:val="en-US" w:eastAsia="zh-CN"/>
        </w:rPr>
        <w:t>7.76</w:t>
      </w:r>
      <w:r>
        <w:rPr>
          <w:rFonts w:hint="eastAsia" w:ascii="仿宋_GB2312"/>
          <w:szCs w:val="32"/>
        </w:rPr>
        <w:t>万元</w:t>
      </w:r>
      <w:r>
        <w:rPr>
          <w:rFonts w:hint="eastAsia" w:ascii="仿宋_GB2312"/>
          <w:szCs w:val="32"/>
          <w:lang w:eastAsia="zh-CN"/>
        </w:rPr>
        <w:t>，</w:t>
      </w:r>
      <w:r>
        <w:rPr>
          <w:rFonts w:hint="eastAsia" w:ascii="仿宋_GB2312"/>
          <w:szCs w:val="32"/>
        </w:rPr>
        <w:t>占政府采购支出总额的</w:t>
      </w:r>
      <w:r>
        <w:rPr>
          <w:rFonts w:hint="eastAsia" w:ascii="仿宋_GB2312"/>
          <w:szCs w:val="32"/>
          <w:lang w:val="en-US" w:eastAsia="zh-CN"/>
        </w:rPr>
        <w:t>100</w:t>
      </w:r>
      <w:r>
        <w:rPr>
          <w:rFonts w:ascii="仿宋_GB2312"/>
          <w:szCs w:val="32"/>
        </w:rPr>
        <w:t>%</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年12月31日，本部门共有车辆</w:t>
      </w:r>
      <w:r>
        <w:rPr>
          <w:rFonts w:hint="eastAsia" w:ascii="仿宋_GB2312"/>
          <w:szCs w:val="32"/>
          <w:lang w:val="en-US" w:eastAsia="zh-CN"/>
        </w:rPr>
        <w:t>1</w:t>
      </w:r>
      <w:r>
        <w:rPr>
          <w:rFonts w:hint="eastAsia" w:ascii="仿宋_GB2312"/>
          <w:szCs w:val="32"/>
        </w:rPr>
        <w:t>辆。单价50万元（含）以上的通用设备</w:t>
      </w:r>
      <w:r>
        <w:rPr>
          <w:rFonts w:hint="eastAsia" w:ascii="仿宋_GB2312"/>
          <w:szCs w:val="32"/>
          <w:lang w:val="en-US" w:eastAsia="zh-CN"/>
        </w:rPr>
        <w:t>无</w:t>
      </w:r>
      <w:r>
        <w:rPr>
          <w:rFonts w:hint="eastAsia" w:ascii="仿宋_GB2312"/>
          <w:szCs w:val="32"/>
        </w:rPr>
        <w:t>，单价100万元（含）以上专用设备</w:t>
      </w:r>
      <w:r>
        <w:rPr>
          <w:rFonts w:hint="eastAsia" w:ascii="仿宋_GB2312"/>
          <w:color w:val="auto"/>
          <w:szCs w:val="32"/>
          <w:lang w:val="en-US" w:eastAsia="zh-CN"/>
        </w:rPr>
        <w:t>无</w:t>
      </w:r>
      <w:r>
        <w:rPr>
          <w:rFonts w:hint="eastAsia" w:ascii="仿宋_GB2312"/>
          <w:szCs w:val="32"/>
        </w:rPr>
        <w:t>。</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2021年本单位重点项目绩效目标情况自评说明，涉及金额等。</w:t>
      </w:r>
    </w:p>
    <w:p>
      <w:pPr>
        <w:numPr>
          <w:ilvl w:val="0"/>
          <w:numId w:val="3"/>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预算绩效管理工作开展情况。</w:t>
      </w:r>
      <w:r>
        <w:rPr>
          <w:rFonts w:hint="eastAsia" w:ascii="仿宋_GB2312" w:hAnsi="仿宋_GB2312" w:eastAsia="仿宋_GB2312" w:cs="仿宋_GB2312"/>
          <w:sz w:val="32"/>
          <w:szCs w:val="32"/>
          <w:lang w:val="en-US" w:eastAsia="zh-CN"/>
        </w:rPr>
        <w:t>根据预算绩效管理要求，我</w:t>
      </w:r>
      <w:r>
        <w:rPr>
          <w:rFonts w:hint="eastAsia" w:ascii="仿宋_GB2312" w:hAnsi="仿宋_GB2312" w:cs="仿宋_GB2312"/>
          <w:sz w:val="32"/>
          <w:szCs w:val="32"/>
          <w:lang w:val="en-US" w:eastAsia="zh-CN"/>
        </w:rPr>
        <w:t>单位</w:t>
      </w:r>
      <w:r>
        <w:rPr>
          <w:rFonts w:hint="eastAsia" w:ascii="仿宋_GB2312" w:hAnsi="仿宋_GB2312" w:eastAsia="仿宋_GB2312" w:cs="仿宋_GB2312"/>
          <w:sz w:val="32"/>
          <w:szCs w:val="32"/>
          <w:lang w:val="en-US" w:eastAsia="zh-CN"/>
        </w:rPr>
        <w:t>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w:t>
      </w:r>
      <w:r>
        <w:rPr>
          <w:rFonts w:hint="eastAsia" w:ascii="仿宋_GB2312" w:hAnsi="仿宋_GB2312" w:eastAsia="仿宋_GB2312" w:cs="仿宋_GB2312"/>
          <w:sz w:val="32"/>
          <w:szCs w:val="32"/>
          <w:highlight w:val="none"/>
          <w:lang w:val="en-US" w:eastAsia="zh-CN"/>
        </w:rPr>
        <w:t>专项资金类和</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00万元以上的经费补助类</w:t>
      </w:r>
      <w:r>
        <w:rPr>
          <w:rFonts w:hint="eastAsia" w:ascii="仿宋_GB2312" w:hAnsi="仿宋_GB2312" w:cs="仿宋_GB2312"/>
          <w:sz w:val="32"/>
          <w:szCs w:val="32"/>
          <w:highlight w:val="none"/>
          <w:lang w:val="en-US" w:eastAsia="zh-CN"/>
        </w:rPr>
        <w:t>3</w:t>
      </w:r>
      <w:r>
        <w:rPr>
          <w:rFonts w:hint="eastAsia" w:ascii="仿宋_GB2312" w:hAnsi="仿宋_GB2312" w:eastAsia="仿宋_GB2312" w:cs="仿宋_GB2312"/>
          <w:sz w:val="32"/>
          <w:szCs w:val="32"/>
          <w:highlight w:val="none"/>
          <w:lang w:val="en-US" w:eastAsia="zh-CN"/>
        </w:rPr>
        <w:t>个项目支出全面开展绩</w:t>
      </w:r>
      <w:r>
        <w:rPr>
          <w:rFonts w:hint="eastAsia" w:ascii="仿宋_GB2312" w:hAnsi="仿宋_GB2312" w:eastAsia="仿宋_GB2312" w:cs="仿宋_GB2312"/>
          <w:sz w:val="32"/>
          <w:szCs w:val="32"/>
          <w:lang w:val="en-US" w:eastAsia="zh-CN"/>
        </w:rPr>
        <w:t>效自评，涉及预算资金</w:t>
      </w:r>
      <w:r>
        <w:rPr>
          <w:rFonts w:hint="eastAsia" w:ascii="仿宋_GB2312" w:hAnsi="仿宋_GB2312" w:cs="仿宋_GB2312"/>
          <w:sz w:val="32"/>
          <w:szCs w:val="32"/>
          <w:lang w:val="en-US" w:eastAsia="zh-CN"/>
        </w:rPr>
        <w:t>701.18</w:t>
      </w:r>
      <w:r>
        <w:rPr>
          <w:rFonts w:hint="eastAsia" w:ascii="仿宋_GB2312" w:hAnsi="仿宋_GB2312" w:eastAsia="仿宋_GB2312" w:cs="仿宋_GB2312"/>
          <w:sz w:val="32"/>
          <w:szCs w:val="32"/>
          <w:lang w:val="en-US" w:eastAsia="zh-CN"/>
        </w:rPr>
        <w:t>万元，占一般公共预算项目支出总额的</w:t>
      </w:r>
      <w:r>
        <w:rPr>
          <w:rFonts w:hint="eastAsia" w:ascii="仿宋_GB2312" w:hAnsi="仿宋_GB2312" w:cs="仿宋_GB2312"/>
          <w:sz w:val="32"/>
          <w:szCs w:val="32"/>
          <w:lang w:val="en-US" w:eastAsia="zh-CN"/>
        </w:rPr>
        <w:t>59.36</w:t>
      </w:r>
      <w:r>
        <w:rPr>
          <w:rFonts w:hint="eastAsia" w:ascii="仿宋_GB2312" w:hAnsi="仿宋_GB2312" w:eastAsia="仿宋_GB2312" w:cs="仿宋_GB2312"/>
          <w:sz w:val="32"/>
          <w:szCs w:val="32"/>
          <w:lang w:val="en-US" w:eastAsia="zh-CN"/>
        </w:rPr>
        <w:t>%。</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r>
        <w:rPr>
          <w:rFonts w:hint="eastAsia" w:ascii="仿宋_GB2312" w:hAnsi="仿宋_GB2312" w:cs="仿宋_GB2312"/>
          <w:sz w:val="32"/>
          <w:szCs w:val="32"/>
          <w:lang w:val="en-US" w:eastAsia="zh-CN"/>
        </w:rPr>
        <w:t>本单位重点</w:t>
      </w:r>
      <w:r>
        <w:rPr>
          <w:rFonts w:hint="eastAsia" w:ascii="仿宋_GB2312" w:hAnsi="仿宋_GB2312" w:eastAsia="仿宋_GB2312" w:cs="仿宋_GB2312"/>
          <w:sz w:val="32"/>
          <w:szCs w:val="32"/>
          <w:lang w:val="en-US" w:eastAsia="zh-CN"/>
        </w:rPr>
        <w:t>项目向社会公开，按照如下格式进行说明。</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 xml:space="preserve"> 水泥厂、干连沟、袜厂和山梨酸等企业职工养老金项目绩效自评综述：根据年初设定的绩效目标，项目自评得分为</w:t>
      </w:r>
      <w:r>
        <w:rPr>
          <w:rFonts w:hint="eastAsia" w:ascii="仿宋_GB2312" w:hAnsi="仿宋_GB2312" w:cs="仿宋_GB2312"/>
          <w:sz w:val="32"/>
          <w:szCs w:val="32"/>
          <w:lang w:val="en-US" w:eastAsia="zh-CN"/>
        </w:rPr>
        <w:t>98.67</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500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479.13</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95.83</w:t>
      </w:r>
      <w:r>
        <w:rPr>
          <w:rFonts w:hint="eastAsia" w:ascii="仿宋_GB2312" w:hAnsi="仿宋_GB2312" w:eastAsia="仿宋_GB2312" w:cs="仿宋_GB2312"/>
          <w:sz w:val="32"/>
          <w:szCs w:val="32"/>
          <w:lang w:val="en-US" w:eastAsia="zh-CN"/>
        </w:rPr>
        <w:t>%。项目绩效目标完成情况：确保职工顺利退休，保障职工生活正常。发现的主要问题及原因：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rPr>
          <w:rFonts w:hint="default"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 xml:space="preserve">    水泥厂、干连沟、袜厂和山梨酸等企业职工养老金项目绩效自评综述：综合考虑预算执行情况、产出、效益、服务对象满意度各方面因素，通过数据采集及分析，最终评分结果：水泥厂、干连沟、袜厂和山梨酸等企业职工养老金项目绩效自评价结果为:总得分98.67分，属于"优秀"。</w:t>
      </w:r>
    </w:p>
    <w:p>
      <w:pPr>
        <w:numPr>
          <w:ilvl w:val="0"/>
          <w:numId w:val="4"/>
        </w:numPr>
        <w:ind w:firstLine="640"/>
        <w:rPr>
          <w:rFonts w:hint="eastAsia" w:ascii="仿宋_GB2312" w:hAnsi="仿宋_GB2312" w:eastAsia="仿宋_GB2312" w:cs="仿宋_GB2312"/>
          <w:sz w:val="32"/>
          <w:szCs w:val="32"/>
          <w:lang w:val="en-US" w:eastAsia="zh-CN"/>
        </w:rPr>
      </w:pPr>
      <w:r>
        <w:rPr>
          <w:rFonts w:ascii="仿宋_GB2312" w:hAnsi="仿宋_GB2312" w:eastAsia="仿宋_GB2312" w:cs="仿宋_GB2312"/>
          <w:color w:val="auto"/>
          <w:sz w:val="32"/>
          <w:u w:val="none"/>
        </w:rPr>
        <w:t>电子商务产业园区补助资金</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200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200</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w:t>
      </w:r>
      <w:r>
        <w:rPr>
          <w:rFonts w:hint="eastAsia"/>
          <w:lang w:eastAsia="zh-CN"/>
        </w:rPr>
        <w:t>发展壮大静乐县电子商务产业物流园区，更好的服务静乐县200家中小企业入驻并开展相应的工作</w:t>
      </w:r>
      <w:r>
        <w:rPr>
          <w:rFonts w:hint="eastAsia" w:ascii="仿宋_GB2312" w:hAnsi="仿宋_GB2312" w:eastAsia="仿宋_GB2312" w:cs="仿宋_GB2312"/>
          <w:sz w:val="32"/>
          <w:szCs w:val="32"/>
          <w:lang w:val="en-US" w:eastAsia="zh-CN"/>
        </w:rPr>
        <w:t>。发现的主要问题及原因：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 xml:space="preserve">    </w:t>
      </w:r>
      <w:r>
        <w:rPr>
          <w:rFonts w:ascii="仿宋_GB2312" w:hAnsi="仿宋_GB2312" w:eastAsia="仿宋_GB2312" w:cs="仿宋_GB2312"/>
          <w:color w:val="auto"/>
          <w:sz w:val="32"/>
          <w:u w:val="none"/>
        </w:rPr>
        <w:t>电子商务产业园区补助资金</w:t>
      </w:r>
      <w:r>
        <w:rPr>
          <w:rFonts w:hint="eastAsia" w:ascii="仿宋_GB2312" w:hAnsi="仿宋_GB2312" w:eastAsia="仿宋_GB2312" w:cs="仿宋_GB2312"/>
          <w:sz w:val="32"/>
          <w:szCs w:val="32"/>
          <w:lang w:val="en-US" w:eastAsia="zh-CN"/>
        </w:rPr>
        <w:t>项目绩效自评综述：综合考虑预算执行情况、产出、效益、服务对象满意度各方面因素，通过数据采集及分析，最终评分结果：电子商务产业园区补助资金项目绩效自评价结果为:总得分100分，属于"优秀"。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2021年中央企业及原中央下放企业退休人员社会化管理补助资金项目绩效自评综述：根据年初设定的绩效目标，项目自评得分为</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1.18</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1.18</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%。项目绩效目标完成情况：2021年中央企业及原中央下放企业退休人员社会化管理。发现的主要问题及原因：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2021年中央企业及原中央下放企业退休人员社会化管理补助资金项目绩效自评综述：综合考虑预算执行情况、产出、效益、服务对象满意度各方面因素，通过数据采集及分析，最终评分结果：2021年中央企</w:t>
      </w:r>
      <w:bookmarkStart w:id="33" w:name="_GoBack"/>
      <w:bookmarkEnd w:id="33"/>
      <w:r>
        <w:rPr>
          <w:rFonts w:hint="eastAsia" w:ascii="仿宋_GB2312" w:hAnsi="仿宋_GB2312" w:eastAsia="仿宋_GB2312" w:cs="仿宋_GB2312"/>
          <w:sz w:val="32"/>
          <w:szCs w:val="32"/>
          <w:lang w:val="en-US" w:eastAsia="zh-CN"/>
        </w:rPr>
        <w:t>业及原中央下放企业退休人员社会化管理补助资金项目绩效自评价结果为:总得分99.85分，属于"优秀"。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（公开项目对应的绩效自评价评分表以附件形式公开）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评价报告向社会公开。</w:t>
      </w:r>
    </w:p>
    <w:p>
      <w:pPr>
        <w:numPr>
          <w:ilvl w:val="0"/>
          <w:numId w:val="0"/>
        </w:numPr>
        <w:ind w:firstLine="640" w:firstLineChars="200"/>
        <w:rPr>
          <w:rFonts w:hint="eastAsia" w:ascii="仿宋" w:hAnsi="仿宋" w:eastAsia="仿宋" w:cs="仿宋"/>
          <w:b/>
          <w:bCs/>
          <w:color w:val="FF0000"/>
          <w:sz w:val="32"/>
          <w:szCs w:val="32"/>
          <w:lang w:val="en-US" w:eastAsia="zh-CN"/>
        </w:rPr>
      </w:pPr>
      <w:r>
        <w:rPr>
          <w:rFonts w:hint="eastAsia" w:ascii="仿宋_GB2312" w:hAnsi="仿宋_GB2312" w:eastAsia="仿宋_GB2312" w:cs="仿宋_GB2312"/>
          <w:sz w:val="32"/>
          <w:szCs w:val="32"/>
          <w:lang w:val="en-US" w:eastAsia="zh-CN"/>
        </w:rPr>
        <w:t>（绩效评价报告以附件形式公开）</w:t>
      </w:r>
    </w:p>
    <w:p>
      <w:pPr>
        <w:numPr>
          <w:ilvl w:val="0"/>
          <w:numId w:val="5"/>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单位名称：静乐县工业和信息化局</w:t>
      </w:r>
    </w:p>
    <w:p>
      <w:pPr>
        <w:ind w:firstLine="4160" w:firstLineChars="13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47393"/>
    <w:multiLevelType w:val="singleLevel"/>
    <w:tmpl w:val="3DC47393"/>
    <w:lvl w:ilvl="0" w:tentative="0">
      <w:start w:val="1"/>
      <w:numFmt w:val="decimal"/>
      <w:suff w:val="nothing"/>
      <w:lvlText w:val="（%1）"/>
      <w:lvlJc w:val="left"/>
    </w:lvl>
  </w:abstractNum>
  <w:abstractNum w:abstractNumId="1">
    <w:nsid w:val="5596A9B0"/>
    <w:multiLevelType w:val="singleLevel"/>
    <w:tmpl w:val="5596A9B0"/>
    <w:lvl w:ilvl="0" w:tentative="0">
      <w:start w:val="2"/>
      <w:numFmt w:val="decimal"/>
      <w:suff w:val="nothing"/>
      <w:lvlText w:val="%1、"/>
      <w:lvlJc w:val="left"/>
    </w:lvl>
  </w:abstractNum>
  <w:abstractNum w:abstractNumId="2">
    <w:nsid w:val="60A4CC00"/>
    <w:multiLevelType w:val="singleLevel"/>
    <w:tmpl w:val="60A4CC00"/>
    <w:lvl w:ilvl="0" w:tentative="0">
      <w:start w:val="2"/>
      <w:numFmt w:val="decimal"/>
      <w:suff w:val="nothing"/>
      <w:lvlText w:val="（%1）"/>
      <w:lvlJc w:val="left"/>
    </w:lvl>
  </w:abstractNum>
  <w:abstractNum w:abstractNumId="3">
    <w:nsid w:val="60A4DC26"/>
    <w:multiLevelType w:val="singleLevel"/>
    <w:tmpl w:val="60A4DC26"/>
    <w:lvl w:ilvl="0" w:tentative="0">
      <w:start w:val="4"/>
      <w:numFmt w:val="chineseCounting"/>
      <w:suff w:val="nothing"/>
      <w:lvlText w:val="（%1）"/>
      <w:lvlJc w:val="left"/>
    </w:lvl>
  </w:abstractNum>
  <w:abstractNum w:abstractNumId="4">
    <w:nsid w:val="630350CC"/>
    <w:multiLevelType w:val="singleLevel"/>
    <w:tmpl w:val="630350CC"/>
    <w:lvl w:ilvl="0" w:tentative="0">
      <w:start w:val="11"/>
      <w:numFmt w:val="chineseCounting"/>
      <w:suff w:val="nothing"/>
      <w:lvlText w:val="(%1)"/>
      <w:lvlJc w:val="left"/>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15132AB"/>
    <w:rsid w:val="03696819"/>
    <w:rsid w:val="0CF000D1"/>
    <w:rsid w:val="0CF61304"/>
    <w:rsid w:val="100B7078"/>
    <w:rsid w:val="165539E2"/>
    <w:rsid w:val="16654CDD"/>
    <w:rsid w:val="1A4A5C33"/>
    <w:rsid w:val="1E8E58BC"/>
    <w:rsid w:val="1F266F0B"/>
    <w:rsid w:val="21A4358C"/>
    <w:rsid w:val="22B14DF3"/>
    <w:rsid w:val="2701594C"/>
    <w:rsid w:val="27426717"/>
    <w:rsid w:val="2D1B6889"/>
    <w:rsid w:val="2F3F49C4"/>
    <w:rsid w:val="301924C0"/>
    <w:rsid w:val="316C3F60"/>
    <w:rsid w:val="35480978"/>
    <w:rsid w:val="373D7C09"/>
    <w:rsid w:val="37943B50"/>
    <w:rsid w:val="37CE62EC"/>
    <w:rsid w:val="3821117E"/>
    <w:rsid w:val="3831095B"/>
    <w:rsid w:val="386D4DE6"/>
    <w:rsid w:val="38717BEC"/>
    <w:rsid w:val="3B903606"/>
    <w:rsid w:val="3C317E5F"/>
    <w:rsid w:val="402945A1"/>
    <w:rsid w:val="42C12CEC"/>
    <w:rsid w:val="437B1915"/>
    <w:rsid w:val="44401A62"/>
    <w:rsid w:val="4521747E"/>
    <w:rsid w:val="460815B8"/>
    <w:rsid w:val="495520D0"/>
    <w:rsid w:val="4A012068"/>
    <w:rsid w:val="4B3146C0"/>
    <w:rsid w:val="4C924C91"/>
    <w:rsid w:val="4DC72C11"/>
    <w:rsid w:val="53A30631"/>
    <w:rsid w:val="58CF70DF"/>
    <w:rsid w:val="592253F8"/>
    <w:rsid w:val="5B952C9D"/>
    <w:rsid w:val="5C7C7C19"/>
    <w:rsid w:val="5EC01F6A"/>
    <w:rsid w:val="6197109F"/>
    <w:rsid w:val="63AB51DF"/>
    <w:rsid w:val="649C6DC9"/>
    <w:rsid w:val="670735E2"/>
    <w:rsid w:val="699A4DA1"/>
    <w:rsid w:val="6A2B7D7F"/>
    <w:rsid w:val="6AAF0149"/>
    <w:rsid w:val="6DE31E5C"/>
    <w:rsid w:val="6F3E7654"/>
    <w:rsid w:val="6FB81D85"/>
    <w:rsid w:val="715A78E4"/>
    <w:rsid w:val="73D53B94"/>
    <w:rsid w:val="7761744D"/>
    <w:rsid w:val="78504606"/>
    <w:rsid w:val="78C85A9F"/>
    <w:rsid w:val="7A1F5956"/>
    <w:rsid w:val="7A75125E"/>
    <w:rsid w:val="7DF41FFB"/>
    <w:rsid w:val="7FFE47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6406</Words>
  <Characters>7285</Characters>
  <Lines>0</Lines>
  <Paragraphs>0</Paragraphs>
  <ScaleCrop>false</ScaleCrop>
  <LinksUpToDate>false</LinksUpToDate>
  <CharactersWithSpaces>7507</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2022-09-15T03:07:42Z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70515B310D8F4E02A664D27BF8B094EB</vt:lpwstr>
  </property>
</Properties>
</file>