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jc w:val="center"/>
        <w:rPr>
          <w:rFonts w:hint="eastAsia" w:ascii="华文中宋" w:hAnsi="华文中宋" w:eastAsia="华文中宋"/>
          <w:color w:val="auto"/>
          <w:sz w:val="44"/>
          <w:szCs w:val="44"/>
          <w:lang w:val="en-US" w:eastAsia="zh-CN"/>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中国人民政治协商会议山西省静乐县</w:t>
      </w:r>
    </w:p>
    <w:p>
      <w:pPr>
        <w:pStyle w:val="3"/>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lang w:val="en-US" w:eastAsia="zh-CN"/>
        </w:rPr>
        <w:t>委员会办公室</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4"/>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ind w:firstLine="640"/>
        <w:rPr>
          <w:rFonts w:hint="eastAsia" w:ascii="仿宋_GB2312"/>
          <w:color w:val="auto"/>
          <w:szCs w:val="32"/>
        </w:rPr>
      </w:pPr>
      <w:r>
        <w:rPr>
          <w:rFonts w:hint="eastAsia" w:ascii="仿宋_GB2312"/>
          <w:color w:val="auto"/>
          <w:szCs w:val="32"/>
        </w:rPr>
        <w:t>1</w:t>
      </w:r>
      <w:r>
        <w:rPr>
          <w:rFonts w:hint="eastAsia" w:ascii="仿宋_GB2312"/>
          <w:color w:val="auto"/>
          <w:szCs w:val="32"/>
          <w:lang w:val="en-US" w:eastAsia="zh-CN"/>
        </w:rPr>
        <w:t>.</w:t>
      </w:r>
      <w:r>
        <w:rPr>
          <w:rFonts w:hint="eastAsia" w:ascii="仿宋_GB2312"/>
          <w:color w:val="auto"/>
          <w:szCs w:val="32"/>
        </w:rPr>
        <w:t>负责政协委员会全体会议、常务委员会会议、党组会议、主席会议及有关政协工作会议的会务工作和文字材料工作。</w:t>
      </w:r>
    </w:p>
    <w:p>
      <w:pPr>
        <w:ind w:firstLine="640"/>
        <w:rPr>
          <w:rFonts w:hint="eastAsia" w:ascii="仿宋_GB2312"/>
          <w:color w:val="auto"/>
          <w:szCs w:val="32"/>
        </w:rPr>
      </w:pPr>
      <w:r>
        <w:rPr>
          <w:rFonts w:hint="eastAsia" w:ascii="仿宋_GB2312"/>
          <w:color w:val="auto"/>
          <w:szCs w:val="32"/>
        </w:rPr>
        <w:t>2</w:t>
      </w:r>
      <w:r>
        <w:rPr>
          <w:rFonts w:hint="eastAsia" w:ascii="仿宋_GB2312"/>
          <w:color w:val="auto"/>
          <w:szCs w:val="32"/>
          <w:lang w:val="en-US" w:eastAsia="zh-CN"/>
        </w:rPr>
        <w:t>.</w:t>
      </w:r>
      <w:r>
        <w:rPr>
          <w:rFonts w:hint="eastAsia" w:ascii="仿宋_GB2312"/>
          <w:color w:val="auto"/>
          <w:szCs w:val="32"/>
        </w:rPr>
        <w:t>负责向上级政协及县委、县政府报送的建议和建议案、信息等有关材料的起草工作。</w:t>
      </w:r>
    </w:p>
    <w:p>
      <w:pPr>
        <w:ind w:firstLine="640"/>
        <w:rPr>
          <w:rFonts w:hint="eastAsia" w:ascii="仿宋_GB2312"/>
          <w:color w:val="auto"/>
          <w:szCs w:val="32"/>
        </w:rPr>
      </w:pPr>
      <w:r>
        <w:rPr>
          <w:rFonts w:hint="eastAsia" w:ascii="仿宋_GB2312"/>
          <w:color w:val="auto"/>
          <w:szCs w:val="32"/>
        </w:rPr>
        <w:t>3</w:t>
      </w:r>
      <w:r>
        <w:rPr>
          <w:rFonts w:hint="eastAsia" w:ascii="仿宋_GB2312"/>
          <w:color w:val="auto"/>
          <w:szCs w:val="32"/>
          <w:lang w:val="en-US" w:eastAsia="zh-CN"/>
        </w:rPr>
        <w:t>.</w:t>
      </w:r>
      <w:r>
        <w:rPr>
          <w:rFonts w:hint="eastAsia" w:ascii="仿宋_GB2312"/>
          <w:color w:val="auto"/>
          <w:szCs w:val="32"/>
        </w:rPr>
        <w:t>负责政协委员会全体会议、常务委员会会议决议、决定的具体组织实施工作。</w:t>
      </w:r>
    </w:p>
    <w:p>
      <w:pPr>
        <w:ind w:firstLine="640"/>
        <w:rPr>
          <w:rFonts w:hint="eastAsia" w:ascii="仿宋_GB2312"/>
          <w:color w:val="auto"/>
          <w:szCs w:val="32"/>
        </w:rPr>
      </w:pPr>
      <w:r>
        <w:rPr>
          <w:rFonts w:hint="eastAsia" w:ascii="仿宋_GB2312"/>
          <w:color w:val="auto"/>
          <w:szCs w:val="32"/>
        </w:rPr>
        <w:t>4</w:t>
      </w:r>
      <w:r>
        <w:rPr>
          <w:rFonts w:hint="eastAsia" w:ascii="仿宋_GB2312"/>
          <w:color w:val="auto"/>
          <w:szCs w:val="32"/>
          <w:lang w:val="en-US" w:eastAsia="zh-CN"/>
        </w:rPr>
        <w:t>.</w:t>
      </w:r>
      <w:r>
        <w:rPr>
          <w:rFonts w:hint="eastAsia" w:ascii="仿宋_GB2312"/>
          <w:color w:val="auto"/>
          <w:szCs w:val="32"/>
        </w:rPr>
        <w:t>负责县政协委员的联系工作，收集整理各界人士的意见、建议，及时向上级政协及县委、县政府反映，编辑、报送《社情民意》。</w:t>
      </w:r>
    </w:p>
    <w:p>
      <w:pPr>
        <w:ind w:firstLine="640"/>
        <w:rPr>
          <w:rFonts w:hint="eastAsia" w:ascii="仿宋_GB2312"/>
          <w:color w:val="auto"/>
          <w:szCs w:val="32"/>
        </w:rPr>
      </w:pPr>
      <w:r>
        <w:rPr>
          <w:rFonts w:hint="eastAsia" w:ascii="仿宋_GB2312"/>
          <w:color w:val="auto"/>
          <w:szCs w:val="32"/>
        </w:rPr>
        <w:t>5</w:t>
      </w:r>
      <w:r>
        <w:rPr>
          <w:rFonts w:hint="eastAsia" w:ascii="仿宋_GB2312"/>
          <w:color w:val="auto"/>
          <w:szCs w:val="32"/>
          <w:lang w:val="en-US" w:eastAsia="zh-CN"/>
        </w:rPr>
        <w:t>.</w:t>
      </w:r>
      <w:r>
        <w:rPr>
          <w:rFonts w:hint="eastAsia" w:ascii="仿宋_GB2312"/>
          <w:color w:val="auto"/>
          <w:szCs w:val="32"/>
        </w:rPr>
        <w:t>负责承办县政协常务委员会、主席会议决定安排的委员视察、调研活动的组织和服务工作。</w:t>
      </w:r>
    </w:p>
    <w:p>
      <w:pPr>
        <w:ind w:firstLine="640"/>
        <w:rPr>
          <w:rFonts w:hint="eastAsia" w:ascii="仿宋_GB2312"/>
          <w:color w:val="auto"/>
          <w:szCs w:val="32"/>
        </w:rPr>
      </w:pPr>
      <w:r>
        <w:rPr>
          <w:rFonts w:hint="eastAsia" w:ascii="仿宋_GB2312"/>
          <w:color w:val="auto"/>
          <w:szCs w:val="32"/>
        </w:rPr>
        <w:t>6</w:t>
      </w:r>
      <w:r>
        <w:rPr>
          <w:rFonts w:hint="eastAsia" w:ascii="仿宋_GB2312"/>
          <w:color w:val="auto"/>
          <w:szCs w:val="32"/>
          <w:lang w:val="en-US" w:eastAsia="zh-CN"/>
        </w:rPr>
        <w:t>.</w:t>
      </w:r>
      <w:r>
        <w:rPr>
          <w:rFonts w:hint="eastAsia" w:ascii="仿宋_GB2312"/>
          <w:color w:val="auto"/>
          <w:szCs w:val="32"/>
        </w:rPr>
        <w:t>负责县政协的宣传和机关职工的学习及精神文明创建工作。</w:t>
      </w:r>
    </w:p>
    <w:p>
      <w:pPr>
        <w:ind w:firstLine="640"/>
        <w:rPr>
          <w:rFonts w:hint="eastAsia" w:ascii="仿宋_GB2312"/>
          <w:color w:val="auto"/>
          <w:szCs w:val="32"/>
        </w:rPr>
      </w:pPr>
      <w:r>
        <w:rPr>
          <w:rFonts w:hint="eastAsia" w:ascii="仿宋_GB2312"/>
          <w:color w:val="auto"/>
          <w:szCs w:val="32"/>
        </w:rPr>
        <w:t>7</w:t>
      </w:r>
      <w:r>
        <w:rPr>
          <w:rFonts w:hint="eastAsia" w:ascii="仿宋_GB2312"/>
          <w:color w:val="auto"/>
          <w:szCs w:val="32"/>
          <w:lang w:val="en-US" w:eastAsia="zh-CN"/>
        </w:rPr>
        <w:t>.</w:t>
      </w:r>
      <w:r>
        <w:rPr>
          <w:rFonts w:hint="eastAsia" w:ascii="仿宋_GB2312"/>
          <w:color w:val="auto"/>
          <w:szCs w:val="32"/>
        </w:rPr>
        <w:t>负责与县委、人大、政府有关部门及乡镇、政协各参加单位的联系、协调等工作；协调各专门委员会活动的组织工作。</w:t>
      </w:r>
    </w:p>
    <w:p>
      <w:pPr>
        <w:ind w:firstLine="640"/>
        <w:rPr>
          <w:rFonts w:hint="eastAsia" w:ascii="仿宋_GB2312"/>
          <w:color w:val="auto"/>
          <w:szCs w:val="32"/>
        </w:rPr>
      </w:pPr>
      <w:r>
        <w:rPr>
          <w:rFonts w:hint="eastAsia" w:ascii="仿宋_GB2312"/>
          <w:color w:val="auto"/>
          <w:szCs w:val="32"/>
        </w:rPr>
        <w:t>8</w:t>
      </w:r>
      <w:r>
        <w:rPr>
          <w:rFonts w:hint="eastAsia" w:ascii="仿宋_GB2312"/>
          <w:color w:val="auto"/>
          <w:szCs w:val="32"/>
          <w:lang w:val="en-US" w:eastAsia="zh-CN"/>
        </w:rPr>
        <w:t>.</w:t>
      </w:r>
      <w:r>
        <w:rPr>
          <w:rFonts w:hint="eastAsia" w:ascii="仿宋_GB2312"/>
          <w:color w:val="auto"/>
          <w:szCs w:val="32"/>
        </w:rPr>
        <w:t>负责县政协的对外联谊接待工作。</w:t>
      </w:r>
    </w:p>
    <w:p>
      <w:pPr>
        <w:ind w:firstLine="640"/>
        <w:rPr>
          <w:rFonts w:hint="eastAsia" w:ascii="仿宋_GB2312"/>
          <w:color w:val="auto"/>
          <w:szCs w:val="32"/>
        </w:rPr>
      </w:pPr>
      <w:r>
        <w:rPr>
          <w:rFonts w:hint="eastAsia" w:ascii="仿宋_GB2312"/>
          <w:color w:val="auto"/>
          <w:szCs w:val="32"/>
        </w:rPr>
        <w:t>9</w:t>
      </w:r>
      <w:r>
        <w:rPr>
          <w:rFonts w:hint="eastAsia" w:ascii="仿宋_GB2312"/>
          <w:color w:val="auto"/>
          <w:szCs w:val="32"/>
          <w:lang w:val="en-US" w:eastAsia="zh-CN"/>
        </w:rPr>
        <w:t>.</w:t>
      </w:r>
      <w:r>
        <w:rPr>
          <w:rFonts w:hint="eastAsia" w:ascii="仿宋_GB2312"/>
          <w:color w:val="auto"/>
          <w:szCs w:val="32"/>
        </w:rPr>
        <w:t>负责权限范围内的人事和机构编制管理工作。协同有关部门参与县政协委员的协商推荐、届中调整等具体工作。</w:t>
      </w:r>
    </w:p>
    <w:p>
      <w:pPr>
        <w:ind w:firstLine="640"/>
        <w:rPr>
          <w:rFonts w:hint="eastAsia" w:ascii="仿宋_GB2312"/>
          <w:color w:val="auto"/>
          <w:szCs w:val="32"/>
        </w:rPr>
      </w:pPr>
      <w:r>
        <w:rPr>
          <w:rFonts w:hint="eastAsia" w:ascii="仿宋_GB2312"/>
          <w:color w:val="auto"/>
          <w:szCs w:val="32"/>
        </w:rPr>
        <w:t>10</w:t>
      </w:r>
      <w:r>
        <w:rPr>
          <w:rFonts w:hint="eastAsia" w:ascii="仿宋_GB2312"/>
          <w:color w:val="auto"/>
          <w:szCs w:val="32"/>
          <w:lang w:val="en-US" w:eastAsia="zh-CN"/>
        </w:rPr>
        <w:t>.</w:t>
      </w:r>
      <w:r>
        <w:rPr>
          <w:rFonts w:hint="eastAsia" w:ascii="仿宋_GB2312"/>
          <w:color w:val="auto"/>
          <w:szCs w:val="32"/>
        </w:rPr>
        <w:t>负责县政协机关保密、文档和人民群众来信来访工作；负责县政协机关后勤、财务和离退休人员服务工作。</w:t>
      </w:r>
    </w:p>
    <w:p>
      <w:pPr>
        <w:ind w:firstLine="640"/>
        <w:rPr>
          <w:rFonts w:hint="eastAsia" w:ascii="仿宋_GB2312"/>
          <w:color w:val="auto"/>
          <w:szCs w:val="32"/>
        </w:rPr>
      </w:pPr>
      <w:r>
        <w:rPr>
          <w:rFonts w:hint="eastAsia" w:ascii="仿宋_GB2312"/>
          <w:color w:val="auto"/>
          <w:szCs w:val="32"/>
        </w:rPr>
        <w:t>11</w:t>
      </w:r>
      <w:r>
        <w:rPr>
          <w:rFonts w:hint="eastAsia" w:ascii="仿宋_GB2312"/>
          <w:color w:val="auto"/>
          <w:szCs w:val="32"/>
          <w:lang w:val="en-US" w:eastAsia="zh-CN"/>
        </w:rPr>
        <w:t>.</w:t>
      </w:r>
      <w:r>
        <w:rPr>
          <w:rFonts w:hint="eastAsia" w:ascii="仿宋_GB2312"/>
          <w:color w:val="auto"/>
          <w:szCs w:val="32"/>
        </w:rPr>
        <w:t>承办县政协领导交办的其他工作。</w:t>
      </w:r>
    </w:p>
    <w:p>
      <w:pPr>
        <w:pStyle w:val="4"/>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ind w:firstLine="640"/>
        <w:rPr>
          <w:rFonts w:hint="eastAsia" w:ascii="仿宋_GB2312"/>
          <w:color w:val="auto"/>
          <w:szCs w:val="32"/>
        </w:rPr>
      </w:pPr>
      <w:r>
        <w:rPr>
          <w:rFonts w:hint="eastAsia" w:ascii="仿宋_GB2312"/>
          <w:color w:val="auto"/>
          <w:szCs w:val="32"/>
          <w:lang w:eastAsia="zh-CN"/>
        </w:rPr>
        <w:t>静乐县政协办公室</w:t>
      </w:r>
      <w:r>
        <w:rPr>
          <w:rFonts w:hint="eastAsia" w:ascii="仿宋_GB2312"/>
          <w:color w:val="auto"/>
          <w:szCs w:val="32"/>
        </w:rPr>
        <w:t>人员</w:t>
      </w:r>
      <w:r>
        <w:rPr>
          <w:rFonts w:hint="eastAsia" w:ascii="仿宋_GB2312"/>
          <w:color w:val="auto"/>
          <w:szCs w:val="32"/>
          <w:lang w:eastAsia="zh-CN"/>
        </w:rPr>
        <w:t>包含（统战部，工商联），政协办公室行政编制</w:t>
      </w:r>
      <w:r>
        <w:rPr>
          <w:rFonts w:hint="eastAsia" w:ascii="仿宋_GB2312"/>
          <w:color w:val="auto"/>
          <w:szCs w:val="32"/>
          <w:lang w:val="en-US" w:eastAsia="zh-CN"/>
        </w:rPr>
        <w:t xml:space="preserve"> 10 名，实有 11 名，工勤编制 1 名，实有1名，事业编制 5 名，实有 4 名；下设办公室、提案委员会、文化文史和学习委员会、农业和农村委员会、文史编研中心 。统战部行政编制6名，</w:t>
      </w:r>
      <w:r>
        <w:rPr>
          <w:rFonts w:hint="eastAsia" w:ascii="仿宋_GB2312"/>
          <w:color w:val="auto"/>
          <w:szCs w:val="32"/>
        </w:rPr>
        <w:t>实有</w:t>
      </w:r>
      <w:r>
        <w:rPr>
          <w:rFonts w:hint="eastAsia" w:ascii="仿宋_GB2312"/>
          <w:color w:val="auto"/>
          <w:szCs w:val="32"/>
          <w:lang w:val="en-US" w:eastAsia="zh-CN"/>
        </w:rPr>
        <w:t>4名</w:t>
      </w:r>
      <w:r>
        <w:rPr>
          <w:rFonts w:hint="eastAsia" w:ascii="仿宋_GB2312"/>
          <w:color w:val="auto"/>
          <w:szCs w:val="32"/>
        </w:rPr>
        <w:t>，</w:t>
      </w:r>
      <w:r>
        <w:rPr>
          <w:rFonts w:hint="eastAsia" w:ascii="仿宋_GB2312"/>
          <w:color w:val="auto"/>
          <w:szCs w:val="32"/>
          <w:lang w:eastAsia="zh-CN"/>
        </w:rPr>
        <w:t>事业编制</w:t>
      </w:r>
      <w:r>
        <w:rPr>
          <w:rFonts w:hint="eastAsia" w:ascii="仿宋_GB2312"/>
          <w:color w:val="auto"/>
          <w:szCs w:val="32"/>
          <w:lang w:val="en-US" w:eastAsia="zh-CN"/>
        </w:rPr>
        <w:t>4名，实有2人，下设办公室、综合科、民族宗教事务中心。工商联行政编制4名，实有3名，下设办公室</w:t>
      </w:r>
      <w:r>
        <w:rPr>
          <w:rFonts w:hint="eastAsia" w:ascii="仿宋_GB2312"/>
          <w:color w:val="auto"/>
          <w:szCs w:val="32"/>
        </w:rPr>
        <w:t>。</w:t>
      </w:r>
    </w:p>
    <w:p>
      <w:pPr>
        <w:numPr>
          <w:ilvl w:val="0"/>
          <w:numId w:val="0"/>
        </w:numPr>
        <w:rPr>
          <w:rFonts w:hint="eastAsia"/>
        </w:rPr>
      </w:pPr>
    </w:p>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lang w:eastAsia="zh-CN"/>
        </w:rPr>
      </w:pPr>
      <w:r>
        <w:rPr>
          <w:rFonts w:hint="eastAsia" w:ascii="仿宋_GB2312"/>
          <w:color w:val="auto"/>
          <w:szCs w:val="32"/>
          <w:lang w:eastAsia="zh-CN"/>
        </w:rPr>
        <w:t>20</w:t>
      </w:r>
      <w:r>
        <w:rPr>
          <w:rFonts w:hint="eastAsia" w:ascii="仿宋_GB2312"/>
          <w:color w:val="auto"/>
          <w:szCs w:val="32"/>
          <w:lang w:val="en-US" w:eastAsia="zh-CN"/>
        </w:rPr>
        <w:t>21</w:t>
      </w:r>
      <w:r>
        <w:rPr>
          <w:rFonts w:hint="eastAsia" w:ascii="仿宋_GB2312"/>
          <w:color w:val="auto"/>
          <w:szCs w:val="32"/>
          <w:lang w:eastAsia="zh-CN"/>
        </w:rPr>
        <w:t>年度收入总计</w:t>
      </w:r>
      <w:r>
        <w:rPr>
          <w:rFonts w:hint="eastAsia" w:ascii="仿宋_GB2312"/>
          <w:color w:val="auto"/>
          <w:szCs w:val="32"/>
          <w:lang w:val="en-US" w:eastAsia="zh-CN"/>
        </w:rPr>
        <w:t>368.58</w:t>
      </w:r>
      <w:r>
        <w:rPr>
          <w:rFonts w:hint="eastAsia" w:ascii="仿宋_GB2312"/>
          <w:color w:val="auto"/>
          <w:szCs w:val="32"/>
          <w:lang w:eastAsia="zh-CN"/>
        </w:rPr>
        <w:t>万元、支出总计</w:t>
      </w:r>
      <w:r>
        <w:rPr>
          <w:rFonts w:hint="eastAsia" w:ascii="仿宋_GB2312"/>
          <w:color w:val="auto"/>
          <w:szCs w:val="32"/>
          <w:lang w:val="en-US" w:eastAsia="zh-CN"/>
        </w:rPr>
        <w:t>368.58</w:t>
      </w:r>
      <w:r>
        <w:rPr>
          <w:rFonts w:hint="eastAsia" w:ascii="仿宋_GB2312"/>
          <w:color w:val="auto"/>
          <w:szCs w:val="32"/>
          <w:lang w:eastAsia="zh-CN"/>
        </w:rPr>
        <w:t>万元。与20</w:t>
      </w:r>
      <w:r>
        <w:rPr>
          <w:rFonts w:hint="eastAsia" w:ascii="仿宋_GB2312"/>
          <w:color w:val="auto"/>
          <w:szCs w:val="32"/>
          <w:lang w:val="en-US" w:eastAsia="zh-CN"/>
        </w:rPr>
        <w:t>20</w:t>
      </w:r>
      <w:r>
        <w:rPr>
          <w:rFonts w:hint="eastAsia" w:ascii="仿宋_GB2312"/>
          <w:color w:val="auto"/>
          <w:szCs w:val="32"/>
          <w:lang w:eastAsia="zh-CN"/>
        </w:rPr>
        <w:t>年相比，收入总计</w:t>
      </w:r>
      <w:r>
        <w:rPr>
          <w:rFonts w:hint="eastAsia" w:ascii="仿宋_GB2312"/>
          <w:color w:val="auto"/>
          <w:szCs w:val="32"/>
          <w:lang w:val="en-US" w:eastAsia="zh-CN"/>
        </w:rPr>
        <w:t>增长64.92</w:t>
      </w:r>
      <w:r>
        <w:rPr>
          <w:rFonts w:hint="eastAsia" w:ascii="仿宋_GB2312"/>
          <w:color w:val="auto"/>
          <w:szCs w:val="32"/>
          <w:lang w:eastAsia="zh-CN"/>
        </w:rPr>
        <w:t>万元，</w:t>
      </w:r>
      <w:r>
        <w:rPr>
          <w:rFonts w:hint="eastAsia" w:ascii="仿宋_GB2312"/>
          <w:color w:val="auto"/>
          <w:szCs w:val="32"/>
          <w:lang w:val="en-US" w:eastAsia="zh-CN"/>
        </w:rPr>
        <w:t>增长21.38</w:t>
      </w:r>
      <w:r>
        <w:rPr>
          <w:rFonts w:hint="eastAsia" w:ascii="仿宋_GB2312"/>
          <w:color w:val="auto"/>
          <w:szCs w:val="32"/>
          <w:lang w:eastAsia="zh-CN"/>
        </w:rPr>
        <w:t>%，支出总计</w:t>
      </w:r>
      <w:r>
        <w:rPr>
          <w:rFonts w:hint="eastAsia" w:ascii="仿宋_GB2312"/>
          <w:color w:val="auto"/>
          <w:szCs w:val="32"/>
          <w:lang w:val="en-US" w:eastAsia="zh-CN"/>
        </w:rPr>
        <w:t>增长64.92</w:t>
      </w:r>
      <w:r>
        <w:rPr>
          <w:rFonts w:hint="eastAsia" w:ascii="仿宋_GB2312"/>
          <w:color w:val="auto"/>
          <w:szCs w:val="32"/>
          <w:lang w:eastAsia="zh-CN"/>
        </w:rPr>
        <w:t>万元，</w:t>
      </w:r>
      <w:r>
        <w:rPr>
          <w:rFonts w:hint="eastAsia" w:ascii="仿宋_GB2312"/>
          <w:color w:val="auto"/>
          <w:szCs w:val="32"/>
          <w:lang w:val="en-US" w:eastAsia="zh-CN"/>
        </w:rPr>
        <w:t>增长21.38</w:t>
      </w:r>
      <w:r>
        <w:rPr>
          <w:rFonts w:hint="eastAsia" w:ascii="仿宋_GB2312"/>
          <w:color w:val="auto"/>
          <w:szCs w:val="32"/>
          <w:lang w:eastAsia="zh-CN"/>
        </w:rPr>
        <w:t>%。主要原因是本年度人员经费和公用经费增加，增加了项目政协委员履职补助和调研经费。</w:t>
      </w:r>
    </w:p>
    <w:p>
      <w:pPr>
        <w:pStyle w:val="4"/>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ind w:firstLine="640"/>
        <w:rPr>
          <w:rFonts w:hint="eastAsia" w:ascii="仿宋_GB2312"/>
          <w:color w:val="auto"/>
          <w:szCs w:val="32"/>
          <w:lang w:eastAsia="zh-CN"/>
        </w:rPr>
      </w:pPr>
      <w:r>
        <w:rPr>
          <w:rFonts w:hint="eastAsia" w:ascii="仿宋_GB2312"/>
          <w:color w:val="auto"/>
          <w:szCs w:val="32"/>
          <w:lang w:eastAsia="zh-CN"/>
        </w:rPr>
        <w:t>本年收入合计</w:t>
      </w:r>
      <w:r>
        <w:rPr>
          <w:rFonts w:hint="eastAsia" w:ascii="仿宋_GB2312"/>
          <w:color w:val="auto"/>
          <w:szCs w:val="32"/>
          <w:lang w:val="en-US" w:eastAsia="zh-CN"/>
        </w:rPr>
        <w:t>368.58</w:t>
      </w:r>
      <w:r>
        <w:rPr>
          <w:rFonts w:hint="eastAsia" w:ascii="仿宋_GB2312"/>
          <w:color w:val="auto"/>
          <w:szCs w:val="32"/>
          <w:lang w:eastAsia="zh-CN"/>
        </w:rPr>
        <w:t>万元，其中：财政拨款收入</w:t>
      </w:r>
      <w:r>
        <w:rPr>
          <w:rFonts w:hint="eastAsia" w:ascii="仿宋_GB2312"/>
          <w:color w:val="auto"/>
          <w:szCs w:val="32"/>
          <w:lang w:val="en-US" w:eastAsia="zh-CN"/>
        </w:rPr>
        <w:t>368.58</w:t>
      </w:r>
      <w:r>
        <w:rPr>
          <w:rFonts w:hint="eastAsia" w:ascii="仿宋_GB2312"/>
          <w:color w:val="auto"/>
          <w:szCs w:val="32"/>
          <w:lang w:eastAsia="zh-CN"/>
        </w:rPr>
        <w:t>万元，占比</w:t>
      </w:r>
      <w:r>
        <w:rPr>
          <w:rFonts w:hint="eastAsia" w:ascii="仿宋_GB2312"/>
          <w:color w:val="auto"/>
          <w:szCs w:val="32"/>
          <w:lang w:val="en-US" w:eastAsia="zh-CN"/>
        </w:rPr>
        <w:t>100</w:t>
      </w:r>
      <w:r>
        <w:rPr>
          <w:rFonts w:hint="eastAsia" w:ascii="仿宋_GB2312"/>
          <w:color w:val="auto"/>
          <w:szCs w:val="32"/>
          <w:lang w:eastAsia="zh-CN"/>
        </w:rPr>
        <w:t>%</w:t>
      </w:r>
      <w:r>
        <w:rPr>
          <w:rFonts w:hint="eastAsia" w:ascii="仿宋_GB2312"/>
          <w:color w:val="auto"/>
          <w:szCs w:val="32"/>
          <w:lang w:eastAsia="zh-CN"/>
        </w:rPr>
        <w:t>。</w:t>
      </w:r>
    </w:p>
    <w:p>
      <w:pPr>
        <w:pStyle w:val="4"/>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ind w:firstLine="640"/>
        <w:rPr>
          <w:rFonts w:hint="eastAsia" w:ascii="仿宋_GB2312"/>
          <w:color w:val="auto"/>
          <w:szCs w:val="32"/>
          <w:lang w:eastAsia="zh-CN"/>
        </w:rPr>
      </w:pPr>
      <w:r>
        <w:rPr>
          <w:rFonts w:hint="eastAsia" w:ascii="仿宋_GB2312"/>
          <w:color w:val="auto"/>
          <w:szCs w:val="32"/>
          <w:lang w:eastAsia="zh-CN"/>
        </w:rPr>
        <w:t>本年支出合计</w:t>
      </w:r>
      <w:r>
        <w:rPr>
          <w:rFonts w:hint="eastAsia" w:ascii="仿宋_GB2312"/>
          <w:color w:val="auto"/>
          <w:szCs w:val="32"/>
          <w:lang w:val="en-US" w:eastAsia="zh-CN"/>
        </w:rPr>
        <w:t>368.58</w:t>
      </w:r>
      <w:r>
        <w:rPr>
          <w:rFonts w:hint="eastAsia" w:ascii="仿宋_GB2312"/>
          <w:color w:val="auto"/>
          <w:szCs w:val="32"/>
          <w:lang w:eastAsia="zh-CN"/>
        </w:rPr>
        <w:t>万元，其中：基本支出</w:t>
      </w:r>
      <w:r>
        <w:rPr>
          <w:rFonts w:hint="eastAsia" w:ascii="仿宋_GB2312"/>
          <w:color w:val="auto"/>
          <w:szCs w:val="32"/>
          <w:lang w:val="en-US" w:eastAsia="zh-CN"/>
        </w:rPr>
        <w:t>268.51</w:t>
      </w:r>
      <w:r>
        <w:rPr>
          <w:rFonts w:hint="eastAsia" w:ascii="仿宋_GB2312"/>
          <w:color w:val="auto"/>
          <w:szCs w:val="32"/>
          <w:lang w:eastAsia="zh-CN"/>
        </w:rPr>
        <w:t>万元，占比</w:t>
      </w:r>
      <w:r>
        <w:rPr>
          <w:rFonts w:hint="eastAsia" w:ascii="仿宋_GB2312"/>
          <w:color w:val="auto"/>
          <w:szCs w:val="32"/>
          <w:lang w:val="en-US" w:eastAsia="zh-CN"/>
        </w:rPr>
        <w:t>72.85</w:t>
      </w:r>
      <w:r>
        <w:rPr>
          <w:rFonts w:hint="eastAsia" w:ascii="仿宋_GB2312"/>
          <w:color w:val="auto"/>
          <w:szCs w:val="32"/>
          <w:lang w:eastAsia="zh-CN"/>
        </w:rPr>
        <w:t>%；项目支出</w:t>
      </w:r>
      <w:r>
        <w:rPr>
          <w:rFonts w:hint="eastAsia" w:ascii="仿宋_GB2312"/>
          <w:color w:val="auto"/>
          <w:szCs w:val="32"/>
          <w:lang w:val="en-US" w:eastAsia="zh-CN"/>
        </w:rPr>
        <w:t>100.07</w:t>
      </w:r>
      <w:r>
        <w:rPr>
          <w:rFonts w:hint="eastAsia" w:ascii="仿宋_GB2312"/>
          <w:color w:val="auto"/>
          <w:szCs w:val="32"/>
          <w:lang w:eastAsia="zh-CN"/>
        </w:rPr>
        <w:t>万元，占比</w:t>
      </w:r>
      <w:r>
        <w:rPr>
          <w:rFonts w:hint="eastAsia" w:ascii="仿宋_GB2312"/>
          <w:color w:val="auto"/>
          <w:szCs w:val="32"/>
          <w:lang w:val="en-US" w:eastAsia="zh-CN"/>
        </w:rPr>
        <w:t>27.15</w:t>
      </w:r>
      <w:r>
        <w:rPr>
          <w:rFonts w:hint="eastAsia" w:ascii="仿宋_GB2312"/>
          <w:color w:val="auto"/>
          <w:szCs w:val="32"/>
          <w:lang w:eastAsia="zh-CN"/>
        </w:rPr>
        <w:t>%。</w:t>
      </w:r>
    </w:p>
    <w:p>
      <w:pPr>
        <w:pStyle w:val="4"/>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color w:val="auto"/>
          <w:szCs w:val="32"/>
          <w:lang w:eastAsia="zh-CN"/>
        </w:rPr>
      </w:pPr>
      <w:r>
        <w:rPr>
          <w:rFonts w:hint="eastAsia" w:ascii="仿宋_GB2312"/>
          <w:color w:val="auto"/>
          <w:szCs w:val="32"/>
          <w:lang w:eastAsia="zh-CN"/>
        </w:rPr>
        <w:t>20</w:t>
      </w:r>
      <w:r>
        <w:rPr>
          <w:rFonts w:hint="eastAsia" w:ascii="仿宋_GB2312"/>
          <w:color w:val="auto"/>
          <w:szCs w:val="32"/>
          <w:lang w:val="en-US" w:eastAsia="zh-CN"/>
        </w:rPr>
        <w:t>21</w:t>
      </w:r>
      <w:r>
        <w:rPr>
          <w:rFonts w:hint="eastAsia" w:ascii="仿宋_GB2312"/>
          <w:color w:val="auto"/>
          <w:szCs w:val="32"/>
          <w:lang w:eastAsia="zh-CN"/>
        </w:rPr>
        <w:t>年度财政拨款收入总计</w:t>
      </w:r>
      <w:r>
        <w:rPr>
          <w:rFonts w:hint="eastAsia" w:ascii="仿宋_GB2312"/>
          <w:color w:val="auto"/>
          <w:szCs w:val="32"/>
          <w:lang w:val="en-US" w:eastAsia="zh-CN"/>
        </w:rPr>
        <w:t>368.58</w:t>
      </w:r>
      <w:r>
        <w:rPr>
          <w:rFonts w:hint="eastAsia" w:ascii="仿宋_GB2312"/>
          <w:color w:val="auto"/>
          <w:szCs w:val="32"/>
          <w:lang w:eastAsia="zh-CN"/>
        </w:rPr>
        <w:t>万元、支出总计</w:t>
      </w:r>
      <w:r>
        <w:rPr>
          <w:rFonts w:hint="eastAsia" w:ascii="仿宋_GB2312"/>
          <w:color w:val="auto"/>
          <w:szCs w:val="32"/>
          <w:lang w:val="en-US" w:eastAsia="zh-CN"/>
        </w:rPr>
        <w:t>368.58</w:t>
      </w:r>
      <w:r>
        <w:rPr>
          <w:rFonts w:hint="eastAsia" w:ascii="仿宋_GB2312"/>
          <w:color w:val="auto"/>
          <w:szCs w:val="32"/>
          <w:lang w:eastAsia="zh-CN"/>
        </w:rPr>
        <w:t>万元。与20</w:t>
      </w:r>
      <w:r>
        <w:rPr>
          <w:rFonts w:hint="eastAsia" w:ascii="仿宋_GB2312"/>
          <w:color w:val="auto"/>
          <w:szCs w:val="32"/>
          <w:lang w:val="en-US" w:eastAsia="zh-CN"/>
        </w:rPr>
        <w:t>20</w:t>
      </w:r>
      <w:r>
        <w:rPr>
          <w:rFonts w:hint="eastAsia" w:ascii="仿宋_GB2312"/>
          <w:color w:val="auto"/>
          <w:szCs w:val="32"/>
          <w:lang w:eastAsia="zh-CN"/>
        </w:rPr>
        <w:t>年相比，财政拨款收入总计</w:t>
      </w:r>
      <w:r>
        <w:rPr>
          <w:rFonts w:hint="eastAsia" w:ascii="仿宋_GB2312"/>
          <w:color w:val="auto"/>
          <w:szCs w:val="32"/>
          <w:lang w:val="en-US" w:eastAsia="zh-CN"/>
        </w:rPr>
        <w:t>增长64.92</w:t>
      </w:r>
      <w:r>
        <w:rPr>
          <w:rFonts w:hint="eastAsia" w:ascii="仿宋_GB2312"/>
          <w:color w:val="auto"/>
          <w:szCs w:val="32"/>
          <w:lang w:eastAsia="zh-CN"/>
        </w:rPr>
        <w:t>万元，</w:t>
      </w:r>
      <w:r>
        <w:rPr>
          <w:rFonts w:hint="eastAsia" w:ascii="仿宋_GB2312"/>
          <w:color w:val="auto"/>
          <w:szCs w:val="32"/>
          <w:lang w:val="en-US" w:eastAsia="zh-CN"/>
        </w:rPr>
        <w:t>增长21.38</w:t>
      </w:r>
      <w:r>
        <w:rPr>
          <w:rFonts w:hint="eastAsia" w:ascii="仿宋_GB2312"/>
          <w:color w:val="auto"/>
          <w:szCs w:val="32"/>
          <w:lang w:eastAsia="zh-CN"/>
        </w:rPr>
        <w:t>%，财政拨款支出总计</w:t>
      </w:r>
      <w:r>
        <w:rPr>
          <w:rFonts w:hint="eastAsia" w:ascii="仿宋_GB2312"/>
          <w:color w:val="auto"/>
          <w:szCs w:val="32"/>
          <w:lang w:val="en-US" w:eastAsia="zh-CN"/>
        </w:rPr>
        <w:t>增长64.92</w:t>
      </w:r>
      <w:r>
        <w:rPr>
          <w:rFonts w:hint="eastAsia" w:ascii="仿宋_GB2312"/>
          <w:color w:val="auto"/>
          <w:szCs w:val="32"/>
          <w:lang w:eastAsia="zh-CN"/>
        </w:rPr>
        <w:t>万元，</w:t>
      </w:r>
      <w:r>
        <w:rPr>
          <w:rFonts w:hint="eastAsia" w:ascii="仿宋_GB2312"/>
          <w:color w:val="auto"/>
          <w:szCs w:val="32"/>
          <w:lang w:val="en-US" w:eastAsia="zh-CN"/>
        </w:rPr>
        <w:t>增长21.38</w:t>
      </w:r>
      <w:r>
        <w:rPr>
          <w:rFonts w:hint="eastAsia" w:ascii="仿宋_GB2312"/>
          <w:color w:val="auto"/>
          <w:szCs w:val="32"/>
          <w:lang w:eastAsia="zh-CN"/>
        </w:rPr>
        <w:t>%。主要原因是</w:t>
      </w:r>
      <w:r>
        <w:rPr>
          <w:rFonts w:hint="eastAsia" w:ascii="仿宋_GB2312"/>
          <w:color w:val="auto"/>
          <w:szCs w:val="32"/>
          <w:lang w:eastAsia="zh-CN"/>
        </w:rPr>
        <w:t>本年度人员经费和公用经费增加，增加了项目政协委员履职补助和调研经费。</w:t>
      </w:r>
    </w:p>
    <w:p>
      <w:pPr>
        <w:pStyle w:val="4"/>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368.58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增加64.92</w:t>
      </w:r>
      <w:r>
        <w:rPr>
          <w:rFonts w:hint="eastAsia" w:ascii="仿宋_GB2312"/>
          <w:color w:val="auto"/>
          <w:szCs w:val="32"/>
        </w:rPr>
        <w:t>万元，</w:t>
      </w:r>
      <w:r>
        <w:rPr>
          <w:rFonts w:hint="eastAsia" w:ascii="仿宋_GB2312"/>
          <w:color w:val="auto"/>
          <w:szCs w:val="32"/>
          <w:lang w:val="en-US" w:eastAsia="zh-CN"/>
        </w:rPr>
        <w:t>增长21.38</w:t>
      </w:r>
      <w:r>
        <w:rPr>
          <w:rFonts w:hint="eastAsia" w:ascii="仿宋_GB2312"/>
          <w:color w:val="auto"/>
          <w:szCs w:val="32"/>
        </w:rPr>
        <w:t>%。主要原因是</w:t>
      </w:r>
      <w:r>
        <w:rPr>
          <w:rFonts w:hint="eastAsia" w:ascii="仿宋_GB2312"/>
          <w:color w:val="auto"/>
          <w:szCs w:val="32"/>
          <w:lang w:eastAsia="zh-CN"/>
        </w:rPr>
        <w:t>本年度人员经费和公用经费增加，增加了项目政协委员履职补助和调研经费</w:t>
      </w:r>
      <w:r>
        <w:rPr>
          <w:rFonts w:hint="eastAsia" w:ascii="仿宋_GB2312"/>
          <w:color w:val="auto"/>
          <w:szCs w:val="32"/>
        </w:rPr>
        <w:t>。</w:t>
      </w:r>
    </w:p>
    <w:p>
      <w:pPr>
        <w:spacing w:line="580" w:lineRule="exact"/>
        <w:ind w:firstLine="640"/>
        <w:rPr>
          <w:rFonts w:hint="eastAsia" w:ascii="仿宋_GB2312"/>
          <w:color w:val="auto"/>
          <w:szCs w:val="32"/>
        </w:rPr>
      </w:pP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368.58</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368.58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404.94</w:t>
      </w:r>
      <w:r>
        <w:rPr>
          <w:rFonts w:hint="eastAsia"/>
          <w:color w:val="auto"/>
          <w:szCs w:val="32"/>
        </w:rPr>
        <w:t>万元，支出决算</w:t>
      </w:r>
      <w:r>
        <w:rPr>
          <w:rFonts w:hint="eastAsia"/>
          <w:color w:val="auto"/>
          <w:szCs w:val="32"/>
          <w:lang w:val="en-US" w:eastAsia="zh-CN"/>
        </w:rPr>
        <w:t>368.58</w:t>
      </w:r>
      <w:r>
        <w:rPr>
          <w:rFonts w:hint="eastAsia"/>
          <w:color w:val="auto"/>
          <w:szCs w:val="32"/>
        </w:rPr>
        <w:t>万元，完成年初预算的</w:t>
      </w:r>
      <w:r>
        <w:rPr>
          <w:rFonts w:hint="eastAsia"/>
          <w:color w:val="auto"/>
          <w:szCs w:val="32"/>
          <w:lang w:val="en-US" w:eastAsia="zh-CN"/>
        </w:rPr>
        <w:t>91.02</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303.66</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368.58</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02</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政协</w:t>
            </w:r>
            <w:r>
              <w:rPr>
                <w:rFonts w:hint="eastAsia" w:ascii="仿宋" w:hAnsi="仿宋" w:eastAsia="仿宋" w:cs="仿宋"/>
                <w:color w:val="auto"/>
                <w:sz w:val="24"/>
                <w:szCs w:val="24"/>
              </w:rPr>
              <w:t>事务</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301.11</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364.58</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260.36</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282.50</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02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一般行政管理事务</w:t>
            </w:r>
          </w:p>
        </w:tc>
        <w:tc>
          <w:tcPr>
            <w:tcW w:w="1876" w:type="dxa"/>
            <w:vAlign w:val="top"/>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w:t>
            </w:r>
          </w:p>
        </w:tc>
        <w:tc>
          <w:tcPr>
            <w:tcW w:w="1684" w:type="dxa"/>
            <w:vAlign w:val="top"/>
          </w:tcPr>
          <w:p>
            <w:pPr>
              <w:ind w:firstLine="720" w:firstLineChars="30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50.63</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0</w:t>
            </w:r>
            <w:r>
              <w:rPr>
                <w:rFonts w:hint="eastAsia" w:ascii="仿宋" w:hAnsi="仿宋" w:eastAsia="仿宋" w:cs="仿宋"/>
                <w:color w:val="auto"/>
                <w:sz w:val="24"/>
                <w:szCs w:val="24"/>
                <w:lang w:val="en-US" w:eastAsia="zh-CN"/>
              </w:rPr>
              <w:t>4</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政协会议</w:t>
            </w:r>
          </w:p>
        </w:tc>
        <w:tc>
          <w:tcPr>
            <w:tcW w:w="1876"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10</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18.45</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0</w:t>
            </w:r>
            <w:r>
              <w:rPr>
                <w:rFonts w:hint="eastAsia" w:ascii="仿宋" w:hAnsi="仿宋" w:eastAsia="仿宋" w:cs="仿宋"/>
                <w:color w:val="auto"/>
                <w:sz w:val="24"/>
                <w:szCs w:val="24"/>
                <w:lang w:val="en-US" w:eastAsia="zh-CN"/>
              </w:rPr>
              <w:t>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委员视察</w:t>
            </w:r>
          </w:p>
        </w:tc>
        <w:tc>
          <w:tcPr>
            <w:tcW w:w="1876"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13</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w:t>
            </w: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2010299</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其他政协事务支出</w:t>
            </w:r>
          </w:p>
        </w:tc>
        <w:tc>
          <w:tcPr>
            <w:tcW w:w="1876" w:type="dxa"/>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2.75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28</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15"/>
                <w:szCs w:val="15"/>
                <w:lang w:val="en-US" w:eastAsia="zh-CN"/>
              </w:rPr>
              <w:t>民主党派及工商联事务支出</w:t>
            </w:r>
          </w:p>
        </w:tc>
        <w:tc>
          <w:tcPr>
            <w:tcW w:w="1876" w:type="dxa"/>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2899</w:t>
            </w:r>
          </w:p>
        </w:tc>
        <w:tc>
          <w:tcPr>
            <w:tcW w:w="2479"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 xml:space="preserve"> </w:t>
            </w:r>
            <w:r>
              <w:rPr>
                <w:rFonts w:hint="eastAsia" w:ascii="宋体" w:hAnsi="宋体" w:eastAsia="宋体" w:cs="宋体"/>
                <w:i w:val="0"/>
                <w:iCs w:val="0"/>
                <w:color w:val="auto"/>
                <w:kern w:val="0"/>
                <w:sz w:val="15"/>
                <w:szCs w:val="15"/>
                <w:u w:val="none"/>
                <w:lang w:val="en-US" w:eastAsia="zh-CN" w:bidi="ar"/>
              </w:rPr>
              <w:t>其他民主党派及工商联事务支出</w:t>
            </w:r>
          </w:p>
        </w:tc>
        <w:tc>
          <w:tcPr>
            <w:tcW w:w="1876"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134</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统战事务</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2.55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13404</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宗教事务</w:t>
            </w:r>
          </w:p>
        </w:tc>
        <w:tc>
          <w:tcPr>
            <w:tcW w:w="1876" w:type="dxa"/>
            <w:vAlign w:val="top"/>
          </w:tcPr>
          <w:p>
            <w:pPr>
              <w:jc w:val="center"/>
              <w:rPr>
                <w:rFonts w:hint="eastAsia" w:ascii="仿宋" w:hAnsi="仿宋" w:eastAsia="仿宋" w:cs="仿宋"/>
                <w:color w:val="000000"/>
                <w:sz w:val="24"/>
                <w:szCs w:val="24"/>
              </w:rPr>
            </w:pPr>
          </w:p>
        </w:tc>
        <w:tc>
          <w:tcPr>
            <w:tcW w:w="1684" w:type="dxa"/>
            <w:vAlign w:val="top"/>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1393" w:type="dxa"/>
            <w:vAlign w:val="top"/>
          </w:tcPr>
          <w:p>
            <w:pPr>
              <w:jc w:val="left"/>
              <w:rPr>
                <w:rFonts w:hint="eastAsia" w:ascii="仿宋" w:hAnsi="仿宋" w:eastAsia="仿宋" w:cs="仿宋"/>
                <w:color w:val="000000"/>
                <w:sz w:val="24"/>
                <w:szCs w:val="24"/>
              </w:rPr>
            </w:pP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303.66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368.58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218.63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250.02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61.49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81.66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1.51</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22.02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268.51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250.02</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基本工资、津贴补贴、社保缴费及住房公积金等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18.49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办公费工会福利费、其他交通费用等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100.07</w:t>
      </w:r>
      <w:r>
        <w:rPr>
          <w:rFonts w:hint="eastAsia" w:ascii="仿宋_GB2312"/>
          <w:color w:val="auto"/>
          <w:szCs w:val="32"/>
        </w:rPr>
        <w:t>万元</w:t>
      </w:r>
      <w:r>
        <w:rPr>
          <w:rFonts w:hint="eastAsia" w:ascii="仿宋_GB2312"/>
          <w:color w:val="auto"/>
          <w:szCs w:val="32"/>
          <w:lang w:eastAsia="zh-CN"/>
        </w:rPr>
        <w:t>。</w:t>
      </w:r>
    </w:p>
    <w:p>
      <w:pPr>
        <w:pStyle w:val="4"/>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1.72</w:t>
      </w:r>
      <w:r>
        <w:rPr>
          <w:rFonts w:hint="eastAsia" w:ascii="仿宋_GB2312"/>
          <w:color w:val="auto"/>
          <w:szCs w:val="32"/>
        </w:rPr>
        <w:t>万元，，比上年减少</w:t>
      </w:r>
      <w:r>
        <w:rPr>
          <w:rFonts w:hint="eastAsia" w:ascii="仿宋_GB2312"/>
          <w:color w:val="auto"/>
          <w:szCs w:val="32"/>
          <w:lang w:val="en-US" w:eastAsia="zh-CN"/>
        </w:rPr>
        <w:t>3</w:t>
      </w:r>
      <w:r>
        <w:rPr>
          <w:rFonts w:hint="eastAsia" w:ascii="仿宋_GB2312"/>
          <w:color w:val="auto"/>
          <w:szCs w:val="32"/>
        </w:rPr>
        <w:t>万元，下降</w:t>
      </w:r>
      <w:r>
        <w:rPr>
          <w:rFonts w:hint="eastAsia" w:ascii="仿宋_GB2312"/>
          <w:color w:val="auto"/>
          <w:szCs w:val="32"/>
          <w:lang w:val="en-US" w:eastAsia="zh-CN"/>
        </w:rPr>
        <w:t>63.56</w:t>
      </w:r>
      <w:r>
        <w:rPr>
          <w:rFonts w:hint="eastAsia" w:ascii="仿宋_GB2312"/>
          <w:color w:val="auto"/>
          <w:szCs w:val="32"/>
        </w:rPr>
        <w:t>%，原因是：</w:t>
      </w:r>
      <w:r>
        <w:rPr>
          <w:rFonts w:hint="eastAsia" w:ascii="仿宋_GB2312"/>
          <w:color w:val="auto"/>
          <w:szCs w:val="32"/>
          <w:lang w:eastAsia="zh-CN"/>
        </w:rPr>
        <w:t>本年度由于疫情等原因公务车运行费减少</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万元，公务用车购置及运行费支出决算</w:t>
      </w:r>
      <w:r>
        <w:rPr>
          <w:rFonts w:hint="eastAsia" w:ascii="仿宋_GB2312"/>
          <w:color w:val="auto"/>
          <w:szCs w:val="32"/>
          <w:lang w:val="en-US" w:eastAsia="zh-CN"/>
        </w:rPr>
        <w:t>1.72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3</w:t>
      </w:r>
      <w:r>
        <w:rPr>
          <w:rFonts w:hint="eastAsia" w:ascii="仿宋_GB2312"/>
          <w:color w:val="auto"/>
          <w:szCs w:val="32"/>
        </w:rPr>
        <w:t>万元，减少</w:t>
      </w:r>
      <w:r>
        <w:rPr>
          <w:rFonts w:hint="eastAsia" w:ascii="仿宋_GB2312"/>
          <w:color w:val="auto"/>
          <w:szCs w:val="32"/>
          <w:lang w:val="en-US" w:eastAsia="zh-CN"/>
        </w:rPr>
        <w:t>63.56</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bookmarkStart w:id="33" w:name="_GoBack"/>
      <w:bookmarkEnd w:id="33"/>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right"/>
              <w:rPr>
                <w:rFonts w:hint="default" w:eastAsia="宋体"/>
                <w:color w:val="000000"/>
                <w:sz w:val="28"/>
                <w:szCs w:val="28"/>
                <w:lang w:val="en-US" w:eastAsia="zh-CN"/>
              </w:rPr>
            </w:pPr>
            <w:r>
              <w:rPr>
                <w:rFonts w:hint="eastAsia" w:eastAsia="宋体"/>
                <w:color w:val="000000"/>
                <w:sz w:val="28"/>
                <w:szCs w:val="28"/>
                <w:lang w:val="en-US" w:eastAsia="zh-CN"/>
              </w:rPr>
              <w:t>4.72</w:t>
            </w:r>
          </w:p>
        </w:tc>
        <w:tc>
          <w:tcPr>
            <w:tcW w:w="1701" w:type="dxa"/>
            <w:vAlign w:val="top"/>
          </w:tcPr>
          <w:p>
            <w:pPr>
              <w:pStyle w:val="9"/>
              <w:jc w:val="right"/>
              <w:rPr>
                <w:rFonts w:hint="default" w:eastAsia="仿宋_GB2312"/>
                <w:color w:val="000000"/>
                <w:sz w:val="28"/>
                <w:szCs w:val="28"/>
                <w:lang w:val="en-US" w:eastAsia="zh-CN"/>
              </w:rPr>
            </w:pPr>
            <w:r>
              <w:rPr>
                <w:rFonts w:hint="eastAsia"/>
                <w:color w:val="000000"/>
                <w:sz w:val="28"/>
                <w:szCs w:val="28"/>
                <w:lang w:val="en-US" w:eastAsia="zh-CN"/>
              </w:rPr>
              <w:t>1.72</w:t>
            </w:r>
          </w:p>
        </w:tc>
        <w:tc>
          <w:tcPr>
            <w:tcW w:w="1418" w:type="dxa"/>
            <w:vAlign w:val="top"/>
          </w:tcPr>
          <w:p>
            <w:pPr>
              <w:pStyle w:val="9"/>
              <w:ind w:left="0" w:leftChars="0" w:firstLine="0" w:firstLineChars="0"/>
              <w:jc w:val="both"/>
              <w:rPr>
                <w:rFonts w:hint="default" w:eastAsia="宋体"/>
                <w:color w:val="000000"/>
                <w:sz w:val="28"/>
                <w:szCs w:val="28"/>
                <w:lang w:val="en-US" w:eastAsia="zh-CN"/>
              </w:rPr>
            </w:pPr>
            <w:r>
              <w:rPr>
                <w:rFonts w:hint="eastAsia" w:eastAsia="宋体"/>
                <w:color w:val="000000"/>
                <w:sz w:val="28"/>
                <w:szCs w:val="28"/>
                <w:lang w:val="en-US" w:eastAsia="zh-CN"/>
              </w:rPr>
              <w:t>-63.56%</w:t>
            </w:r>
          </w:p>
        </w:tc>
      </w:tr>
    </w:tbl>
    <w:p>
      <w:pPr>
        <w:pStyle w:val="9"/>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18.49</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21</w:t>
      </w:r>
      <w:r>
        <w:rPr>
          <w:rFonts w:hint="eastAsia" w:ascii="仿宋_GB2312" w:hAnsi="宋体"/>
          <w:szCs w:val="32"/>
        </w:rPr>
        <w:t>年减少</w:t>
      </w:r>
      <w:r>
        <w:rPr>
          <w:rFonts w:hint="eastAsia" w:ascii="仿宋_GB2312" w:hAnsi="宋体"/>
          <w:szCs w:val="32"/>
          <w:lang w:val="en-US" w:eastAsia="zh-CN"/>
        </w:rPr>
        <w:t>66.54</w:t>
      </w:r>
      <w:r>
        <w:rPr>
          <w:rFonts w:hint="eastAsia" w:ascii="仿宋_GB2312" w:hAnsi="宋体"/>
          <w:szCs w:val="32"/>
        </w:rPr>
        <w:t>万元，降低</w:t>
      </w:r>
      <w:r>
        <w:rPr>
          <w:rFonts w:hint="eastAsia" w:ascii="仿宋_GB2312" w:hAnsi="宋体"/>
          <w:szCs w:val="32"/>
          <w:lang w:val="en-US" w:eastAsia="zh-CN"/>
        </w:rPr>
        <w:t>78.25</w:t>
      </w:r>
      <w:r>
        <w:rPr>
          <w:rFonts w:hint="eastAsia" w:ascii="仿宋_GB2312" w:hAnsi="宋体"/>
          <w:szCs w:val="32"/>
        </w:rPr>
        <w:t>%。主要原因是：</w:t>
      </w:r>
      <w:r>
        <w:rPr>
          <w:rFonts w:hint="eastAsia" w:ascii="仿宋_GB2312" w:hAnsi="宋体"/>
          <w:szCs w:val="32"/>
          <w:lang w:eastAsia="zh-CN"/>
        </w:rPr>
        <w:t>与上年预算口径不一致，去年项目也预算到经费里。</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1.28</w:t>
      </w:r>
      <w:r>
        <w:rPr>
          <w:rFonts w:hint="eastAsia" w:ascii="仿宋_GB2312"/>
          <w:color w:val="auto"/>
          <w:szCs w:val="32"/>
        </w:rPr>
        <w:t>万元，其中：政府采购货物支出</w:t>
      </w:r>
      <w:r>
        <w:rPr>
          <w:rFonts w:hint="eastAsia" w:ascii="仿宋_GB2312"/>
          <w:color w:val="auto"/>
          <w:szCs w:val="32"/>
          <w:lang w:val="en-US" w:eastAsia="zh-CN"/>
        </w:rPr>
        <w:t>1.28</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万元。其中：授予小微企业合同金额</w:t>
      </w:r>
      <w:r>
        <w:rPr>
          <w:rFonts w:hint="eastAsia" w:ascii="仿宋_GB2312"/>
          <w:color w:val="auto"/>
          <w:szCs w:val="32"/>
          <w:lang w:val="en-US" w:eastAsia="zh-CN"/>
        </w:rPr>
        <w:t>0</w:t>
      </w:r>
      <w:r>
        <w:rPr>
          <w:rFonts w:hint="eastAsia" w:ascii="仿宋_GB2312"/>
          <w:color w:val="auto"/>
          <w:szCs w:val="32"/>
        </w:rPr>
        <w:t>万元</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ind w:firstLine="640" w:firstLineChars="200"/>
        <w:rPr>
          <w:rFonts w:hint="eastAsia" w:ascii="仿宋" w:hAnsi="仿宋" w:eastAsia="仿宋" w:cs="仿宋"/>
          <w:b/>
          <w:bCs/>
          <w:sz w:val="32"/>
          <w:szCs w:val="32"/>
        </w:rPr>
      </w:pPr>
      <w:r>
        <w:rPr>
          <w:rFonts w:hint="eastAsia" w:ascii="仿宋" w:hAnsi="仿宋" w:eastAsia="仿宋" w:cs="仿宋"/>
          <w:sz w:val="32"/>
          <w:szCs w:val="32"/>
        </w:rPr>
        <w:t>截至20</w:t>
      </w:r>
      <w:r>
        <w:rPr>
          <w:rFonts w:hint="eastAsia" w:ascii="仿宋" w:hAnsi="仿宋" w:eastAsia="仿宋" w:cs="仿宋"/>
          <w:sz w:val="32"/>
          <w:szCs w:val="32"/>
          <w:lang w:val="en-US" w:eastAsia="zh-CN"/>
        </w:rPr>
        <w:t>21</w:t>
      </w:r>
      <w:r>
        <w:rPr>
          <w:rFonts w:hint="eastAsia" w:ascii="仿宋" w:hAnsi="仿宋" w:eastAsia="仿宋" w:cs="仿宋"/>
          <w:sz w:val="32"/>
          <w:szCs w:val="32"/>
        </w:rPr>
        <w:t>年12月31日，本部门共有车辆</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sz w:val="32"/>
          <w:szCs w:val="32"/>
        </w:rPr>
        <w:t>辆。</w:t>
      </w:r>
      <w:r>
        <w:rPr>
          <w:rFonts w:hint="eastAsia" w:ascii="仿宋" w:hAnsi="仿宋" w:eastAsia="仿宋" w:cs="仿宋"/>
          <w:color w:val="auto"/>
          <w:kern w:val="0"/>
          <w:sz w:val="32"/>
          <w:szCs w:val="32"/>
          <w:lang w:val="en-US" w:eastAsia="zh-CN" w:bidi="ar-SA"/>
        </w:rPr>
        <w:t>所有权属机关事务管理局，本单位仅有使用权，公务用车运行维护费由本单位支出。</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eastAsia="zh-CN"/>
        </w:rPr>
        <w:t>我单位无</w:t>
      </w:r>
      <w:r>
        <w:rPr>
          <w:rFonts w:hint="eastAsia" w:ascii="仿宋" w:hAnsi="仿宋" w:eastAsia="仿宋" w:cs="仿宋"/>
          <w:sz w:val="32"/>
          <w:szCs w:val="32"/>
        </w:rPr>
        <w:t>单价50万元（含）以上的通用设备</w:t>
      </w:r>
      <w:r>
        <w:rPr>
          <w:rFonts w:hint="eastAsia" w:ascii="仿宋" w:hAnsi="仿宋" w:eastAsia="仿宋" w:cs="仿宋"/>
          <w:sz w:val="32"/>
          <w:szCs w:val="32"/>
          <w:lang w:eastAsia="zh-CN"/>
        </w:rPr>
        <w:t>和</w:t>
      </w:r>
      <w:r>
        <w:rPr>
          <w:rFonts w:hint="eastAsia" w:ascii="仿宋" w:hAnsi="仿宋" w:eastAsia="仿宋" w:cs="仿宋"/>
          <w:sz w:val="3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共7</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106.4</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调研经费</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本项目是为了更好的履行委员职责和义务深入基层实地调研，财政拨付14万元，已经全额支付，自评优秀得分99.5分</w:t>
      </w:r>
      <w:r>
        <w:rPr>
          <w:rFonts w:hint="eastAsia" w:ascii="仿宋_GB2312" w:hAnsi="仿宋_GB2312" w:eastAsia="仿宋_GB2312" w:cs="仿宋_GB2312"/>
          <w:sz w:val="32"/>
          <w:szCs w:val="32"/>
          <w:lang w:val="en-US" w:eastAsia="zh-CN"/>
        </w:rPr>
        <w:t>。</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2.文史编印费</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：本项目财政拨款15万元，支付13.73万元，自评优秀得分91.53分.</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3.政协会议费</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：本项目财政预算22万元，支付18.45万元，自评优秀得分83.85分.</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4.政协委员履职补助项目绩效自评综述：本项目财政预算38.4万元，实际支付36.9万元，自评优秀得分96分。</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5.政协委员活动费项目绩效自评综述：本项目财政预算13万元，支付13万元，自评优秀得分99.5分。</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6.统战部工作经费项目绩效自评综述;本项目财政预算2万元，实际支付2万元，自评优秀得分99.5分</w:t>
      </w:r>
    </w:p>
    <w:p>
      <w:pPr>
        <w:pStyle w:val="2"/>
        <w:ind w:left="0" w:leftChars="0" w:firstLine="640" w:firstLineChars="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7.工商联工作经费项目绩效自评综述：本项目财政拨款2万元，实际支付1.99万元，自评优秀得分99.0分。</w:t>
      </w:r>
    </w:p>
    <w:p>
      <w:pPr>
        <w:pStyle w:val="2"/>
        <w:ind w:left="0" w:leftChars="0" w:firstLine="640" w:firstLineChars="0"/>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附：7个项目绩效自评表</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r>
        <w:rPr>
          <w:rFonts w:hint="eastAsia" w:ascii="仿宋_GB2312"/>
          <w:b/>
          <w:szCs w:val="32"/>
          <w:lang w:val="en-US" w:eastAsia="zh-CN"/>
        </w:rPr>
        <w:t xml:space="preserve"> </w:t>
      </w:r>
    </w:p>
    <w:p>
      <w:pPr>
        <w:numPr>
          <w:ilvl w:val="0"/>
          <w:numId w:val="0"/>
        </w:numPr>
        <w:spacing w:line="580" w:lineRule="exact"/>
        <w:ind w:firstLine="1280" w:firstLineChars="400"/>
        <w:outlineLvl w:val="0"/>
        <w:rPr>
          <w:rFonts w:hint="eastAsia" w:ascii="仿宋_GB2312" w:eastAsia="仿宋_GB2312"/>
          <w:b w:val="0"/>
          <w:bCs/>
          <w:szCs w:val="32"/>
          <w:lang w:val="en-US" w:eastAsia="zh-CN"/>
        </w:rPr>
      </w:pPr>
      <w:r>
        <w:rPr>
          <w:rFonts w:hint="eastAsia" w:ascii="仿宋_GB2312"/>
          <w:b w:val="0"/>
          <w:bCs/>
          <w:szCs w:val="32"/>
          <w:lang w:val="en-US" w:eastAsia="zh-CN"/>
        </w:rPr>
        <w:t>无</w:t>
      </w:r>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单位名称：中国人民政治协商会议</w:t>
      </w:r>
    </w:p>
    <w:p>
      <w:pPr>
        <w:spacing w:line="580" w:lineRule="exact"/>
        <w:ind w:left="0" w:leftChars="0" w:firstLine="3840" w:firstLineChars="1200"/>
        <w:rPr>
          <w:rFonts w:hint="eastAsia" w:ascii="仿宋_GB2312" w:eastAsia="仿宋_GB2312"/>
          <w:szCs w:val="32"/>
          <w:lang w:val="en-US" w:eastAsia="zh-CN"/>
        </w:rPr>
      </w:pPr>
      <w:r>
        <w:rPr>
          <w:rFonts w:hint="eastAsia" w:ascii="仿宋_GB2312"/>
          <w:szCs w:val="32"/>
          <w:lang w:val="en-US" w:eastAsia="zh-CN"/>
        </w:rPr>
        <w:t>山西省静乐县委员会办公室</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MS Gothic">
    <w:panose1 w:val="020B06090702050802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auto"/>
    <w:pitch w:val="default"/>
    <w:sig w:usb0="E0002AFF" w:usb1="C0007843" w:usb2="00000009" w:usb3="00000000" w:csb0="400001FF" w:csb1="FFFF0000"/>
  </w:font>
  <w:font w:name="Arabic Typesetting">
    <w:panose1 w:val="03020402040406030203"/>
    <w:charset w:val="00"/>
    <w:family w:val="auto"/>
    <w:pitch w:val="default"/>
    <w:sig w:usb0="A000206F" w:usb1="C0000000" w:usb2="00000008" w:usb3="00000000" w:csb0="200000D3" w:csb1="00000000"/>
  </w:font>
  <w:font w:name="Cambria Math">
    <w:panose1 w:val="02040503050406030204"/>
    <w:charset w:val="00"/>
    <w:family w:val="auto"/>
    <w:pitch w:val="default"/>
    <w:sig w:usb0="E00002FF" w:usb1="420024FF" w:usb2="00000000" w:usb3="00000000" w:csb0="2000019F" w:csb1="00000000"/>
  </w:font>
  <w:font w:name="MT Extra">
    <w:panose1 w:val="05050102010205020202"/>
    <w:charset w:val="00"/>
    <w:family w:val="auto"/>
    <w:pitch w:val="default"/>
    <w:sig w:usb0="80000000" w:usb1="00000000" w:usb2="00000000" w:usb3="00000000" w:csb0="00000000" w:csb1="00000000"/>
  </w:font>
  <w:font w:name="Segoe Script">
    <w:panose1 w:val="020B0504020000000003"/>
    <w:charset w:val="00"/>
    <w:family w:val="auto"/>
    <w:pitch w:val="default"/>
    <w:sig w:usb0="0000028F" w:usb1="00000000" w:usb2="00000000" w:usb3="00000000" w:csb0="0000009F" w:csb1="00000000"/>
  </w:font>
  <w:font w:name="Segoe UI">
    <w:panose1 w:val="020B0502040204020203"/>
    <w:charset w:val="00"/>
    <w:family w:val="auto"/>
    <w:pitch w:val="default"/>
    <w:sig w:usb0="E10022FF" w:usb1="C000E47F" w:usb2="00000029" w:usb3="00000000" w:csb0="200001DF" w:csb1="20000000"/>
  </w:font>
  <w:font w:name="Segoe UI Light">
    <w:panose1 w:val="020B0502040204020203"/>
    <w:charset w:val="00"/>
    <w:family w:val="auto"/>
    <w:pitch w:val="default"/>
    <w:sig w:usb0="E00002FF" w:usb1="4000A47B" w:usb2="00000001" w:usb3="00000000" w:csb0="2000019F" w:csb1="00000000"/>
  </w:font>
  <w:font w:name="Segoe UI Semibold">
    <w:panose1 w:val="020B0702040204020203"/>
    <w:charset w:val="00"/>
    <w:family w:val="auto"/>
    <w:pitch w:val="default"/>
    <w:sig w:usb0="E00002FF" w:usb1="4000A47B"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56C7C0"/>
    <w:multiLevelType w:val="singleLevel"/>
    <w:tmpl w:val="F156C7C0"/>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mZDJhNGFiMTQ0YWU5ZThhZmU5ZGI4NGViYmIxNzkifQ=="/>
  </w:docVars>
  <w:rsids>
    <w:rsidRoot w:val="495520D0"/>
    <w:rsid w:val="03696819"/>
    <w:rsid w:val="05406F74"/>
    <w:rsid w:val="06F32EE7"/>
    <w:rsid w:val="0E2B2500"/>
    <w:rsid w:val="16654CDD"/>
    <w:rsid w:val="17AF1FC0"/>
    <w:rsid w:val="1A4A5C33"/>
    <w:rsid w:val="20EF7D1C"/>
    <w:rsid w:val="2701594C"/>
    <w:rsid w:val="27426717"/>
    <w:rsid w:val="37943B50"/>
    <w:rsid w:val="3821117E"/>
    <w:rsid w:val="42C12CEC"/>
    <w:rsid w:val="43030698"/>
    <w:rsid w:val="44401A62"/>
    <w:rsid w:val="495520D0"/>
    <w:rsid w:val="4A012068"/>
    <w:rsid w:val="53A30631"/>
    <w:rsid w:val="552F1B18"/>
    <w:rsid w:val="5EC01F6A"/>
    <w:rsid w:val="63AB51DF"/>
    <w:rsid w:val="649C6DC9"/>
    <w:rsid w:val="6AB61AF1"/>
    <w:rsid w:val="715A78E4"/>
    <w:rsid w:val="725B18DE"/>
    <w:rsid w:val="7761744D"/>
    <w:rsid w:val="7D0A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3635</Words>
  <Characters>4203</Characters>
  <Lines>0</Lines>
  <Paragraphs>0</Paragraphs>
  <ScaleCrop>false</ScaleCrop>
  <LinksUpToDate>false</LinksUpToDate>
  <CharactersWithSpaces>4291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2022-08-22T09:00:46Z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6292A599F8424B30AA4FAEE6FCC20786</vt:lpwstr>
  </property>
</Properties>
</file>