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32048"/>
      <w:bookmarkStart w:id="1" w:name="_Toc21118"/>
      <w:bookmarkStart w:id="2" w:name="_Toc31071"/>
      <w:r>
        <w:rPr>
          <w:rFonts w:hint="eastAsia" w:ascii="华文中宋" w:hAnsi="华文中宋" w:eastAsia="华文中宋"/>
          <w:color w:val="000000" w:themeColor="text1"/>
          <w:sz w:val="44"/>
          <w:szCs w:val="44"/>
          <w:lang w:val="en-US" w:eastAsia="zh-CN"/>
          <w14:textFill>
            <w14:solidFill>
              <w14:schemeClr w14:val="tx1"/>
            </w14:solidFill>
          </w14:textFill>
        </w:rPr>
        <w:t>静乐县人力资源和社会保障局</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4"/>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spacing w:line="570" w:lineRule="exact"/>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rPr>
        <w:t>县人社局贯彻落实党中央、省委、市委、县委关于人力资源和社会保障工作的方针政策和决策部署，在履行职责过程中坚持和加强党对人力资源和社会保障工作的集中统一领导。主要职责是：</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1</w:t>
      </w:r>
      <w:r>
        <w:rPr>
          <w:rFonts w:hint="eastAsia" w:ascii="仿宋" w:hAnsi="仿宋" w:eastAsia="仿宋" w:cs="仿宋"/>
          <w:color w:val="000000"/>
          <w:sz w:val="30"/>
          <w:szCs w:val="30"/>
          <w:shd w:val="solid" w:color="FFFFFF" w:fill="auto"/>
        </w:rPr>
        <w:t>）贯彻执行人力资源和社会保障事业发展规划和政策法规，拟定全县人力资源和社会保障事业发展规划和政策规定，并组织实施和监督检查。</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2</w:t>
      </w:r>
      <w:r>
        <w:rPr>
          <w:rFonts w:hint="eastAsia" w:ascii="仿宋" w:hAnsi="仿宋" w:eastAsia="仿宋" w:cs="仿宋"/>
          <w:color w:val="000000"/>
          <w:sz w:val="30"/>
          <w:szCs w:val="30"/>
          <w:shd w:val="solid" w:color="FFFFFF" w:fill="auto"/>
        </w:rPr>
        <w:t>）负责全县人力资源市场发展规划和落实人力资源流动政策，指导全县人力资源市场建设，建设统一规范的人力资源市场，促进人力资源合理流动、有效配置。</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3</w:t>
      </w:r>
      <w:r>
        <w:rPr>
          <w:rFonts w:hint="eastAsia" w:ascii="仿宋" w:hAnsi="仿宋" w:eastAsia="仿宋" w:cs="仿宋"/>
          <w:color w:val="000000"/>
          <w:sz w:val="30"/>
          <w:szCs w:val="30"/>
          <w:shd w:val="solid" w:color="FFFFFF" w:fill="auto"/>
        </w:rPr>
        <w:t>）负责全县促进就业工作，拟定统筹城乡的就业发展规划和办法，完善公共就业创业服务体系，建立就业援助制度，完善职业资格制度，统筹建立面向城乡劳动者的职业培训制度，落实高校毕业生就业政策，落实高技能人才、农村实用人才培养和激励办法。负责全县企事业单位职工技能鉴定工作。</w:t>
      </w:r>
    </w:p>
    <w:p>
      <w:pPr>
        <w:shd w:val="solid" w:color="FFFFFF" w:fill="auto"/>
        <w:autoSpaceDN w:val="0"/>
        <w:spacing w:line="570" w:lineRule="exact"/>
        <w:ind w:firstLine="600" w:firstLineChars="200"/>
        <w:textAlignment w:val="baseline"/>
        <w:rPr>
          <w:rFonts w:hint="eastAsia" w:ascii="仿宋" w:hAnsi="仿宋" w:eastAsia="仿宋" w:cs="仿宋"/>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4</w:t>
      </w:r>
      <w:r>
        <w:rPr>
          <w:rFonts w:hint="eastAsia" w:ascii="仿宋" w:hAnsi="仿宋" w:eastAsia="仿宋" w:cs="仿宋"/>
          <w:color w:val="000000"/>
          <w:sz w:val="30"/>
          <w:szCs w:val="30"/>
          <w:shd w:val="solid" w:color="FFFFFF" w:fill="auto"/>
        </w:rPr>
        <w:t>）统筹推进建立覆盖城</w:t>
      </w:r>
      <w:r>
        <w:rPr>
          <w:rFonts w:hint="eastAsia" w:ascii="仿宋" w:hAnsi="仿宋" w:eastAsia="仿宋" w:cs="仿宋"/>
          <w:sz w:val="30"/>
          <w:szCs w:val="30"/>
          <w:shd w:val="solid" w:color="FFFFFF" w:fill="auto"/>
        </w:rPr>
        <w:t>乡的多层次社会保障体系，组织实施养老、失业、工伤等社会保险及其政策和标准，推进实行统一的养老、失业、工伤社会保险关系转移接续办法。统筹管理机关企事业单位基本养老保险并逐步提高基金统筹层次，编制全县相关社会保险基金预决算草案。会同有关部门组织实施全民参保计划，建立统一的社会保险公共服务平台。</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sz w:val="30"/>
          <w:szCs w:val="30"/>
          <w:shd w:val="solid" w:color="FFFFFF" w:fill="auto"/>
        </w:rPr>
        <w:t>（</w:t>
      </w:r>
      <w:r>
        <w:rPr>
          <w:rFonts w:hint="eastAsia" w:ascii="仿宋" w:hAnsi="仿宋" w:eastAsia="仿宋" w:cs="仿宋"/>
          <w:sz w:val="30"/>
          <w:szCs w:val="30"/>
          <w:shd w:val="solid" w:color="FFFFFF" w:fill="auto"/>
          <w:lang w:val="en-US" w:eastAsia="zh-CN"/>
        </w:rPr>
        <w:t>5</w:t>
      </w:r>
      <w:r>
        <w:rPr>
          <w:rFonts w:hint="eastAsia" w:ascii="仿宋" w:hAnsi="仿宋" w:eastAsia="仿宋" w:cs="仿宋"/>
          <w:sz w:val="30"/>
          <w:szCs w:val="30"/>
          <w:shd w:val="solid" w:color="FFFFFF" w:fill="auto"/>
        </w:rPr>
        <w:t>）负责全县就业、失业、社会保险基金预测预警和信息</w:t>
      </w:r>
      <w:r>
        <w:rPr>
          <w:rFonts w:hint="eastAsia" w:ascii="仿宋" w:hAnsi="仿宋" w:eastAsia="仿宋" w:cs="仿宋"/>
          <w:color w:val="000000"/>
          <w:sz w:val="30"/>
          <w:szCs w:val="30"/>
          <w:shd w:val="solid" w:color="FFFFFF" w:fill="auto"/>
        </w:rPr>
        <w:t>引导，拟定应对预案，实施预防、调节和控制，保持就业形势稳定和社会保险基金总体收支平衡。</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6</w:t>
      </w:r>
      <w:r>
        <w:rPr>
          <w:rFonts w:hint="eastAsia" w:ascii="仿宋" w:hAnsi="仿宋" w:eastAsia="仿宋" w:cs="仿宋"/>
          <w:color w:val="000000"/>
          <w:sz w:val="30"/>
          <w:szCs w:val="30"/>
          <w:shd w:val="solid" w:color="FFFFFF" w:fill="auto"/>
        </w:rPr>
        <w:t>）负责全县企事业单位人员管理工作，落实企事业人员调配政策。贯</w:t>
      </w:r>
      <w:r>
        <w:rPr>
          <w:rFonts w:hint="eastAsia" w:ascii="仿宋" w:hAnsi="仿宋" w:eastAsia="仿宋" w:cs="仿宋"/>
          <w:sz w:val="30"/>
          <w:szCs w:val="30"/>
          <w:shd w:val="solid" w:color="FFFFFF" w:fill="auto"/>
        </w:rPr>
        <w:t>彻落实事业单位人员工资收入分配政策，建立企事业单位人员工资决定、正常增长和支付保障机制。贯彻落实企事业单位人员福利和离退休政策，指导和监督国有企业工资总额管理和企业负责人工资收入分</w:t>
      </w:r>
      <w:r>
        <w:rPr>
          <w:rFonts w:hint="eastAsia" w:ascii="仿宋" w:hAnsi="仿宋" w:eastAsia="仿宋" w:cs="仿宋"/>
          <w:color w:val="000000"/>
          <w:sz w:val="30"/>
          <w:szCs w:val="30"/>
          <w:shd w:val="solid" w:color="FFFFFF" w:fill="auto"/>
        </w:rPr>
        <w:t>配。</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7</w:t>
      </w: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eastAsia="zh-CN"/>
        </w:rPr>
        <w:t>会同有关部门指导和</w:t>
      </w:r>
      <w:r>
        <w:rPr>
          <w:rFonts w:hint="eastAsia" w:ascii="仿宋" w:hAnsi="仿宋" w:eastAsia="仿宋" w:cs="仿宋"/>
          <w:sz w:val="30"/>
          <w:szCs w:val="30"/>
          <w:shd w:val="solid" w:color="FFFFFF" w:fill="auto"/>
        </w:rPr>
        <w:t>实施事业单位人事制度改革，按照管理权限负责规范事业单位岗位设置、公开招聘、聘用合同等人事综合管理工作，建立和完善事业单位工作人员和机关工勤人员管理制度。组织实施人事考试的</w:t>
      </w:r>
      <w:r>
        <w:rPr>
          <w:rFonts w:hint="eastAsia" w:ascii="仿宋" w:hAnsi="仿宋" w:eastAsia="仿宋" w:cs="仿宋"/>
          <w:color w:val="000000"/>
          <w:sz w:val="30"/>
          <w:szCs w:val="30"/>
          <w:shd w:val="solid" w:color="FFFFFF" w:fill="auto"/>
        </w:rPr>
        <w:t>考务工作。</w:t>
      </w:r>
    </w:p>
    <w:p>
      <w:pPr>
        <w:shd w:val="solid" w:color="FFFFFF" w:fill="auto"/>
        <w:autoSpaceDN w:val="0"/>
        <w:spacing w:line="570" w:lineRule="exact"/>
        <w:ind w:firstLine="600" w:firstLineChars="200"/>
        <w:textAlignment w:val="baseline"/>
        <w:rPr>
          <w:rFonts w:hint="eastAsia" w:ascii="仿宋" w:hAnsi="仿宋" w:eastAsia="仿宋" w:cs="仿宋"/>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8</w:t>
      </w:r>
      <w:r>
        <w:rPr>
          <w:rFonts w:hint="eastAsia" w:ascii="仿宋" w:hAnsi="仿宋" w:eastAsia="仿宋" w:cs="仿宋"/>
          <w:color w:val="000000"/>
          <w:sz w:val="30"/>
          <w:szCs w:val="30"/>
          <w:shd w:val="solid" w:color="FFFFFF" w:fill="auto"/>
        </w:rPr>
        <w:t>）</w:t>
      </w:r>
      <w:r>
        <w:rPr>
          <w:rFonts w:hint="eastAsia" w:ascii="仿宋" w:hAnsi="仿宋" w:eastAsia="仿宋" w:cs="仿宋"/>
          <w:sz w:val="30"/>
          <w:szCs w:val="30"/>
          <w:shd w:val="solid" w:color="FFFFFF" w:fill="auto"/>
        </w:rPr>
        <w:t>负责落实有关人员调配政策和特殊人员安置政策，会同有关部门组织实施国家荣誉制度、政府奖励制度，承担全县表彰奖励和评比达标表彰等工作。</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9</w:t>
      </w:r>
      <w:r>
        <w:rPr>
          <w:rFonts w:hint="eastAsia" w:ascii="仿宋" w:hAnsi="仿宋" w:eastAsia="仿宋" w:cs="仿宋"/>
          <w:color w:val="000000"/>
          <w:sz w:val="30"/>
          <w:szCs w:val="30"/>
          <w:shd w:val="solid" w:color="FFFFFF" w:fill="auto"/>
        </w:rPr>
        <w:t>）会同有关部门落实农民工工作综合性政策、规划，推动相关政策的落实，协调解决重点难点问题，维护农民工合法权益。</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10</w:t>
      </w:r>
      <w:r>
        <w:rPr>
          <w:rFonts w:hint="eastAsia" w:ascii="仿宋" w:hAnsi="仿宋" w:eastAsia="仿宋" w:cs="仿宋"/>
          <w:color w:val="000000"/>
          <w:sz w:val="30"/>
          <w:szCs w:val="30"/>
          <w:shd w:val="solid" w:color="FFFFFF" w:fill="auto"/>
        </w:rPr>
        <w:t>）组织实施劳动人事争议调解仲裁制度和劳动关系政策，完善劳动关系协调机制</w:t>
      </w:r>
      <w:r>
        <w:rPr>
          <w:rFonts w:hint="eastAsia" w:ascii="仿宋" w:hAnsi="仿宋" w:eastAsia="仿宋" w:cs="仿宋"/>
          <w:sz w:val="30"/>
          <w:szCs w:val="30"/>
          <w:shd w:val="solid" w:color="FFFFFF" w:fill="auto"/>
        </w:rPr>
        <w:t>，贯彻落实职工工作时间、休息休假和假期制度，监督落实消除非</w:t>
      </w:r>
      <w:r>
        <w:rPr>
          <w:rFonts w:hint="eastAsia" w:ascii="仿宋" w:hAnsi="仿宋" w:eastAsia="仿宋" w:cs="仿宋"/>
          <w:color w:val="000000"/>
          <w:sz w:val="30"/>
          <w:szCs w:val="30"/>
          <w:shd w:val="solid" w:color="FFFFFF" w:fill="auto"/>
        </w:rPr>
        <w:t>法使用童工政策和女工、未成年工的特殊劳动保护政策。组织实施劳动监察，协调劳动者维权工作，受理劳动人事信访事项，会同有关部门协调处理有关重大信访事件和突发事件。</w:t>
      </w:r>
    </w:p>
    <w:p>
      <w:pPr>
        <w:shd w:val="solid" w:color="FFFFFF" w:fill="auto"/>
        <w:autoSpaceDN w:val="0"/>
        <w:spacing w:line="570" w:lineRule="exact"/>
        <w:ind w:firstLine="600" w:firstLineChars="200"/>
        <w:textAlignment w:val="baseline"/>
        <w:rPr>
          <w:rFonts w:hint="eastAsia" w:ascii="仿宋" w:hAnsi="仿宋" w:eastAsia="仿宋" w:cs="仿宋"/>
          <w:sz w:val="30"/>
          <w:szCs w:val="30"/>
          <w:shd w:val="solid" w:color="FFFFFF" w:fill="auto"/>
        </w:rPr>
      </w:pPr>
      <w:r>
        <w:rPr>
          <w:rFonts w:hint="eastAsia" w:ascii="仿宋" w:hAnsi="仿宋" w:eastAsia="仿宋" w:cs="仿宋"/>
          <w:sz w:val="30"/>
          <w:szCs w:val="30"/>
          <w:shd w:val="solid" w:color="FFFFFF" w:fill="auto"/>
        </w:rPr>
        <w:t>（</w:t>
      </w:r>
      <w:r>
        <w:rPr>
          <w:rFonts w:hint="eastAsia" w:ascii="仿宋" w:hAnsi="仿宋" w:eastAsia="仿宋" w:cs="仿宋"/>
          <w:sz w:val="30"/>
          <w:szCs w:val="30"/>
          <w:shd w:val="solid" w:color="FFFFFF" w:fill="auto"/>
          <w:lang w:val="en-US" w:eastAsia="zh-CN"/>
        </w:rPr>
        <w:t>11</w:t>
      </w:r>
      <w:r>
        <w:rPr>
          <w:rFonts w:hint="eastAsia" w:ascii="仿宋" w:hAnsi="仿宋" w:eastAsia="仿宋" w:cs="仿宋"/>
          <w:sz w:val="30"/>
          <w:szCs w:val="30"/>
          <w:shd w:val="solid" w:color="FFFFFF" w:fill="auto"/>
        </w:rPr>
        <w:t>）牵头推进深化职称制度改革，落实专业技术人员管理、继续教育和博士后管理等政策，负责高层次专业技术人才选拔和培养工作。贯彻落实吸引留学人员来华（回国）工作或定居政策。组织实施技能人才培养，健全职业技能多元化评价政策。</w:t>
      </w:r>
    </w:p>
    <w:p>
      <w:pPr>
        <w:shd w:val="solid" w:color="FFFFFF" w:fill="auto"/>
        <w:autoSpaceDN w:val="0"/>
        <w:spacing w:line="570" w:lineRule="exact"/>
        <w:ind w:firstLine="600" w:firstLineChars="200"/>
        <w:textAlignment w:val="baseline"/>
        <w:rPr>
          <w:rFonts w:hint="eastAsia" w:ascii="仿宋" w:hAnsi="仿宋" w:eastAsia="仿宋" w:cs="仿宋"/>
          <w:sz w:val="30"/>
          <w:szCs w:val="30"/>
          <w:shd w:val="solid" w:color="FFFFFF" w:fill="auto"/>
          <w:lang w:eastAsia="zh-CN"/>
        </w:rPr>
      </w:pPr>
      <w:r>
        <w:rPr>
          <w:rFonts w:hint="eastAsia" w:ascii="仿宋" w:hAnsi="仿宋" w:eastAsia="仿宋" w:cs="仿宋"/>
          <w:sz w:val="30"/>
          <w:szCs w:val="30"/>
          <w:shd w:val="solid" w:color="FFFFFF" w:fill="auto"/>
          <w:lang w:eastAsia="zh-CN"/>
        </w:rPr>
        <w:t>（</w:t>
      </w:r>
      <w:r>
        <w:rPr>
          <w:rFonts w:hint="eastAsia" w:ascii="仿宋" w:hAnsi="仿宋" w:eastAsia="仿宋" w:cs="仿宋"/>
          <w:sz w:val="30"/>
          <w:szCs w:val="30"/>
          <w:shd w:val="solid" w:color="FFFFFF" w:fill="auto"/>
          <w:lang w:val="en-US" w:eastAsia="zh-CN"/>
        </w:rPr>
        <w:t>12</w:t>
      </w:r>
      <w:r>
        <w:rPr>
          <w:rFonts w:hint="eastAsia" w:ascii="仿宋" w:hAnsi="仿宋" w:eastAsia="仿宋" w:cs="仿宋"/>
          <w:sz w:val="30"/>
          <w:szCs w:val="30"/>
          <w:shd w:val="solid" w:color="FFFFFF" w:fill="auto"/>
          <w:lang w:eastAsia="zh-CN"/>
        </w:rPr>
        <w:t>）负责国（境）外人才和智力工作（不含外国专家）组织实施重大人才智力项目引进计划；负责人力资源和社会保障领域国际交流与合作工作。</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sz w:val="30"/>
          <w:szCs w:val="30"/>
          <w:shd w:val="solid" w:color="FFFFFF" w:fill="auto"/>
        </w:rPr>
        <w:t>（</w:t>
      </w:r>
      <w:r>
        <w:rPr>
          <w:rFonts w:hint="eastAsia" w:ascii="仿宋" w:hAnsi="仿宋" w:eastAsia="仿宋" w:cs="仿宋"/>
          <w:sz w:val="30"/>
          <w:szCs w:val="30"/>
          <w:shd w:val="solid" w:color="FFFFFF" w:fill="auto"/>
          <w:lang w:val="en-US" w:eastAsia="zh-CN"/>
        </w:rPr>
        <w:t>13</w:t>
      </w:r>
      <w:r>
        <w:rPr>
          <w:rFonts w:hint="eastAsia" w:ascii="仿宋" w:hAnsi="仿宋" w:eastAsia="仿宋" w:cs="仿宋"/>
          <w:sz w:val="30"/>
          <w:szCs w:val="30"/>
          <w:shd w:val="solid" w:color="FFFFFF" w:fill="auto"/>
        </w:rPr>
        <w:t>）按照干部管理权限，承办县人民政</w:t>
      </w:r>
      <w:r>
        <w:rPr>
          <w:rFonts w:hint="eastAsia" w:ascii="仿宋" w:hAnsi="仿宋" w:eastAsia="仿宋" w:cs="仿宋"/>
          <w:color w:val="000000"/>
          <w:sz w:val="30"/>
          <w:szCs w:val="30"/>
          <w:shd w:val="solid" w:color="FFFFFF" w:fill="auto"/>
        </w:rPr>
        <w:t>府的人事任免事项。</w:t>
      </w:r>
    </w:p>
    <w:p>
      <w:pPr>
        <w:shd w:val="solid" w:color="FFFFFF" w:fill="auto"/>
        <w:autoSpaceDN w:val="0"/>
        <w:spacing w:line="570" w:lineRule="exact"/>
        <w:ind w:firstLine="600" w:firstLineChars="200"/>
        <w:textAlignment w:val="baseline"/>
        <w:rPr>
          <w:rFonts w:hint="eastAsia" w:ascii="仿宋" w:hAnsi="仿宋" w:eastAsia="仿宋" w:cs="仿宋"/>
          <w:color w:val="FF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14</w:t>
      </w:r>
      <w:r>
        <w:rPr>
          <w:rFonts w:hint="eastAsia" w:ascii="仿宋" w:hAnsi="仿宋" w:eastAsia="仿宋" w:cs="仿宋"/>
          <w:color w:val="000000"/>
          <w:sz w:val="30"/>
          <w:szCs w:val="30"/>
          <w:shd w:val="solid" w:color="FFFFFF" w:fill="auto"/>
        </w:rPr>
        <w:t>）完成县委、县政府交办的其他任务。</w:t>
      </w:r>
    </w:p>
    <w:p>
      <w:pPr>
        <w:shd w:val="solid" w:color="FFFFFF" w:fill="auto"/>
        <w:autoSpaceDN w:val="0"/>
        <w:spacing w:line="570" w:lineRule="exact"/>
        <w:ind w:firstLine="600" w:firstLineChars="200"/>
        <w:textAlignment w:val="baseline"/>
        <w:rPr>
          <w:rFonts w:hint="eastAsia" w:ascii="仿宋" w:hAnsi="仿宋" w:eastAsia="仿宋" w:cs="仿宋"/>
          <w:color w:val="000000"/>
          <w:sz w:val="30"/>
          <w:szCs w:val="30"/>
          <w:shd w:val="solid" w:color="FFFFFF" w:fill="auto"/>
        </w:rPr>
      </w:pPr>
      <w:r>
        <w:rPr>
          <w:rFonts w:hint="eastAsia" w:ascii="仿宋" w:hAnsi="仿宋" w:eastAsia="仿宋" w:cs="仿宋"/>
          <w:color w:val="000000"/>
          <w:sz w:val="30"/>
          <w:szCs w:val="30"/>
          <w:shd w:val="solid" w:color="FFFFFF" w:fill="auto"/>
        </w:rPr>
        <w:t>（</w:t>
      </w:r>
      <w:r>
        <w:rPr>
          <w:rFonts w:hint="eastAsia" w:ascii="仿宋" w:hAnsi="仿宋" w:eastAsia="仿宋" w:cs="仿宋"/>
          <w:color w:val="000000"/>
          <w:sz w:val="30"/>
          <w:szCs w:val="30"/>
          <w:shd w:val="solid" w:color="FFFFFF" w:fill="auto"/>
          <w:lang w:val="en-US" w:eastAsia="zh-CN"/>
        </w:rPr>
        <w:t>15</w:t>
      </w:r>
      <w:r>
        <w:rPr>
          <w:rFonts w:hint="eastAsia" w:ascii="仿宋" w:hAnsi="仿宋" w:eastAsia="仿宋" w:cs="仿宋"/>
          <w:color w:val="000000"/>
          <w:sz w:val="30"/>
          <w:szCs w:val="30"/>
          <w:shd w:val="solid" w:color="FFFFFF" w:fill="auto"/>
        </w:rPr>
        <w:t>）职能转变。深入推进简政放权、放管结合、优化服务改革，规范和优化对外办理事项。大力精减行政审批事项，压缩涉民涉企审批和服务时限，提高事项“网上办理”比例，加强事中事后监管。扩大自主评审范围，下放职称评审权。落实事业单位用人自主权，下放岗位聘用认定权限。创新就业和社会保障等公共服务方式，促进人力资源和社会保障公共服务便民化，加强信息共享，提高公共服务水平。</w:t>
      </w:r>
    </w:p>
    <w:p>
      <w:pPr>
        <w:pStyle w:val="12"/>
        <w:shd w:val="clear" w:fill="FFFFFF" w:themeFill="background1"/>
        <w:spacing w:line="360" w:lineRule="auto"/>
        <w:ind w:firstLine="600"/>
        <w:jc w:val="both"/>
        <w:rPr>
          <w:rFonts w:hint="eastAsia"/>
        </w:rPr>
      </w:pPr>
      <w:r>
        <w:rPr>
          <w:rFonts w:hint="eastAsia" w:ascii="仿宋" w:hAnsi="仿宋" w:eastAsia="仿宋" w:cs="仿宋"/>
          <w:color w:val="0D0D0D" w:themeColor="text1" w:themeTint="F2"/>
          <w:sz w:val="30"/>
          <w:szCs w:val="30"/>
          <w:highlight w:val="none"/>
          <w:shd w:val="clear"/>
          <w:lang w:val="en-US" w:eastAsia="zh-CN"/>
          <w14:textFill>
            <w14:solidFill>
              <w14:schemeClr w14:val="tx1">
                <w14:lumMod w14:val="95000"/>
                <w14:lumOff w14:val="5000"/>
              </w14:schemeClr>
            </w14:solidFill>
          </w14:textFill>
        </w:rPr>
        <w:t>（16）承办县委、县政府交办的其他事项。</w:t>
      </w:r>
    </w:p>
    <w:p>
      <w:pPr>
        <w:pStyle w:val="4"/>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12"/>
        <w:shd w:val="clear" w:fill="FFFFFF" w:themeFill="background1"/>
        <w:spacing w:line="360" w:lineRule="auto"/>
        <w:ind w:firstLine="600"/>
        <w:jc w:val="both"/>
        <w:rPr>
          <w:rFonts w:hint="eastAsia" w:ascii="仿宋_GB2312" w:hAnsi="仿宋_GB2312" w:cs="仿宋_GB2312"/>
          <w:color w:val="0D0D0D" w:themeColor="text1" w:themeTint="F2"/>
          <w:szCs w:val="30"/>
          <w:highlight w:val="none"/>
          <w:shd w:val="clear"/>
          <w:lang w:val="en-US" w:eastAsia="zh-CN"/>
          <w14:textFill>
            <w14:solidFill>
              <w14:schemeClr w14:val="tx1">
                <w14:lumMod w14:val="95000"/>
                <w14:lumOff w14:val="5000"/>
              </w14:schemeClr>
            </w14:solidFill>
          </w14:textFill>
        </w:rPr>
      </w:pPr>
      <w:r>
        <w:rPr>
          <w:rFonts w:hint="eastAsia" w:ascii="仿宋_GB2312" w:hAnsi="仿宋_GB2312" w:cs="仿宋_GB2312"/>
          <w:color w:val="0D0D0D" w:themeColor="text1" w:themeTint="F2"/>
          <w:szCs w:val="30"/>
          <w:highlight w:val="none"/>
          <w:shd w:val="clear"/>
          <w:lang w:val="en-US" w:eastAsia="zh-CN"/>
          <w14:textFill>
            <w14:solidFill>
              <w14:schemeClr w14:val="tx1">
                <w14:lumMod w14:val="95000"/>
                <w14:lumOff w14:val="5000"/>
              </w14:schemeClr>
            </w14:solidFill>
          </w14:textFill>
        </w:rPr>
        <w:t>（1）综合办公室（财务室、档案室）</w:t>
      </w:r>
    </w:p>
    <w:p>
      <w:pPr>
        <w:pStyle w:val="12"/>
        <w:shd w:val="clear" w:fill="FFFFFF" w:themeFill="background1"/>
        <w:spacing w:line="360" w:lineRule="auto"/>
        <w:ind w:firstLine="600"/>
        <w:jc w:val="both"/>
        <w:rPr>
          <w:rFonts w:hint="eastAsia" w:ascii="仿宋_GB2312" w:hAnsi="仿宋_GB2312" w:cs="仿宋_GB2312"/>
          <w:color w:val="0D0D0D" w:themeColor="text1" w:themeTint="F2"/>
          <w:szCs w:val="30"/>
          <w:highlight w:val="none"/>
          <w:shd w:val="clear"/>
          <w:lang w:val="en-US" w:eastAsia="zh-CN"/>
          <w14:textFill>
            <w14:solidFill>
              <w14:schemeClr w14:val="tx1">
                <w14:lumMod w14:val="95000"/>
                <w14:lumOff w14:val="5000"/>
              </w14:schemeClr>
            </w14:solidFill>
          </w14:textFill>
        </w:rPr>
      </w:pPr>
      <w:r>
        <w:rPr>
          <w:rFonts w:hint="eastAsia" w:ascii="仿宋_GB2312" w:hAnsi="仿宋_GB2312" w:cs="仿宋_GB2312"/>
          <w:color w:val="0D0D0D" w:themeColor="text1" w:themeTint="F2"/>
          <w:szCs w:val="30"/>
          <w:highlight w:val="none"/>
          <w:shd w:val="clear"/>
          <w:lang w:val="en-US" w:eastAsia="zh-CN"/>
          <w14:textFill>
            <w14:solidFill>
              <w14:schemeClr w14:val="tx1">
                <w14:lumMod w14:val="95000"/>
                <w14:lumOff w14:val="5000"/>
              </w14:schemeClr>
            </w14:solidFill>
          </w14:textFill>
        </w:rPr>
        <w:t>（2）人事综合管理股（事业单位管理股、专业技术人员管理股、工资福利股）</w:t>
      </w:r>
    </w:p>
    <w:p>
      <w:pPr>
        <w:pStyle w:val="12"/>
        <w:shd w:val="clear" w:fill="FFFFFF" w:themeFill="background1"/>
        <w:spacing w:line="360" w:lineRule="auto"/>
        <w:ind w:firstLine="600"/>
        <w:jc w:val="both"/>
        <w:rPr>
          <w:rFonts w:hint="eastAsia"/>
        </w:rPr>
      </w:pPr>
      <w:r>
        <w:rPr>
          <w:rFonts w:hint="eastAsia" w:ascii="仿宋_GB2312" w:hAnsi="仿宋_GB2312" w:cs="仿宋_GB2312"/>
          <w:color w:val="0D0D0D" w:themeColor="text1" w:themeTint="F2"/>
          <w:szCs w:val="30"/>
          <w:highlight w:val="none"/>
          <w:shd w:val="clear"/>
          <w:lang w:val="en-US" w:eastAsia="zh-CN"/>
          <w14:textFill>
            <w14:solidFill>
              <w14:schemeClr w14:val="tx1">
                <w14:lumMod w14:val="95000"/>
                <w14:lumOff w14:val="5000"/>
              </w14:schemeClr>
            </w14:solidFill>
          </w14:textFill>
        </w:rPr>
        <w:t>（3）劳动社会保障综合股（就业创业股、失业保险股、仲裁监察股、工伤保险股、社保基金监督股）</w:t>
      </w:r>
    </w:p>
    <w:p>
      <w:pPr>
        <w:pStyle w:val="3"/>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282.88</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49.19</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385.43</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56.88</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机构改革人员减少工资减少及考试支出减少</w:t>
      </w:r>
      <w:r>
        <w:rPr>
          <w:rFonts w:hint="eastAsia" w:ascii="仿宋_GB2312"/>
          <w:color w:val="000000" w:themeColor="text1"/>
          <w:szCs w:val="32"/>
          <w14:textFill>
            <w14:solidFill>
              <w14:schemeClr w14:val="tx1"/>
            </w14:solidFill>
          </w14:textFill>
        </w:rPr>
        <w:t>。</w:t>
      </w:r>
    </w:p>
    <w:p>
      <w:pPr>
        <w:pStyle w:val="4"/>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pStyle w:val="4"/>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282.36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96.64</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9.81</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3.36</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上缴上级支出</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经营支出</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对附属单位补助支出</w:t>
      </w:r>
      <w:r>
        <w:rPr>
          <w:rFonts w:hint="eastAsia" w:ascii="仿宋_GB2312"/>
          <w:color w:val="000000" w:themeColor="text1"/>
          <w:szCs w:val="32"/>
          <w:lang w:eastAsia="zh-CN"/>
          <w14:textFill>
            <w14:solidFill>
              <w14:schemeClr w14:val="tx1"/>
            </w14:solidFill>
          </w14:textFill>
        </w:rPr>
        <w:t>。</w:t>
      </w:r>
    </w:p>
    <w:p>
      <w:pPr>
        <w:pStyle w:val="4"/>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282.88</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49.19</w:t>
      </w:r>
      <w:r>
        <w:rPr>
          <w:rFonts w:hint="eastAsia" w:ascii="仿宋_GB2312"/>
          <w:color w:val="000000" w:themeColor="text1"/>
          <w:szCs w:val="32"/>
          <w14:textFill>
            <w14:solidFill>
              <w14:schemeClr w14:val="tx1"/>
            </w14:solidFill>
          </w14:textFill>
        </w:rPr>
        <w:t>%，财政拨款支出总计减少</w:t>
      </w:r>
      <w:r>
        <w:rPr>
          <w:rFonts w:hint="eastAsia" w:ascii="仿宋_GB2312"/>
          <w:i w:val="0"/>
          <w:iCs w:val="0"/>
          <w:color w:val="000000" w:themeColor="text1"/>
          <w:szCs w:val="32"/>
          <w:lang w:val="en-US" w:eastAsia="zh-CN"/>
          <w14:textFill>
            <w14:solidFill>
              <w14:schemeClr w14:val="tx1"/>
            </w14:solidFill>
          </w14:textFill>
        </w:rPr>
        <w:t>385.43</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56.88</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机构改革人员减少工资减少及考试支出减少</w:t>
      </w:r>
      <w:r>
        <w:rPr>
          <w:rFonts w:hint="eastAsia" w:ascii="仿宋_GB2312"/>
          <w:color w:val="000000" w:themeColor="text1"/>
          <w:szCs w:val="32"/>
          <w14:textFill>
            <w14:solidFill>
              <w14:schemeClr w14:val="tx1"/>
            </w14:solidFill>
          </w14:textFill>
        </w:rPr>
        <w:t>。</w:t>
      </w:r>
    </w:p>
    <w:p>
      <w:pPr>
        <w:pStyle w:val="4"/>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年相比，财政拨款支出减少</w:t>
      </w:r>
      <w:r>
        <w:rPr>
          <w:rFonts w:hint="eastAsia" w:ascii="仿宋_GB2312"/>
          <w:color w:val="000000" w:themeColor="text1"/>
          <w:szCs w:val="32"/>
          <w:lang w:val="en-US" w:eastAsia="zh-CN"/>
          <w14:textFill>
            <w14:solidFill>
              <w14:schemeClr w14:val="tx1"/>
            </w14:solidFill>
          </w14:textFill>
        </w:rPr>
        <w:t>385.43</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56.88</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机构改革人员减少工资减少及考试支出减少</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无政府性基金预算支出</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社会</w:t>
      </w:r>
      <w:r>
        <w:rPr>
          <w:rFonts w:ascii="仿宋_GB2312"/>
          <w:b/>
          <w:color w:val="000000" w:themeColor="text1"/>
          <w:szCs w:val="32"/>
          <w14:textFill>
            <w14:solidFill>
              <w14:schemeClr w14:val="tx1"/>
            </w14:solidFill>
          </w14:textFill>
        </w:rPr>
        <w:t>保障和就业（</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292.17</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292.17</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280"/>
        <w:gridCol w:w="1950"/>
        <w:gridCol w:w="1695"/>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1" w:type="dxa"/>
            <w:vAlign w:val="center"/>
          </w:tcPr>
          <w:p>
            <w:pPr>
              <w:widowControl/>
              <w:ind w:left="0" w:leftChars="0" w:firstLine="0" w:firstLineChars="0"/>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280" w:type="dxa"/>
            <w:vAlign w:val="center"/>
          </w:tcPr>
          <w:p>
            <w:pPr>
              <w:widowControl/>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950" w:type="dxa"/>
            <w:vAlign w:val="center"/>
          </w:tcPr>
          <w:p>
            <w:pPr>
              <w:widowControl/>
              <w:jc w:val="both"/>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95" w:type="dxa"/>
            <w:vAlign w:val="center"/>
          </w:tcPr>
          <w:p>
            <w:pPr>
              <w:widowControl/>
              <w:jc w:val="both"/>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664" w:type="dxa"/>
            <w:vAlign w:val="center"/>
          </w:tcPr>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431" w:type="dxa"/>
            <w:vAlign w:val="center"/>
          </w:tcPr>
          <w:p>
            <w:pPr>
              <w:ind w:left="0" w:leftChars="0" w:firstLine="0" w:firstLineChars="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8</w:t>
            </w:r>
          </w:p>
        </w:tc>
        <w:tc>
          <w:tcPr>
            <w:tcW w:w="2280" w:type="dxa"/>
            <w:vAlign w:val="center"/>
          </w:tcPr>
          <w:p>
            <w:pPr>
              <w:ind w:left="0" w:leftChars="0" w:firstLine="0" w:firstLineChars="0"/>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一般公共服务支出</w:t>
            </w:r>
          </w:p>
        </w:tc>
        <w:tc>
          <w:tcPr>
            <w:tcW w:w="1950"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677.6</w:t>
            </w:r>
          </w:p>
        </w:tc>
        <w:tc>
          <w:tcPr>
            <w:tcW w:w="1695"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292.17</w:t>
            </w:r>
          </w:p>
        </w:tc>
        <w:tc>
          <w:tcPr>
            <w:tcW w:w="1664"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1" w:type="dxa"/>
            <w:vAlign w:val="center"/>
          </w:tcPr>
          <w:p>
            <w:pPr>
              <w:ind w:left="0" w:leftChars="0" w:firstLine="0" w:firstLineChars="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0</w:t>
            </w:r>
            <w:r>
              <w:rPr>
                <w:rFonts w:hint="eastAsia" w:ascii="仿宋" w:hAnsi="仿宋" w:eastAsia="仿宋" w:cs="仿宋"/>
                <w:color w:val="000000" w:themeColor="text1"/>
                <w:sz w:val="24"/>
                <w:szCs w:val="24"/>
                <w:lang w:val="en-US" w:eastAsia="zh-CN"/>
                <w14:textFill>
                  <w14:solidFill>
                    <w14:schemeClr w14:val="tx1"/>
                  </w14:solidFill>
                </w14:textFill>
              </w:rPr>
              <w:t>1</w:t>
            </w:r>
          </w:p>
        </w:tc>
        <w:tc>
          <w:tcPr>
            <w:tcW w:w="2280" w:type="dxa"/>
            <w:vAlign w:val="center"/>
          </w:tcPr>
          <w:p>
            <w:pPr>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财政事务</w:t>
            </w:r>
          </w:p>
        </w:tc>
        <w:tc>
          <w:tcPr>
            <w:tcW w:w="1950"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677.6</w:t>
            </w:r>
          </w:p>
        </w:tc>
        <w:tc>
          <w:tcPr>
            <w:tcW w:w="1695"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292.17</w:t>
            </w:r>
          </w:p>
        </w:tc>
        <w:tc>
          <w:tcPr>
            <w:tcW w:w="1664"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1" w:type="dxa"/>
            <w:vAlign w:val="center"/>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0</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01</w:t>
            </w:r>
          </w:p>
        </w:tc>
        <w:tc>
          <w:tcPr>
            <w:tcW w:w="2280" w:type="dxa"/>
            <w:vAlign w:val="center"/>
          </w:tcPr>
          <w:p>
            <w:pPr>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行政运行</w:t>
            </w:r>
          </w:p>
        </w:tc>
        <w:tc>
          <w:tcPr>
            <w:tcW w:w="1950"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677.6</w:t>
            </w:r>
          </w:p>
        </w:tc>
        <w:tc>
          <w:tcPr>
            <w:tcW w:w="1695"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292.17</w:t>
            </w:r>
          </w:p>
        </w:tc>
        <w:tc>
          <w:tcPr>
            <w:tcW w:w="1664" w:type="dxa"/>
            <w:vAlign w:val="center"/>
          </w:tcPr>
          <w:p>
            <w:pPr>
              <w:keepNext w:val="0"/>
              <w:keepLines w:val="0"/>
              <w:widowControl/>
              <w:suppressLineNumbers w:val="0"/>
              <w:jc w:val="both"/>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-56.88%</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677.6</w:t>
            </w:r>
          </w:p>
        </w:tc>
        <w:tc>
          <w:tcPr>
            <w:tcW w:w="2071"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292.17</w:t>
            </w:r>
          </w:p>
        </w:tc>
        <w:tc>
          <w:tcPr>
            <w:tcW w:w="1956"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keepNext w:val="0"/>
              <w:keepLines w:val="0"/>
              <w:widowControl/>
              <w:suppressLineNumbers w:val="0"/>
              <w:ind w:left="0" w:leftChars="0" w:firstLine="560" w:firstLineChars="20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492.81</w:t>
            </w:r>
          </w:p>
        </w:tc>
        <w:tc>
          <w:tcPr>
            <w:tcW w:w="2071"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231.01</w:t>
            </w:r>
          </w:p>
        </w:tc>
        <w:tc>
          <w:tcPr>
            <w:tcW w:w="1956"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71.62</w:t>
            </w:r>
          </w:p>
        </w:tc>
        <w:tc>
          <w:tcPr>
            <w:tcW w:w="2071"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59.04</w:t>
            </w:r>
          </w:p>
        </w:tc>
        <w:tc>
          <w:tcPr>
            <w:tcW w:w="1956"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keepNext w:val="0"/>
              <w:keepLines w:val="0"/>
              <w:widowControl/>
              <w:suppressLineNumbers w:val="0"/>
              <w:jc w:val="lef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p>
        </w:tc>
        <w:tc>
          <w:tcPr>
            <w:tcW w:w="2071"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0.12</w:t>
            </w:r>
          </w:p>
        </w:tc>
        <w:tc>
          <w:tcPr>
            <w:tcW w:w="1956" w:type="dxa"/>
            <w:vAlign w:val="center"/>
          </w:tcPr>
          <w:p>
            <w:pPr>
              <w:keepNext w:val="0"/>
              <w:keepLines w:val="0"/>
              <w:widowControl/>
              <w:suppressLineNumbers w:val="0"/>
              <w:jc w:val="lef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113.17</w:t>
            </w:r>
          </w:p>
        </w:tc>
        <w:tc>
          <w:tcPr>
            <w:tcW w:w="2071"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w:t>
            </w:r>
          </w:p>
        </w:tc>
        <w:tc>
          <w:tcPr>
            <w:tcW w:w="1956" w:type="dxa"/>
            <w:vAlign w:val="center"/>
          </w:tcPr>
          <w:p>
            <w:pPr>
              <w:keepNext w:val="0"/>
              <w:keepLines w:val="0"/>
              <w:widowControl/>
              <w:suppressLineNumbers w:val="0"/>
              <w:jc w:val="lef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keepNext w:val="0"/>
              <w:keepLines w:val="0"/>
              <w:widowControl/>
              <w:suppressLineNumbers w:val="0"/>
              <w:jc w:val="left"/>
              <w:textAlignment w:val="center"/>
              <w:rPr>
                <w:rFonts w:hint="eastAsia" w:ascii="仿宋" w:hAnsi="仿宋" w:eastAsia="仿宋" w:cs="仿宋"/>
                <w:color w:val="FF0000"/>
                <w:kern w:val="0"/>
                <w:sz w:val="28"/>
                <w:szCs w:val="28"/>
                <w:lang w:val="en-US" w:eastAsia="zh-CN"/>
              </w:rPr>
            </w:pPr>
          </w:p>
        </w:tc>
        <w:tc>
          <w:tcPr>
            <w:tcW w:w="2071" w:type="dxa"/>
            <w:vAlign w:val="center"/>
          </w:tcPr>
          <w:p>
            <w:pPr>
              <w:keepNext w:val="0"/>
              <w:keepLines w:val="0"/>
              <w:widowControl/>
              <w:suppressLineNumbers w:val="0"/>
              <w:jc w:val="left"/>
              <w:textAlignment w:val="center"/>
              <w:rPr>
                <w:rFonts w:hint="eastAsia" w:ascii="仿宋" w:hAnsi="仿宋" w:eastAsia="仿宋" w:cs="仿宋"/>
                <w:color w:val="FF0000"/>
                <w:kern w:val="0"/>
                <w:sz w:val="28"/>
                <w:szCs w:val="28"/>
                <w:lang w:val="en-US" w:eastAsia="zh-CN"/>
              </w:rPr>
            </w:pPr>
          </w:p>
        </w:tc>
        <w:tc>
          <w:tcPr>
            <w:tcW w:w="1956" w:type="dxa"/>
            <w:vAlign w:val="center"/>
          </w:tcPr>
          <w:p>
            <w:pPr>
              <w:keepNext w:val="0"/>
              <w:keepLines w:val="0"/>
              <w:widowControl/>
              <w:suppressLineNumbers w:val="0"/>
              <w:jc w:val="left"/>
              <w:textAlignment w:val="center"/>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4"/>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292.17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231.01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val="en-US" w:eastAsia="zh-CN"/>
          <w14:textFill>
            <w14:solidFill>
              <w14:schemeClr w14:val="tx1"/>
            </w14:solidFill>
          </w14:textFill>
        </w:rPr>
        <w:t>基本工资100.34万元、津贴补贴35.35万元、奖金3.08万元、绩效工资39.42万元、机关事业单位基本养老保险缴费27.27万元、职工基本医疗保险缴费12.06万元、其他社会保障缴费0.87万元、住房公积金12.58万元、其他工资福利支出0.04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51.23</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val="en-US" w:eastAsia="zh-CN"/>
          <w14:textFill>
            <w14:solidFill>
              <w14:schemeClr w14:val="tx1"/>
            </w14:solidFill>
          </w14:textFill>
        </w:rPr>
        <w:t>办公费5.43万元、印刷费0.5万元、邮电费1.43万元、差旅费1.73万元、维修费14万元、会议费6.76万元、劳务费11.46万元、工会经费2.07万元、其他交通费用5.85万元、办公设备购置2万元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9.81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4"/>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b/>
          <w:color w:val="000000" w:themeColor="text1"/>
          <w:szCs w:val="32"/>
          <w14:textFill>
            <w14:solidFill>
              <w14:schemeClr w14:val="tx1"/>
            </w14:solidFill>
          </w14:textFill>
        </w:rPr>
        <w:t>本部门无三公经费。</w:t>
      </w:r>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9"/>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因公出国（境）费</w:t>
            </w:r>
          </w:p>
        </w:tc>
        <w:tc>
          <w:tcPr>
            <w:tcW w:w="1701" w:type="dxa"/>
            <w:vAlign w:val="top"/>
          </w:tcPr>
          <w:p>
            <w:pPr>
              <w:pStyle w:val="9"/>
              <w:jc w:val="right"/>
              <w:rPr>
                <w:rFonts w:hint="eastAsia"/>
                <w:color w:val="000000"/>
                <w:sz w:val="28"/>
                <w:szCs w:val="28"/>
              </w:rPr>
            </w:pPr>
          </w:p>
        </w:tc>
        <w:tc>
          <w:tcPr>
            <w:tcW w:w="1701" w:type="dxa"/>
            <w:vAlign w:val="top"/>
          </w:tcPr>
          <w:p>
            <w:pPr>
              <w:pStyle w:val="9"/>
              <w:jc w:val="right"/>
              <w:rPr>
                <w:rFonts w:hint="eastAsia"/>
                <w:color w:val="000000"/>
                <w:sz w:val="28"/>
                <w:szCs w:val="28"/>
              </w:rPr>
            </w:pP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公务接待费</w:t>
            </w:r>
          </w:p>
        </w:tc>
        <w:tc>
          <w:tcPr>
            <w:tcW w:w="1701" w:type="dxa"/>
            <w:vAlign w:val="top"/>
          </w:tcPr>
          <w:p>
            <w:pPr>
              <w:pStyle w:val="9"/>
              <w:jc w:val="right"/>
              <w:rPr>
                <w:rFonts w:hint="eastAsia"/>
                <w:color w:val="000000"/>
                <w:sz w:val="28"/>
                <w:szCs w:val="28"/>
              </w:rPr>
            </w:pPr>
          </w:p>
        </w:tc>
        <w:tc>
          <w:tcPr>
            <w:tcW w:w="1701" w:type="dxa"/>
            <w:vAlign w:val="top"/>
          </w:tcPr>
          <w:p>
            <w:pPr>
              <w:pStyle w:val="9"/>
              <w:jc w:val="right"/>
              <w:rPr>
                <w:rFonts w:hint="eastAsia"/>
                <w:color w:val="000000"/>
                <w:sz w:val="28"/>
                <w:szCs w:val="28"/>
              </w:rPr>
            </w:pP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jc w:val="right"/>
              <w:rPr>
                <w:rFonts w:hint="eastAsia" w:eastAsia="宋体"/>
                <w:color w:val="000000"/>
                <w:sz w:val="28"/>
                <w:szCs w:val="28"/>
                <w:lang w:val="en-US" w:eastAsia="zh-CN"/>
              </w:rPr>
            </w:pPr>
          </w:p>
        </w:tc>
        <w:tc>
          <w:tcPr>
            <w:tcW w:w="1701" w:type="dxa"/>
            <w:vAlign w:val="top"/>
          </w:tcPr>
          <w:p>
            <w:pPr>
              <w:pStyle w:val="9"/>
              <w:jc w:val="right"/>
              <w:rPr>
                <w:rFonts w:hint="eastAsia"/>
                <w:color w:val="000000"/>
                <w:sz w:val="28"/>
                <w:szCs w:val="28"/>
              </w:rPr>
            </w:pPr>
          </w:p>
        </w:tc>
        <w:tc>
          <w:tcPr>
            <w:tcW w:w="1418" w:type="dxa"/>
            <w:vAlign w:val="top"/>
          </w:tcPr>
          <w:p>
            <w:pPr>
              <w:pStyle w:val="9"/>
              <w:jc w:val="right"/>
              <w:rPr>
                <w:rFonts w:hint="eastAsia" w:eastAsia="宋体"/>
                <w:color w:val="000000"/>
                <w:sz w:val="28"/>
                <w:szCs w:val="28"/>
                <w:lang w:val="en-US" w:eastAsia="zh-CN"/>
              </w:rPr>
            </w:pPr>
          </w:p>
        </w:tc>
      </w:tr>
    </w:tbl>
    <w:p>
      <w:pPr>
        <w:pStyle w:val="9"/>
        <w:spacing w:before="0" w:beforeAutospacing="0" w:after="0" w:afterAutospacing="0"/>
        <w:rPr>
          <w:rFonts w:hint="eastAsia"/>
          <w:b/>
          <w:szCs w:val="32"/>
        </w:rPr>
      </w:pPr>
    </w:p>
    <w:p>
      <w:pPr>
        <w:pStyle w:val="4"/>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color w:val="000000" w:themeColor="text1"/>
          <w:szCs w:val="32"/>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机关运行经费支出</w:t>
      </w:r>
      <w:r>
        <w:rPr>
          <w:rFonts w:hint="eastAsia" w:ascii="仿宋_GB2312" w:hAnsi="宋体"/>
          <w:color w:val="000000" w:themeColor="text1"/>
          <w:szCs w:val="32"/>
          <w:lang w:val="en-US" w:eastAsia="zh-CN"/>
          <w14:textFill>
            <w14:solidFill>
              <w14:schemeClr w14:val="tx1"/>
            </w14:solidFill>
          </w14:textFill>
        </w:rPr>
        <w:t>51.23</w:t>
      </w:r>
      <w:r>
        <w:rPr>
          <w:rFonts w:hint="eastAsia" w:ascii="仿宋_GB2312" w:hAnsi="宋体"/>
          <w:color w:val="000000" w:themeColor="text1"/>
          <w:szCs w:val="32"/>
          <w14:textFill>
            <w14:solidFill>
              <w14:schemeClr w14:val="tx1"/>
            </w14:solidFill>
          </w14:textFill>
        </w:rPr>
        <w:t>万元，比20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年减少</w:t>
      </w:r>
      <w:r>
        <w:rPr>
          <w:rFonts w:hint="eastAsia" w:ascii="仿宋_GB2312" w:hAnsi="宋体"/>
          <w:color w:val="000000" w:themeColor="text1"/>
          <w:szCs w:val="32"/>
          <w:lang w:val="en-US" w:eastAsia="zh-CN"/>
          <w14:textFill>
            <w14:solidFill>
              <w14:schemeClr w14:val="tx1"/>
            </w14:solidFill>
          </w14:textFill>
        </w:rPr>
        <w:t>31.01</w:t>
      </w:r>
      <w:r>
        <w:rPr>
          <w:rFonts w:hint="eastAsia" w:ascii="仿宋_GB2312" w:hAnsi="宋体"/>
          <w:color w:val="000000" w:themeColor="text1"/>
          <w:szCs w:val="32"/>
          <w14:textFill>
            <w14:solidFill>
              <w14:schemeClr w14:val="tx1"/>
            </w14:solidFill>
          </w14:textFill>
        </w:rPr>
        <w:t>万元，降低</w:t>
      </w:r>
      <w:r>
        <w:rPr>
          <w:rFonts w:hint="eastAsia" w:ascii="仿宋_GB2312" w:hAnsi="宋体"/>
          <w:color w:val="000000" w:themeColor="text1"/>
          <w:szCs w:val="32"/>
          <w:lang w:val="en-US" w:eastAsia="zh-CN"/>
          <w14:textFill>
            <w14:solidFill>
              <w14:schemeClr w14:val="tx1"/>
            </w14:solidFill>
          </w14:textFill>
        </w:rPr>
        <w:t>37.71</w:t>
      </w:r>
      <w:r>
        <w:rPr>
          <w:rFonts w:hint="eastAsia" w:ascii="仿宋_GB2312" w:hAnsi="宋体"/>
          <w:color w:val="000000" w:themeColor="text1"/>
          <w:szCs w:val="32"/>
          <w14:textFill>
            <w14:solidFill>
              <w14:schemeClr w14:val="tx1"/>
            </w14:solidFill>
          </w14:textFill>
        </w:rPr>
        <w:t>%。主要原因是：</w:t>
      </w:r>
      <w:r>
        <w:rPr>
          <w:rFonts w:hint="eastAsia" w:ascii="仿宋_GB2312" w:hAnsi="宋体"/>
          <w:color w:val="000000" w:themeColor="text1"/>
          <w:szCs w:val="32"/>
          <w:lang w:val="en-US" w:eastAsia="zh-CN"/>
          <w14:textFill>
            <w14:solidFill>
              <w14:schemeClr w14:val="tx1"/>
            </w14:solidFill>
          </w14:textFill>
        </w:rPr>
        <w:t>机构改革人员减少</w:t>
      </w:r>
      <w:r>
        <w:rPr>
          <w:rFonts w:hint="eastAsia"/>
          <w:b/>
          <w:color w:val="000000" w:themeColor="text1"/>
          <w:szCs w:val="32"/>
          <w14:textFill>
            <w14:solidFill>
              <w14:schemeClr w14:val="tx1"/>
            </w14:solidFill>
          </w14:textFill>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11.15</w:t>
      </w:r>
      <w:r>
        <w:rPr>
          <w:rFonts w:hint="eastAsia" w:ascii="仿宋_GB2312"/>
          <w:color w:val="000000" w:themeColor="text1"/>
          <w:szCs w:val="32"/>
          <w14:textFill>
            <w14:solidFill>
              <w14:schemeClr w14:val="tx1"/>
            </w14:solidFill>
          </w14:textFill>
        </w:rPr>
        <w:t>万元，其中：政府采购货物支出</w:t>
      </w:r>
      <w:r>
        <w:rPr>
          <w:rFonts w:hint="eastAsia" w:ascii="仿宋_GB2312"/>
          <w:color w:val="000000" w:themeColor="text1"/>
          <w:szCs w:val="32"/>
          <w:lang w:val="en-US" w:eastAsia="zh-CN"/>
          <w14:textFill>
            <w14:solidFill>
              <w14:schemeClr w14:val="tx1"/>
            </w14:solidFill>
          </w14:textFill>
        </w:rPr>
        <w:t>11.15</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占政府采购支出总额的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我部门</w:t>
      </w:r>
      <w:r>
        <w:rPr>
          <w:rFonts w:hint="eastAsia" w:ascii="仿宋_GB2312" w:hAnsi="仿宋_GB2312" w:cs="仿宋_GB2312"/>
          <w:color w:val="000000" w:themeColor="text1"/>
          <w:sz w:val="32"/>
          <w:szCs w:val="32"/>
          <w:lang w:val="en-US" w:eastAsia="zh-CN"/>
          <w14:textFill>
            <w14:solidFill>
              <w14:schemeClr w14:val="tx1"/>
            </w14:solidFill>
          </w14:textFill>
        </w:rPr>
        <w:t>无县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级财政预算安排</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的专项资金类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00万元以上的经费补助类项目。</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政府性基金预算项目。</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cs="仿宋_GB2312"/>
          <w:sz w:val="32"/>
          <w:szCs w:val="32"/>
          <w:lang w:val="en-US" w:eastAsia="zh-CN"/>
        </w:rPr>
        <w:t>本单位无重点</w:t>
      </w:r>
      <w:r>
        <w:rPr>
          <w:rFonts w:hint="eastAsia" w:ascii="仿宋_GB2312" w:hAnsi="仿宋_GB2312" w:eastAsia="仿宋_GB2312" w:cs="仿宋_GB2312"/>
          <w:sz w:val="32"/>
          <w:szCs w:val="32"/>
          <w:lang w:val="en-US" w:eastAsia="zh-CN"/>
        </w:rPr>
        <w:t>项。</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w:t>
      </w:r>
    </w:p>
    <w:p>
      <w:pPr>
        <w:numPr>
          <w:ilvl w:val="0"/>
          <w:numId w:val="2"/>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r>
        <w:rPr>
          <w:rFonts w:hint="eastAsia" w:ascii="仿宋_GB2312"/>
          <w:b/>
          <w:szCs w:val="32"/>
          <w:lang w:eastAsia="zh-CN"/>
        </w:rPr>
        <w:t>。</w:t>
      </w:r>
      <w:r>
        <w:rPr>
          <w:rFonts w:hint="eastAsia" w:ascii="仿宋_GB2312"/>
          <w:b/>
          <w:szCs w:val="32"/>
          <w:lang w:val="en-US" w:eastAsia="zh-CN"/>
        </w:rPr>
        <w:t>无。</w:t>
      </w:r>
    </w:p>
    <w:p>
      <w:pPr>
        <w:pStyle w:val="3"/>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单位名称：静乐县人力资源和社会保障局</w:t>
      </w:r>
    </w:p>
    <w:p>
      <w:pPr>
        <w:ind w:firstLine="3840" w:firstLineChars="1200"/>
        <w:rPr>
          <w:rFonts w:hint="eastAsia" w:eastAsia="仿宋_GB2312"/>
          <w:lang w:val="en-US" w:eastAsia="zh-CN"/>
        </w:rPr>
      </w:pPr>
      <w:r>
        <w:rPr>
          <w:rFonts w:hint="eastAsia"/>
          <w:lang w:val="en-US" w:eastAsia="zh-CN"/>
        </w:rPr>
        <w:t>二〇二二年六月六</w:t>
      </w:r>
      <w:bookmarkStart w:id="33" w:name="_GoBack"/>
      <w:bookmarkEnd w:id="33"/>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152534E9"/>
    <w:rsid w:val="16654CDD"/>
    <w:rsid w:val="1A4A5C33"/>
    <w:rsid w:val="1AC55BCB"/>
    <w:rsid w:val="24D63C55"/>
    <w:rsid w:val="2701594C"/>
    <w:rsid w:val="27426717"/>
    <w:rsid w:val="37943B50"/>
    <w:rsid w:val="3821117E"/>
    <w:rsid w:val="42C12CEC"/>
    <w:rsid w:val="44401A62"/>
    <w:rsid w:val="484053B2"/>
    <w:rsid w:val="495520D0"/>
    <w:rsid w:val="4A012068"/>
    <w:rsid w:val="50AE0725"/>
    <w:rsid w:val="53A30631"/>
    <w:rsid w:val="577337DA"/>
    <w:rsid w:val="5DE92B6B"/>
    <w:rsid w:val="5EC01F6A"/>
    <w:rsid w:val="63AB51DF"/>
    <w:rsid w:val="649C6DC9"/>
    <w:rsid w:val="6A533894"/>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uiPriority w:val="0"/>
  </w:style>
  <w:style w:type="paragraph" w:styleId="8">
    <w:name w:val="toc 2"/>
    <w:basedOn w:val="1"/>
    <w:next w:val="1"/>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No Spacing"/>
    <w:qFormat/>
    <w:uiPriority w:val="99"/>
    <w:pPr>
      <w:ind w:firstLine="200" w:firstLineChars="200"/>
    </w:pPr>
    <w:rPr>
      <w:rFonts w:ascii="Times New Roman" w:hAnsi="Times New Roman" w:eastAsia="仿宋_GB2312" w:cs="Times New Roman"/>
      <w:sz w:val="30"/>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4023</Words>
  <Characters>4480</Characters>
  <Lines>0</Lines>
  <Paragraphs>0</Paragraphs>
  <TotalTime>70</TotalTime>
  <ScaleCrop>false</ScaleCrop>
  <LinksUpToDate>false</LinksUpToDate>
  <CharactersWithSpaces>4537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2022-07-19T02:45:56Z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0C12F7D1DDED4CACB13C512F92B40357</vt:lpwstr>
  </property>
</Properties>
</file>