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883"/>
        <w:jc w:val="center"/>
        <w:rPr>
          <w:rFonts w:ascii="华文中宋" w:hAnsi="华文中宋" w:eastAsia="华文中宋"/>
          <w:color w:val="000000" w:themeColor="text1"/>
          <w:szCs w:val="44"/>
        </w:rPr>
      </w:pPr>
      <w:bookmarkStart w:id="0" w:name="_Toc31071"/>
      <w:bookmarkStart w:id="1" w:name="_Toc32048"/>
      <w:bookmarkStart w:id="2" w:name="_Toc21118"/>
      <w:r>
        <w:rPr>
          <w:rFonts w:hint="eastAsia" w:ascii="华文中宋" w:hAnsi="华文中宋" w:eastAsia="华文中宋"/>
          <w:color w:val="000000" w:themeColor="text1"/>
          <w:szCs w:val="44"/>
        </w:rPr>
        <w:t>静乐县退役军人事务局</w:t>
      </w:r>
    </w:p>
    <w:p>
      <w:pPr>
        <w:pStyle w:val="2"/>
        <w:ind w:firstLine="883"/>
        <w:jc w:val="center"/>
        <w:rPr>
          <w:rFonts w:ascii="华文中宋" w:hAnsi="华文中宋" w:eastAsia="华文中宋"/>
          <w:color w:val="000000" w:themeColor="text1"/>
          <w:szCs w:val="44"/>
        </w:rPr>
      </w:pPr>
      <w:r>
        <w:rPr>
          <w:rFonts w:hint="eastAsia" w:ascii="华文中宋" w:hAnsi="华文中宋" w:eastAsia="华文中宋"/>
          <w:color w:val="000000" w:themeColor="text1"/>
          <w:szCs w:val="44"/>
        </w:rPr>
        <w:t>2021年度部门决算公开说明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9</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9</w:t>
      </w:r>
      <w:r>
        <w:fldChar w:fldCharType="end"/>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szCs w:val="36"/>
        </w:rPr>
      </w:pPr>
      <w:bookmarkStart w:id="3" w:name="_Toc23288"/>
      <w:bookmarkStart w:id="4" w:name="_Toc31140"/>
      <w:r>
        <w:rPr>
          <w:rFonts w:hint="eastAsia"/>
          <w:sz w:val="36"/>
          <w:szCs w:val="36"/>
        </w:rPr>
        <w:t>第一部分  概况</w:t>
      </w:r>
      <w:bookmarkEnd w:id="3"/>
      <w:bookmarkEnd w:id="4"/>
    </w:p>
    <w:p>
      <w:pPr>
        <w:pStyle w:val="3"/>
        <w:ind w:firstLine="640"/>
        <w:rPr>
          <w:rFonts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pStyle w:val="8"/>
        <w:snapToGrid w:val="0"/>
        <w:spacing w:before="0" w:beforeAutospacing="0" w:after="0" w:afterAutospacing="0"/>
        <w:ind w:firstLine="700" w:firstLineChars="250"/>
        <w:rPr>
          <w:rFonts w:ascii="仿宋" w:hAnsi="仿宋" w:eastAsia="仿宋"/>
          <w:sz w:val="28"/>
          <w:szCs w:val="28"/>
        </w:rPr>
      </w:pPr>
      <w:r>
        <w:rPr>
          <w:rFonts w:ascii="仿宋" w:hAnsi="仿宋" w:eastAsia="仿宋"/>
          <w:sz w:val="28"/>
          <w:szCs w:val="28"/>
        </w:rPr>
        <w:t>(一)组织实施对退役军人思想政治、管理保障和安置优抚等工作的政策法规的学习宣传贯彻，拟定我县相关政策规范性文件并形成长效机制，褒扬彰显退役军人为党、国家和人民牺牲奉献的精神风范和价值导向。</w:t>
      </w:r>
      <w:r>
        <w:rPr>
          <w:rFonts w:ascii="仿宋" w:hAnsi="仿宋" w:eastAsia="仿宋"/>
          <w:sz w:val="28"/>
          <w:szCs w:val="28"/>
        </w:rPr>
        <w:br w:type="textWrapping"/>
      </w:r>
      <w:r>
        <w:rPr>
          <w:rFonts w:hint="eastAsia" w:ascii="仿宋" w:hAnsi="仿宋" w:eastAsia="仿宋"/>
          <w:sz w:val="28"/>
          <w:szCs w:val="28"/>
        </w:rPr>
        <w:t xml:space="preserve">    </w:t>
      </w:r>
      <w:r>
        <w:rPr>
          <w:rFonts w:ascii="仿宋" w:hAnsi="仿宋" w:eastAsia="仿宋"/>
          <w:sz w:val="28"/>
          <w:szCs w:val="28"/>
        </w:rPr>
        <w:t>(二)负责军队转业干部、复员干部、离休退休干部、退役士兵和无军籍退休退职职工的接收安置工作和自主择业,就业退役军人服务管理工作。</w:t>
      </w:r>
    </w:p>
    <w:p>
      <w:pPr>
        <w:pStyle w:val="8"/>
        <w:snapToGrid w:val="0"/>
        <w:spacing w:before="0" w:beforeAutospacing="0" w:after="0" w:afterAutospacing="0"/>
        <w:ind w:firstLine="560"/>
        <w:rPr>
          <w:rFonts w:ascii="仿宋" w:hAnsi="仿宋" w:eastAsia="仿宋"/>
          <w:sz w:val="28"/>
          <w:szCs w:val="28"/>
        </w:rPr>
      </w:pPr>
      <w:r>
        <w:rPr>
          <w:rFonts w:ascii="仿宋" w:hAnsi="仿宋" w:eastAsia="仿宋"/>
          <w:sz w:val="28"/>
          <w:szCs w:val="28"/>
        </w:rPr>
        <w:t>(三)组织指导退役军人教育培训工作，协调扶持退役军人和随军随调家属就业创业。</w:t>
      </w:r>
    </w:p>
    <w:p>
      <w:pPr>
        <w:pStyle w:val="8"/>
        <w:snapToGrid w:val="0"/>
        <w:spacing w:before="0" w:beforeAutospacing="0" w:after="0" w:afterAutospacing="0"/>
        <w:ind w:firstLine="560"/>
        <w:rPr>
          <w:rFonts w:ascii="仿宋" w:hAnsi="仿宋" w:eastAsia="仿宋"/>
          <w:sz w:val="28"/>
          <w:szCs w:val="28"/>
        </w:rPr>
      </w:pPr>
      <w:r>
        <w:rPr>
          <w:rFonts w:ascii="仿宋" w:hAnsi="仿宋" w:eastAsia="仿宋"/>
          <w:sz w:val="28"/>
          <w:szCs w:val="28"/>
        </w:rPr>
        <w:t>(四)组织实施国家关于退役军人特殊保障的相关政策，会同有关部门制定我县退役军人特殊保障的政策并组织实施。</w:t>
      </w:r>
    </w:p>
    <w:p>
      <w:pPr>
        <w:pStyle w:val="8"/>
        <w:snapToGrid w:val="0"/>
        <w:spacing w:before="0" w:beforeAutospacing="0" w:after="0" w:afterAutospacing="0"/>
        <w:ind w:firstLine="560"/>
        <w:rPr>
          <w:rFonts w:ascii="仿宋" w:hAnsi="仿宋" w:eastAsia="仿宋"/>
          <w:sz w:val="28"/>
          <w:szCs w:val="28"/>
        </w:rPr>
      </w:pPr>
      <w:r>
        <w:rPr>
          <w:rFonts w:ascii="仿宋" w:hAnsi="仿宋" w:eastAsia="仿宋"/>
          <w:sz w:val="28"/>
          <w:szCs w:val="28"/>
        </w:rPr>
        <w:t>(五)组织协调落实移交地方的离休退休军人、符合条件的其他退役军人和无军籍退休退职职工的住房保障工作，以及退役军人医疗保障、社会保险等待遇保障工作。</w:t>
      </w:r>
      <w:r>
        <w:rPr>
          <w:rFonts w:ascii="仿宋" w:hAnsi="仿宋" w:eastAsia="仿宋"/>
          <w:sz w:val="28"/>
          <w:szCs w:val="28"/>
        </w:rPr>
        <w:br w:type="textWrapping"/>
      </w:r>
      <w:r>
        <w:rPr>
          <w:rFonts w:hint="eastAsia" w:ascii="仿宋" w:hAnsi="仿宋" w:eastAsia="仿宋"/>
          <w:sz w:val="28"/>
          <w:szCs w:val="28"/>
        </w:rPr>
        <w:t xml:space="preserve">    </w:t>
      </w:r>
      <w:r>
        <w:rPr>
          <w:rFonts w:ascii="仿宋" w:hAnsi="仿宋" w:eastAsia="仿宋"/>
          <w:sz w:val="28"/>
          <w:szCs w:val="28"/>
        </w:rPr>
        <w:t>(六)组织开展伤病残退役军人服务管理和抚恤工作，组织落实有关退役军人医疗、疗养、养老等机构的规划政策，承担不适宜继续服役的伤病残军人相关工作。组织开展军供服务保障工作。</w:t>
      </w:r>
      <w:r>
        <w:rPr>
          <w:rFonts w:ascii="仿宋" w:hAnsi="仿宋" w:eastAsia="仿宋"/>
          <w:sz w:val="28"/>
          <w:szCs w:val="28"/>
        </w:rPr>
        <w:br w:type="textWrapping"/>
      </w:r>
      <w:r>
        <w:rPr>
          <w:rFonts w:hint="eastAsia" w:ascii="仿宋" w:hAnsi="仿宋" w:eastAsia="仿宋"/>
          <w:sz w:val="28"/>
          <w:szCs w:val="28"/>
        </w:rPr>
        <w:t xml:space="preserve">    </w:t>
      </w:r>
      <w:r>
        <w:rPr>
          <w:rFonts w:ascii="仿宋" w:hAnsi="仿宋" w:eastAsia="仿宋"/>
          <w:sz w:val="28"/>
          <w:szCs w:val="28"/>
        </w:rPr>
        <w:t>(七)组织开展全县拥军优属工作，负责现役军人、退役军人、军队文职人员和军属优待、抚恤等工作，指导实施国民党抗战老兵等有关人员优待政策。</w:t>
      </w:r>
      <w:r>
        <w:rPr>
          <w:rFonts w:ascii="仿宋" w:hAnsi="仿宋" w:eastAsia="仿宋"/>
          <w:sz w:val="28"/>
          <w:szCs w:val="28"/>
        </w:rPr>
        <w:br w:type="textWrapping"/>
      </w:r>
      <w:r>
        <w:rPr>
          <w:rFonts w:hint="eastAsia" w:ascii="仿宋" w:hAnsi="仿宋" w:eastAsia="仿宋"/>
          <w:sz w:val="28"/>
          <w:szCs w:val="28"/>
        </w:rPr>
        <w:t xml:space="preserve">    </w:t>
      </w:r>
      <w:r>
        <w:rPr>
          <w:rFonts w:ascii="仿宋" w:hAnsi="仿宋" w:eastAsia="仿宋"/>
          <w:sz w:val="28"/>
          <w:szCs w:val="28"/>
        </w:rPr>
        <w:t>(八)负责烈士及退役军人荣誉奖励，军人公慕管理维护，纪念活动等工作，依法承担英雄烈士保护相关工作，申报拟列入全国、全省、全市重点保护单位的烈士纪念建筑物名录，审核拟列入全县重点保护单位的烈士纪念建筑物名录,总结表彰和宣扬退役军人工作单位和个人先进典型事迹。</w:t>
      </w:r>
      <w:r>
        <w:rPr>
          <w:rFonts w:ascii="仿宋" w:hAnsi="仿宋" w:eastAsia="仿宋"/>
          <w:sz w:val="28"/>
          <w:szCs w:val="28"/>
        </w:rPr>
        <w:br w:type="textWrapping"/>
      </w:r>
      <w:r>
        <w:rPr>
          <w:rFonts w:hint="eastAsia" w:ascii="仿宋" w:hAnsi="仿宋" w:eastAsia="仿宋"/>
          <w:sz w:val="28"/>
          <w:szCs w:val="28"/>
        </w:rPr>
        <w:t xml:space="preserve">    </w:t>
      </w:r>
      <w:r>
        <w:rPr>
          <w:rFonts w:ascii="仿宋" w:hAnsi="仿宋" w:eastAsia="仿宋"/>
          <w:sz w:val="28"/>
          <w:szCs w:val="28"/>
        </w:rPr>
        <w:t>(九)指导并监督检查退役军人相关法律法规和政策措施的落实，组织开展退役军人权益维护和有关人员的帮扶援助工作。</w:t>
      </w:r>
      <w:r>
        <w:rPr>
          <w:rFonts w:ascii="仿宋" w:hAnsi="仿宋" w:eastAsia="仿宋"/>
          <w:sz w:val="28"/>
          <w:szCs w:val="28"/>
        </w:rPr>
        <w:br w:type="textWrapping"/>
      </w:r>
      <w:r>
        <w:rPr>
          <w:rFonts w:hint="eastAsia" w:ascii="仿宋" w:hAnsi="仿宋" w:eastAsia="仿宋"/>
          <w:sz w:val="28"/>
          <w:szCs w:val="28"/>
        </w:rPr>
        <w:t xml:space="preserve">    </w:t>
      </w:r>
      <w:r>
        <w:rPr>
          <w:rFonts w:ascii="仿宋" w:hAnsi="仿宋" w:eastAsia="仿宋"/>
          <w:sz w:val="28"/>
          <w:szCs w:val="28"/>
        </w:rPr>
        <w:t>(十)完成县委、县人民政府交办的其他任务，配合部队完成退役军人其他相关工作。</w:t>
      </w:r>
      <w:r>
        <w:rPr>
          <w:rFonts w:ascii="仿宋" w:hAnsi="仿宋" w:eastAsia="仿宋"/>
          <w:sz w:val="28"/>
          <w:szCs w:val="28"/>
        </w:rPr>
        <w:br w:type="textWrapping"/>
      </w:r>
      <w:r>
        <w:rPr>
          <w:rFonts w:hint="eastAsia" w:ascii="仿宋" w:hAnsi="仿宋" w:eastAsia="仿宋"/>
          <w:sz w:val="28"/>
          <w:szCs w:val="28"/>
        </w:rPr>
        <w:t xml:space="preserve">    </w:t>
      </w:r>
      <w:r>
        <w:rPr>
          <w:rFonts w:ascii="仿宋" w:hAnsi="仿宋" w:eastAsia="仿宋"/>
          <w:sz w:val="28"/>
          <w:szCs w:val="28"/>
        </w:rPr>
        <w:t>(十一)职能转变。县退役军人事务局应加强退役军人思想政治工作和服务保障体系建设，建立健全集中统一、职责清晰的退役军人管理保障体制;提高政治站位，协调各方力量更好地为军人军属服务，维护军人军属和退役军人合法权益，从静乐实际出发制定切实可行的解困稳定政策;褒扬彰显退役军人为党、国家和人民牺牲奉献的精神风范和价值导向，更好地为增强部队战斗力和凝聚力做好组织保障，让军人成为全社会尊崇的职业。</w:t>
      </w:r>
    </w:p>
    <w:p>
      <w:pPr>
        <w:pStyle w:val="3"/>
        <w:ind w:firstLine="640"/>
        <w:rPr>
          <w:rFonts w:ascii="仿宋" w:hAnsi="仿宋" w:eastAsia="仿宋" w:cs="仿宋"/>
          <w:b w:val="0"/>
          <w:bCs/>
        </w:rPr>
      </w:pPr>
      <w:bookmarkStart w:id="7" w:name="_Toc275"/>
      <w:bookmarkStart w:id="8" w:name="_Toc9155"/>
      <w:r>
        <w:rPr>
          <w:rFonts w:hint="eastAsia" w:ascii="仿宋" w:hAnsi="仿宋" w:eastAsia="仿宋" w:cs="仿宋"/>
          <w:b w:val="0"/>
          <w:bCs/>
        </w:rPr>
        <w:t>二、机构设置情况</w:t>
      </w:r>
      <w:bookmarkEnd w:id="7"/>
      <w:bookmarkEnd w:id="8"/>
    </w:p>
    <w:p>
      <w:pPr>
        <w:pStyle w:val="8"/>
        <w:spacing w:before="0" w:beforeAutospacing="0" w:after="0" w:afterAutospacing="0" w:line="360" w:lineRule="auto"/>
        <w:ind w:firstLine="560"/>
        <w:rPr>
          <w:rFonts w:ascii="仿宋" w:hAnsi="仿宋" w:eastAsia="仿宋"/>
          <w:sz w:val="28"/>
          <w:szCs w:val="28"/>
        </w:rPr>
      </w:pPr>
      <w:r>
        <w:rPr>
          <w:rFonts w:hint="eastAsia" w:ascii="仿宋" w:hAnsi="仿宋" w:eastAsia="仿宋"/>
          <w:color w:val="000000"/>
          <w:sz w:val="28"/>
          <w:szCs w:val="28"/>
        </w:rPr>
        <w:t>静乐县退役军人事务局编制人数6人、其中：行政编制3人，2021年末实有在职人数8人。内设机构两个即：综合办公室、县军转干退役士兵安置办公室。</w:t>
      </w:r>
      <w:r>
        <w:rPr>
          <w:rFonts w:hint="eastAsia" w:ascii="仿宋" w:hAnsi="仿宋" w:eastAsia="仿宋"/>
          <w:sz w:val="28"/>
          <w:szCs w:val="28"/>
        </w:rPr>
        <w:t>下属事业单位1个、即静乐县退役军人事务服务中心。</w:t>
      </w:r>
    </w:p>
    <w:p>
      <w:pPr>
        <w:pStyle w:val="2"/>
        <w:ind w:firstLine="1084" w:firstLineChars="300"/>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p>
    <w:p>
      <w:pPr>
        <w:pStyle w:val="2"/>
        <w:ind w:firstLine="0" w:firstLineChars="0"/>
        <w:jc w:val="center"/>
        <w:rPr>
          <w:sz w:val="36"/>
          <w:szCs w:val="36"/>
        </w:rPr>
      </w:pPr>
    </w:p>
    <w:p>
      <w:pPr>
        <w:pStyle w:val="2"/>
        <w:ind w:firstLine="542" w:firstLineChars="150"/>
        <w:rPr>
          <w:sz w:val="36"/>
          <w:szCs w:val="36"/>
        </w:rPr>
      </w:pPr>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8717"/>
      <w:bookmarkStart w:id="12" w:name="_Toc437"/>
      <w:r>
        <w:rPr>
          <w:rFonts w:hint="eastAsia" w:ascii="仿宋" w:hAnsi="仿宋" w:eastAsia="仿宋" w:cs="仿宋"/>
        </w:rPr>
        <w:t>一、收入支出决算总体情况说明</w:t>
      </w:r>
      <w:bookmarkEnd w:id="11"/>
      <w:bookmarkEnd w:id="12"/>
    </w:p>
    <w:p>
      <w:pPr>
        <w:ind w:firstLine="640"/>
        <w:rPr>
          <w:rFonts w:ascii="仿宋_GB2312"/>
          <w:color w:val="000000" w:themeColor="text1"/>
          <w:szCs w:val="32"/>
        </w:rPr>
      </w:pPr>
      <w:r>
        <w:rPr>
          <w:rFonts w:hint="eastAsia" w:ascii="仿宋_GB2312"/>
          <w:color w:val="000000" w:themeColor="text1"/>
          <w:szCs w:val="32"/>
        </w:rPr>
        <w:t>2021年度收入</w:t>
      </w:r>
      <w:r>
        <w:rPr>
          <w:rFonts w:ascii="仿宋_GB2312"/>
          <w:color w:val="000000" w:themeColor="text1"/>
          <w:szCs w:val="32"/>
        </w:rPr>
        <w:t>总计</w:t>
      </w:r>
      <w:r>
        <w:rPr>
          <w:rFonts w:hint="eastAsia" w:ascii="仿宋_GB2312"/>
          <w:color w:val="000000" w:themeColor="text1"/>
          <w:szCs w:val="32"/>
        </w:rPr>
        <w:t>1471.96万元、支出总计1471.96万元。与2020年相比，收入总计减少142.68万元，下降8.84%，</w:t>
      </w:r>
      <w:r>
        <w:rPr>
          <w:rFonts w:ascii="仿宋_GB2312"/>
          <w:color w:val="000000" w:themeColor="text1"/>
          <w:szCs w:val="32"/>
        </w:rPr>
        <w:t>支出总计</w:t>
      </w:r>
      <w:r>
        <w:rPr>
          <w:rFonts w:hint="eastAsia" w:ascii="仿宋_GB2312"/>
          <w:color w:val="000000" w:themeColor="text1"/>
          <w:szCs w:val="32"/>
        </w:rPr>
        <w:t>282.74万元</w:t>
      </w:r>
      <w:r>
        <w:rPr>
          <w:rFonts w:ascii="仿宋_GB2312"/>
          <w:color w:val="000000" w:themeColor="text1"/>
          <w:szCs w:val="32"/>
        </w:rPr>
        <w:t>，下降</w:t>
      </w:r>
      <w:r>
        <w:rPr>
          <w:rFonts w:hint="eastAsia" w:ascii="仿宋_GB2312"/>
          <w:color w:val="000000" w:themeColor="text1"/>
          <w:szCs w:val="32"/>
        </w:rPr>
        <w:t>16.11</w:t>
      </w:r>
      <w:r>
        <w:rPr>
          <w:rFonts w:ascii="仿宋_GB2312"/>
          <w:color w:val="000000" w:themeColor="text1"/>
          <w:szCs w:val="32"/>
        </w:rPr>
        <w:t>%</w:t>
      </w:r>
      <w:r>
        <w:rPr>
          <w:rFonts w:hint="eastAsia" w:ascii="仿宋_GB2312"/>
          <w:color w:val="000000" w:themeColor="text1"/>
          <w:szCs w:val="32"/>
        </w:rPr>
        <w:t>。主要原因是在企业的军队退役人员补缴养老保险费数额减少等。</w:t>
      </w:r>
    </w:p>
    <w:p>
      <w:pPr>
        <w:pStyle w:val="3"/>
        <w:ind w:firstLine="643"/>
        <w:rPr>
          <w:rFonts w:ascii="仿宋" w:hAnsi="仿宋" w:eastAsia="仿宋" w:cs="仿宋"/>
          <w:color w:val="000000" w:themeColor="text1"/>
        </w:rPr>
      </w:pPr>
      <w:bookmarkStart w:id="13" w:name="_Toc16754"/>
      <w:bookmarkStart w:id="14" w:name="_Toc17404"/>
      <w:r>
        <w:rPr>
          <w:rFonts w:hint="eastAsia" w:ascii="仿宋" w:hAnsi="仿宋" w:eastAsia="仿宋" w:cs="仿宋"/>
          <w:color w:val="000000" w:themeColor="text1"/>
        </w:rPr>
        <w:t>二、收入决算情况说明</w:t>
      </w:r>
      <w:bookmarkEnd w:id="13"/>
      <w:bookmarkEnd w:id="14"/>
    </w:p>
    <w:p>
      <w:pPr>
        <w:spacing w:line="580" w:lineRule="exact"/>
        <w:ind w:firstLine="640"/>
        <w:rPr>
          <w:rFonts w:ascii="仿宋_GB2312"/>
          <w:color w:val="000000" w:themeColor="text1"/>
          <w:szCs w:val="32"/>
        </w:rPr>
      </w:pPr>
      <w:r>
        <w:rPr>
          <w:rFonts w:hint="eastAsia" w:ascii="仿宋_GB2312"/>
          <w:color w:val="000000" w:themeColor="text1"/>
          <w:szCs w:val="32"/>
        </w:rPr>
        <w:t>本年收入合计1471.96万元，其中：财政拨款收入1471.96万元，占比100.00%；上级补助收入0万元，占比0%；事业收入0万元，占比0%；经营收入0万元，占比0%。附属单位上缴收入0万元，占比0%；其他收入0万元，占比0%。</w:t>
      </w:r>
    </w:p>
    <w:p>
      <w:pPr>
        <w:pStyle w:val="3"/>
        <w:ind w:firstLine="643"/>
        <w:rPr>
          <w:rFonts w:ascii="仿宋" w:hAnsi="仿宋" w:eastAsia="仿宋" w:cs="仿宋"/>
          <w:color w:val="000000" w:themeColor="text1"/>
        </w:rPr>
      </w:pPr>
      <w:bookmarkStart w:id="15" w:name="_Toc22098"/>
      <w:bookmarkStart w:id="16" w:name="_Toc9596"/>
      <w:r>
        <w:rPr>
          <w:rFonts w:hint="eastAsia" w:ascii="仿宋" w:hAnsi="仿宋" w:eastAsia="仿宋" w:cs="仿宋"/>
          <w:color w:val="000000" w:themeColor="text1"/>
        </w:rPr>
        <w:t>三、支出决算情况说明</w:t>
      </w:r>
      <w:bookmarkEnd w:id="15"/>
      <w:bookmarkEnd w:id="16"/>
    </w:p>
    <w:p>
      <w:pPr>
        <w:spacing w:line="580" w:lineRule="exact"/>
        <w:ind w:firstLine="640"/>
        <w:rPr>
          <w:rFonts w:ascii="仿宋_GB2312"/>
          <w:color w:val="000000" w:themeColor="text1"/>
          <w:szCs w:val="32"/>
        </w:rPr>
      </w:pPr>
      <w:r>
        <w:rPr>
          <w:rFonts w:hint="eastAsia" w:ascii="仿宋_GB2312"/>
          <w:color w:val="000000" w:themeColor="text1"/>
          <w:szCs w:val="32"/>
        </w:rPr>
        <w:t>本年支出合计1471.96万元，其中：基本支出1007.24万元，占比68.43%；项目支出464.72万元，占比31.57%，上缴上级支出0万元，占比0%，经营支出0万元，占比0%,对附属单位补助支出0万元，占比0%。</w:t>
      </w:r>
    </w:p>
    <w:p>
      <w:pPr>
        <w:pStyle w:val="3"/>
        <w:ind w:firstLine="643"/>
        <w:rPr>
          <w:rFonts w:ascii="仿宋" w:hAnsi="仿宋" w:eastAsia="仿宋" w:cs="仿宋"/>
          <w:color w:val="000000" w:themeColor="text1"/>
        </w:rPr>
      </w:pPr>
      <w:bookmarkStart w:id="17" w:name="_Toc4614"/>
      <w:bookmarkStart w:id="18" w:name="_Toc2142"/>
      <w:r>
        <w:rPr>
          <w:rFonts w:hint="eastAsia" w:ascii="仿宋" w:hAnsi="仿宋" w:eastAsia="仿宋" w:cs="仿宋"/>
          <w:color w:val="000000" w:themeColor="text1"/>
        </w:rPr>
        <w:t>四、财政拨款收入支出决算总体情况说明</w:t>
      </w:r>
      <w:bookmarkEnd w:id="17"/>
      <w:bookmarkEnd w:id="18"/>
    </w:p>
    <w:p>
      <w:pPr>
        <w:ind w:firstLine="640"/>
        <w:rPr>
          <w:rFonts w:ascii="仿宋_GB2312"/>
          <w:color w:val="000000" w:themeColor="text1"/>
          <w:szCs w:val="32"/>
        </w:rPr>
      </w:pPr>
      <w:r>
        <w:rPr>
          <w:rFonts w:hint="eastAsia" w:ascii="仿宋_GB2312"/>
          <w:color w:val="000000" w:themeColor="text1"/>
          <w:szCs w:val="32"/>
        </w:rPr>
        <w:t>2021年度财政拨款收入</w:t>
      </w:r>
      <w:r>
        <w:rPr>
          <w:rFonts w:ascii="仿宋_GB2312"/>
          <w:color w:val="000000" w:themeColor="text1"/>
          <w:szCs w:val="32"/>
        </w:rPr>
        <w:t>总计</w:t>
      </w:r>
      <w:r>
        <w:rPr>
          <w:rFonts w:hint="eastAsia" w:ascii="仿宋_GB2312"/>
          <w:color w:val="000000" w:themeColor="text1"/>
          <w:szCs w:val="32"/>
        </w:rPr>
        <w:t>1471.96万元、支出总计1471.96万元。与2020年相比，财政拨款收入总计减少142.68万元，下降8.84%，财政拨款支出总计减少282.74万元，下降16.11%。主要原因是</w:t>
      </w:r>
      <w:bookmarkStart w:id="19" w:name="_Toc6501"/>
      <w:bookmarkStart w:id="20" w:name="_Toc9341"/>
      <w:r>
        <w:rPr>
          <w:rFonts w:hint="eastAsia" w:ascii="仿宋_GB2312"/>
          <w:color w:val="000000" w:themeColor="text1"/>
          <w:szCs w:val="32"/>
        </w:rPr>
        <w:t>在企业的军队退役人员补缴养老保险费数额减少等。</w:t>
      </w:r>
    </w:p>
    <w:p>
      <w:pPr>
        <w:spacing w:line="580" w:lineRule="exact"/>
        <w:ind w:firstLine="640"/>
        <w:rPr>
          <w:rFonts w:ascii="仿宋" w:hAnsi="仿宋" w:eastAsia="仿宋" w:cs="仿宋"/>
          <w:color w:val="000000" w:themeColor="text1"/>
        </w:rPr>
      </w:pPr>
      <w:r>
        <w:rPr>
          <w:rFonts w:hint="eastAsia" w:ascii="仿宋" w:hAnsi="仿宋" w:eastAsia="仿宋" w:cs="仿宋"/>
          <w:color w:val="000000" w:themeColor="text1"/>
        </w:rPr>
        <w:t>五、一般公共预算财政拨款支出决算情况说明</w:t>
      </w:r>
      <w:bookmarkEnd w:id="19"/>
      <w:bookmarkEnd w:id="20"/>
    </w:p>
    <w:p>
      <w:pPr>
        <w:spacing w:line="580" w:lineRule="exact"/>
        <w:ind w:firstLine="643"/>
        <w:rPr>
          <w:rFonts w:ascii="仿宋_GB2312"/>
          <w:b/>
          <w:color w:val="000000" w:themeColor="text1"/>
          <w:szCs w:val="32"/>
        </w:rPr>
      </w:pPr>
      <w:r>
        <w:rPr>
          <w:rFonts w:hint="eastAsia" w:ascii="仿宋_GB2312"/>
          <w:b/>
          <w:color w:val="000000" w:themeColor="text1"/>
          <w:szCs w:val="32"/>
        </w:rPr>
        <w:t>（一）财政拨款支出决算总体情况</w:t>
      </w:r>
    </w:p>
    <w:p>
      <w:pPr>
        <w:ind w:firstLine="640"/>
        <w:rPr>
          <w:rFonts w:ascii="仿宋_GB2312"/>
          <w:color w:val="000000" w:themeColor="text1"/>
          <w:szCs w:val="32"/>
        </w:rPr>
      </w:pPr>
      <w:r>
        <w:rPr>
          <w:rFonts w:hint="eastAsia" w:ascii="仿宋_GB2312"/>
          <w:color w:val="000000" w:themeColor="text1"/>
          <w:szCs w:val="32"/>
        </w:rPr>
        <w:t>2021年度财政拨款支出1471.96万元，占本年支出合计的100.00%。与2020年相比，财政拨款支出减少282.74万元，下降16.11%。主要原因是在企业的军队退役人员补缴养老保险费数额减少等。</w:t>
      </w:r>
    </w:p>
    <w:p>
      <w:pPr>
        <w:spacing w:line="580" w:lineRule="exact"/>
        <w:ind w:firstLine="640"/>
        <w:rPr>
          <w:rFonts w:ascii="仿宋_GB2312"/>
          <w:color w:val="000000" w:themeColor="text1"/>
          <w:szCs w:val="32"/>
        </w:rPr>
      </w:pPr>
      <w:r>
        <w:rPr>
          <w:rFonts w:hint="eastAsia" w:ascii="仿宋_GB2312"/>
          <w:color w:val="000000" w:themeColor="text1"/>
          <w:szCs w:val="32"/>
        </w:rPr>
        <w:t>其中，政府性基金预算支出0万元，占比0%。</w:t>
      </w:r>
    </w:p>
    <w:p>
      <w:pPr>
        <w:spacing w:line="580" w:lineRule="exact"/>
        <w:ind w:firstLine="643"/>
        <w:rPr>
          <w:rFonts w:ascii="仿宋_GB2312"/>
          <w:b/>
          <w:color w:val="000000" w:themeColor="text1"/>
          <w:szCs w:val="32"/>
        </w:rPr>
      </w:pPr>
      <w:r>
        <w:rPr>
          <w:rFonts w:hint="eastAsia" w:ascii="仿宋_GB2312"/>
          <w:b/>
          <w:color w:val="000000" w:themeColor="text1"/>
          <w:szCs w:val="32"/>
        </w:rPr>
        <w:t>（二）财政拨款</w:t>
      </w:r>
      <w:r>
        <w:rPr>
          <w:rFonts w:ascii="仿宋_GB2312"/>
          <w:b/>
          <w:color w:val="000000" w:themeColor="text1"/>
          <w:szCs w:val="32"/>
        </w:rPr>
        <w:t>支出决算结构情况</w:t>
      </w:r>
    </w:p>
    <w:p>
      <w:pPr>
        <w:spacing w:line="580" w:lineRule="exact"/>
        <w:ind w:firstLine="640"/>
        <w:rPr>
          <w:rFonts w:ascii="仿宋_GB2312"/>
          <w:color w:val="000000" w:themeColor="text1"/>
          <w:szCs w:val="32"/>
        </w:rPr>
      </w:pPr>
      <w:r>
        <w:rPr>
          <w:rFonts w:hint="eastAsia" w:ascii="仿宋_GB2312"/>
          <w:color w:val="000000" w:themeColor="text1"/>
          <w:szCs w:val="32"/>
        </w:rPr>
        <w:t>2021年度</w:t>
      </w:r>
      <w:r>
        <w:rPr>
          <w:rFonts w:ascii="仿宋_GB2312"/>
          <w:color w:val="000000" w:themeColor="text1"/>
          <w:szCs w:val="32"/>
        </w:rPr>
        <w:t>财政拨款支出</w:t>
      </w:r>
      <w:r>
        <w:rPr>
          <w:rFonts w:hint="eastAsia" w:ascii="仿宋_GB2312"/>
          <w:color w:val="000000" w:themeColor="text1"/>
          <w:szCs w:val="32"/>
        </w:rPr>
        <w:t>1471.96万元</w:t>
      </w:r>
      <w:r>
        <w:rPr>
          <w:rFonts w:ascii="仿宋_GB2312"/>
          <w:color w:val="000000" w:themeColor="text1"/>
          <w:szCs w:val="32"/>
        </w:rPr>
        <w:t>，主要用于以下方面：</w:t>
      </w:r>
      <w:r>
        <w:rPr>
          <w:rFonts w:hint="eastAsia" w:ascii="仿宋_GB2312"/>
          <w:b/>
          <w:color w:val="000000" w:themeColor="text1"/>
          <w:szCs w:val="32"/>
        </w:rPr>
        <w:t>社会</w:t>
      </w:r>
      <w:r>
        <w:rPr>
          <w:rFonts w:ascii="仿宋_GB2312"/>
          <w:b/>
          <w:color w:val="000000" w:themeColor="text1"/>
          <w:szCs w:val="32"/>
        </w:rPr>
        <w:t>保障和就业（</w:t>
      </w:r>
      <w:r>
        <w:rPr>
          <w:rFonts w:hint="eastAsia" w:ascii="仿宋_GB2312"/>
          <w:b/>
          <w:color w:val="000000" w:themeColor="text1"/>
          <w:szCs w:val="32"/>
        </w:rPr>
        <w:t>类</w:t>
      </w:r>
      <w:r>
        <w:rPr>
          <w:rFonts w:ascii="仿宋_GB2312"/>
          <w:b/>
          <w:color w:val="000000" w:themeColor="text1"/>
          <w:szCs w:val="32"/>
        </w:rPr>
        <w:t>）</w:t>
      </w:r>
      <w:r>
        <w:rPr>
          <w:rFonts w:hint="eastAsia" w:ascii="仿宋_GB2312"/>
          <w:color w:val="000000" w:themeColor="text1"/>
          <w:szCs w:val="32"/>
        </w:rPr>
        <w:t>支出1466.33万元</w:t>
      </w:r>
      <w:r>
        <w:rPr>
          <w:rFonts w:ascii="仿宋_GB2312"/>
          <w:color w:val="000000" w:themeColor="text1"/>
          <w:szCs w:val="32"/>
        </w:rPr>
        <w:t>，占</w:t>
      </w:r>
      <w:r>
        <w:rPr>
          <w:rFonts w:hint="eastAsia" w:ascii="仿宋_GB2312"/>
          <w:color w:val="000000" w:themeColor="text1"/>
          <w:szCs w:val="32"/>
        </w:rPr>
        <w:t>99.62</w:t>
      </w:r>
      <w:r>
        <w:rPr>
          <w:rFonts w:ascii="仿宋_GB2312"/>
          <w:color w:val="000000" w:themeColor="text1"/>
          <w:szCs w:val="32"/>
        </w:rPr>
        <w:t>%；</w:t>
      </w:r>
      <w:r>
        <w:rPr>
          <w:rFonts w:hint="eastAsia" w:ascii="仿宋_GB2312"/>
          <w:b/>
          <w:color w:val="000000" w:themeColor="text1"/>
          <w:szCs w:val="32"/>
        </w:rPr>
        <w:t>卫生</w:t>
      </w:r>
      <w:r>
        <w:rPr>
          <w:rFonts w:ascii="仿宋_GB2312"/>
          <w:b/>
          <w:color w:val="000000" w:themeColor="text1"/>
          <w:szCs w:val="32"/>
        </w:rPr>
        <w:t>健康（</w:t>
      </w:r>
      <w:r>
        <w:rPr>
          <w:rFonts w:hint="eastAsia" w:ascii="仿宋_GB2312"/>
          <w:b/>
          <w:color w:val="000000" w:themeColor="text1"/>
          <w:szCs w:val="32"/>
        </w:rPr>
        <w:t>类</w:t>
      </w:r>
      <w:r>
        <w:rPr>
          <w:rFonts w:ascii="仿宋_GB2312"/>
          <w:b/>
          <w:color w:val="000000" w:themeColor="text1"/>
          <w:szCs w:val="32"/>
        </w:rPr>
        <w:t>）</w:t>
      </w:r>
      <w:r>
        <w:rPr>
          <w:rFonts w:hint="eastAsia" w:ascii="仿宋_GB2312"/>
          <w:color w:val="000000" w:themeColor="text1"/>
          <w:szCs w:val="32"/>
        </w:rPr>
        <w:t>支出5.63万元</w:t>
      </w:r>
      <w:r>
        <w:rPr>
          <w:rFonts w:ascii="仿宋_GB2312"/>
          <w:color w:val="000000" w:themeColor="text1"/>
          <w:szCs w:val="32"/>
        </w:rPr>
        <w:t>，占</w:t>
      </w:r>
      <w:r>
        <w:rPr>
          <w:rFonts w:hint="eastAsia" w:ascii="仿宋_GB2312"/>
          <w:color w:val="000000" w:themeColor="text1"/>
          <w:szCs w:val="32"/>
        </w:rPr>
        <w:t>0.38</w:t>
      </w:r>
      <w:r>
        <w:rPr>
          <w:rFonts w:ascii="仿宋_GB2312"/>
          <w:color w:val="000000" w:themeColor="text1"/>
          <w:szCs w:val="32"/>
        </w:rPr>
        <w:t>%；</w:t>
      </w:r>
    </w:p>
    <w:p>
      <w:pPr>
        <w:spacing w:line="580" w:lineRule="exact"/>
        <w:ind w:firstLine="643"/>
        <w:rPr>
          <w:rFonts w:ascii="仿宋_GB2312"/>
          <w:b/>
          <w:color w:val="000000" w:themeColor="text1"/>
          <w:szCs w:val="32"/>
        </w:rPr>
      </w:pPr>
      <w:r>
        <w:rPr>
          <w:rFonts w:hint="eastAsia" w:ascii="仿宋_GB2312"/>
          <w:b/>
          <w:color w:val="000000" w:themeColor="text1"/>
          <w:szCs w:val="32"/>
        </w:rPr>
        <w:t>（三）财政拨款支出决算具体情况</w:t>
      </w:r>
    </w:p>
    <w:p>
      <w:pPr>
        <w:spacing w:line="580" w:lineRule="exact"/>
        <w:ind w:firstLine="640"/>
        <w:rPr>
          <w:rFonts w:ascii="仿宋" w:hAnsi="仿宋" w:eastAsia="仿宋" w:cs="仿宋"/>
          <w:color w:val="000000" w:themeColor="text1"/>
          <w:szCs w:val="32"/>
        </w:rPr>
      </w:pPr>
      <w:r>
        <w:rPr>
          <w:rFonts w:hint="eastAsia"/>
          <w:color w:val="000000" w:themeColor="text1"/>
          <w:szCs w:val="32"/>
        </w:rPr>
        <w:t>2</w:t>
      </w:r>
      <w:r>
        <w:rPr>
          <w:color w:val="000000" w:themeColor="text1"/>
          <w:szCs w:val="32"/>
        </w:rPr>
        <w:t>02</w:t>
      </w:r>
      <w:r>
        <w:rPr>
          <w:rFonts w:hint="eastAsia"/>
          <w:color w:val="000000" w:themeColor="text1"/>
          <w:szCs w:val="32"/>
        </w:rPr>
        <w:t>1年度财政拨款支出年初预算1580.08万元，支出决算1471.96万元，完成年初预算的93.16</w:t>
      </w:r>
      <w:r>
        <w:rPr>
          <w:color w:val="000000" w:themeColor="text1"/>
          <w:szCs w:val="32"/>
        </w:rPr>
        <w:t>%</w:t>
      </w:r>
      <w:r>
        <w:rPr>
          <w:rFonts w:hint="eastAsia"/>
          <w:color w:val="000000" w:themeColor="text1"/>
          <w:szCs w:val="32"/>
        </w:rPr>
        <w:t>。其中：</w:t>
      </w:r>
    </w:p>
    <w:p>
      <w:pPr>
        <w:ind w:firstLine="640"/>
        <w:jc w:val="left"/>
        <w:rPr>
          <w:rFonts w:ascii="仿宋" w:hAnsi="仿宋" w:eastAsia="仿宋" w:cs="仿宋"/>
          <w:color w:val="000000" w:themeColor="text1"/>
          <w:szCs w:val="32"/>
        </w:rPr>
      </w:pPr>
      <w:r>
        <w:rPr>
          <w:rFonts w:hint="eastAsia" w:ascii="仿宋" w:hAnsi="仿宋" w:eastAsia="仿宋" w:cs="仿宋"/>
          <w:color w:val="000000" w:themeColor="text1"/>
          <w:szCs w:val="32"/>
        </w:rPr>
        <w:t>（1）按功能科目分类对比如下：</w:t>
      </w:r>
    </w:p>
    <w:p>
      <w:pPr>
        <w:ind w:firstLine="480" w:firstLineChars="150"/>
        <w:jc w:val="left"/>
        <w:rPr>
          <w:rFonts w:ascii="宋体" w:hAnsi="宋体" w:cs="Arial"/>
          <w:b/>
          <w:color w:val="000000" w:themeColor="text1"/>
          <w:kern w:val="0"/>
          <w:sz w:val="30"/>
          <w:szCs w:val="30"/>
        </w:rPr>
      </w:pPr>
      <w:r>
        <w:rPr>
          <w:rFonts w:hint="eastAsia" w:ascii="仿宋_GB2312"/>
          <w:color w:val="000000" w:themeColor="text1"/>
          <w:szCs w:val="32"/>
        </w:rPr>
        <w:t xml:space="preserve"> </w:t>
      </w:r>
      <w:r>
        <w:rPr>
          <w:rFonts w:ascii="宋体" w:hAnsi="宋体" w:cs="Arial"/>
          <w:b/>
          <w:color w:val="000000" w:themeColor="text1"/>
          <w:kern w:val="0"/>
          <w:sz w:val="30"/>
          <w:szCs w:val="30"/>
        </w:rPr>
        <w:t>2</w:t>
      </w:r>
      <w:r>
        <w:rPr>
          <w:rFonts w:hint="eastAsia" w:ascii="宋体" w:hAnsi="宋体" w:cs="Arial"/>
          <w:b/>
          <w:color w:val="000000" w:themeColor="text1"/>
          <w:kern w:val="0"/>
          <w:sz w:val="30"/>
          <w:szCs w:val="30"/>
        </w:rPr>
        <w:t>021年度支出功能科目分类对比表    单位：万元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3827"/>
        <w:gridCol w:w="1134"/>
        <w:gridCol w:w="1134"/>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tcPr>
          <w:p>
            <w:pPr>
              <w:widowControl/>
              <w:ind w:firstLine="0" w:firstLineChars="0"/>
              <w:jc w:val="center"/>
              <w:rPr>
                <w:rFonts w:ascii="宋体" w:hAnsi="宋体" w:cs="Arial"/>
                <w:b/>
                <w:color w:val="000000" w:themeColor="text1"/>
                <w:kern w:val="0"/>
                <w:sz w:val="24"/>
                <w:szCs w:val="24"/>
              </w:rPr>
            </w:pPr>
            <w:r>
              <w:rPr>
                <w:rFonts w:hint="eastAsia" w:ascii="宋体" w:hAnsi="宋体" w:cs="Arial"/>
                <w:b/>
                <w:color w:val="000000" w:themeColor="text1"/>
                <w:kern w:val="0"/>
                <w:sz w:val="24"/>
                <w:szCs w:val="24"/>
              </w:rPr>
              <w:t>科目代码</w:t>
            </w:r>
          </w:p>
        </w:tc>
        <w:tc>
          <w:tcPr>
            <w:tcW w:w="3827" w:type="dxa"/>
          </w:tcPr>
          <w:p>
            <w:pPr>
              <w:widowControl/>
              <w:ind w:firstLine="482"/>
              <w:jc w:val="center"/>
              <w:rPr>
                <w:rFonts w:ascii="宋体" w:hAnsi="宋体" w:cs="Arial"/>
                <w:b/>
                <w:color w:val="000000" w:themeColor="text1"/>
                <w:kern w:val="0"/>
                <w:sz w:val="24"/>
                <w:szCs w:val="24"/>
              </w:rPr>
            </w:pPr>
            <w:r>
              <w:rPr>
                <w:rFonts w:hint="eastAsia" w:ascii="宋体" w:hAnsi="宋体" w:cs="Arial"/>
                <w:b/>
                <w:color w:val="000000" w:themeColor="text1"/>
                <w:kern w:val="0"/>
                <w:sz w:val="24"/>
                <w:szCs w:val="24"/>
              </w:rPr>
              <w:t>科目名称</w:t>
            </w:r>
          </w:p>
        </w:tc>
        <w:tc>
          <w:tcPr>
            <w:tcW w:w="1134" w:type="dxa"/>
            <w:tcBorders>
              <w:bottom w:val="single" w:color="auto" w:sz="4" w:space="0"/>
            </w:tcBorders>
          </w:tcPr>
          <w:p>
            <w:pPr>
              <w:widowControl/>
              <w:ind w:firstLine="120" w:firstLineChars="50"/>
              <w:rPr>
                <w:rFonts w:ascii="宋体" w:hAnsi="宋体" w:eastAsia="宋体" w:cs="Arial"/>
                <w:b/>
                <w:color w:val="000000" w:themeColor="text1"/>
                <w:kern w:val="0"/>
                <w:sz w:val="24"/>
                <w:szCs w:val="24"/>
              </w:rPr>
            </w:pPr>
            <w:r>
              <w:rPr>
                <w:rFonts w:hint="eastAsia" w:ascii="宋体" w:hAnsi="宋体" w:cs="Arial"/>
                <w:b/>
                <w:color w:val="000000" w:themeColor="text1"/>
                <w:kern w:val="0"/>
                <w:sz w:val="24"/>
                <w:szCs w:val="24"/>
              </w:rPr>
              <w:t>2020年</w:t>
            </w:r>
          </w:p>
        </w:tc>
        <w:tc>
          <w:tcPr>
            <w:tcW w:w="1134" w:type="dxa"/>
          </w:tcPr>
          <w:p>
            <w:pPr>
              <w:widowControl/>
              <w:ind w:firstLine="120" w:firstLineChars="50"/>
              <w:rPr>
                <w:rFonts w:ascii="宋体" w:hAnsi="宋体" w:eastAsia="宋体" w:cs="Arial"/>
                <w:b/>
                <w:color w:val="000000" w:themeColor="text1"/>
                <w:kern w:val="0"/>
                <w:sz w:val="24"/>
                <w:szCs w:val="24"/>
              </w:rPr>
            </w:pPr>
            <w:r>
              <w:rPr>
                <w:rFonts w:hint="eastAsia" w:ascii="宋体" w:hAnsi="宋体" w:eastAsia="宋体" w:cs="Arial"/>
                <w:b/>
                <w:color w:val="000000" w:themeColor="text1"/>
                <w:kern w:val="0"/>
                <w:sz w:val="24"/>
                <w:szCs w:val="24"/>
              </w:rPr>
              <w:t>2021年</w:t>
            </w:r>
          </w:p>
        </w:tc>
        <w:tc>
          <w:tcPr>
            <w:tcW w:w="1492" w:type="dxa"/>
          </w:tcPr>
          <w:p>
            <w:pPr>
              <w:widowControl/>
              <w:ind w:firstLine="0" w:firstLineChars="0"/>
              <w:jc w:val="center"/>
              <w:rPr>
                <w:rFonts w:ascii="宋体" w:hAnsi="宋体" w:eastAsia="宋体" w:cs="Arial"/>
                <w:b/>
                <w:color w:val="000000" w:themeColor="text1"/>
                <w:kern w:val="0"/>
                <w:sz w:val="24"/>
                <w:szCs w:val="24"/>
              </w:rPr>
            </w:pPr>
            <w:r>
              <w:rPr>
                <w:rFonts w:hint="eastAsia" w:ascii="宋体" w:hAnsi="宋体" w:cs="Arial"/>
                <w:b/>
                <w:color w:val="000000" w:themeColor="text1"/>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33" w:type="dxa"/>
            <w:vAlign w:val="center"/>
          </w:tcPr>
          <w:p>
            <w:pPr>
              <w:ind w:firstLine="0" w:firstLineChars="0"/>
              <w:rPr>
                <w:rFonts w:cs="Arial"/>
                <w:b/>
                <w:color w:val="000000" w:themeColor="text1"/>
                <w:sz w:val="22"/>
              </w:rPr>
            </w:pPr>
            <w:r>
              <w:rPr>
                <w:rFonts w:hint="eastAsia" w:cs="Arial"/>
                <w:color w:val="000000" w:themeColor="text1"/>
                <w:sz w:val="22"/>
              </w:rPr>
              <w:t xml:space="preserve">  </w:t>
            </w:r>
          </w:p>
        </w:tc>
        <w:tc>
          <w:tcPr>
            <w:tcW w:w="3827" w:type="dxa"/>
            <w:tcBorders>
              <w:right w:val="single" w:color="auto" w:sz="4" w:space="0"/>
            </w:tcBorders>
            <w:vAlign w:val="center"/>
          </w:tcPr>
          <w:p>
            <w:pPr>
              <w:spacing w:line="360" w:lineRule="auto"/>
              <w:ind w:firstLine="0" w:firstLineChars="0"/>
              <w:jc w:val="left"/>
              <w:rPr>
                <w:rFonts w:cs="Arial"/>
                <w:color w:val="000000" w:themeColor="text1"/>
                <w:sz w:val="22"/>
              </w:rPr>
            </w:pPr>
            <w:r>
              <w:rPr>
                <w:rFonts w:hint="eastAsia" w:cs="Arial"/>
                <w:color w:val="000000" w:themeColor="text1"/>
                <w:sz w:val="22"/>
              </w:rPr>
              <w:t xml:space="preserve">        </w:t>
            </w:r>
            <w:r>
              <w:rPr>
                <w:rFonts w:hint="eastAsia" w:cs="Arial"/>
                <w:b/>
                <w:color w:val="000000" w:themeColor="text1"/>
                <w:sz w:val="22"/>
              </w:rPr>
              <w:t xml:space="preserve">    合    计</w:t>
            </w:r>
          </w:p>
        </w:tc>
        <w:tc>
          <w:tcPr>
            <w:tcW w:w="1134" w:type="dxa"/>
            <w:tcBorders>
              <w:top w:val="single" w:color="auto" w:sz="4" w:space="0"/>
              <w:left w:val="single" w:color="auto" w:sz="4" w:space="0"/>
              <w:bottom w:val="single" w:color="auto" w:sz="4" w:space="0"/>
              <w:right w:val="single" w:color="auto" w:sz="4" w:space="0"/>
            </w:tcBorders>
            <w:vAlign w:val="bottom"/>
          </w:tcPr>
          <w:p>
            <w:pPr>
              <w:widowControl/>
              <w:spacing w:line="480" w:lineRule="auto"/>
              <w:ind w:firstLine="0" w:firstLineChars="0"/>
              <w:jc w:val="right"/>
              <w:textAlignment w:val="center"/>
              <w:rPr>
                <w:rFonts w:cs="仿宋" w:asciiTheme="majorHAnsi" w:hAnsiTheme="majorHAnsi" w:eastAsiaTheme="minorEastAsia"/>
                <w:color w:val="000000" w:themeColor="text1"/>
                <w:sz w:val="21"/>
                <w:szCs w:val="21"/>
              </w:rPr>
            </w:pPr>
            <w:r>
              <w:rPr>
                <w:rFonts w:asciiTheme="majorHAnsi" w:hAnsiTheme="majorHAnsi"/>
                <w:color w:val="000000" w:themeColor="text1"/>
                <w:sz w:val="21"/>
                <w:szCs w:val="21"/>
              </w:rPr>
              <w:t>1,</w:t>
            </w:r>
            <w:r>
              <w:rPr>
                <w:rFonts w:cs="仿宋" w:asciiTheme="majorHAnsi" w:hAnsiTheme="majorHAnsi" w:eastAsiaTheme="minorEastAsia"/>
                <w:color w:val="000000" w:themeColor="text1"/>
                <w:sz w:val="21"/>
                <w:szCs w:val="21"/>
              </w:rPr>
              <w:t>754.70</w:t>
            </w:r>
          </w:p>
        </w:tc>
        <w:tc>
          <w:tcPr>
            <w:tcW w:w="1134" w:type="dxa"/>
            <w:tcBorders>
              <w:left w:val="single" w:color="auto" w:sz="4" w:space="0"/>
            </w:tcBorders>
            <w:vAlign w:val="center"/>
          </w:tcPr>
          <w:p>
            <w:pPr>
              <w:spacing w:line="360" w:lineRule="auto"/>
              <w:ind w:firstLine="0" w:firstLineChars="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1,471.96</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-16.11%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33" w:type="dxa"/>
            <w:vAlign w:val="center"/>
          </w:tcPr>
          <w:p>
            <w:pPr>
              <w:ind w:firstLine="0" w:firstLineChars="0"/>
              <w:rPr>
                <w:rFonts w:ascii="宋体" w:hAnsi="宋体" w:eastAsia="宋体" w:cs="Arial"/>
                <w:color w:val="000000" w:themeColor="text1"/>
                <w:sz w:val="22"/>
              </w:rPr>
            </w:pPr>
            <w:r>
              <w:rPr>
                <w:rFonts w:hint="eastAsia" w:cs="Arial"/>
                <w:color w:val="000000" w:themeColor="text1"/>
                <w:sz w:val="22"/>
              </w:rPr>
              <w:t>208</w:t>
            </w:r>
          </w:p>
        </w:tc>
        <w:tc>
          <w:tcPr>
            <w:tcW w:w="3827" w:type="dxa"/>
            <w:vAlign w:val="center"/>
          </w:tcPr>
          <w:p>
            <w:pPr>
              <w:spacing w:line="360" w:lineRule="auto"/>
              <w:ind w:firstLine="0" w:firstLineChars="0"/>
              <w:jc w:val="left"/>
              <w:rPr>
                <w:rFonts w:ascii="宋体" w:hAnsi="宋体" w:eastAsia="宋体" w:cs="Arial"/>
                <w:color w:val="000000" w:themeColor="text1"/>
                <w:sz w:val="22"/>
              </w:rPr>
            </w:pPr>
            <w:r>
              <w:rPr>
                <w:rFonts w:hint="eastAsia" w:cs="Arial"/>
                <w:color w:val="000000" w:themeColor="text1"/>
                <w:sz w:val="22"/>
              </w:rPr>
              <w:t>社会保障和就业支出</w:t>
            </w:r>
          </w:p>
        </w:tc>
        <w:tc>
          <w:tcPr>
            <w:tcW w:w="1134" w:type="dxa"/>
            <w:tcBorders>
              <w:top w:val="single" w:color="auto" w:sz="4" w:space="0"/>
            </w:tcBorders>
            <w:vAlign w:val="bottom"/>
          </w:tcPr>
          <w:p>
            <w:pPr>
              <w:widowControl/>
              <w:spacing w:line="480" w:lineRule="auto"/>
              <w:ind w:firstLine="0" w:firstLineChars="0"/>
              <w:jc w:val="right"/>
              <w:textAlignment w:val="center"/>
              <w:rPr>
                <w:rFonts w:cs="仿宋" w:asciiTheme="majorHAnsi" w:hAnsiTheme="majorHAnsi" w:eastAsiaTheme="minorEastAsia"/>
                <w:color w:val="000000" w:themeColor="text1"/>
                <w:sz w:val="21"/>
                <w:szCs w:val="21"/>
              </w:rPr>
            </w:pPr>
            <w:r>
              <w:rPr>
                <w:rFonts w:asciiTheme="majorHAnsi" w:hAnsiTheme="majorHAnsi"/>
                <w:color w:val="000000" w:themeColor="text1"/>
                <w:sz w:val="21"/>
                <w:szCs w:val="21"/>
              </w:rPr>
              <w:t>1,</w:t>
            </w:r>
            <w:r>
              <w:rPr>
                <w:rFonts w:cs="仿宋" w:asciiTheme="majorHAnsi" w:hAnsiTheme="majorHAnsi" w:eastAsiaTheme="minorEastAsia"/>
                <w:color w:val="000000" w:themeColor="text1"/>
                <w:sz w:val="21"/>
                <w:szCs w:val="21"/>
              </w:rPr>
              <w:t>754.70</w:t>
            </w:r>
          </w:p>
        </w:tc>
        <w:tc>
          <w:tcPr>
            <w:tcW w:w="1134" w:type="dxa"/>
            <w:vAlign w:val="center"/>
          </w:tcPr>
          <w:p>
            <w:pPr>
              <w:spacing w:line="276" w:lineRule="auto"/>
              <w:ind w:firstLine="0" w:firstLineChars="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1,466.33</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-16.43%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198" w:firstLineChars="90"/>
              <w:rPr>
                <w:rFonts w:ascii="宋体" w:hAnsi="宋体" w:eastAsia="宋体" w:cs="Arial"/>
                <w:color w:val="000000" w:themeColor="text1"/>
                <w:sz w:val="22"/>
              </w:rPr>
            </w:pPr>
            <w:r>
              <w:rPr>
                <w:rFonts w:hint="eastAsia" w:cs="Arial"/>
                <w:color w:val="000000" w:themeColor="text1"/>
                <w:sz w:val="22"/>
              </w:rPr>
              <w:t>20808</w:t>
            </w:r>
          </w:p>
        </w:tc>
        <w:tc>
          <w:tcPr>
            <w:tcW w:w="3827" w:type="dxa"/>
            <w:vAlign w:val="center"/>
          </w:tcPr>
          <w:p>
            <w:pPr>
              <w:spacing w:line="360" w:lineRule="auto"/>
              <w:ind w:firstLine="198" w:firstLineChars="90"/>
              <w:jc w:val="left"/>
              <w:rPr>
                <w:rFonts w:ascii="宋体" w:hAnsi="宋体" w:eastAsia="宋体" w:cs="Arial"/>
                <w:color w:val="000000" w:themeColor="text1"/>
                <w:sz w:val="22"/>
              </w:rPr>
            </w:pPr>
            <w:r>
              <w:rPr>
                <w:rFonts w:hint="eastAsia" w:cs="Arial"/>
                <w:color w:val="000000" w:themeColor="text1"/>
                <w:sz w:val="22"/>
              </w:rPr>
              <w:t>抚恤</w:t>
            </w:r>
          </w:p>
        </w:tc>
        <w:tc>
          <w:tcPr>
            <w:tcW w:w="1134" w:type="dxa"/>
            <w:vAlign w:val="bottom"/>
          </w:tcPr>
          <w:p>
            <w:pPr>
              <w:widowControl/>
              <w:spacing w:line="480" w:lineRule="auto"/>
              <w:ind w:firstLine="0" w:firstLineChars="0"/>
              <w:jc w:val="right"/>
              <w:textAlignment w:val="center"/>
              <w:rPr>
                <w:rFonts w:cs="仿宋" w:asciiTheme="majorHAnsi" w:hAnsiTheme="majorHAnsi" w:eastAsiaTheme="minorEastAsia"/>
                <w:color w:val="000000" w:themeColor="text1"/>
                <w:sz w:val="21"/>
                <w:szCs w:val="21"/>
              </w:rPr>
            </w:pPr>
            <w:r>
              <w:rPr>
                <w:rFonts w:asciiTheme="majorHAnsi" w:hAnsiTheme="majorHAnsi"/>
                <w:color w:val="000000" w:themeColor="text1"/>
                <w:sz w:val="22"/>
              </w:rPr>
              <w:t>1,</w:t>
            </w:r>
            <w:r>
              <w:rPr>
                <w:rFonts w:cs="仿宋" w:asciiTheme="majorHAnsi" w:hAnsiTheme="majorHAnsi" w:eastAsiaTheme="minorEastAsia"/>
                <w:color w:val="000000" w:themeColor="text1"/>
                <w:sz w:val="21"/>
                <w:szCs w:val="21"/>
              </w:rPr>
              <w:t>248.86</w:t>
            </w:r>
          </w:p>
        </w:tc>
        <w:tc>
          <w:tcPr>
            <w:tcW w:w="1134" w:type="dxa"/>
            <w:vAlign w:val="center"/>
          </w:tcPr>
          <w:p>
            <w:pPr>
              <w:spacing w:line="276" w:lineRule="auto"/>
              <w:ind w:firstLine="0" w:firstLineChars="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1,098.39</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-12.05%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308" w:firstLineChars="140"/>
              <w:rPr>
                <w:rFonts w:ascii="宋体" w:hAnsi="宋体" w:eastAsia="宋体" w:cs="Arial"/>
                <w:color w:val="000000" w:themeColor="text1"/>
                <w:sz w:val="22"/>
              </w:rPr>
            </w:pPr>
            <w:r>
              <w:rPr>
                <w:rFonts w:hint="eastAsia" w:cs="Arial"/>
                <w:color w:val="000000" w:themeColor="text1"/>
                <w:sz w:val="22"/>
              </w:rPr>
              <w:t>2080802</w:t>
            </w:r>
          </w:p>
        </w:tc>
        <w:tc>
          <w:tcPr>
            <w:tcW w:w="3827" w:type="dxa"/>
            <w:vAlign w:val="center"/>
          </w:tcPr>
          <w:p>
            <w:pPr>
              <w:spacing w:line="360" w:lineRule="auto"/>
              <w:ind w:firstLine="308" w:firstLineChars="140"/>
              <w:jc w:val="left"/>
              <w:rPr>
                <w:rFonts w:ascii="宋体" w:hAnsi="宋体" w:eastAsia="宋体" w:cs="Arial"/>
                <w:color w:val="000000" w:themeColor="text1"/>
                <w:sz w:val="22"/>
              </w:rPr>
            </w:pPr>
            <w:r>
              <w:rPr>
                <w:rFonts w:hint="eastAsia" w:cs="Arial"/>
                <w:color w:val="000000" w:themeColor="text1"/>
                <w:sz w:val="22"/>
              </w:rPr>
              <w:t>伤残抚恤</w:t>
            </w:r>
          </w:p>
        </w:tc>
        <w:tc>
          <w:tcPr>
            <w:tcW w:w="1134" w:type="dxa"/>
            <w:vAlign w:val="bottom"/>
          </w:tcPr>
          <w:p>
            <w:pPr>
              <w:widowControl/>
              <w:spacing w:line="480" w:lineRule="auto"/>
              <w:ind w:firstLine="0" w:firstLineChars="0"/>
              <w:jc w:val="right"/>
              <w:textAlignment w:val="center"/>
              <w:rPr>
                <w:rFonts w:cs="仿宋" w:asciiTheme="majorHAnsi" w:hAnsiTheme="majorHAnsi" w:eastAsiaTheme="minorEastAsia"/>
                <w:color w:val="000000" w:themeColor="text1"/>
                <w:sz w:val="21"/>
                <w:szCs w:val="21"/>
              </w:rPr>
            </w:pPr>
            <w:r>
              <w:rPr>
                <w:rFonts w:cs="仿宋" w:asciiTheme="majorHAnsi" w:hAnsiTheme="majorHAnsi" w:eastAsiaTheme="minorEastAsia"/>
                <w:color w:val="000000" w:themeColor="text1"/>
                <w:sz w:val="21"/>
                <w:szCs w:val="21"/>
              </w:rPr>
              <w:t>875.73</w:t>
            </w:r>
          </w:p>
        </w:tc>
        <w:tc>
          <w:tcPr>
            <w:tcW w:w="1134" w:type="dxa"/>
            <w:vAlign w:val="center"/>
          </w:tcPr>
          <w:p>
            <w:pPr>
              <w:spacing w:line="276" w:lineRule="auto"/>
              <w:ind w:right="105" w:firstLine="210" w:firstLineChars="10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920.41</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308" w:firstLineChars="140"/>
              <w:rPr>
                <w:rFonts w:ascii="宋体" w:hAnsi="宋体" w:eastAsia="宋体" w:cs="Arial"/>
                <w:color w:val="000000" w:themeColor="text1"/>
                <w:sz w:val="22"/>
              </w:rPr>
            </w:pPr>
            <w:r>
              <w:rPr>
                <w:rFonts w:hint="eastAsia" w:cs="Arial"/>
                <w:color w:val="000000" w:themeColor="text1"/>
                <w:sz w:val="22"/>
              </w:rPr>
              <w:t>2080804</w:t>
            </w:r>
          </w:p>
        </w:tc>
        <w:tc>
          <w:tcPr>
            <w:tcW w:w="3827" w:type="dxa"/>
            <w:vAlign w:val="center"/>
          </w:tcPr>
          <w:p>
            <w:pPr>
              <w:spacing w:line="360" w:lineRule="auto"/>
              <w:ind w:firstLine="308" w:firstLineChars="140"/>
              <w:jc w:val="left"/>
              <w:rPr>
                <w:rFonts w:ascii="宋体" w:hAnsi="宋体" w:eastAsia="宋体" w:cs="Arial"/>
                <w:color w:val="000000" w:themeColor="text1"/>
                <w:sz w:val="22"/>
              </w:rPr>
            </w:pPr>
            <w:r>
              <w:rPr>
                <w:rFonts w:hint="eastAsia" w:cs="Arial"/>
                <w:color w:val="000000" w:themeColor="text1"/>
                <w:sz w:val="22"/>
              </w:rPr>
              <w:t>优抚事业单位支出</w:t>
            </w:r>
          </w:p>
        </w:tc>
        <w:tc>
          <w:tcPr>
            <w:tcW w:w="1134" w:type="dxa"/>
            <w:vAlign w:val="bottom"/>
          </w:tcPr>
          <w:p>
            <w:pPr>
              <w:spacing w:line="480" w:lineRule="auto"/>
              <w:ind w:firstLine="0" w:firstLineChars="0"/>
              <w:jc w:val="right"/>
              <w:rPr>
                <w:rFonts w:cs="仿宋" w:asciiTheme="majorHAnsi" w:hAnsiTheme="majorHAnsi" w:eastAsiaTheme="minorEastAsia"/>
                <w:color w:val="000000" w:themeColor="text1"/>
                <w:sz w:val="21"/>
                <w:szCs w:val="21"/>
              </w:rPr>
            </w:pPr>
          </w:p>
        </w:tc>
        <w:tc>
          <w:tcPr>
            <w:tcW w:w="1134" w:type="dxa"/>
            <w:vAlign w:val="center"/>
          </w:tcPr>
          <w:p>
            <w:pPr>
              <w:spacing w:line="276" w:lineRule="auto"/>
              <w:ind w:firstLine="42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7.50</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eastAsia="宋体" w:cs="宋体" w:asciiTheme="majorHAnsi" w:hAnsiTheme="majorHAnsi"/>
                <w:color w:val="000000" w:themeColor="text1"/>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308" w:firstLineChars="140"/>
              <w:rPr>
                <w:rFonts w:ascii="宋体" w:hAnsi="宋体" w:eastAsia="宋体" w:cs="Arial"/>
                <w:color w:val="000000" w:themeColor="text1"/>
                <w:sz w:val="22"/>
              </w:rPr>
            </w:pPr>
            <w:r>
              <w:rPr>
                <w:rFonts w:hint="eastAsia" w:cs="Arial"/>
                <w:color w:val="000000" w:themeColor="text1"/>
                <w:sz w:val="22"/>
              </w:rPr>
              <w:t>2080805</w:t>
            </w:r>
          </w:p>
        </w:tc>
        <w:tc>
          <w:tcPr>
            <w:tcW w:w="3827" w:type="dxa"/>
            <w:vAlign w:val="center"/>
          </w:tcPr>
          <w:p>
            <w:pPr>
              <w:spacing w:line="360" w:lineRule="auto"/>
              <w:ind w:firstLine="308" w:firstLineChars="140"/>
              <w:jc w:val="left"/>
              <w:rPr>
                <w:rFonts w:ascii="宋体" w:hAnsi="宋体" w:eastAsia="宋体" w:cs="Arial"/>
                <w:color w:val="000000" w:themeColor="text1"/>
                <w:sz w:val="22"/>
              </w:rPr>
            </w:pPr>
            <w:r>
              <w:rPr>
                <w:rFonts w:hint="eastAsia" w:cs="Arial"/>
                <w:color w:val="000000" w:themeColor="text1"/>
                <w:sz w:val="22"/>
              </w:rPr>
              <w:t>义务兵优待</w:t>
            </w:r>
          </w:p>
        </w:tc>
        <w:tc>
          <w:tcPr>
            <w:tcW w:w="1134" w:type="dxa"/>
            <w:vAlign w:val="bottom"/>
          </w:tcPr>
          <w:p>
            <w:pPr>
              <w:widowControl/>
              <w:spacing w:line="480" w:lineRule="auto"/>
              <w:ind w:firstLine="0" w:firstLineChars="0"/>
              <w:jc w:val="right"/>
              <w:textAlignment w:val="center"/>
              <w:rPr>
                <w:rFonts w:cs="仿宋" w:asciiTheme="majorHAnsi" w:hAnsiTheme="majorHAnsi" w:eastAsiaTheme="minorEastAsia"/>
                <w:color w:val="000000" w:themeColor="text1"/>
                <w:kern w:val="0"/>
                <w:sz w:val="21"/>
                <w:szCs w:val="21"/>
              </w:rPr>
            </w:pPr>
            <w:r>
              <w:rPr>
                <w:rFonts w:cs="仿宋" w:asciiTheme="majorHAnsi" w:hAnsiTheme="majorHAnsi" w:eastAsiaTheme="minorEastAsia"/>
                <w:color w:val="000000" w:themeColor="text1"/>
                <w:kern w:val="0"/>
                <w:sz w:val="21"/>
                <w:szCs w:val="21"/>
              </w:rPr>
              <w:t>96.71</w:t>
            </w:r>
          </w:p>
        </w:tc>
        <w:tc>
          <w:tcPr>
            <w:tcW w:w="1134" w:type="dxa"/>
            <w:vAlign w:val="center"/>
          </w:tcPr>
          <w:p>
            <w:pPr>
              <w:spacing w:line="276" w:lineRule="auto"/>
              <w:ind w:firstLine="42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99.41</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2.79%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308" w:firstLineChars="140"/>
              <w:rPr>
                <w:rFonts w:ascii="宋体" w:hAnsi="宋体" w:eastAsia="宋体" w:cs="Arial"/>
                <w:color w:val="000000" w:themeColor="text1"/>
                <w:sz w:val="22"/>
              </w:rPr>
            </w:pPr>
            <w:r>
              <w:rPr>
                <w:rFonts w:hint="eastAsia" w:cs="Arial"/>
                <w:color w:val="000000" w:themeColor="text1"/>
                <w:sz w:val="22"/>
              </w:rPr>
              <w:t>2080899</w:t>
            </w:r>
          </w:p>
        </w:tc>
        <w:tc>
          <w:tcPr>
            <w:tcW w:w="3827" w:type="dxa"/>
            <w:vAlign w:val="center"/>
          </w:tcPr>
          <w:p>
            <w:pPr>
              <w:spacing w:line="360" w:lineRule="auto"/>
              <w:ind w:firstLine="308" w:firstLineChars="140"/>
              <w:jc w:val="left"/>
              <w:rPr>
                <w:rFonts w:ascii="宋体" w:hAnsi="宋体" w:eastAsia="宋体" w:cs="Arial"/>
                <w:color w:val="000000" w:themeColor="text1"/>
                <w:sz w:val="22"/>
              </w:rPr>
            </w:pPr>
            <w:r>
              <w:rPr>
                <w:rFonts w:hint="eastAsia" w:cs="Arial"/>
                <w:color w:val="000000" w:themeColor="text1"/>
                <w:sz w:val="22"/>
              </w:rPr>
              <w:t>其他优抚支出</w:t>
            </w:r>
          </w:p>
        </w:tc>
        <w:tc>
          <w:tcPr>
            <w:tcW w:w="1134" w:type="dxa"/>
            <w:vAlign w:val="bottom"/>
          </w:tcPr>
          <w:p>
            <w:pPr>
              <w:widowControl/>
              <w:spacing w:line="480" w:lineRule="auto"/>
              <w:ind w:firstLine="0" w:firstLineChars="0"/>
              <w:jc w:val="right"/>
              <w:textAlignment w:val="center"/>
              <w:rPr>
                <w:rFonts w:cs="仿宋" w:asciiTheme="majorHAnsi" w:hAnsiTheme="majorHAnsi" w:eastAsiaTheme="minorEastAsia"/>
                <w:color w:val="000000" w:themeColor="text1"/>
                <w:kern w:val="0"/>
                <w:sz w:val="21"/>
                <w:szCs w:val="21"/>
              </w:rPr>
            </w:pPr>
            <w:r>
              <w:rPr>
                <w:rFonts w:cs="仿宋" w:asciiTheme="majorHAnsi" w:hAnsiTheme="majorHAnsi" w:eastAsiaTheme="minorEastAsia"/>
                <w:color w:val="000000" w:themeColor="text1"/>
                <w:kern w:val="0"/>
                <w:sz w:val="21"/>
                <w:szCs w:val="21"/>
              </w:rPr>
              <w:t>276.42</w:t>
            </w:r>
          </w:p>
        </w:tc>
        <w:tc>
          <w:tcPr>
            <w:tcW w:w="1134" w:type="dxa"/>
            <w:vAlign w:val="center"/>
          </w:tcPr>
          <w:p>
            <w:pPr>
              <w:spacing w:line="276" w:lineRule="auto"/>
              <w:ind w:firstLine="42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71.07</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-74.29%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110" w:firstLineChars="50"/>
              <w:rPr>
                <w:rFonts w:ascii="宋体" w:hAnsi="宋体" w:eastAsia="宋体" w:cs="Arial"/>
                <w:color w:val="000000" w:themeColor="text1"/>
                <w:sz w:val="22"/>
              </w:rPr>
            </w:pPr>
            <w:r>
              <w:rPr>
                <w:rFonts w:hint="eastAsia" w:cs="Arial"/>
                <w:color w:val="000000" w:themeColor="text1"/>
                <w:sz w:val="22"/>
              </w:rPr>
              <w:t>20809</w:t>
            </w:r>
          </w:p>
        </w:tc>
        <w:tc>
          <w:tcPr>
            <w:tcW w:w="3827" w:type="dxa"/>
            <w:vAlign w:val="center"/>
          </w:tcPr>
          <w:p>
            <w:pPr>
              <w:spacing w:line="360" w:lineRule="auto"/>
              <w:ind w:firstLine="220" w:firstLineChars="100"/>
              <w:jc w:val="left"/>
              <w:rPr>
                <w:rFonts w:ascii="宋体" w:hAnsi="宋体" w:eastAsia="宋体" w:cs="Arial"/>
                <w:color w:val="000000" w:themeColor="text1"/>
                <w:sz w:val="22"/>
              </w:rPr>
            </w:pPr>
            <w:r>
              <w:rPr>
                <w:rFonts w:hint="eastAsia" w:cs="Arial"/>
                <w:color w:val="000000" w:themeColor="text1"/>
                <w:sz w:val="22"/>
              </w:rPr>
              <w:t>退役安置</w:t>
            </w:r>
          </w:p>
        </w:tc>
        <w:tc>
          <w:tcPr>
            <w:tcW w:w="1134" w:type="dxa"/>
            <w:vAlign w:val="bottom"/>
          </w:tcPr>
          <w:p>
            <w:pPr>
              <w:widowControl/>
              <w:spacing w:line="480" w:lineRule="auto"/>
              <w:ind w:firstLine="0" w:firstLineChars="0"/>
              <w:jc w:val="right"/>
              <w:textAlignment w:val="center"/>
              <w:rPr>
                <w:rFonts w:cs="仿宋" w:asciiTheme="majorHAnsi" w:hAnsiTheme="majorHAnsi" w:eastAsiaTheme="minorEastAsia"/>
                <w:color w:val="000000" w:themeColor="text1"/>
                <w:kern w:val="0"/>
                <w:sz w:val="21"/>
                <w:szCs w:val="21"/>
              </w:rPr>
            </w:pPr>
            <w:r>
              <w:rPr>
                <w:rFonts w:cs="仿宋" w:asciiTheme="majorHAnsi" w:hAnsiTheme="majorHAnsi" w:eastAsiaTheme="minorEastAsia"/>
                <w:color w:val="000000" w:themeColor="text1"/>
                <w:kern w:val="0"/>
                <w:sz w:val="21"/>
                <w:szCs w:val="21"/>
              </w:rPr>
              <w:t>379.88</w:t>
            </w:r>
          </w:p>
        </w:tc>
        <w:tc>
          <w:tcPr>
            <w:tcW w:w="1134" w:type="dxa"/>
            <w:vAlign w:val="center"/>
          </w:tcPr>
          <w:p>
            <w:pPr>
              <w:spacing w:line="276" w:lineRule="auto"/>
              <w:ind w:right="105" w:firstLine="0" w:firstLineChars="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104.36</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-72.53%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308" w:firstLineChars="140"/>
              <w:rPr>
                <w:rFonts w:cs="Arial"/>
                <w:color w:val="000000" w:themeColor="text1"/>
                <w:sz w:val="22"/>
              </w:rPr>
            </w:pPr>
            <w:r>
              <w:rPr>
                <w:rFonts w:hint="eastAsia" w:cs="Arial"/>
                <w:color w:val="000000" w:themeColor="text1"/>
                <w:sz w:val="22"/>
              </w:rPr>
              <w:t>2080901</w:t>
            </w:r>
          </w:p>
        </w:tc>
        <w:tc>
          <w:tcPr>
            <w:tcW w:w="3827" w:type="dxa"/>
            <w:vAlign w:val="center"/>
          </w:tcPr>
          <w:p>
            <w:pPr>
              <w:spacing w:line="360" w:lineRule="auto"/>
              <w:ind w:firstLine="308" w:firstLineChars="140"/>
              <w:jc w:val="left"/>
              <w:rPr>
                <w:rFonts w:cs="Arial"/>
                <w:color w:val="000000" w:themeColor="text1"/>
                <w:sz w:val="22"/>
              </w:rPr>
            </w:pPr>
            <w:r>
              <w:rPr>
                <w:rFonts w:hint="eastAsia" w:cs="Arial"/>
                <w:color w:val="000000" w:themeColor="text1"/>
                <w:sz w:val="22"/>
              </w:rPr>
              <w:t>退役士兵安置</w:t>
            </w:r>
          </w:p>
        </w:tc>
        <w:tc>
          <w:tcPr>
            <w:tcW w:w="1134" w:type="dxa"/>
            <w:vAlign w:val="bottom"/>
          </w:tcPr>
          <w:p>
            <w:pPr>
              <w:widowControl/>
              <w:spacing w:line="480" w:lineRule="auto"/>
              <w:ind w:firstLine="0" w:firstLineChars="0"/>
              <w:jc w:val="right"/>
              <w:textAlignment w:val="center"/>
              <w:rPr>
                <w:rFonts w:cs="仿宋" w:asciiTheme="majorHAnsi" w:hAnsiTheme="majorHAnsi" w:eastAsiaTheme="minorEastAsia"/>
                <w:color w:val="000000" w:themeColor="text1"/>
                <w:sz w:val="21"/>
                <w:szCs w:val="21"/>
              </w:rPr>
            </w:pPr>
            <w:r>
              <w:rPr>
                <w:rFonts w:cs="仿宋" w:asciiTheme="majorHAnsi" w:hAnsiTheme="majorHAnsi" w:eastAsiaTheme="minorEastAsia"/>
                <w:color w:val="000000" w:themeColor="text1"/>
                <w:sz w:val="21"/>
                <w:szCs w:val="21"/>
              </w:rPr>
              <w:t>69.60</w:t>
            </w:r>
          </w:p>
        </w:tc>
        <w:tc>
          <w:tcPr>
            <w:tcW w:w="1134" w:type="dxa"/>
            <w:vAlign w:val="center"/>
          </w:tcPr>
          <w:p>
            <w:pPr>
              <w:spacing w:line="276" w:lineRule="auto"/>
              <w:ind w:firstLine="420"/>
              <w:jc w:val="right"/>
              <w:rPr>
                <w:rFonts w:asciiTheme="majorHAnsi" w:hAnsiTheme="majorHAnsi"/>
                <w:color w:val="000000" w:themeColor="text1"/>
                <w:sz w:val="21"/>
                <w:szCs w:val="21"/>
              </w:rPr>
            </w:pP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308" w:firstLineChars="140"/>
              <w:rPr>
                <w:rFonts w:ascii="宋体" w:hAnsi="宋体" w:eastAsia="宋体" w:cs="Arial"/>
                <w:color w:val="000000" w:themeColor="text1"/>
                <w:sz w:val="22"/>
              </w:rPr>
            </w:pPr>
            <w:r>
              <w:rPr>
                <w:rFonts w:hint="eastAsia" w:cs="Arial"/>
                <w:color w:val="000000" w:themeColor="text1"/>
                <w:sz w:val="22"/>
              </w:rPr>
              <w:t>2080902</w:t>
            </w:r>
          </w:p>
        </w:tc>
        <w:tc>
          <w:tcPr>
            <w:tcW w:w="3827" w:type="dxa"/>
            <w:vAlign w:val="center"/>
          </w:tcPr>
          <w:p>
            <w:pPr>
              <w:spacing w:line="360" w:lineRule="auto"/>
              <w:ind w:firstLine="308" w:firstLineChars="140"/>
              <w:jc w:val="left"/>
              <w:rPr>
                <w:rFonts w:ascii="宋体" w:hAnsi="宋体" w:eastAsia="宋体" w:cs="Arial"/>
                <w:color w:val="000000" w:themeColor="text1"/>
                <w:sz w:val="22"/>
              </w:rPr>
            </w:pPr>
            <w:r>
              <w:rPr>
                <w:rFonts w:hint="eastAsia" w:cs="Arial"/>
                <w:color w:val="000000" w:themeColor="text1"/>
                <w:sz w:val="22"/>
              </w:rPr>
              <w:t>军队移交政府的离退休人员安置</w:t>
            </w:r>
          </w:p>
        </w:tc>
        <w:tc>
          <w:tcPr>
            <w:tcW w:w="1134" w:type="dxa"/>
            <w:vAlign w:val="bottom"/>
          </w:tcPr>
          <w:p>
            <w:pPr>
              <w:widowControl/>
              <w:spacing w:line="480" w:lineRule="auto"/>
              <w:ind w:firstLine="0" w:firstLineChars="0"/>
              <w:jc w:val="right"/>
              <w:textAlignment w:val="center"/>
              <w:rPr>
                <w:rFonts w:cs="仿宋" w:asciiTheme="majorHAnsi" w:hAnsiTheme="majorHAnsi" w:eastAsiaTheme="minorEastAsia"/>
                <w:color w:val="000000" w:themeColor="text1"/>
                <w:sz w:val="21"/>
                <w:szCs w:val="21"/>
              </w:rPr>
            </w:pPr>
            <w:r>
              <w:rPr>
                <w:rFonts w:cs="仿宋" w:asciiTheme="majorHAnsi" w:hAnsiTheme="majorHAnsi" w:eastAsiaTheme="minorEastAsia"/>
                <w:color w:val="000000" w:themeColor="text1"/>
                <w:sz w:val="21"/>
                <w:szCs w:val="21"/>
              </w:rPr>
              <w:t>57.86</w:t>
            </w:r>
          </w:p>
        </w:tc>
        <w:tc>
          <w:tcPr>
            <w:tcW w:w="1134" w:type="dxa"/>
            <w:vAlign w:val="center"/>
          </w:tcPr>
          <w:p>
            <w:pPr>
              <w:spacing w:line="276" w:lineRule="auto"/>
              <w:ind w:firstLine="42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59.27</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308" w:firstLineChars="140"/>
              <w:rPr>
                <w:rFonts w:cs="Arial"/>
                <w:color w:val="000000" w:themeColor="text1"/>
                <w:sz w:val="22"/>
              </w:rPr>
            </w:pPr>
            <w:r>
              <w:rPr>
                <w:rFonts w:hint="eastAsia" w:cs="Arial"/>
                <w:color w:val="000000" w:themeColor="text1"/>
                <w:sz w:val="22"/>
              </w:rPr>
              <w:t>2080903</w:t>
            </w:r>
          </w:p>
        </w:tc>
        <w:tc>
          <w:tcPr>
            <w:tcW w:w="3827" w:type="dxa"/>
            <w:vAlign w:val="center"/>
          </w:tcPr>
          <w:p>
            <w:pPr>
              <w:spacing w:line="360" w:lineRule="auto"/>
              <w:ind w:firstLine="308" w:firstLineChars="140"/>
              <w:jc w:val="left"/>
              <w:rPr>
                <w:rFonts w:cs="Arial"/>
                <w:color w:val="000000" w:themeColor="text1"/>
                <w:sz w:val="22"/>
              </w:rPr>
            </w:pPr>
            <w:r>
              <w:rPr>
                <w:rFonts w:hint="eastAsia" w:cs="Arial"/>
                <w:color w:val="000000" w:themeColor="text1"/>
                <w:sz w:val="22"/>
              </w:rPr>
              <w:t>军队移交政府离退休干部管理机构</w:t>
            </w:r>
          </w:p>
        </w:tc>
        <w:tc>
          <w:tcPr>
            <w:tcW w:w="1134" w:type="dxa"/>
            <w:vAlign w:val="bottom"/>
          </w:tcPr>
          <w:p>
            <w:pPr>
              <w:widowControl/>
              <w:spacing w:line="480" w:lineRule="auto"/>
              <w:ind w:firstLine="0" w:firstLineChars="0"/>
              <w:jc w:val="right"/>
              <w:textAlignment w:val="center"/>
              <w:rPr>
                <w:rFonts w:cs="仿宋" w:asciiTheme="majorHAnsi" w:hAnsiTheme="majorHAnsi" w:eastAsiaTheme="minorEastAsia"/>
                <w:color w:val="000000" w:themeColor="text1"/>
                <w:sz w:val="21"/>
                <w:szCs w:val="21"/>
              </w:rPr>
            </w:pPr>
            <w:r>
              <w:rPr>
                <w:rFonts w:cs="仿宋" w:asciiTheme="majorHAnsi" w:hAnsiTheme="majorHAnsi" w:eastAsiaTheme="minorEastAsia"/>
                <w:color w:val="000000" w:themeColor="text1"/>
                <w:sz w:val="21"/>
                <w:szCs w:val="21"/>
              </w:rPr>
              <w:t>30.20</w:t>
            </w:r>
          </w:p>
        </w:tc>
        <w:tc>
          <w:tcPr>
            <w:tcW w:w="1134" w:type="dxa"/>
            <w:vAlign w:val="center"/>
          </w:tcPr>
          <w:p>
            <w:pPr>
              <w:spacing w:line="276" w:lineRule="auto"/>
              <w:ind w:firstLine="420"/>
              <w:jc w:val="right"/>
              <w:rPr>
                <w:rFonts w:asciiTheme="majorHAnsi" w:hAnsiTheme="majorHAnsi"/>
                <w:color w:val="000000" w:themeColor="text1"/>
                <w:sz w:val="21"/>
                <w:szCs w:val="21"/>
              </w:rPr>
            </w:pP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308" w:firstLineChars="140"/>
              <w:rPr>
                <w:rFonts w:cs="Arial"/>
                <w:color w:val="000000" w:themeColor="text1"/>
                <w:sz w:val="22"/>
              </w:rPr>
            </w:pPr>
            <w:r>
              <w:rPr>
                <w:rFonts w:hint="eastAsia" w:cs="Arial"/>
                <w:color w:val="000000" w:themeColor="text1"/>
                <w:sz w:val="22"/>
              </w:rPr>
              <w:t>2080904</w:t>
            </w:r>
          </w:p>
        </w:tc>
        <w:tc>
          <w:tcPr>
            <w:tcW w:w="3827" w:type="dxa"/>
            <w:vAlign w:val="center"/>
          </w:tcPr>
          <w:p>
            <w:pPr>
              <w:spacing w:line="360" w:lineRule="auto"/>
              <w:ind w:firstLine="308" w:firstLineChars="140"/>
              <w:jc w:val="left"/>
              <w:rPr>
                <w:rFonts w:cs="Arial"/>
                <w:color w:val="000000" w:themeColor="text1"/>
                <w:sz w:val="22"/>
              </w:rPr>
            </w:pPr>
            <w:r>
              <w:rPr>
                <w:rFonts w:hint="eastAsia" w:cs="Arial"/>
                <w:color w:val="000000" w:themeColor="text1"/>
                <w:sz w:val="22"/>
              </w:rPr>
              <w:t>退役士兵管理教育</w:t>
            </w:r>
          </w:p>
        </w:tc>
        <w:tc>
          <w:tcPr>
            <w:tcW w:w="1134" w:type="dxa"/>
            <w:vAlign w:val="bottom"/>
          </w:tcPr>
          <w:p>
            <w:pPr>
              <w:widowControl/>
              <w:spacing w:line="480" w:lineRule="auto"/>
              <w:ind w:firstLine="0" w:firstLineChars="0"/>
              <w:jc w:val="right"/>
              <w:textAlignment w:val="center"/>
              <w:rPr>
                <w:rFonts w:cs="仿宋" w:asciiTheme="majorHAnsi" w:hAnsiTheme="majorHAnsi" w:eastAsiaTheme="minorEastAsia"/>
                <w:color w:val="000000" w:themeColor="text1"/>
                <w:sz w:val="21"/>
                <w:szCs w:val="21"/>
              </w:rPr>
            </w:pPr>
            <w:r>
              <w:rPr>
                <w:rFonts w:cs="仿宋" w:asciiTheme="majorHAnsi" w:hAnsiTheme="majorHAnsi" w:eastAsiaTheme="minorEastAsia"/>
                <w:color w:val="000000" w:themeColor="text1"/>
                <w:sz w:val="21"/>
                <w:szCs w:val="21"/>
              </w:rPr>
              <w:t>1.90</w:t>
            </w:r>
          </w:p>
        </w:tc>
        <w:tc>
          <w:tcPr>
            <w:tcW w:w="1134" w:type="dxa"/>
            <w:vAlign w:val="center"/>
          </w:tcPr>
          <w:p>
            <w:pPr>
              <w:spacing w:line="276" w:lineRule="auto"/>
              <w:ind w:firstLine="420"/>
              <w:jc w:val="right"/>
              <w:rPr>
                <w:rFonts w:asciiTheme="majorHAnsi" w:hAnsiTheme="majorHAnsi"/>
                <w:color w:val="000000" w:themeColor="text1"/>
                <w:sz w:val="21"/>
                <w:szCs w:val="21"/>
              </w:rPr>
            </w:pP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308" w:firstLineChars="140"/>
              <w:rPr>
                <w:rFonts w:ascii="宋体" w:hAnsi="宋体" w:eastAsia="宋体" w:cs="Arial"/>
                <w:color w:val="000000" w:themeColor="text1"/>
                <w:sz w:val="22"/>
              </w:rPr>
            </w:pPr>
            <w:r>
              <w:rPr>
                <w:rFonts w:hint="eastAsia" w:cs="Arial"/>
                <w:color w:val="000000" w:themeColor="text1"/>
                <w:sz w:val="22"/>
              </w:rPr>
              <w:t>2080905</w:t>
            </w:r>
          </w:p>
        </w:tc>
        <w:tc>
          <w:tcPr>
            <w:tcW w:w="3827" w:type="dxa"/>
            <w:vAlign w:val="center"/>
          </w:tcPr>
          <w:p>
            <w:pPr>
              <w:spacing w:line="360" w:lineRule="auto"/>
              <w:ind w:firstLine="308" w:firstLineChars="140"/>
              <w:jc w:val="left"/>
              <w:rPr>
                <w:rFonts w:ascii="宋体" w:hAnsi="宋体" w:eastAsia="宋体" w:cs="Arial"/>
                <w:color w:val="000000" w:themeColor="text1"/>
                <w:sz w:val="22"/>
              </w:rPr>
            </w:pPr>
            <w:r>
              <w:rPr>
                <w:rFonts w:hint="eastAsia" w:cs="Arial"/>
                <w:color w:val="000000" w:themeColor="text1"/>
                <w:sz w:val="22"/>
              </w:rPr>
              <w:t>军队转业干部安置</w:t>
            </w:r>
          </w:p>
        </w:tc>
        <w:tc>
          <w:tcPr>
            <w:tcW w:w="1134" w:type="dxa"/>
            <w:vAlign w:val="bottom"/>
          </w:tcPr>
          <w:p>
            <w:pPr>
              <w:widowControl/>
              <w:spacing w:line="480" w:lineRule="auto"/>
              <w:ind w:firstLine="0" w:firstLineChars="0"/>
              <w:jc w:val="right"/>
              <w:textAlignment w:val="center"/>
              <w:rPr>
                <w:rFonts w:cs="仿宋" w:asciiTheme="majorHAnsi" w:hAnsiTheme="majorHAnsi" w:eastAsiaTheme="minorEastAsia"/>
                <w:color w:val="000000" w:themeColor="text1"/>
                <w:sz w:val="21"/>
                <w:szCs w:val="21"/>
              </w:rPr>
            </w:pPr>
            <w:r>
              <w:rPr>
                <w:rFonts w:cs="仿宋" w:asciiTheme="majorHAnsi" w:hAnsiTheme="majorHAnsi" w:eastAsiaTheme="minorEastAsia"/>
                <w:color w:val="000000" w:themeColor="text1"/>
                <w:sz w:val="21"/>
                <w:szCs w:val="21"/>
              </w:rPr>
              <w:t>12.33</w:t>
            </w:r>
          </w:p>
        </w:tc>
        <w:tc>
          <w:tcPr>
            <w:tcW w:w="1134" w:type="dxa"/>
            <w:vAlign w:val="center"/>
          </w:tcPr>
          <w:p>
            <w:pPr>
              <w:spacing w:line="276" w:lineRule="auto"/>
              <w:ind w:firstLine="42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12.68</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308" w:firstLineChars="140"/>
              <w:rPr>
                <w:rFonts w:ascii="宋体" w:hAnsi="宋体" w:eastAsia="宋体" w:cs="Arial"/>
                <w:color w:val="000000" w:themeColor="text1"/>
                <w:sz w:val="22"/>
              </w:rPr>
            </w:pPr>
            <w:r>
              <w:rPr>
                <w:rFonts w:hint="eastAsia" w:cs="Arial"/>
                <w:color w:val="000000" w:themeColor="text1"/>
                <w:sz w:val="22"/>
              </w:rPr>
              <w:t>2080999</w:t>
            </w:r>
          </w:p>
        </w:tc>
        <w:tc>
          <w:tcPr>
            <w:tcW w:w="3827" w:type="dxa"/>
            <w:vAlign w:val="center"/>
          </w:tcPr>
          <w:p>
            <w:pPr>
              <w:spacing w:line="360" w:lineRule="auto"/>
              <w:ind w:firstLine="308" w:firstLineChars="140"/>
              <w:jc w:val="left"/>
              <w:rPr>
                <w:rFonts w:ascii="宋体" w:hAnsi="宋体" w:eastAsia="宋体" w:cs="Arial"/>
                <w:color w:val="000000" w:themeColor="text1"/>
                <w:sz w:val="22"/>
              </w:rPr>
            </w:pPr>
            <w:r>
              <w:rPr>
                <w:rFonts w:hint="eastAsia" w:cs="Arial"/>
                <w:color w:val="000000" w:themeColor="text1"/>
                <w:sz w:val="22"/>
              </w:rPr>
              <w:t>其他退役安置支出</w:t>
            </w:r>
          </w:p>
        </w:tc>
        <w:tc>
          <w:tcPr>
            <w:tcW w:w="1134" w:type="dxa"/>
            <w:vAlign w:val="bottom"/>
          </w:tcPr>
          <w:p>
            <w:pPr>
              <w:spacing w:line="480" w:lineRule="auto"/>
              <w:ind w:firstLine="0" w:firstLineChars="0"/>
              <w:jc w:val="right"/>
              <w:rPr>
                <w:rFonts w:cs="仿宋" w:asciiTheme="majorHAnsi" w:hAnsiTheme="majorHAnsi" w:eastAsiaTheme="minorEastAsia"/>
                <w:color w:val="000000" w:themeColor="text1"/>
                <w:sz w:val="21"/>
                <w:szCs w:val="21"/>
              </w:rPr>
            </w:pPr>
            <w:r>
              <w:rPr>
                <w:rFonts w:cs="仿宋" w:asciiTheme="majorHAnsi" w:hAnsiTheme="majorHAnsi" w:eastAsiaTheme="minorEastAsia"/>
                <w:color w:val="000000" w:themeColor="text1"/>
                <w:sz w:val="21"/>
                <w:szCs w:val="21"/>
              </w:rPr>
              <w:t>208.00</w:t>
            </w:r>
          </w:p>
        </w:tc>
        <w:tc>
          <w:tcPr>
            <w:tcW w:w="1134" w:type="dxa"/>
            <w:vAlign w:val="center"/>
          </w:tcPr>
          <w:p>
            <w:pPr>
              <w:spacing w:line="276" w:lineRule="auto"/>
              <w:ind w:firstLine="42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32.41</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-84.42%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198" w:firstLineChars="90"/>
              <w:rPr>
                <w:rFonts w:ascii="宋体" w:hAnsi="宋体" w:eastAsia="宋体" w:cs="Arial"/>
                <w:color w:val="000000" w:themeColor="text1"/>
                <w:sz w:val="22"/>
              </w:rPr>
            </w:pPr>
            <w:r>
              <w:rPr>
                <w:rFonts w:hint="eastAsia" w:cs="Arial"/>
                <w:color w:val="000000" w:themeColor="text1"/>
                <w:sz w:val="22"/>
              </w:rPr>
              <w:t>20828</w:t>
            </w:r>
          </w:p>
        </w:tc>
        <w:tc>
          <w:tcPr>
            <w:tcW w:w="3827" w:type="dxa"/>
            <w:vAlign w:val="center"/>
          </w:tcPr>
          <w:p>
            <w:pPr>
              <w:spacing w:line="360" w:lineRule="auto"/>
              <w:ind w:firstLine="110" w:firstLineChars="50"/>
              <w:jc w:val="left"/>
              <w:rPr>
                <w:rFonts w:ascii="宋体" w:hAnsi="宋体" w:eastAsia="宋体" w:cs="Arial"/>
                <w:color w:val="000000" w:themeColor="text1"/>
                <w:sz w:val="22"/>
              </w:rPr>
            </w:pPr>
            <w:r>
              <w:rPr>
                <w:rFonts w:hint="eastAsia" w:cs="Arial"/>
                <w:color w:val="000000" w:themeColor="text1"/>
                <w:sz w:val="22"/>
              </w:rPr>
              <w:t>退役军人管理事务</w:t>
            </w:r>
          </w:p>
        </w:tc>
        <w:tc>
          <w:tcPr>
            <w:tcW w:w="1134" w:type="dxa"/>
            <w:vAlign w:val="bottom"/>
          </w:tcPr>
          <w:p>
            <w:pPr>
              <w:spacing w:line="480" w:lineRule="auto"/>
              <w:ind w:firstLine="0" w:firstLineChars="0"/>
              <w:jc w:val="right"/>
              <w:rPr>
                <w:rFonts w:cs="仿宋" w:asciiTheme="majorHAnsi" w:hAnsiTheme="majorHAnsi" w:eastAsiaTheme="minorEastAsia"/>
                <w:color w:val="000000" w:themeColor="text1"/>
                <w:sz w:val="21"/>
                <w:szCs w:val="21"/>
              </w:rPr>
            </w:pPr>
            <w:r>
              <w:rPr>
                <w:rFonts w:cs="仿宋" w:asciiTheme="majorHAnsi" w:hAnsiTheme="majorHAnsi" w:eastAsiaTheme="minorEastAsia"/>
                <w:color w:val="000000" w:themeColor="text1"/>
                <w:sz w:val="21"/>
                <w:szCs w:val="21"/>
              </w:rPr>
              <w:t>125.96</w:t>
            </w:r>
          </w:p>
        </w:tc>
        <w:tc>
          <w:tcPr>
            <w:tcW w:w="1134" w:type="dxa"/>
            <w:vAlign w:val="center"/>
          </w:tcPr>
          <w:p>
            <w:pPr>
              <w:spacing w:line="276" w:lineRule="auto"/>
              <w:ind w:firstLine="0" w:firstLineChars="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233.58</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85.44%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308" w:firstLineChars="140"/>
              <w:rPr>
                <w:rFonts w:ascii="宋体" w:hAnsi="宋体" w:eastAsia="宋体" w:cs="Arial"/>
                <w:color w:val="000000" w:themeColor="text1"/>
                <w:sz w:val="22"/>
              </w:rPr>
            </w:pPr>
            <w:r>
              <w:rPr>
                <w:rFonts w:hint="eastAsia" w:cs="Arial"/>
                <w:color w:val="000000" w:themeColor="text1"/>
                <w:sz w:val="22"/>
              </w:rPr>
              <w:t>2082801</w:t>
            </w:r>
          </w:p>
        </w:tc>
        <w:tc>
          <w:tcPr>
            <w:tcW w:w="3827" w:type="dxa"/>
            <w:vAlign w:val="center"/>
          </w:tcPr>
          <w:p>
            <w:pPr>
              <w:spacing w:line="360" w:lineRule="auto"/>
              <w:ind w:firstLine="308" w:firstLineChars="140"/>
              <w:jc w:val="left"/>
              <w:rPr>
                <w:rFonts w:ascii="宋体" w:hAnsi="宋体" w:eastAsia="宋体" w:cs="Arial"/>
                <w:color w:val="000000" w:themeColor="text1"/>
                <w:sz w:val="22"/>
              </w:rPr>
            </w:pPr>
            <w:r>
              <w:rPr>
                <w:rFonts w:hint="eastAsia" w:cs="Arial"/>
                <w:color w:val="000000" w:themeColor="text1"/>
                <w:sz w:val="22"/>
              </w:rPr>
              <w:t>行政运行</w:t>
            </w:r>
          </w:p>
        </w:tc>
        <w:tc>
          <w:tcPr>
            <w:tcW w:w="1134" w:type="dxa"/>
            <w:vAlign w:val="bottom"/>
          </w:tcPr>
          <w:p>
            <w:pPr>
              <w:spacing w:line="480" w:lineRule="auto"/>
              <w:ind w:firstLine="0" w:firstLineChars="0"/>
              <w:jc w:val="right"/>
              <w:rPr>
                <w:rFonts w:cs="仿宋" w:asciiTheme="majorHAnsi" w:hAnsiTheme="majorHAnsi" w:eastAsiaTheme="minorEastAsia"/>
                <w:color w:val="000000" w:themeColor="text1"/>
                <w:sz w:val="21"/>
                <w:szCs w:val="21"/>
              </w:rPr>
            </w:pPr>
            <w:r>
              <w:rPr>
                <w:rFonts w:cs="仿宋" w:asciiTheme="majorHAnsi" w:hAnsiTheme="majorHAnsi" w:eastAsiaTheme="minorEastAsia"/>
                <w:color w:val="000000" w:themeColor="text1"/>
                <w:sz w:val="21"/>
                <w:szCs w:val="21"/>
              </w:rPr>
              <w:t>90.92</w:t>
            </w:r>
          </w:p>
        </w:tc>
        <w:tc>
          <w:tcPr>
            <w:tcW w:w="1134" w:type="dxa"/>
            <w:vAlign w:val="center"/>
          </w:tcPr>
          <w:p>
            <w:pPr>
              <w:spacing w:line="276" w:lineRule="auto"/>
              <w:ind w:firstLine="0" w:firstLineChars="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175.77</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93.32%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308" w:firstLineChars="140"/>
              <w:rPr>
                <w:rFonts w:ascii="宋体" w:hAnsi="宋体" w:eastAsia="宋体" w:cs="Arial"/>
                <w:color w:val="000000" w:themeColor="text1"/>
                <w:sz w:val="22"/>
              </w:rPr>
            </w:pPr>
            <w:r>
              <w:rPr>
                <w:rFonts w:hint="eastAsia" w:cs="Arial"/>
                <w:color w:val="000000" w:themeColor="text1"/>
                <w:sz w:val="22"/>
              </w:rPr>
              <w:t>2082899</w:t>
            </w:r>
          </w:p>
        </w:tc>
        <w:tc>
          <w:tcPr>
            <w:tcW w:w="3827" w:type="dxa"/>
            <w:vAlign w:val="center"/>
          </w:tcPr>
          <w:p>
            <w:pPr>
              <w:spacing w:line="360" w:lineRule="auto"/>
              <w:ind w:firstLine="308" w:firstLineChars="140"/>
              <w:jc w:val="left"/>
              <w:rPr>
                <w:rFonts w:ascii="宋体" w:hAnsi="宋体" w:eastAsia="宋体" w:cs="Arial"/>
                <w:color w:val="000000" w:themeColor="text1"/>
                <w:sz w:val="22"/>
              </w:rPr>
            </w:pPr>
            <w:r>
              <w:rPr>
                <w:rFonts w:hint="eastAsia" w:cs="Arial"/>
                <w:color w:val="000000" w:themeColor="text1"/>
                <w:sz w:val="22"/>
              </w:rPr>
              <w:t>其他退役军人事务管理支出</w:t>
            </w:r>
          </w:p>
        </w:tc>
        <w:tc>
          <w:tcPr>
            <w:tcW w:w="1134" w:type="dxa"/>
            <w:vAlign w:val="bottom"/>
          </w:tcPr>
          <w:p>
            <w:pPr>
              <w:spacing w:line="480" w:lineRule="auto"/>
              <w:ind w:firstLine="0" w:firstLineChars="0"/>
              <w:jc w:val="right"/>
              <w:rPr>
                <w:rFonts w:cs="仿宋" w:asciiTheme="majorHAnsi" w:hAnsiTheme="majorHAnsi" w:eastAsiaTheme="minorEastAsia"/>
                <w:color w:val="000000" w:themeColor="text1"/>
                <w:sz w:val="21"/>
                <w:szCs w:val="21"/>
              </w:rPr>
            </w:pPr>
            <w:r>
              <w:rPr>
                <w:rFonts w:cs="仿宋" w:asciiTheme="majorHAnsi" w:hAnsiTheme="majorHAnsi" w:eastAsiaTheme="minorEastAsia"/>
                <w:color w:val="000000" w:themeColor="text1"/>
                <w:sz w:val="21"/>
                <w:szCs w:val="21"/>
              </w:rPr>
              <w:t>35.04</w:t>
            </w:r>
          </w:p>
        </w:tc>
        <w:tc>
          <w:tcPr>
            <w:tcW w:w="1134" w:type="dxa"/>
            <w:vAlign w:val="center"/>
          </w:tcPr>
          <w:p>
            <w:pPr>
              <w:spacing w:line="276" w:lineRule="auto"/>
              <w:ind w:firstLine="42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57.81</w:t>
            </w:r>
          </w:p>
        </w:tc>
        <w:tc>
          <w:tcPr>
            <w:tcW w:w="1492" w:type="dxa"/>
            <w:vAlign w:val="center"/>
          </w:tcPr>
          <w:p>
            <w:pPr>
              <w:spacing w:line="240" w:lineRule="auto"/>
              <w:ind w:firstLine="0" w:firstLineChars="0"/>
              <w:jc w:val="right"/>
              <w:rPr>
                <w:rFonts w:eastAsia="宋体" w:cs="宋体" w:asciiTheme="majorHAnsi" w:hAnsiTheme="majorHAnsi"/>
                <w:color w:val="000000" w:themeColor="text1"/>
                <w:sz w:val="22"/>
              </w:rPr>
            </w:pPr>
            <w:r>
              <w:rPr>
                <w:rFonts w:asciiTheme="majorHAnsi" w:hAnsiTheme="majorHAnsi"/>
                <w:color w:val="000000" w:themeColor="text1"/>
                <w:sz w:val="22"/>
              </w:rPr>
              <w:t>64.98%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198" w:firstLineChars="90"/>
              <w:rPr>
                <w:rFonts w:ascii="宋体" w:hAnsi="宋体" w:eastAsia="宋体" w:cs="Arial"/>
                <w:color w:val="000000" w:themeColor="text1"/>
                <w:sz w:val="22"/>
              </w:rPr>
            </w:pPr>
            <w:r>
              <w:rPr>
                <w:rFonts w:hint="eastAsia" w:cs="Arial"/>
                <w:color w:val="000000" w:themeColor="text1"/>
                <w:sz w:val="22"/>
              </w:rPr>
              <w:t>20899</w:t>
            </w:r>
          </w:p>
        </w:tc>
        <w:tc>
          <w:tcPr>
            <w:tcW w:w="3827" w:type="dxa"/>
            <w:vAlign w:val="center"/>
          </w:tcPr>
          <w:p>
            <w:pPr>
              <w:spacing w:line="360" w:lineRule="auto"/>
              <w:ind w:firstLine="110" w:firstLineChars="50"/>
              <w:jc w:val="left"/>
              <w:rPr>
                <w:rFonts w:ascii="宋体" w:hAnsi="宋体" w:eastAsia="宋体" w:cs="Arial"/>
                <w:color w:val="000000" w:themeColor="text1"/>
                <w:sz w:val="22"/>
              </w:rPr>
            </w:pPr>
            <w:r>
              <w:rPr>
                <w:rFonts w:hint="eastAsia" w:cs="Arial"/>
                <w:color w:val="000000" w:themeColor="text1"/>
                <w:sz w:val="22"/>
              </w:rPr>
              <w:t>其他社会保障和就业支出</w:t>
            </w:r>
          </w:p>
        </w:tc>
        <w:tc>
          <w:tcPr>
            <w:tcW w:w="1134" w:type="dxa"/>
            <w:vAlign w:val="bottom"/>
          </w:tcPr>
          <w:p>
            <w:pPr>
              <w:spacing w:line="480" w:lineRule="auto"/>
              <w:ind w:firstLine="420"/>
              <w:jc w:val="right"/>
              <w:rPr>
                <w:rFonts w:cs="仿宋" w:asciiTheme="majorHAnsi" w:hAnsiTheme="majorHAnsi" w:eastAsiaTheme="minorEastAsia"/>
                <w:color w:val="000000" w:themeColor="text1"/>
                <w:sz w:val="21"/>
                <w:szCs w:val="21"/>
              </w:rPr>
            </w:pPr>
          </w:p>
        </w:tc>
        <w:tc>
          <w:tcPr>
            <w:tcW w:w="1134" w:type="dxa"/>
            <w:vAlign w:val="center"/>
          </w:tcPr>
          <w:p>
            <w:pPr>
              <w:spacing w:line="276" w:lineRule="auto"/>
              <w:ind w:firstLine="42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30.00</w:t>
            </w:r>
          </w:p>
        </w:tc>
        <w:tc>
          <w:tcPr>
            <w:tcW w:w="1492" w:type="dxa"/>
            <w:vAlign w:val="center"/>
          </w:tcPr>
          <w:p>
            <w:pPr>
              <w:spacing w:line="240" w:lineRule="auto"/>
              <w:ind w:right="20" w:firstLine="0" w:firstLineChars="0"/>
              <w:jc w:val="right"/>
              <w:rPr>
                <w:rFonts w:eastAsia="仿宋" w:cs="仿宋" w:asciiTheme="majorHAnsi" w:hAnsiTheme="majorHAnsi"/>
                <w:color w:val="000000" w:themeColor="text1"/>
                <w:sz w:val="24"/>
                <w:szCs w:val="24"/>
              </w:rPr>
            </w:pPr>
            <w:r>
              <w:rPr>
                <w:rFonts w:eastAsia="宋体" w:cs="宋体" w:asciiTheme="majorHAnsi" w:hAnsiTheme="majorHAnsi"/>
                <w:color w:val="000000" w:themeColor="text1"/>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308" w:firstLineChars="140"/>
              <w:rPr>
                <w:rFonts w:ascii="宋体" w:hAnsi="宋体" w:eastAsia="宋体" w:cs="Arial"/>
                <w:color w:val="000000" w:themeColor="text1"/>
                <w:sz w:val="22"/>
              </w:rPr>
            </w:pPr>
            <w:r>
              <w:rPr>
                <w:rFonts w:hint="eastAsia" w:cs="Arial"/>
                <w:color w:val="000000" w:themeColor="text1"/>
                <w:sz w:val="22"/>
              </w:rPr>
              <w:t>2089999</w:t>
            </w:r>
          </w:p>
        </w:tc>
        <w:tc>
          <w:tcPr>
            <w:tcW w:w="3827" w:type="dxa"/>
            <w:vAlign w:val="center"/>
          </w:tcPr>
          <w:p>
            <w:pPr>
              <w:spacing w:line="360" w:lineRule="auto"/>
              <w:ind w:firstLine="308" w:firstLineChars="140"/>
              <w:jc w:val="left"/>
              <w:rPr>
                <w:rFonts w:ascii="宋体" w:hAnsi="宋体" w:eastAsia="宋体" w:cs="Arial"/>
                <w:color w:val="000000" w:themeColor="text1"/>
                <w:sz w:val="22"/>
              </w:rPr>
            </w:pPr>
            <w:r>
              <w:rPr>
                <w:rFonts w:hint="eastAsia" w:cs="Arial"/>
                <w:color w:val="000000" w:themeColor="text1"/>
                <w:sz w:val="22"/>
              </w:rPr>
              <w:t>其他社会保障和就业支出</w:t>
            </w:r>
          </w:p>
        </w:tc>
        <w:tc>
          <w:tcPr>
            <w:tcW w:w="1134" w:type="dxa"/>
            <w:vAlign w:val="bottom"/>
          </w:tcPr>
          <w:p>
            <w:pPr>
              <w:spacing w:line="480" w:lineRule="auto"/>
              <w:ind w:firstLine="420"/>
              <w:jc w:val="right"/>
              <w:rPr>
                <w:rFonts w:cs="仿宋" w:asciiTheme="majorHAnsi" w:hAnsiTheme="majorHAnsi" w:eastAsiaTheme="minorEastAsia"/>
                <w:color w:val="000000" w:themeColor="text1"/>
                <w:sz w:val="21"/>
                <w:szCs w:val="21"/>
              </w:rPr>
            </w:pPr>
          </w:p>
        </w:tc>
        <w:tc>
          <w:tcPr>
            <w:tcW w:w="1134" w:type="dxa"/>
            <w:vAlign w:val="center"/>
          </w:tcPr>
          <w:p>
            <w:pPr>
              <w:spacing w:line="276" w:lineRule="auto"/>
              <w:ind w:firstLine="42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30.00</w:t>
            </w:r>
          </w:p>
        </w:tc>
        <w:tc>
          <w:tcPr>
            <w:tcW w:w="1492" w:type="dxa"/>
            <w:vAlign w:val="center"/>
          </w:tcPr>
          <w:p>
            <w:pPr>
              <w:spacing w:line="240" w:lineRule="auto"/>
              <w:ind w:right="40" w:firstLine="0" w:firstLineChars="0"/>
              <w:jc w:val="right"/>
              <w:rPr>
                <w:rFonts w:eastAsia="仿宋" w:cs="仿宋" w:asciiTheme="majorHAnsi" w:hAnsiTheme="majorHAnsi"/>
                <w:color w:val="000000" w:themeColor="text1"/>
                <w:sz w:val="24"/>
                <w:szCs w:val="24"/>
              </w:rPr>
            </w:pPr>
            <w:r>
              <w:rPr>
                <w:rFonts w:eastAsia="宋体" w:cs="宋体" w:asciiTheme="majorHAnsi" w:hAnsiTheme="majorHAnsi"/>
                <w:color w:val="000000" w:themeColor="text1"/>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0" w:firstLineChars="0"/>
              <w:rPr>
                <w:rFonts w:ascii="宋体" w:hAnsi="宋体" w:eastAsia="宋体" w:cs="Arial"/>
                <w:color w:val="000000" w:themeColor="text1"/>
                <w:sz w:val="22"/>
              </w:rPr>
            </w:pPr>
            <w:r>
              <w:rPr>
                <w:rFonts w:hint="eastAsia" w:cs="Arial"/>
                <w:color w:val="000000" w:themeColor="text1"/>
                <w:sz w:val="22"/>
              </w:rPr>
              <w:t>210</w:t>
            </w:r>
          </w:p>
        </w:tc>
        <w:tc>
          <w:tcPr>
            <w:tcW w:w="3827" w:type="dxa"/>
            <w:vAlign w:val="center"/>
          </w:tcPr>
          <w:p>
            <w:pPr>
              <w:spacing w:line="360" w:lineRule="auto"/>
              <w:ind w:firstLine="0" w:firstLineChars="0"/>
              <w:jc w:val="left"/>
              <w:rPr>
                <w:rFonts w:ascii="宋体" w:hAnsi="宋体" w:eastAsia="宋体" w:cs="Arial"/>
                <w:color w:val="000000" w:themeColor="text1"/>
                <w:sz w:val="22"/>
              </w:rPr>
            </w:pPr>
            <w:r>
              <w:rPr>
                <w:rFonts w:hint="eastAsia" w:cs="Arial"/>
                <w:color w:val="000000" w:themeColor="text1"/>
                <w:sz w:val="22"/>
              </w:rPr>
              <w:t>卫生健康支出</w:t>
            </w:r>
          </w:p>
        </w:tc>
        <w:tc>
          <w:tcPr>
            <w:tcW w:w="1134" w:type="dxa"/>
            <w:vAlign w:val="bottom"/>
          </w:tcPr>
          <w:p>
            <w:pPr>
              <w:spacing w:line="480" w:lineRule="auto"/>
              <w:ind w:firstLine="420"/>
              <w:jc w:val="right"/>
              <w:rPr>
                <w:rFonts w:cs="仿宋" w:asciiTheme="majorHAnsi" w:hAnsiTheme="majorHAnsi" w:eastAsiaTheme="minorEastAsia"/>
                <w:color w:val="000000" w:themeColor="text1"/>
                <w:sz w:val="21"/>
                <w:szCs w:val="21"/>
              </w:rPr>
            </w:pPr>
          </w:p>
        </w:tc>
        <w:tc>
          <w:tcPr>
            <w:tcW w:w="1134" w:type="dxa"/>
            <w:vAlign w:val="center"/>
          </w:tcPr>
          <w:p>
            <w:pPr>
              <w:spacing w:line="276" w:lineRule="auto"/>
              <w:ind w:firstLine="42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5.63</w:t>
            </w:r>
          </w:p>
        </w:tc>
        <w:tc>
          <w:tcPr>
            <w:tcW w:w="1492" w:type="dxa"/>
            <w:vAlign w:val="center"/>
          </w:tcPr>
          <w:p>
            <w:pPr>
              <w:spacing w:line="240" w:lineRule="auto"/>
              <w:ind w:right="40" w:firstLine="0" w:firstLineChars="0"/>
              <w:jc w:val="right"/>
              <w:rPr>
                <w:rFonts w:eastAsia="仿宋" w:cs="仿宋" w:asciiTheme="majorHAnsi" w:hAnsiTheme="majorHAnsi"/>
                <w:color w:val="000000" w:themeColor="text1"/>
                <w:sz w:val="24"/>
                <w:szCs w:val="24"/>
              </w:rPr>
            </w:pPr>
            <w:r>
              <w:rPr>
                <w:rFonts w:eastAsia="宋体" w:cs="宋体" w:asciiTheme="majorHAnsi" w:hAnsiTheme="majorHAnsi"/>
                <w:color w:val="000000" w:themeColor="text1"/>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ind w:firstLine="198" w:firstLineChars="90"/>
              <w:rPr>
                <w:rFonts w:ascii="宋体" w:hAnsi="宋体" w:eastAsia="宋体" w:cs="Arial"/>
                <w:color w:val="000000" w:themeColor="text1"/>
                <w:sz w:val="22"/>
              </w:rPr>
            </w:pPr>
            <w:r>
              <w:rPr>
                <w:rFonts w:hint="eastAsia" w:cs="Arial"/>
                <w:color w:val="000000" w:themeColor="text1"/>
                <w:sz w:val="22"/>
              </w:rPr>
              <w:t>21014</w:t>
            </w:r>
          </w:p>
        </w:tc>
        <w:tc>
          <w:tcPr>
            <w:tcW w:w="3827" w:type="dxa"/>
            <w:vAlign w:val="center"/>
          </w:tcPr>
          <w:p>
            <w:pPr>
              <w:spacing w:line="360" w:lineRule="auto"/>
              <w:ind w:firstLine="198" w:firstLineChars="90"/>
              <w:jc w:val="left"/>
              <w:rPr>
                <w:rFonts w:ascii="宋体" w:hAnsi="宋体" w:eastAsia="宋体" w:cs="Arial"/>
                <w:color w:val="000000" w:themeColor="text1"/>
                <w:sz w:val="22"/>
              </w:rPr>
            </w:pPr>
            <w:r>
              <w:rPr>
                <w:rFonts w:hint="eastAsia" w:cs="Arial"/>
                <w:color w:val="000000" w:themeColor="text1"/>
                <w:sz w:val="22"/>
              </w:rPr>
              <w:t>优抚对象医疗</w:t>
            </w:r>
          </w:p>
        </w:tc>
        <w:tc>
          <w:tcPr>
            <w:tcW w:w="1134" w:type="dxa"/>
            <w:vAlign w:val="bottom"/>
          </w:tcPr>
          <w:p>
            <w:pPr>
              <w:spacing w:line="360" w:lineRule="auto"/>
              <w:ind w:firstLine="420"/>
              <w:jc w:val="right"/>
              <w:rPr>
                <w:rFonts w:eastAsia="仿宋" w:cs="仿宋" w:asciiTheme="majorHAnsi" w:hAnsiTheme="majorHAnsi"/>
                <w:color w:val="000000" w:themeColor="text1"/>
                <w:sz w:val="21"/>
                <w:szCs w:val="21"/>
              </w:rPr>
            </w:pPr>
          </w:p>
        </w:tc>
        <w:tc>
          <w:tcPr>
            <w:tcW w:w="1134" w:type="dxa"/>
            <w:vAlign w:val="center"/>
          </w:tcPr>
          <w:p>
            <w:pPr>
              <w:spacing w:line="276" w:lineRule="auto"/>
              <w:ind w:firstLine="42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5.63</w:t>
            </w:r>
          </w:p>
        </w:tc>
        <w:tc>
          <w:tcPr>
            <w:tcW w:w="1492" w:type="dxa"/>
          </w:tcPr>
          <w:p>
            <w:pPr>
              <w:ind w:firstLine="550" w:firstLineChars="250"/>
              <w:jc w:val="left"/>
              <w:rPr>
                <w:rFonts w:ascii="仿宋" w:hAnsi="仿宋" w:eastAsia="仿宋" w:cs="仿宋"/>
                <w:color w:val="000000" w:themeColor="text1"/>
                <w:sz w:val="24"/>
                <w:szCs w:val="24"/>
              </w:rPr>
            </w:pPr>
            <w:r>
              <w:rPr>
                <w:rFonts w:eastAsia="宋体" w:cs="宋体" w:asciiTheme="majorHAnsi" w:hAnsiTheme="majorHAnsi"/>
                <w:color w:val="000000" w:themeColor="text1"/>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tcPr>
          <w:p>
            <w:pPr>
              <w:ind w:firstLine="308" w:firstLineChars="140"/>
              <w:rPr>
                <w:rFonts w:ascii="宋体" w:hAnsi="宋体" w:eastAsia="宋体" w:cs="Arial"/>
                <w:color w:val="000000" w:themeColor="text1"/>
                <w:sz w:val="22"/>
              </w:rPr>
            </w:pPr>
            <w:r>
              <w:rPr>
                <w:rFonts w:hint="eastAsia" w:cs="Arial"/>
                <w:color w:val="000000" w:themeColor="text1"/>
                <w:sz w:val="22"/>
              </w:rPr>
              <w:t>2101401</w:t>
            </w:r>
          </w:p>
        </w:tc>
        <w:tc>
          <w:tcPr>
            <w:tcW w:w="3827" w:type="dxa"/>
            <w:vAlign w:val="center"/>
          </w:tcPr>
          <w:p>
            <w:pPr>
              <w:spacing w:line="360" w:lineRule="auto"/>
              <w:ind w:firstLine="308" w:firstLineChars="140"/>
              <w:jc w:val="left"/>
              <w:rPr>
                <w:rFonts w:ascii="宋体" w:hAnsi="宋体" w:eastAsia="宋体" w:cs="Arial"/>
                <w:color w:val="000000" w:themeColor="text1"/>
                <w:sz w:val="22"/>
              </w:rPr>
            </w:pPr>
            <w:r>
              <w:rPr>
                <w:rFonts w:hint="eastAsia" w:cs="Arial"/>
                <w:color w:val="000000" w:themeColor="text1"/>
                <w:sz w:val="22"/>
              </w:rPr>
              <w:t>优抚对象医疗补助</w:t>
            </w:r>
          </w:p>
        </w:tc>
        <w:tc>
          <w:tcPr>
            <w:tcW w:w="1134" w:type="dxa"/>
            <w:vAlign w:val="bottom"/>
          </w:tcPr>
          <w:p>
            <w:pPr>
              <w:spacing w:line="360" w:lineRule="auto"/>
              <w:ind w:firstLine="420"/>
              <w:jc w:val="right"/>
              <w:rPr>
                <w:rFonts w:eastAsia="仿宋" w:cs="仿宋" w:asciiTheme="majorHAnsi" w:hAnsiTheme="majorHAnsi"/>
                <w:color w:val="000000" w:themeColor="text1"/>
                <w:sz w:val="21"/>
                <w:szCs w:val="21"/>
              </w:rPr>
            </w:pPr>
          </w:p>
        </w:tc>
        <w:tc>
          <w:tcPr>
            <w:tcW w:w="1134" w:type="dxa"/>
            <w:vAlign w:val="center"/>
          </w:tcPr>
          <w:p>
            <w:pPr>
              <w:spacing w:line="276" w:lineRule="auto"/>
              <w:ind w:firstLine="420"/>
              <w:jc w:val="right"/>
              <w:rPr>
                <w:rFonts w:eastAsia="宋体" w:cs="宋体" w:asciiTheme="majorHAnsi" w:hAnsiTheme="majorHAnsi"/>
                <w:color w:val="000000" w:themeColor="text1"/>
                <w:sz w:val="21"/>
                <w:szCs w:val="21"/>
              </w:rPr>
            </w:pPr>
            <w:r>
              <w:rPr>
                <w:rFonts w:asciiTheme="majorHAnsi" w:hAnsiTheme="majorHAnsi"/>
                <w:color w:val="000000" w:themeColor="text1"/>
                <w:sz w:val="21"/>
                <w:szCs w:val="21"/>
              </w:rPr>
              <w:t>5.63</w:t>
            </w:r>
          </w:p>
        </w:tc>
        <w:tc>
          <w:tcPr>
            <w:tcW w:w="1492" w:type="dxa"/>
          </w:tcPr>
          <w:p>
            <w:pPr>
              <w:ind w:firstLine="550" w:firstLineChars="250"/>
              <w:jc w:val="left"/>
              <w:rPr>
                <w:rFonts w:ascii="仿宋" w:hAnsi="仿宋" w:eastAsia="仿宋" w:cs="仿宋"/>
                <w:color w:val="000000" w:themeColor="text1"/>
                <w:sz w:val="24"/>
                <w:szCs w:val="24"/>
              </w:rPr>
            </w:pPr>
            <w:r>
              <w:rPr>
                <w:rFonts w:eastAsia="宋体" w:cs="宋体" w:asciiTheme="majorHAnsi" w:hAnsiTheme="majorHAnsi"/>
                <w:color w:val="000000" w:themeColor="text1"/>
                <w:sz w:val="22"/>
              </w:rPr>
              <w:t>——</w:t>
            </w:r>
          </w:p>
        </w:tc>
      </w:tr>
    </w:tbl>
    <w:p>
      <w:pPr>
        <w:numPr>
          <w:ilvl w:val="0"/>
          <w:numId w:val="1"/>
        </w:numPr>
        <w:ind w:firstLine="640"/>
        <w:jc w:val="left"/>
        <w:rPr>
          <w:rFonts w:ascii="仿宋" w:hAnsi="仿宋" w:eastAsia="仿宋" w:cs="仿宋"/>
          <w:color w:val="000000" w:themeColor="text1"/>
          <w:szCs w:val="32"/>
        </w:rPr>
      </w:pPr>
      <w:r>
        <w:rPr>
          <w:rFonts w:hint="eastAsia" w:ascii="仿宋" w:hAnsi="仿宋" w:eastAsia="仿宋" w:cs="仿宋"/>
          <w:color w:val="000000" w:themeColor="text1"/>
          <w:szCs w:val="32"/>
        </w:rPr>
        <w:t>按经济科目分类对比如下：</w:t>
      </w:r>
    </w:p>
    <w:p>
      <w:pPr>
        <w:ind w:firstLine="602"/>
        <w:jc w:val="left"/>
        <w:rPr>
          <w:rFonts w:ascii="仿宋" w:hAnsi="仿宋" w:eastAsia="仿宋" w:cs="仿宋"/>
          <w:color w:val="000000" w:themeColor="text1"/>
          <w:sz w:val="30"/>
          <w:szCs w:val="30"/>
        </w:rPr>
      </w:pPr>
      <w:r>
        <w:rPr>
          <w:rFonts w:hint="eastAsia" w:ascii="仿宋" w:hAnsi="仿宋" w:eastAsia="仿宋" w:cs="Arial"/>
          <w:b/>
          <w:color w:val="000000" w:themeColor="text1"/>
          <w:kern w:val="0"/>
          <w:sz w:val="30"/>
          <w:szCs w:val="30"/>
        </w:rPr>
        <w:t>2020年度支出经济科目分类决算对比表      单位：万元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8"/>
                <w:szCs w:val="28"/>
              </w:rPr>
              <w:t>科目名称</w:t>
            </w:r>
          </w:p>
        </w:tc>
        <w:tc>
          <w:tcPr>
            <w:tcW w:w="1837" w:type="dxa"/>
          </w:tcPr>
          <w:p>
            <w:pPr>
              <w:widowControl/>
              <w:ind w:firstLine="482"/>
              <w:jc w:val="left"/>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4"/>
                <w:szCs w:val="24"/>
              </w:rPr>
              <w:t>2020年</w:t>
            </w:r>
          </w:p>
        </w:tc>
        <w:tc>
          <w:tcPr>
            <w:tcW w:w="2071" w:type="dxa"/>
          </w:tcPr>
          <w:p>
            <w:pPr>
              <w:widowControl/>
              <w:ind w:firstLine="482"/>
              <w:jc w:val="left"/>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4"/>
                <w:szCs w:val="24"/>
              </w:rPr>
              <w:t>2021年</w:t>
            </w:r>
          </w:p>
        </w:tc>
        <w:tc>
          <w:tcPr>
            <w:tcW w:w="1956" w:type="dxa"/>
          </w:tcPr>
          <w:p>
            <w:pPr>
              <w:widowControl/>
              <w:ind w:firstLine="482"/>
              <w:jc w:val="left"/>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合  计</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1754.70</w:t>
            </w:r>
          </w:p>
        </w:tc>
        <w:tc>
          <w:tcPr>
            <w:tcW w:w="2071" w:type="dxa"/>
            <w:vAlign w:val="center"/>
          </w:tcPr>
          <w:p>
            <w:pPr>
              <w:widowControl/>
              <w:ind w:firstLine="560"/>
              <w:jc w:val="right"/>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1471.96</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工资福利支出</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158.75</w:t>
            </w:r>
          </w:p>
        </w:tc>
        <w:tc>
          <w:tcPr>
            <w:tcW w:w="2071" w:type="dxa"/>
            <w:vAlign w:val="center"/>
          </w:tcPr>
          <w:p>
            <w:pPr>
              <w:widowControl/>
              <w:ind w:firstLine="560"/>
              <w:jc w:val="right"/>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76.88</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-51.57%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商品服务支出</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153.72</w:t>
            </w:r>
          </w:p>
        </w:tc>
        <w:tc>
          <w:tcPr>
            <w:tcW w:w="2071" w:type="dxa"/>
            <w:vAlign w:val="center"/>
          </w:tcPr>
          <w:p>
            <w:pPr>
              <w:widowControl/>
              <w:ind w:firstLine="560"/>
              <w:jc w:val="right"/>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105.51</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-94.10%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firstLine="0" w:firstLineChars="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对个人和家庭的补助</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1193.97</w:t>
            </w:r>
          </w:p>
        </w:tc>
        <w:tc>
          <w:tcPr>
            <w:tcW w:w="2071"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1288.87</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-22.90%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color w:val="000000" w:themeColor="text1"/>
                <w:kern w:val="0"/>
                <w:sz w:val="28"/>
                <w:szCs w:val="28"/>
              </w:rPr>
            </w:pPr>
            <w:r>
              <w:rPr>
                <w:rFonts w:hint="eastAsia" w:ascii="仿宋" w:hAnsi="仿宋" w:eastAsia="仿宋" w:cs="仿宋"/>
                <w:color w:val="000000" w:themeColor="text1"/>
                <w:kern w:val="0"/>
                <w:sz w:val="28"/>
                <w:szCs w:val="28"/>
              </w:rPr>
              <w:t>资本性支出</w:t>
            </w:r>
          </w:p>
        </w:tc>
        <w:tc>
          <w:tcPr>
            <w:tcW w:w="1837"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7.66</w:t>
            </w:r>
          </w:p>
        </w:tc>
        <w:tc>
          <w:tcPr>
            <w:tcW w:w="2071" w:type="dxa"/>
            <w:vAlign w:val="center"/>
          </w:tcPr>
          <w:p>
            <w:pPr>
              <w:widowControl/>
              <w:ind w:firstLine="560"/>
              <w:jc w:val="right"/>
              <w:textAlignment w:val="center"/>
              <w:rPr>
                <w:rFonts w:ascii="仿宋" w:hAnsi="仿宋" w:eastAsia="仿宋" w:cs="仿宋"/>
                <w:color w:val="000000" w:themeColor="text1"/>
                <w:sz w:val="28"/>
                <w:szCs w:val="28"/>
              </w:rPr>
            </w:pPr>
            <w:r>
              <w:rPr>
                <w:rFonts w:hint="eastAsia" w:ascii="仿宋" w:hAnsi="仿宋" w:eastAsia="仿宋" w:cs="仿宋"/>
                <w:color w:val="000000" w:themeColor="text1"/>
                <w:sz w:val="28"/>
                <w:szCs w:val="28"/>
              </w:rPr>
              <w:t>0.70</w:t>
            </w:r>
          </w:p>
        </w:tc>
        <w:tc>
          <w:tcPr>
            <w:tcW w:w="1956" w:type="dxa"/>
            <w:vAlign w:val="center"/>
          </w:tcPr>
          <w:p>
            <w:pPr>
              <w:widowControl/>
              <w:ind w:firstLine="480"/>
              <w:jc w:val="right"/>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-90.86%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jc w:val="left"/>
              <w:rPr>
                <w:rFonts w:ascii="仿宋" w:hAnsi="仿宋" w:eastAsia="仿宋" w:cs="仿宋"/>
                <w:b/>
                <w:bCs/>
                <w:color w:val="000000" w:themeColor="text1"/>
                <w:kern w:val="0"/>
                <w:sz w:val="28"/>
                <w:szCs w:val="28"/>
              </w:rPr>
            </w:pPr>
          </w:p>
        </w:tc>
        <w:tc>
          <w:tcPr>
            <w:tcW w:w="1837" w:type="dxa"/>
            <w:vAlign w:val="center"/>
          </w:tcPr>
          <w:p>
            <w:pPr>
              <w:widowControl/>
              <w:ind w:firstLine="560"/>
              <w:jc w:val="right"/>
              <w:rPr>
                <w:rFonts w:ascii="仿宋" w:hAnsi="仿宋" w:eastAsia="仿宋" w:cs="仿宋"/>
                <w:color w:val="000000" w:themeColor="text1"/>
                <w:kern w:val="0"/>
                <w:sz w:val="28"/>
                <w:szCs w:val="28"/>
              </w:rPr>
            </w:pPr>
          </w:p>
        </w:tc>
        <w:tc>
          <w:tcPr>
            <w:tcW w:w="2071" w:type="dxa"/>
            <w:vAlign w:val="center"/>
          </w:tcPr>
          <w:p>
            <w:pPr>
              <w:widowControl/>
              <w:ind w:firstLine="560"/>
              <w:jc w:val="right"/>
              <w:textAlignment w:val="center"/>
              <w:rPr>
                <w:rFonts w:ascii="仿宋" w:hAnsi="仿宋" w:eastAsia="仿宋" w:cs="仿宋"/>
                <w:color w:val="000000" w:themeColor="text1"/>
                <w:sz w:val="28"/>
                <w:szCs w:val="28"/>
              </w:rPr>
            </w:pPr>
          </w:p>
        </w:tc>
        <w:tc>
          <w:tcPr>
            <w:tcW w:w="1956" w:type="dxa"/>
            <w:vAlign w:val="center"/>
          </w:tcPr>
          <w:p>
            <w:pPr>
              <w:widowControl/>
              <w:ind w:firstLine="480"/>
              <w:jc w:val="right"/>
              <w:rPr>
                <w:rFonts w:ascii="仿宋" w:hAnsi="仿宋" w:eastAsia="仿宋" w:cs="仿宋"/>
                <w:color w:val="000000" w:themeColor="text1"/>
                <w:kern w:val="0"/>
                <w:sz w:val="24"/>
                <w:szCs w:val="24"/>
              </w:rPr>
            </w:pPr>
          </w:p>
        </w:tc>
      </w:tr>
    </w:tbl>
    <w:p>
      <w:pPr>
        <w:spacing w:line="580" w:lineRule="exact"/>
        <w:ind w:firstLine="0" w:firstLineChars="0"/>
        <w:rPr>
          <w:color w:val="000000" w:themeColor="text1"/>
          <w:szCs w:val="32"/>
        </w:rPr>
      </w:pPr>
    </w:p>
    <w:p>
      <w:pPr>
        <w:pStyle w:val="3"/>
        <w:ind w:firstLine="643"/>
        <w:rPr>
          <w:rFonts w:ascii="仿宋" w:hAnsi="仿宋" w:eastAsia="仿宋" w:cs="仿宋"/>
          <w:color w:val="000000" w:themeColor="text1"/>
        </w:rPr>
      </w:pPr>
      <w:bookmarkStart w:id="21" w:name="_Toc17728"/>
      <w:bookmarkStart w:id="22" w:name="_Toc841"/>
      <w:r>
        <w:rPr>
          <w:rFonts w:hint="eastAsia" w:ascii="仿宋" w:hAnsi="仿宋" w:eastAsia="仿宋" w:cs="仿宋"/>
          <w:color w:val="000000" w:themeColor="text1"/>
        </w:rPr>
        <w:t>六、一般公共预算财政拨款基本支出决算情况说明</w:t>
      </w:r>
      <w:bookmarkEnd w:id="21"/>
      <w:bookmarkEnd w:id="22"/>
    </w:p>
    <w:p>
      <w:pPr>
        <w:spacing w:line="580" w:lineRule="exact"/>
        <w:ind w:firstLine="640"/>
        <w:rPr>
          <w:rFonts w:ascii="仿宋_GB2312"/>
          <w:color w:val="000000" w:themeColor="text1"/>
          <w:szCs w:val="32"/>
        </w:rPr>
      </w:pPr>
      <w:r>
        <w:rPr>
          <w:rFonts w:hint="eastAsia" w:ascii="仿宋_GB2312"/>
          <w:color w:val="000000" w:themeColor="text1"/>
          <w:szCs w:val="32"/>
        </w:rPr>
        <w:t>2021年度</w:t>
      </w:r>
      <w:r>
        <w:rPr>
          <w:rFonts w:ascii="仿宋_GB2312"/>
          <w:color w:val="000000" w:themeColor="text1"/>
          <w:szCs w:val="32"/>
        </w:rPr>
        <w:t>财政拨款</w:t>
      </w:r>
      <w:r>
        <w:rPr>
          <w:rFonts w:hint="eastAsia" w:ascii="仿宋_GB2312"/>
          <w:color w:val="000000" w:themeColor="text1"/>
          <w:szCs w:val="32"/>
        </w:rPr>
        <w:t>基本</w:t>
      </w:r>
      <w:r>
        <w:rPr>
          <w:rFonts w:ascii="仿宋_GB2312"/>
          <w:color w:val="000000" w:themeColor="text1"/>
          <w:szCs w:val="32"/>
        </w:rPr>
        <w:t>支出</w:t>
      </w:r>
      <w:r>
        <w:rPr>
          <w:rFonts w:hint="eastAsia" w:ascii="仿宋_GB2312"/>
          <w:color w:val="000000" w:themeColor="text1"/>
          <w:szCs w:val="32"/>
        </w:rPr>
        <w:t>1007.24万元</w:t>
      </w:r>
      <w:r>
        <w:rPr>
          <w:rFonts w:ascii="仿宋_GB2312"/>
          <w:color w:val="000000" w:themeColor="text1"/>
          <w:szCs w:val="32"/>
        </w:rPr>
        <w:t>，其中</w:t>
      </w:r>
      <w:r>
        <w:rPr>
          <w:rFonts w:hint="eastAsia" w:ascii="仿宋_GB2312"/>
          <w:color w:val="000000" w:themeColor="text1"/>
          <w:szCs w:val="32"/>
        </w:rPr>
        <w:t>：人员</w:t>
      </w:r>
      <w:r>
        <w:rPr>
          <w:rFonts w:ascii="仿宋_GB2312"/>
          <w:color w:val="000000" w:themeColor="text1"/>
          <w:szCs w:val="32"/>
        </w:rPr>
        <w:t>经费</w:t>
      </w:r>
      <w:r>
        <w:rPr>
          <w:rFonts w:hint="eastAsia" w:ascii="仿宋_GB2312"/>
          <w:color w:val="000000" w:themeColor="text1"/>
          <w:szCs w:val="32"/>
        </w:rPr>
        <w:t>76.89万元</w:t>
      </w:r>
      <w:r>
        <w:rPr>
          <w:rFonts w:ascii="仿宋_GB2312"/>
          <w:color w:val="000000" w:themeColor="text1"/>
          <w:szCs w:val="32"/>
        </w:rPr>
        <w:t>，</w:t>
      </w:r>
      <w:r>
        <w:rPr>
          <w:rFonts w:hint="eastAsia" w:ascii="仿宋_GB2312"/>
          <w:color w:val="000000" w:themeColor="text1"/>
          <w:szCs w:val="32"/>
        </w:rPr>
        <w:t>主要</w:t>
      </w:r>
      <w:r>
        <w:rPr>
          <w:rFonts w:ascii="仿宋_GB2312"/>
          <w:color w:val="000000" w:themeColor="text1"/>
          <w:szCs w:val="32"/>
        </w:rPr>
        <w:t>包</w:t>
      </w:r>
      <w:r>
        <w:rPr>
          <w:rFonts w:hint="eastAsia" w:ascii="仿宋_GB2312"/>
          <w:color w:val="000000" w:themeColor="text1"/>
          <w:szCs w:val="32"/>
        </w:rPr>
        <w:t>基本工资30.96万元、津贴补贴14.34万元、绩效工资11.84万元、机关事业单位养老保险缴费9.15万元、住房公积金5.73万元等</w:t>
      </w:r>
      <w:r>
        <w:rPr>
          <w:rFonts w:ascii="仿宋_GB2312"/>
          <w:color w:val="000000" w:themeColor="text1"/>
          <w:szCs w:val="32"/>
        </w:rPr>
        <w:t>；</w:t>
      </w:r>
      <w:r>
        <w:rPr>
          <w:rFonts w:hint="eastAsia" w:ascii="仿宋_GB2312"/>
          <w:color w:val="000000" w:themeColor="text1"/>
          <w:szCs w:val="32"/>
        </w:rPr>
        <w:t>公用</w:t>
      </w:r>
      <w:r>
        <w:rPr>
          <w:rFonts w:ascii="仿宋_GB2312"/>
          <w:color w:val="000000" w:themeColor="text1"/>
          <w:szCs w:val="32"/>
        </w:rPr>
        <w:t>经费</w:t>
      </w:r>
      <w:r>
        <w:rPr>
          <w:rFonts w:hint="eastAsia" w:ascii="仿宋_GB2312"/>
          <w:color w:val="000000" w:themeColor="text1"/>
          <w:szCs w:val="32"/>
        </w:rPr>
        <w:t>105.51万元</w:t>
      </w:r>
      <w:r>
        <w:rPr>
          <w:rFonts w:ascii="仿宋_GB2312"/>
          <w:color w:val="000000" w:themeColor="text1"/>
          <w:szCs w:val="32"/>
        </w:rPr>
        <w:t>，主要</w:t>
      </w:r>
      <w:r>
        <w:rPr>
          <w:rFonts w:hint="eastAsia" w:ascii="仿宋_GB2312"/>
          <w:color w:val="000000" w:themeColor="text1"/>
          <w:szCs w:val="32"/>
        </w:rPr>
        <w:t>包括办公费45.30万元、印刷费18.40万元、邮电费1.60万元、维修（护）费31.28万元、职工福利费1.81万元、其他交通费用4.36万元等</w:t>
      </w:r>
      <w:r>
        <w:rPr>
          <w:rFonts w:ascii="仿宋_GB2312"/>
          <w:color w:val="000000" w:themeColor="text1"/>
          <w:szCs w:val="32"/>
        </w:rPr>
        <w:t>。</w:t>
      </w:r>
      <w:r>
        <w:rPr>
          <w:rFonts w:hint="eastAsia" w:ascii="仿宋_GB2312"/>
          <w:color w:val="000000" w:themeColor="text1"/>
          <w:szCs w:val="32"/>
        </w:rPr>
        <w:t>2021年度</w:t>
      </w:r>
      <w:r>
        <w:rPr>
          <w:rFonts w:ascii="仿宋_GB2312"/>
          <w:color w:val="000000" w:themeColor="text1"/>
          <w:szCs w:val="32"/>
        </w:rPr>
        <w:t>财政拨款</w:t>
      </w:r>
      <w:r>
        <w:rPr>
          <w:rFonts w:hint="eastAsia" w:ascii="仿宋_GB2312"/>
          <w:color w:val="000000" w:themeColor="text1"/>
          <w:szCs w:val="32"/>
        </w:rPr>
        <w:t>项目</w:t>
      </w:r>
      <w:r>
        <w:rPr>
          <w:rFonts w:ascii="仿宋_GB2312"/>
          <w:color w:val="000000" w:themeColor="text1"/>
          <w:szCs w:val="32"/>
        </w:rPr>
        <w:t>支出</w:t>
      </w:r>
      <w:r>
        <w:rPr>
          <w:rFonts w:hint="eastAsia" w:ascii="仿宋_GB2312"/>
          <w:color w:val="000000" w:themeColor="text1"/>
          <w:szCs w:val="32"/>
        </w:rPr>
        <w:t>464.72万元。</w:t>
      </w:r>
    </w:p>
    <w:p>
      <w:pPr>
        <w:pStyle w:val="3"/>
        <w:ind w:firstLine="643"/>
        <w:rPr>
          <w:rFonts w:ascii="仿宋" w:hAnsi="仿宋" w:eastAsia="仿宋" w:cs="仿宋"/>
          <w:color w:val="000000" w:themeColor="text1"/>
        </w:rPr>
      </w:pPr>
      <w:bookmarkStart w:id="23" w:name="_Toc2304"/>
      <w:bookmarkStart w:id="24" w:name="_Toc26508"/>
    </w:p>
    <w:p>
      <w:pPr>
        <w:pStyle w:val="3"/>
        <w:ind w:firstLine="643"/>
        <w:rPr>
          <w:rFonts w:ascii="仿宋" w:hAnsi="仿宋" w:eastAsia="仿宋" w:cs="仿宋"/>
          <w:color w:val="000000" w:themeColor="text1"/>
        </w:rPr>
      </w:pPr>
      <w:r>
        <w:rPr>
          <w:rFonts w:hint="eastAsia" w:ascii="仿宋" w:hAnsi="仿宋" w:eastAsia="仿宋" w:cs="仿宋"/>
          <w:color w:val="000000" w:themeColor="text1"/>
        </w:rPr>
        <w:t>七、一般公共预算财政拨款“三公”经费支出决算情况说明</w:t>
      </w:r>
      <w:bookmarkEnd w:id="23"/>
      <w:bookmarkEnd w:id="24"/>
    </w:p>
    <w:p>
      <w:pPr>
        <w:spacing w:line="580" w:lineRule="exact"/>
        <w:ind w:firstLine="640"/>
        <w:rPr>
          <w:color w:val="000000" w:themeColor="text1"/>
          <w:szCs w:val="32"/>
        </w:rPr>
      </w:pPr>
      <w:r>
        <w:rPr>
          <w:rFonts w:hint="eastAsia" w:ascii="仿宋_GB2312"/>
          <w:color w:val="000000" w:themeColor="text1"/>
          <w:szCs w:val="32"/>
        </w:rPr>
        <w:t>2021年度，“三公”经费财政拨款支出决算为0万元，，比上年减少（增加）0万元，下降（增长）0%，原因是：……。其中：因公出国（境）费支出决算0万元，占比0%，比上年减少（增加）0万元，下降（增长）0%；公务用车购置及运行费支出决算0万元，占比0%，比上年减少（增加）0万元，减少（增长）0%；公务接待费支出决算0万元，占比0%，比上年减少（增加）万元，减少（增长）0%。</w:t>
      </w:r>
    </w:p>
    <w:p>
      <w:pPr>
        <w:spacing w:line="580" w:lineRule="exact"/>
        <w:ind w:firstLine="640"/>
        <w:rPr>
          <w:b/>
          <w:color w:val="000000" w:themeColor="text1"/>
          <w:szCs w:val="32"/>
        </w:rPr>
      </w:pPr>
      <w:r>
        <w:rPr>
          <w:rFonts w:hint="eastAsia"/>
          <w:color w:val="000000" w:themeColor="text1"/>
          <w:szCs w:val="32"/>
        </w:rPr>
        <w:t>我单位</w:t>
      </w:r>
      <w:r>
        <w:rPr>
          <w:rFonts w:hint="eastAsia"/>
          <w:b/>
          <w:color w:val="000000" w:themeColor="text1"/>
          <w:szCs w:val="32"/>
        </w:rPr>
        <w:t>无“三公”经费预算和支出。</w:t>
      </w:r>
    </w:p>
    <w:p>
      <w:pPr>
        <w:pStyle w:val="8"/>
        <w:tabs>
          <w:tab w:val="left" w:pos="5760"/>
        </w:tabs>
        <w:spacing w:before="0" w:beforeAutospacing="0" w:after="0" w:afterAutospacing="0"/>
        <w:ind w:firstLine="640"/>
        <w:rPr>
          <w:rFonts w:ascii="仿宋_GB2312"/>
          <w:color w:val="000000" w:themeColor="text1"/>
          <w:sz w:val="32"/>
          <w:szCs w:val="32"/>
        </w:rPr>
      </w:pPr>
      <w:r>
        <w:rPr>
          <w:rFonts w:hint="eastAsia" w:ascii="仿宋_GB2312"/>
          <w:color w:val="000000" w:themeColor="text1"/>
          <w:sz w:val="32"/>
          <w:szCs w:val="32"/>
        </w:rPr>
        <w:t>2021年“三公”经费支出情况，分三项和2020年相比。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themeColor="text1"/>
                <w:sz w:val="21"/>
                <w:szCs w:val="21"/>
              </w:rPr>
            </w:pPr>
            <w:r>
              <w:rPr>
                <w:rFonts w:hint="eastAsia"/>
                <w:b/>
                <w:color w:val="000000" w:themeColor="text1"/>
                <w:sz w:val="21"/>
                <w:szCs w:val="21"/>
              </w:rPr>
              <w:t>年度</w:t>
            </w:r>
          </w:p>
          <w:p>
            <w:pPr>
              <w:pStyle w:val="8"/>
              <w:spacing w:before="0" w:beforeAutospacing="0" w:after="0" w:afterAutospacing="0" w:line="300" w:lineRule="exact"/>
              <w:ind w:firstLine="310" w:firstLineChars="147"/>
              <w:rPr>
                <w:b/>
                <w:color w:val="000000" w:themeColor="text1"/>
                <w:sz w:val="28"/>
                <w:szCs w:val="28"/>
              </w:rPr>
            </w:pPr>
            <w:r>
              <w:rPr>
                <w:rFonts w:hint="eastAsia"/>
                <w:b/>
                <w:color w:val="000000" w:themeColor="text1"/>
                <w:sz w:val="21"/>
                <w:szCs w:val="21"/>
              </w:rPr>
              <w:t>项目</w:t>
            </w:r>
          </w:p>
        </w:tc>
        <w:tc>
          <w:tcPr>
            <w:tcW w:w="1701" w:type="dxa"/>
          </w:tcPr>
          <w:p>
            <w:pPr>
              <w:pStyle w:val="8"/>
              <w:ind w:firstLine="562"/>
              <w:jc w:val="center"/>
              <w:rPr>
                <w:b/>
                <w:color w:val="000000" w:themeColor="text1"/>
                <w:sz w:val="28"/>
                <w:szCs w:val="28"/>
              </w:rPr>
            </w:pPr>
            <w:r>
              <w:rPr>
                <w:rFonts w:hint="eastAsia"/>
                <w:b/>
                <w:color w:val="000000" w:themeColor="text1"/>
                <w:sz w:val="28"/>
                <w:szCs w:val="28"/>
              </w:rPr>
              <w:t>2020年</w:t>
            </w:r>
          </w:p>
        </w:tc>
        <w:tc>
          <w:tcPr>
            <w:tcW w:w="1701" w:type="dxa"/>
          </w:tcPr>
          <w:p>
            <w:pPr>
              <w:pStyle w:val="8"/>
              <w:ind w:firstLine="562"/>
              <w:jc w:val="center"/>
              <w:rPr>
                <w:b/>
                <w:color w:val="000000" w:themeColor="text1"/>
                <w:sz w:val="28"/>
                <w:szCs w:val="28"/>
              </w:rPr>
            </w:pPr>
            <w:r>
              <w:rPr>
                <w:rFonts w:hint="eastAsia"/>
                <w:b/>
                <w:color w:val="000000" w:themeColor="text1"/>
                <w:sz w:val="28"/>
                <w:szCs w:val="28"/>
              </w:rPr>
              <w:t>2021年</w:t>
            </w:r>
          </w:p>
        </w:tc>
        <w:tc>
          <w:tcPr>
            <w:tcW w:w="1418" w:type="dxa"/>
          </w:tcPr>
          <w:p>
            <w:pPr>
              <w:pStyle w:val="8"/>
              <w:ind w:firstLine="0" w:firstLineChars="0"/>
              <w:jc w:val="both"/>
              <w:rPr>
                <w:b/>
                <w:color w:val="000000" w:themeColor="text1"/>
                <w:sz w:val="28"/>
                <w:szCs w:val="28"/>
              </w:rPr>
            </w:pPr>
            <w:r>
              <w:rPr>
                <w:rFonts w:hint="eastAsia"/>
                <w:b/>
                <w:color w:val="000000" w:themeColor="text1"/>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ind w:firstLine="560"/>
              <w:rPr>
                <w:color w:val="000000" w:themeColor="text1"/>
                <w:sz w:val="28"/>
                <w:szCs w:val="28"/>
              </w:rPr>
            </w:pPr>
            <w:r>
              <w:rPr>
                <w:rFonts w:hint="eastAsia"/>
                <w:color w:val="000000" w:themeColor="text1"/>
                <w:sz w:val="28"/>
                <w:szCs w:val="28"/>
              </w:rPr>
              <w:t>因公出国（境）费</w:t>
            </w:r>
          </w:p>
        </w:tc>
        <w:tc>
          <w:tcPr>
            <w:tcW w:w="1701" w:type="dxa"/>
          </w:tcPr>
          <w:p>
            <w:pPr>
              <w:pStyle w:val="8"/>
              <w:ind w:firstLine="560"/>
              <w:jc w:val="right"/>
              <w:rPr>
                <w:color w:val="000000" w:themeColor="text1"/>
                <w:sz w:val="28"/>
                <w:szCs w:val="28"/>
              </w:rPr>
            </w:pPr>
          </w:p>
        </w:tc>
        <w:tc>
          <w:tcPr>
            <w:tcW w:w="1701" w:type="dxa"/>
          </w:tcPr>
          <w:p>
            <w:pPr>
              <w:pStyle w:val="8"/>
              <w:ind w:firstLine="560"/>
              <w:jc w:val="right"/>
              <w:rPr>
                <w:color w:val="000000" w:themeColor="text1"/>
                <w:sz w:val="28"/>
                <w:szCs w:val="28"/>
              </w:rPr>
            </w:pPr>
          </w:p>
        </w:tc>
        <w:tc>
          <w:tcPr>
            <w:tcW w:w="1418" w:type="dxa"/>
          </w:tcPr>
          <w:p>
            <w:pPr>
              <w:pStyle w:val="8"/>
              <w:ind w:firstLine="560"/>
              <w:jc w:val="right"/>
              <w:rPr>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ind w:firstLine="560"/>
              <w:rPr>
                <w:color w:val="000000" w:themeColor="text1"/>
                <w:sz w:val="28"/>
                <w:szCs w:val="28"/>
              </w:rPr>
            </w:pPr>
            <w:r>
              <w:rPr>
                <w:rFonts w:hint="eastAsia"/>
                <w:color w:val="000000" w:themeColor="text1"/>
                <w:sz w:val="28"/>
                <w:szCs w:val="28"/>
              </w:rPr>
              <w:t>公务接待费</w:t>
            </w:r>
          </w:p>
        </w:tc>
        <w:tc>
          <w:tcPr>
            <w:tcW w:w="1701" w:type="dxa"/>
          </w:tcPr>
          <w:p>
            <w:pPr>
              <w:pStyle w:val="8"/>
              <w:ind w:firstLine="560"/>
              <w:jc w:val="right"/>
              <w:rPr>
                <w:color w:val="000000" w:themeColor="text1"/>
                <w:sz w:val="28"/>
                <w:szCs w:val="28"/>
              </w:rPr>
            </w:pPr>
          </w:p>
        </w:tc>
        <w:tc>
          <w:tcPr>
            <w:tcW w:w="1701" w:type="dxa"/>
          </w:tcPr>
          <w:p>
            <w:pPr>
              <w:pStyle w:val="8"/>
              <w:ind w:firstLine="560"/>
              <w:jc w:val="right"/>
              <w:rPr>
                <w:color w:val="000000" w:themeColor="text1"/>
                <w:sz w:val="28"/>
                <w:szCs w:val="28"/>
              </w:rPr>
            </w:pPr>
          </w:p>
        </w:tc>
        <w:tc>
          <w:tcPr>
            <w:tcW w:w="1418" w:type="dxa"/>
          </w:tcPr>
          <w:p>
            <w:pPr>
              <w:pStyle w:val="8"/>
              <w:ind w:firstLine="560"/>
              <w:jc w:val="right"/>
              <w:rPr>
                <w:color w:val="000000" w:themeColor="text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ind w:firstLine="0" w:firstLineChars="0"/>
              <w:rPr>
                <w:color w:val="000000" w:themeColor="text1"/>
                <w:sz w:val="28"/>
                <w:szCs w:val="28"/>
              </w:rPr>
            </w:pPr>
            <w:r>
              <w:rPr>
                <w:rFonts w:hint="eastAsia"/>
                <w:color w:val="000000" w:themeColor="text1"/>
                <w:sz w:val="28"/>
                <w:szCs w:val="28"/>
              </w:rPr>
              <w:t>公务用车购置及运行维护费</w:t>
            </w:r>
          </w:p>
        </w:tc>
        <w:tc>
          <w:tcPr>
            <w:tcW w:w="1701" w:type="dxa"/>
          </w:tcPr>
          <w:p>
            <w:pPr>
              <w:pStyle w:val="8"/>
              <w:ind w:firstLine="560"/>
              <w:jc w:val="right"/>
              <w:rPr>
                <w:rFonts w:eastAsia="宋体"/>
                <w:color w:val="000000" w:themeColor="text1"/>
                <w:sz w:val="28"/>
                <w:szCs w:val="28"/>
              </w:rPr>
            </w:pPr>
          </w:p>
        </w:tc>
        <w:tc>
          <w:tcPr>
            <w:tcW w:w="1701" w:type="dxa"/>
          </w:tcPr>
          <w:p>
            <w:pPr>
              <w:pStyle w:val="8"/>
              <w:ind w:firstLine="560"/>
              <w:jc w:val="right"/>
              <w:rPr>
                <w:color w:val="000000" w:themeColor="text1"/>
                <w:sz w:val="28"/>
                <w:szCs w:val="28"/>
              </w:rPr>
            </w:pPr>
          </w:p>
        </w:tc>
        <w:tc>
          <w:tcPr>
            <w:tcW w:w="1418" w:type="dxa"/>
          </w:tcPr>
          <w:p>
            <w:pPr>
              <w:pStyle w:val="8"/>
              <w:ind w:firstLine="560"/>
              <w:jc w:val="right"/>
              <w:rPr>
                <w:rFonts w:eastAsia="宋体"/>
                <w:color w:val="000000" w:themeColor="text1"/>
                <w:sz w:val="28"/>
                <w:szCs w:val="28"/>
              </w:rPr>
            </w:pPr>
          </w:p>
        </w:tc>
      </w:tr>
    </w:tbl>
    <w:p>
      <w:pPr>
        <w:pStyle w:val="8"/>
        <w:spacing w:before="0" w:beforeAutospacing="0" w:after="0" w:afterAutospacing="0"/>
        <w:ind w:firstLine="482"/>
        <w:rPr>
          <w:b/>
          <w:color w:val="000000" w:themeColor="text1"/>
          <w:szCs w:val="32"/>
        </w:rPr>
      </w:pPr>
    </w:p>
    <w:p>
      <w:pPr>
        <w:pStyle w:val="3"/>
        <w:ind w:firstLine="643"/>
        <w:rPr>
          <w:rFonts w:ascii="仿宋" w:hAnsi="仿宋" w:eastAsia="仿宋" w:cs="仿宋"/>
          <w:color w:val="000000" w:themeColor="text1"/>
        </w:rPr>
      </w:pPr>
      <w:bookmarkStart w:id="25" w:name="_Toc9078"/>
      <w:bookmarkStart w:id="26" w:name="_Toc1792"/>
      <w:r>
        <w:rPr>
          <w:rFonts w:hint="eastAsia" w:ascii="仿宋" w:hAnsi="仿宋" w:eastAsia="仿宋" w:cs="仿宋"/>
          <w:color w:val="000000" w:themeColor="text1"/>
        </w:rPr>
        <w:t>八、其他重要事项情况说明</w:t>
      </w:r>
      <w:bookmarkEnd w:id="25"/>
      <w:bookmarkEnd w:id="26"/>
    </w:p>
    <w:p>
      <w:pPr>
        <w:ind w:firstLine="643"/>
        <w:rPr>
          <w:b/>
          <w:bCs/>
          <w:color w:val="000000" w:themeColor="text1"/>
        </w:rPr>
      </w:pPr>
      <w:bookmarkStart w:id="27" w:name="_Toc23407"/>
      <w:r>
        <w:rPr>
          <w:rFonts w:hint="eastAsia"/>
          <w:b/>
          <w:bCs/>
          <w:color w:val="000000" w:themeColor="text1"/>
        </w:rPr>
        <w:t>（一）机关运行经费支出情况说明</w:t>
      </w:r>
      <w:bookmarkEnd w:id="27"/>
    </w:p>
    <w:p>
      <w:pPr>
        <w:spacing w:line="580" w:lineRule="exact"/>
        <w:ind w:firstLine="640"/>
        <w:rPr>
          <w:b/>
          <w:color w:val="000000" w:themeColor="text1"/>
          <w:szCs w:val="32"/>
        </w:rPr>
      </w:pPr>
      <w:r>
        <w:rPr>
          <w:rFonts w:hint="eastAsia" w:ascii="仿宋_GB2312" w:hAnsi="宋体"/>
          <w:color w:val="000000" w:themeColor="text1"/>
          <w:szCs w:val="32"/>
        </w:rPr>
        <w:t>2021年本单位机关运行经费支出9.76万元，比2020年减少143.96万元，降低93.65%。主要原因是：上年决算公开机关运行经费和本年统计口径不一致。</w:t>
      </w:r>
    </w:p>
    <w:p>
      <w:pPr>
        <w:ind w:firstLine="643"/>
        <w:rPr>
          <w:b/>
          <w:bCs/>
          <w:color w:val="000000" w:themeColor="text1"/>
        </w:rPr>
      </w:pPr>
      <w:bookmarkStart w:id="28" w:name="_Toc16103"/>
      <w:r>
        <w:rPr>
          <w:rFonts w:hint="eastAsia"/>
          <w:b/>
          <w:bCs/>
          <w:color w:val="000000" w:themeColor="text1"/>
        </w:rPr>
        <w:t>（二）政府采购情况说明</w:t>
      </w:r>
      <w:bookmarkEnd w:id="28"/>
    </w:p>
    <w:p>
      <w:pPr>
        <w:spacing w:line="580" w:lineRule="exact"/>
        <w:ind w:firstLine="640"/>
        <w:rPr>
          <w:rFonts w:ascii="仿宋_GB2312"/>
          <w:color w:val="000000" w:themeColor="text1"/>
          <w:szCs w:val="32"/>
        </w:rPr>
      </w:pPr>
      <w:r>
        <w:rPr>
          <w:rFonts w:hint="eastAsia" w:ascii="仿宋_GB2312"/>
          <w:color w:val="000000" w:themeColor="text1"/>
          <w:szCs w:val="32"/>
        </w:rPr>
        <w:t>2021年度，政府采购支出总额30.24万元，其中：政府采购货物支出23.54万元、政府采购工程支出0万元、政府采购服务支出6.70万元。政府采购授予中小企业合同金额30.24万元，占政府采购支出总额的100.00</w:t>
      </w:r>
      <w:r>
        <w:rPr>
          <w:rFonts w:ascii="仿宋_GB2312"/>
          <w:color w:val="000000" w:themeColor="text1"/>
          <w:szCs w:val="32"/>
        </w:rPr>
        <w:t>%</w:t>
      </w:r>
      <w:r>
        <w:rPr>
          <w:rFonts w:hint="eastAsia" w:ascii="仿宋_GB2312"/>
          <w:color w:val="000000" w:themeColor="text1"/>
          <w:szCs w:val="32"/>
        </w:rPr>
        <w:t>。其中：授予小微企业合同金额30.24万元，占政府采购支出总额的100.00</w:t>
      </w:r>
      <w:r>
        <w:rPr>
          <w:rFonts w:ascii="仿宋_GB2312"/>
          <w:color w:val="000000" w:themeColor="text1"/>
          <w:szCs w:val="32"/>
        </w:rPr>
        <w:t>%</w:t>
      </w:r>
      <w:r>
        <w:rPr>
          <w:rFonts w:hint="eastAsia" w:ascii="仿宋_GB2312"/>
          <w:color w:val="000000" w:themeColor="text1"/>
          <w:szCs w:val="32"/>
        </w:rPr>
        <w:t>。</w:t>
      </w:r>
    </w:p>
    <w:p>
      <w:pPr>
        <w:ind w:firstLine="643"/>
        <w:rPr>
          <w:b/>
          <w:bCs/>
          <w:color w:val="000000" w:themeColor="text1"/>
        </w:rPr>
      </w:pPr>
      <w:bookmarkStart w:id="29" w:name="_Toc19975"/>
      <w:r>
        <w:rPr>
          <w:rFonts w:hint="eastAsia"/>
          <w:b/>
          <w:bCs/>
          <w:color w:val="000000" w:themeColor="text1"/>
        </w:rPr>
        <w:t>（三）国有资产占用情况说明</w:t>
      </w:r>
      <w:bookmarkEnd w:id="29"/>
    </w:p>
    <w:p>
      <w:pPr>
        <w:spacing w:line="580" w:lineRule="exact"/>
        <w:ind w:firstLine="640"/>
        <w:rPr>
          <w:rFonts w:ascii="仿宋_GB2312"/>
          <w:color w:val="000000" w:themeColor="text1"/>
          <w:szCs w:val="32"/>
        </w:rPr>
      </w:pPr>
      <w:r>
        <w:rPr>
          <w:rFonts w:hint="eastAsia" w:ascii="仿宋_GB2312"/>
          <w:color w:val="000000" w:themeColor="text1"/>
          <w:szCs w:val="32"/>
        </w:rPr>
        <w:t>截至2021年12月31日，本部门共有车辆0辆。其中，副部（省）级及以上领导用车0辆、主要领导干部用车0辆、机要通信用车0辆、应急保障用车0辆、执法执勤用车0辆、特种专业技术用车0辆、离退休干部用车0辆、其他用车0辆，其他用车主要是……；单价50万元（含）以上的通用设备0台（套），单价100万元（含）以上专用设备0台（套）。</w:t>
      </w:r>
    </w:p>
    <w:p>
      <w:pPr>
        <w:ind w:firstLine="643"/>
        <w:rPr>
          <w:b/>
          <w:bCs/>
          <w:color w:val="000000" w:themeColor="text1"/>
        </w:rPr>
      </w:pPr>
      <w:r>
        <w:rPr>
          <w:rFonts w:hint="eastAsia"/>
          <w:b/>
          <w:bCs/>
          <w:color w:val="000000" w:themeColor="text1"/>
        </w:rPr>
        <w:t>（四）重点项目预算的绩效目标情况说明：</w:t>
      </w:r>
    </w:p>
    <w:p>
      <w:pPr>
        <w:ind w:firstLine="643"/>
        <w:rPr>
          <w:rFonts w:ascii="仿宋_GB2312" w:hAnsi="仿宋_GB2312" w:cs="仿宋_GB2312"/>
          <w:color w:val="000000" w:themeColor="text1"/>
          <w:szCs w:val="32"/>
        </w:rPr>
      </w:pPr>
      <w:r>
        <w:rPr>
          <w:rFonts w:hint="eastAsia" w:ascii="仿宋_GB2312" w:hAnsi="仿宋_GB2312" w:cs="仿宋_GB2312"/>
          <w:b/>
          <w:bCs/>
          <w:color w:val="000000" w:themeColor="text1"/>
          <w:szCs w:val="32"/>
        </w:rPr>
        <w:t>（1）预算绩效管理工作开展情况。</w:t>
      </w:r>
      <w:r>
        <w:rPr>
          <w:rFonts w:hint="eastAsia" w:ascii="仿宋_GB2312" w:hAnsi="仿宋_GB2312" w:cs="仿宋_GB2312"/>
          <w:color w:val="000000" w:themeColor="text1"/>
          <w:szCs w:val="32"/>
        </w:rPr>
        <w:t>根据预算绩效管理要求，我部门组织对2021年度县级财政预算安排的</w:t>
      </w:r>
      <w:r>
        <w:rPr>
          <w:rFonts w:hint="eastAsia" w:ascii="仿宋_GB2312" w:hAnsi="仿宋_GB2312" w:cs="仿宋_GB2312"/>
          <w:color w:val="000000" w:themeColor="text1"/>
          <w:szCs w:val="32"/>
          <w:highlight w:val="none"/>
        </w:rPr>
        <w:t>专项资金类</w:t>
      </w:r>
      <w:r>
        <w:rPr>
          <w:rFonts w:hint="eastAsia" w:ascii="仿宋_GB2312" w:hAnsi="仿宋_GB2312" w:cs="仿宋_GB2312"/>
          <w:color w:val="000000" w:themeColor="text1"/>
          <w:szCs w:val="32"/>
        </w:rPr>
        <w:t>和200万元以上的经费补助类20个项目支出全面开展绩效自评，涉及预算资金464.72万元，占一般公共预算项目支出总额的31.57%。组织对2021年度X等0个政府性基金预算项目支出开展绩效自评，共涉及预算资金0万元，占政府性基金预算项目支出总额的%。</w:t>
      </w:r>
    </w:p>
    <w:p>
      <w:pPr>
        <w:ind w:firstLine="643"/>
        <w:rPr>
          <w:rFonts w:ascii="仿宋_GB2312" w:hAnsi="仿宋_GB2312" w:cs="仿宋_GB2312"/>
          <w:b/>
          <w:bCs/>
          <w:color w:val="000000" w:themeColor="text1"/>
          <w:szCs w:val="32"/>
        </w:rPr>
      </w:pPr>
      <w:r>
        <w:rPr>
          <w:rFonts w:hint="eastAsia" w:ascii="仿宋_GB2312" w:hAnsi="仿宋_GB2312" w:cs="仿宋_GB2312"/>
          <w:b/>
          <w:bCs/>
          <w:color w:val="000000" w:themeColor="text1"/>
          <w:szCs w:val="32"/>
        </w:rPr>
        <w:t>（2）部门决算中项目绩效自评结果。</w:t>
      </w:r>
    </w:p>
    <w:p>
      <w:pPr>
        <w:ind w:firstLine="643"/>
        <w:rPr>
          <w:rFonts w:ascii="仿宋_GB2312" w:hAnsi="仿宋_GB2312" w:cs="仿宋_GB2312"/>
          <w:color w:val="000000" w:themeColor="text1"/>
          <w:szCs w:val="32"/>
        </w:rPr>
      </w:pPr>
      <w:r>
        <w:rPr>
          <w:rFonts w:hint="eastAsia" w:ascii="仿宋_GB2312" w:hAnsi="仿宋_GB2312" w:cs="仿宋_GB2312"/>
          <w:b/>
          <w:bCs/>
          <w:color w:val="000000" w:themeColor="text1"/>
          <w:szCs w:val="32"/>
        </w:rPr>
        <w:t xml:space="preserve"> 2021年我单位部门预算中主要绩效自评的项目有：</w:t>
      </w:r>
    </w:p>
    <w:p>
      <w:pPr>
        <w:pStyle w:val="12"/>
        <w:ind w:firstLine="700" w:firstLineChars="250"/>
        <w:rPr>
          <w:rFonts w:ascii="仿宋_GB2312"/>
          <w:bCs/>
          <w:color w:val="000000" w:themeColor="text1"/>
          <w:sz w:val="32"/>
          <w:szCs w:val="32"/>
          <w:lang w:val="en-US"/>
        </w:rPr>
      </w:pPr>
      <w:r>
        <w:rPr>
          <w:rFonts w:hint="eastAsia" w:ascii="仿宋_GB2312" w:hAnsi="仿宋_GB2312" w:cs="仿宋_GB2312"/>
          <w:color w:val="000000" w:themeColor="text1"/>
          <w:szCs w:val="32"/>
        </w:rPr>
        <w:t xml:space="preserve"> </w:t>
      </w:r>
      <w:r>
        <w:rPr>
          <w:rFonts w:hint="eastAsia" w:ascii="仿宋_GB2312" w:hAnsi="仿宋_GB2312" w:cs="仿宋_GB2312"/>
          <w:color w:val="000000" w:themeColor="text1"/>
          <w:sz w:val="32"/>
          <w:szCs w:val="32"/>
        </w:rPr>
        <w:t>现役军人优待金项目绩效自评综述：根据年初设定的绩效目标，项目自评得分为99.47分。全年预算数为104.87万元，执行数为99.40万元，完成预算的94.78%。项目绩效目标完成情况：一是按预算基本完成；二是</w:t>
      </w:r>
      <w:r>
        <w:rPr>
          <w:rFonts w:hint="eastAsia"/>
          <w:color w:val="000000" w:themeColor="text1"/>
          <w:sz w:val="32"/>
          <w:szCs w:val="32"/>
        </w:rPr>
        <w:t>按上级文件及时把资金发放给义务兵家庭</w:t>
      </w:r>
      <w:r>
        <w:rPr>
          <w:rFonts w:hint="eastAsia" w:ascii="仿宋_GB2312" w:hAnsi="仿宋_GB2312" w:cs="仿宋_GB2312"/>
          <w:color w:val="000000" w:themeColor="text1"/>
          <w:szCs w:val="32"/>
        </w:rPr>
        <w:t>。</w:t>
      </w:r>
      <w:r>
        <w:rPr>
          <w:rFonts w:hint="eastAsia" w:ascii="仿宋_GB2312" w:hAnsi="仿宋_GB2312" w:cs="仿宋_GB2312"/>
          <w:color w:val="000000" w:themeColor="text1"/>
          <w:sz w:val="32"/>
          <w:szCs w:val="32"/>
        </w:rPr>
        <w:t>发现的主要问题及原因：无；下一步改进措施：继续做好现役军人优待工作。</w:t>
      </w:r>
    </w:p>
    <w:p>
      <w:pPr>
        <w:pStyle w:val="12"/>
        <w:ind w:firstLine="800" w:firstLineChars="250"/>
        <w:rPr>
          <w:rFonts w:ascii="仿宋_GB2312" w:hAnsi="仿宋_GB2312" w:cs="仿宋_GB2312"/>
          <w:color w:val="000000" w:themeColor="text1"/>
          <w:sz w:val="32"/>
          <w:szCs w:val="32"/>
        </w:rPr>
      </w:pPr>
      <w:r>
        <w:rPr>
          <w:rFonts w:ascii="仿宋_GB2312" w:hAnsi="仿宋_GB2312" w:cs="仿宋_GB2312"/>
          <w:color w:val="000000" w:themeColor="text1"/>
          <w:sz w:val="32"/>
          <w:szCs w:val="32"/>
        </w:rPr>
        <w:t>自主就业退役士兵一次性补助资金</w:t>
      </w:r>
      <w:r>
        <w:rPr>
          <w:rFonts w:hint="eastAsia" w:ascii="仿宋_GB2312" w:hAnsi="仿宋_GB2312" w:cs="仿宋_GB2312"/>
          <w:color w:val="000000" w:themeColor="text1"/>
          <w:sz w:val="32"/>
          <w:szCs w:val="32"/>
        </w:rPr>
        <w:t>项目绩效自评综述：根据年初设定的绩效目标，项目自评得分为99.62分。全年预算数为49.95万元，执行数为49.95万元，完成预算的100.00%。项目绩效目标完成情况：一是按预算完成；二是</w:t>
      </w:r>
      <w:r>
        <w:rPr>
          <w:rFonts w:hint="eastAsia"/>
          <w:color w:val="000000" w:themeColor="text1"/>
          <w:sz w:val="32"/>
          <w:szCs w:val="32"/>
        </w:rPr>
        <w:t>按要求顺利完成</w:t>
      </w:r>
      <w:r>
        <w:rPr>
          <w:rFonts w:hint="eastAsia" w:ascii="仿宋_GB2312" w:hAnsi="仿宋_GB2312" w:cs="仿宋_GB2312"/>
          <w:color w:val="000000" w:themeColor="text1"/>
          <w:sz w:val="32"/>
          <w:szCs w:val="32"/>
        </w:rPr>
        <w:t>。发现的主要问题及原因：服务对象希望发放资金有所提高；下一步改进措施：继续做好</w:t>
      </w:r>
      <w:r>
        <w:rPr>
          <w:rFonts w:ascii="仿宋_GB2312" w:hAnsi="仿宋_GB2312" w:cs="仿宋_GB2312"/>
          <w:color w:val="000000" w:themeColor="text1"/>
          <w:sz w:val="32"/>
          <w:szCs w:val="32"/>
        </w:rPr>
        <w:t>自主就业退役士兵一次性补助资金</w:t>
      </w:r>
      <w:r>
        <w:rPr>
          <w:rFonts w:hint="eastAsia" w:ascii="仿宋_GB2312" w:hAnsi="仿宋_GB2312" w:cs="仿宋_GB2312"/>
          <w:color w:val="000000" w:themeColor="text1"/>
          <w:sz w:val="32"/>
          <w:szCs w:val="32"/>
        </w:rPr>
        <w:t>工作。</w:t>
      </w:r>
    </w:p>
    <w:p>
      <w:pPr>
        <w:pStyle w:val="12"/>
        <w:ind w:firstLine="800" w:firstLineChars="250"/>
        <w:rPr>
          <w:rFonts w:ascii="仿宋_GB2312"/>
          <w:bCs/>
          <w:color w:val="000000" w:themeColor="text1"/>
          <w:sz w:val="32"/>
          <w:szCs w:val="32"/>
          <w:lang w:val="en-US"/>
        </w:rPr>
      </w:pPr>
      <w:r>
        <w:rPr>
          <w:rFonts w:ascii="仿宋_GB2312" w:hAnsi="仿宋_GB2312" w:cs="仿宋_GB2312"/>
          <w:color w:val="000000" w:themeColor="text1"/>
          <w:sz w:val="32"/>
        </w:rPr>
        <w:t>军休人员安葬费</w:t>
      </w:r>
      <w:r>
        <w:rPr>
          <w:rFonts w:hint="eastAsia" w:ascii="仿宋_GB2312" w:hAnsi="仿宋_GB2312" w:cs="仿宋_GB2312"/>
          <w:color w:val="000000" w:themeColor="text1"/>
          <w:sz w:val="32"/>
          <w:szCs w:val="32"/>
        </w:rPr>
        <w:t>项目绩效自评综述：根据年初设定的绩效目标，项目自评得分为99.44分。全年预算数为59.27万元，执行数为59.27万元，完成预算的100.00%。项目绩效目标完成情况：一是按预算完成；二是</w:t>
      </w:r>
      <w:r>
        <w:rPr>
          <w:rFonts w:hint="eastAsia"/>
          <w:color w:val="000000" w:themeColor="text1"/>
          <w:sz w:val="32"/>
          <w:szCs w:val="32"/>
        </w:rPr>
        <w:t>按文件要求把资金发放到位。</w:t>
      </w:r>
      <w:r>
        <w:rPr>
          <w:rFonts w:hint="eastAsia" w:ascii="仿宋_GB2312" w:hAnsi="仿宋_GB2312" w:cs="仿宋_GB2312"/>
          <w:color w:val="000000" w:themeColor="text1"/>
          <w:sz w:val="32"/>
          <w:szCs w:val="32"/>
        </w:rPr>
        <w:t>发现的主要问题及原因：无；下一步改进措施：无。</w:t>
      </w:r>
    </w:p>
    <w:p>
      <w:pPr>
        <w:pStyle w:val="12"/>
        <w:ind w:firstLine="960" w:firstLineChars="300"/>
        <w:rPr>
          <w:color w:val="000000" w:themeColor="text1"/>
          <w:sz w:val="32"/>
          <w:szCs w:val="32"/>
        </w:rPr>
      </w:pPr>
      <w:r>
        <w:rPr>
          <w:rFonts w:ascii="仿宋_GB2312" w:hAnsi="仿宋_GB2312" w:cs="仿宋_GB2312"/>
          <w:color w:val="000000" w:themeColor="text1"/>
          <w:sz w:val="32"/>
        </w:rPr>
        <w:t>2021年两节优抚对象慰问金</w:t>
      </w:r>
      <w:r>
        <w:rPr>
          <w:rFonts w:hint="eastAsia" w:ascii="仿宋_GB2312" w:hAnsi="仿宋_GB2312" w:cs="仿宋_GB2312"/>
          <w:color w:val="000000" w:themeColor="text1"/>
          <w:sz w:val="32"/>
          <w:szCs w:val="32"/>
        </w:rPr>
        <w:t>项目绩效自评综述：根据年初设定的绩效目标，项目自评得分为</w:t>
      </w:r>
      <w:r>
        <w:rPr>
          <w:rFonts w:hint="eastAsia" w:ascii="仿宋_GB2312" w:hAnsi="仿宋_GB2312" w:cs="仿宋_GB2312"/>
          <w:color w:val="000000" w:themeColor="text1"/>
          <w:szCs w:val="32"/>
        </w:rPr>
        <w:t>98.75</w:t>
      </w:r>
      <w:r>
        <w:rPr>
          <w:rFonts w:hint="eastAsia" w:ascii="仿宋_GB2312" w:hAnsi="仿宋_GB2312" w:cs="仿宋_GB2312"/>
          <w:color w:val="000000" w:themeColor="text1"/>
          <w:sz w:val="32"/>
          <w:szCs w:val="32"/>
        </w:rPr>
        <w:t>分。全年预算数为</w:t>
      </w:r>
      <w:r>
        <w:rPr>
          <w:rFonts w:hint="eastAsia" w:ascii="仿宋_GB2312" w:hAnsi="仿宋_GB2312" w:cs="仿宋_GB2312"/>
          <w:color w:val="000000" w:themeColor="text1"/>
          <w:szCs w:val="32"/>
        </w:rPr>
        <w:t>66.00</w:t>
      </w:r>
      <w:r>
        <w:rPr>
          <w:rFonts w:hint="eastAsia" w:ascii="仿宋_GB2312" w:hAnsi="仿宋_GB2312" w:cs="仿宋_GB2312"/>
          <w:color w:val="000000" w:themeColor="text1"/>
          <w:sz w:val="32"/>
          <w:szCs w:val="32"/>
        </w:rPr>
        <w:t>万元，执行数为</w:t>
      </w:r>
      <w:r>
        <w:rPr>
          <w:rFonts w:hint="eastAsia" w:ascii="仿宋_GB2312" w:hAnsi="仿宋_GB2312" w:cs="仿宋_GB2312"/>
          <w:color w:val="000000" w:themeColor="text1"/>
          <w:szCs w:val="32"/>
        </w:rPr>
        <w:t>57.81</w:t>
      </w:r>
      <w:r>
        <w:rPr>
          <w:rFonts w:hint="eastAsia" w:ascii="仿宋_GB2312" w:hAnsi="仿宋_GB2312" w:cs="仿宋_GB2312"/>
          <w:color w:val="000000" w:themeColor="text1"/>
          <w:sz w:val="32"/>
          <w:szCs w:val="32"/>
        </w:rPr>
        <w:t>万元，完成预算的</w:t>
      </w:r>
      <w:r>
        <w:rPr>
          <w:rFonts w:hint="eastAsia" w:ascii="仿宋_GB2312" w:hAnsi="仿宋_GB2312" w:cs="仿宋_GB2312"/>
          <w:color w:val="000000" w:themeColor="text1"/>
          <w:szCs w:val="32"/>
        </w:rPr>
        <w:t>87.59</w:t>
      </w:r>
      <w:r>
        <w:rPr>
          <w:rFonts w:hint="eastAsia" w:ascii="仿宋_GB2312" w:hAnsi="仿宋_GB2312" w:cs="仿宋_GB2312"/>
          <w:color w:val="000000" w:themeColor="text1"/>
          <w:sz w:val="32"/>
          <w:szCs w:val="32"/>
        </w:rPr>
        <w:t>%。项目绩效目标完成情况：一是按预算</w:t>
      </w:r>
      <w:r>
        <w:rPr>
          <w:rFonts w:hint="eastAsia" w:ascii="仿宋_GB2312" w:hAnsi="仿宋_GB2312" w:cs="仿宋_GB2312"/>
          <w:color w:val="000000" w:themeColor="text1"/>
          <w:szCs w:val="32"/>
        </w:rPr>
        <w:t>未全部</w:t>
      </w:r>
      <w:r>
        <w:rPr>
          <w:rFonts w:hint="eastAsia" w:ascii="仿宋_GB2312" w:hAnsi="仿宋_GB2312" w:cs="仿宋_GB2312"/>
          <w:color w:val="000000" w:themeColor="text1"/>
          <w:sz w:val="32"/>
          <w:szCs w:val="32"/>
        </w:rPr>
        <w:t>完成；二是</w:t>
      </w:r>
      <w:r>
        <w:rPr>
          <w:color w:val="000000" w:themeColor="text1"/>
          <w:sz w:val="32"/>
          <w:szCs w:val="32"/>
        </w:rPr>
        <w:t>通过两节慰问进一步巩固</w:t>
      </w:r>
      <w:r>
        <w:rPr>
          <w:rFonts w:hint="eastAsia"/>
          <w:color w:val="000000" w:themeColor="text1"/>
          <w:sz w:val="32"/>
          <w:szCs w:val="32"/>
        </w:rPr>
        <w:t>了</w:t>
      </w:r>
      <w:r>
        <w:rPr>
          <w:color w:val="000000" w:themeColor="text1"/>
          <w:sz w:val="32"/>
          <w:szCs w:val="32"/>
        </w:rPr>
        <w:t>军民关系。</w:t>
      </w:r>
      <w:r>
        <w:rPr>
          <w:rFonts w:hint="eastAsia" w:ascii="仿宋_GB2312" w:hAnsi="仿宋_GB2312" w:cs="仿宋_GB2312"/>
          <w:color w:val="000000" w:themeColor="text1"/>
          <w:sz w:val="32"/>
          <w:szCs w:val="32"/>
        </w:rPr>
        <w:t>发现的主要问题及原因：无；下一步改进措施：继续做好优抚对象节日慰问工作。</w:t>
      </w:r>
    </w:p>
    <w:p>
      <w:pPr>
        <w:numPr>
          <w:ilvl w:val="0"/>
          <w:numId w:val="1"/>
        </w:numPr>
        <w:ind w:left="0" w:leftChars="0" w:firstLine="643" w:firstLineChars="200"/>
        <w:rPr>
          <w:rFonts w:hint="eastAsia" w:ascii="仿宋_GB2312" w:hAnsi="仿宋_GB2312" w:cs="仿宋_GB2312"/>
          <w:color w:val="000000" w:themeColor="text1"/>
          <w:szCs w:val="32"/>
        </w:rPr>
      </w:pPr>
      <w:r>
        <w:rPr>
          <w:rFonts w:hint="eastAsia" w:ascii="仿宋_GB2312" w:hAnsi="仿宋_GB2312" w:cs="仿宋_GB2312"/>
          <w:b/>
          <w:bCs/>
          <w:color w:val="000000" w:themeColor="text1"/>
          <w:szCs w:val="32"/>
        </w:rPr>
        <w:t>部门评价项目绩效评价结果。</w:t>
      </w:r>
      <w:r>
        <w:rPr>
          <w:rFonts w:hint="eastAsia" w:ascii="仿宋_GB2312" w:hAnsi="仿宋_GB2312" w:cs="仿宋_GB2312"/>
          <w:color w:val="000000" w:themeColor="text1"/>
          <w:szCs w:val="32"/>
        </w:rPr>
        <w:t>本单位重点项目评价报告向社会公开。</w:t>
      </w:r>
    </w:p>
    <w:p>
      <w:pPr>
        <w:numPr>
          <w:numId w:val="0"/>
        </w:numPr>
        <w:ind w:leftChars="200"/>
        <w:rPr>
          <w:rFonts w:hint="eastAsia" w:ascii="仿宋_GB2312" w:hAnsi="仿宋_GB2312" w:eastAsia="仿宋_GB2312" w:cs="仿宋_GB2312"/>
          <w:color w:val="000000" w:themeColor="text1"/>
          <w:szCs w:val="32"/>
          <w:lang w:eastAsia="zh-CN"/>
        </w:rPr>
      </w:pPr>
      <w:r>
        <w:rPr>
          <w:rFonts w:hint="eastAsia" w:ascii="仿宋_GB2312" w:hAnsi="仿宋_GB2312" w:cs="仿宋_GB2312"/>
          <w:color w:val="000000" w:themeColor="text1"/>
          <w:szCs w:val="32"/>
          <w:lang w:eastAsia="zh-CN"/>
        </w:rPr>
        <w:t>（</w:t>
      </w:r>
      <w:r>
        <w:rPr>
          <w:rFonts w:hint="eastAsia" w:ascii="仿宋_GB2312" w:hAnsi="仿宋_GB2312" w:cs="仿宋_GB2312"/>
          <w:color w:val="000000" w:themeColor="text1"/>
          <w:szCs w:val="32"/>
        </w:rPr>
        <w:t>本单位重点项目评价报告</w:t>
      </w:r>
      <w:r>
        <w:rPr>
          <w:rFonts w:hint="eastAsia" w:ascii="仿宋_GB2312" w:hAnsi="仿宋_GB2312" w:cs="仿宋_GB2312"/>
          <w:color w:val="000000" w:themeColor="text1"/>
          <w:szCs w:val="32"/>
          <w:lang w:val="en-US" w:eastAsia="zh-CN"/>
        </w:rPr>
        <w:t>以附件形式</w:t>
      </w:r>
      <w:r>
        <w:rPr>
          <w:rFonts w:hint="eastAsia" w:ascii="仿宋_GB2312" w:hAnsi="仿宋_GB2312" w:cs="仿宋_GB2312"/>
          <w:color w:val="000000" w:themeColor="text1"/>
          <w:szCs w:val="32"/>
        </w:rPr>
        <w:t>向社会公开</w:t>
      </w:r>
      <w:r>
        <w:rPr>
          <w:rFonts w:hint="eastAsia" w:ascii="仿宋_GB2312" w:hAnsi="仿宋_GB2312" w:cs="仿宋_GB2312"/>
          <w:color w:val="000000" w:themeColor="text1"/>
          <w:szCs w:val="32"/>
          <w:lang w:eastAsia="zh-CN"/>
        </w:rPr>
        <w:t>）</w:t>
      </w:r>
      <w:bookmarkStart w:id="33" w:name="_GoBack"/>
      <w:bookmarkEnd w:id="33"/>
    </w:p>
    <w:p>
      <w:pPr>
        <w:numPr>
          <w:ilvl w:val="0"/>
          <w:numId w:val="2"/>
        </w:numPr>
        <w:spacing w:line="580" w:lineRule="exact"/>
        <w:ind w:firstLine="643"/>
        <w:outlineLvl w:val="0"/>
        <w:rPr>
          <w:rFonts w:ascii="仿宋_GB2312"/>
          <w:b/>
          <w:color w:val="000000" w:themeColor="text1"/>
          <w:szCs w:val="32"/>
        </w:rPr>
      </w:pPr>
      <w:bookmarkStart w:id="30" w:name="_Toc8450"/>
      <w:bookmarkStart w:id="31" w:name="_Toc28108"/>
      <w:r>
        <w:rPr>
          <w:rFonts w:hint="eastAsia" w:ascii="仿宋_GB2312"/>
          <w:b/>
          <w:color w:val="000000" w:themeColor="text1"/>
          <w:szCs w:val="32"/>
        </w:rPr>
        <w:t>其他需要说明的事项</w:t>
      </w:r>
      <w:bookmarkEnd w:id="30"/>
      <w:bookmarkEnd w:id="31"/>
    </w:p>
    <w:p>
      <w:pPr>
        <w:pStyle w:val="2"/>
        <w:ind w:firstLine="0" w:firstLineChars="0"/>
        <w:jc w:val="center"/>
        <w:rPr>
          <w:color w:val="000000" w:themeColor="text1"/>
          <w:sz w:val="36"/>
          <w:szCs w:val="36"/>
        </w:rPr>
      </w:pPr>
      <w:bookmarkStart w:id="32" w:name="_Toc8545"/>
    </w:p>
    <w:p>
      <w:pPr>
        <w:pStyle w:val="2"/>
        <w:ind w:firstLine="0" w:firstLineChars="0"/>
        <w:jc w:val="center"/>
        <w:rPr>
          <w:color w:val="000000" w:themeColor="text1"/>
          <w:sz w:val="36"/>
          <w:szCs w:val="36"/>
        </w:rPr>
      </w:pPr>
      <w:r>
        <w:rPr>
          <w:rFonts w:hint="eastAsia"/>
          <w:color w:val="000000" w:themeColor="text1"/>
          <w:sz w:val="36"/>
          <w:szCs w:val="36"/>
        </w:rPr>
        <w:t>第四部分  名词解释</w:t>
      </w:r>
      <w:bookmarkEnd w:id="32"/>
    </w:p>
    <w:p>
      <w:pPr>
        <w:spacing w:line="580" w:lineRule="exact"/>
        <w:ind w:firstLine="640"/>
        <w:rPr>
          <w:color w:val="000000" w:themeColor="text1"/>
          <w:szCs w:val="32"/>
        </w:rPr>
      </w:pPr>
      <w:r>
        <w:rPr>
          <w:rFonts w:hint="eastAsia"/>
          <w:color w:val="000000" w:themeColor="text1"/>
          <w:szCs w:val="32"/>
        </w:rPr>
        <w:t>部门应当按照部门预算管理要求，对本部门涉及的专业名词进行解释。（以下模板仅供参考，以单位实际为准）</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一、财政拨款收入：</w:t>
      </w:r>
      <w:r>
        <w:rPr>
          <w:rFonts w:hint="eastAsia" w:ascii="仿宋_GB2312"/>
          <w:color w:val="000000" w:themeColor="text1"/>
          <w:szCs w:val="32"/>
        </w:rPr>
        <w:t>指单位从同级财政部门取得的财政预算资金。</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二、事业收入：</w:t>
      </w:r>
      <w:r>
        <w:rPr>
          <w:rFonts w:hint="eastAsia" w:ascii="仿宋_GB2312"/>
          <w:color w:val="000000" w:themeColor="text1"/>
          <w:szCs w:val="32"/>
        </w:rPr>
        <w:t>指事业单位开展专业业务活动及辅助活动取得的收入。</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三、经营收入：</w:t>
      </w:r>
      <w:r>
        <w:rPr>
          <w:rFonts w:hint="eastAsia" w:ascii="仿宋_GB2312"/>
          <w:color w:val="000000" w:themeColor="text1"/>
          <w:szCs w:val="32"/>
        </w:rPr>
        <w:t>指事业单位在专业业务活动及其辅助活动之外开展非独立核算经营活动取得的收入。</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四、其他收入：</w:t>
      </w:r>
      <w:r>
        <w:rPr>
          <w:rFonts w:hint="eastAsia" w:ascii="仿宋_GB2312"/>
          <w:color w:val="000000" w:themeColor="text1"/>
          <w:szCs w:val="32"/>
        </w:rPr>
        <w:t>指单位取得的除上述收入以外的各项收</w:t>
      </w:r>
    </w:p>
    <w:p>
      <w:pPr>
        <w:spacing w:line="580" w:lineRule="exact"/>
        <w:ind w:firstLineChars="0"/>
        <w:rPr>
          <w:rFonts w:ascii="仿宋_GB2312"/>
          <w:color w:val="000000" w:themeColor="text1"/>
          <w:szCs w:val="32"/>
        </w:rPr>
      </w:pPr>
      <w:r>
        <w:rPr>
          <w:rFonts w:hint="eastAsia" w:ascii="仿宋_GB2312"/>
          <w:color w:val="000000" w:themeColor="text1"/>
          <w:szCs w:val="32"/>
        </w:rPr>
        <w:t>入。主要是按规定动用的售房收入、存款利息收入等。</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五、年初结转和结余：</w:t>
      </w:r>
      <w:r>
        <w:rPr>
          <w:rFonts w:hint="eastAsia" w:ascii="仿宋_GB2312"/>
          <w:color w:val="000000" w:themeColor="text1"/>
          <w:szCs w:val="32"/>
        </w:rPr>
        <w:t>指单位以前年度尚未完成、结转到本年按有关规定继续使用的资金。</w:t>
      </w:r>
    </w:p>
    <w:p>
      <w:pPr>
        <w:spacing w:line="580" w:lineRule="exact"/>
        <w:ind w:firstLine="520" w:firstLineChars="162"/>
        <w:rPr>
          <w:rFonts w:ascii="仿宋_GB2312"/>
          <w:b/>
          <w:color w:val="000000" w:themeColor="text1"/>
          <w:szCs w:val="32"/>
        </w:rPr>
      </w:pPr>
      <w:r>
        <w:rPr>
          <w:rFonts w:hint="eastAsia" w:ascii="仿宋_GB2312"/>
          <w:b/>
          <w:color w:val="000000" w:themeColor="text1"/>
          <w:szCs w:val="32"/>
        </w:rPr>
        <w:t>六、基本支出：</w:t>
      </w:r>
      <w:r>
        <w:rPr>
          <w:rFonts w:hint="eastAsia" w:ascii="仿宋_GB2312"/>
          <w:color w:val="000000" w:themeColor="text1"/>
          <w:szCs w:val="32"/>
        </w:rPr>
        <w:t>指为保障机构正常运转、完成日常工作任务而发生的人员支出和公用支出。</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七、项目支出：</w:t>
      </w:r>
      <w:r>
        <w:rPr>
          <w:rFonts w:hint="eastAsia" w:ascii="仿宋_GB2312"/>
          <w:color w:val="000000" w:themeColor="text1"/>
          <w:szCs w:val="32"/>
        </w:rPr>
        <w:t>指在基本支出之外为完成特定行政任务和事业发展目标所发生的支出。</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八、“三公”经费：</w:t>
      </w:r>
      <w:r>
        <w:rPr>
          <w:rFonts w:hint="eastAsia" w:ascii="仿宋_GB2312"/>
          <w:color w:val="000000" w:themeColor="text1"/>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九、机关运行经费：</w:t>
      </w:r>
      <w:r>
        <w:rPr>
          <w:rFonts w:hint="eastAsia" w:ascii="仿宋_GB2312"/>
          <w:color w:val="000000" w:themeColor="text1"/>
          <w:szCs w:val="32"/>
        </w:rPr>
        <w:t>指行政单位和参照公务员法管理的事业单位使用一般公共预算安排的基本支出中的日常公用经费支出。</w:t>
      </w:r>
    </w:p>
    <w:p>
      <w:pPr>
        <w:spacing w:line="580" w:lineRule="exact"/>
        <w:ind w:firstLine="518" w:firstLineChars="162"/>
        <w:rPr>
          <w:rFonts w:ascii="仿宋_GB2312"/>
          <w:color w:val="000000" w:themeColor="text1"/>
          <w:szCs w:val="32"/>
        </w:rPr>
      </w:pPr>
    </w:p>
    <w:p>
      <w:pPr>
        <w:spacing w:line="580" w:lineRule="exact"/>
        <w:ind w:firstLine="2400" w:firstLineChars="750"/>
        <w:rPr>
          <w:rFonts w:ascii="仿宋_GB2312"/>
          <w:color w:val="000000" w:themeColor="text1"/>
          <w:szCs w:val="32"/>
        </w:rPr>
      </w:pPr>
      <w:r>
        <w:rPr>
          <w:rFonts w:hint="eastAsia" w:ascii="仿宋_GB2312"/>
          <w:color w:val="000000" w:themeColor="text1"/>
          <w:szCs w:val="32"/>
        </w:rPr>
        <w:t xml:space="preserve">     单位名称：静乐县退役军人事务局</w:t>
      </w:r>
    </w:p>
    <w:p>
      <w:pPr>
        <w:ind w:firstLine="4800" w:firstLineChars="1500"/>
        <w:rPr>
          <w:color w:val="000000" w:themeColor="text1"/>
        </w:rPr>
      </w:pPr>
      <w:r>
        <w:rPr>
          <w:rFonts w:hint="eastAsia"/>
          <w:color w:val="000000" w:themeColor="text1"/>
        </w:rPr>
        <w:t>二〇二二年六月</w:t>
      </w:r>
      <w:r>
        <w:rPr>
          <w:rFonts w:hint="eastAsia"/>
          <w:color w:val="000000" w:themeColor="text1"/>
          <w:lang w:eastAsia="zh-CN"/>
        </w:rPr>
        <w:t>六</w:t>
      </w:r>
      <w:r>
        <w:rPr>
          <w:rFonts w:hint="eastAsia"/>
          <w:color w:val="000000" w:themeColor="text1"/>
        </w:rPr>
        <w:t>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I4YjBhZjc1N2UwNzkyZDE4NTZiMmNmYmZhN2E5NTMifQ=="/>
  </w:docVars>
  <w:rsids>
    <w:rsidRoot w:val="495520D0"/>
    <w:rsid w:val="000B26E5"/>
    <w:rsid w:val="00134810"/>
    <w:rsid w:val="0016102D"/>
    <w:rsid w:val="002A630D"/>
    <w:rsid w:val="002E4342"/>
    <w:rsid w:val="00305F44"/>
    <w:rsid w:val="00372F20"/>
    <w:rsid w:val="003A0454"/>
    <w:rsid w:val="003D28AB"/>
    <w:rsid w:val="004246E1"/>
    <w:rsid w:val="00482855"/>
    <w:rsid w:val="00534E43"/>
    <w:rsid w:val="0062541E"/>
    <w:rsid w:val="0083194E"/>
    <w:rsid w:val="008C2EF0"/>
    <w:rsid w:val="009100DC"/>
    <w:rsid w:val="009A38A4"/>
    <w:rsid w:val="009A6CC2"/>
    <w:rsid w:val="00A30964"/>
    <w:rsid w:val="00A862C7"/>
    <w:rsid w:val="00AC6BF4"/>
    <w:rsid w:val="00AD3914"/>
    <w:rsid w:val="00C46ED2"/>
    <w:rsid w:val="00D2554C"/>
    <w:rsid w:val="00D92A4F"/>
    <w:rsid w:val="00E41C9A"/>
    <w:rsid w:val="00F068B4"/>
    <w:rsid w:val="00F57B17"/>
    <w:rsid w:val="00F81166"/>
    <w:rsid w:val="03696819"/>
    <w:rsid w:val="16654CDD"/>
    <w:rsid w:val="1A4A5C33"/>
    <w:rsid w:val="2701594C"/>
    <w:rsid w:val="27426717"/>
    <w:rsid w:val="32B10DBC"/>
    <w:rsid w:val="37943B50"/>
    <w:rsid w:val="3821117E"/>
    <w:rsid w:val="42C12CEC"/>
    <w:rsid w:val="44401A62"/>
    <w:rsid w:val="495520D0"/>
    <w:rsid w:val="4A012068"/>
    <w:rsid w:val="53A30631"/>
    <w:rsid w:val="588B0B8E"/>
    <w:rsid w:val="5EC01F6A"/>
    <w:rsid w:val="63AB51DF"/>
    <w:rsid w:val="649C6DC9"/>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rPr>
  </w:style>
  <w:style w:type="character" w:default="1" w:styleId="10">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uiPriority w:val="0"/>
    <w:pPr>
      <w:tabs>
        <w:tab w:val="center" w:pos="4153"/>
        <w:tab w:val="right" w:pos="8306"/>
      </w:tabs>
      <w:snapToGrid w:val="0"/>
      <w:spacing w:line="240" w:lineRule="atLeast"/>
      <w:jc w:val="center"/>
    </w:pPr>
    <w:rPr>
      <w:sz w:val="18"/>
      <w:szCs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List Paragraph"/>
    <w:basedOn w:val="1"/>
    <w:unhideWhenUsed/>
    <w:uiPriority w:val="99"/>
    <w:pPr>
      <w:ind w:firstLine="420"/>
    </w:pPr>
  </w:style>
  <w:style w:type="paragraph" w:customStyle="1" w:styleId="12">
    <w:name w:val="闻政-正文段落文字"/>
    <w:basedOn w:val="1"/>
    <w:link w:val="13"/>
    <w:qFormat/>
    <w:uiPriority w:val="3"/>
    <w:pPr>
      <w:spacing w:line="500" w:lineRule="exact"/>
    </w:pPr>
    <w:rPr>
      <w:rFonts w:cs="Times New Roman"/>
      <w:kern w:val="0"/>
      <w:sz w:val="28"/>
      <w:szCs w:val="28"/>
      <w:lang w:val="zh-CN"/>
    </w:rPr>
  </w:style>
  <w:style w:type="character" w:customStyle="1" w:styleId="13">
    <w:name w:val="闻政-正文段落文字 Char"/>
    <w:link w:val="12"/>
    <w:qFormat/>
    <w:uiPriority w:val="3"/>
    <w:rPr>
      <w:rFonts w:ascii="Times New Roman" w:hAnsi="Times New Roman" w:eastAsia="仿宋_GB2312" w:cs="Times New Roman"/>
      <w:sz w:val="28"/>
      <w:szCs w:val="28"/>
      <w:lang w:val="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BED2C7D-B11F-475F-9B75-4D59C471F344}">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4738</Words>
  <Characters>5665</Characters>
  <Lines>48</Lines>
  <Paragraphs>13</Paragraphs>
  <TotalTime>0</TotalTime>
  <ScaleCrop>false</ScaleCrop>
  <LinksUpToDate>false</LinksUpToDate>
  <CharactersWithSpaces>5763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2022-08-03T02:24:06Z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6415C6D60B924D26B030ADAAC065CC9A</vt:lpwstr>
  </property>
</Properties>
</file>