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31071"/>
      <w:bookmarkStart w:id="1" w:name="_Toc21118"/>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静乐县市政工程服务中心</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_GB2312" w:hAnsi="楷体"/>
          <w:sz w:val="32"/>
          <w:szCs w:val="32"/>
          <w:lang w:val="en-US" w:eastAsia="zh-CN"/>
        </w:rPr>
      </w:pPr>
      <w:bookmarkStart w:id="5" w:name="_Toc24066"/>
      <w:bookmarkStart w:id="6" w:name="_Toc4461"/>
      <w:r>
        <w:rPr>
          <w:rFonts w:hint="eastAsia" w:ascii="仿宋" w:hAnsi="仿宋" w:eastAsia="仿宋" w:cs="仿宋"/>
          <w:b w:val="0"/>
          <w:bCs/>
        </w:rPr>
        <w:t>一、本</w:t>
      </w:r>
      <w:r>
        <w:rPr>
          <w:rFonts w:hint="eastAsia" w:ascii="仿宋" w:hAnsi="仿宋" w:eastAsia="仿宋" w:cs="仿宋"/>
          <w:b w:val="0"/>
          <w:bCs/>
          <w:lang w:eastAsia="zh-CN"/>
        </w:rPr>
        <w:t>单位</w:t>
      </w:r>
      <w:r>
        <w:rPr>
          <w:rFonts w:hint="eastAsia" w:ascii="仿宋" w:hAnsi="仿宋" w:eastAsia="仿宋" w:cs="仿宋"/>
          <w:b w:val="0"/>
          <w:bCs/>
        </w:rPr>
        <w:t>职责</w:t>
      </w:r>
      <w:bookmarkEnd w:id="5"/>
      <w:bookmarkEnd w:id="6"/>
    </w:p>
    <w:p>
      <w:pPr>
        <w:ind w:firstLine="640"/>
        <w:rPr>
          <w:rFonts w:hint="eastAsia" w:ascii="仿宋_GB2312" w:hAnsi="楷体"/>
          <w:sz w:val="32"/>
          <w:szCs w:val="32"/>
        </w:rPr>
      </w:pPr>
      <w:r>
        <w:rPr>
          <w:rFonts w:hint="eastAsia" w:ascii="仿宋_GB2312" w:hAnsi="楷体"/>
          <w:sz w:val="32"/>
          <w:szCs w:val="32"/>
          <w:lang w:val="en-US" w:eastAsia="zh-CN"/>
        </w:rPr>
        <w:t>1</w:t>
      </w:r>
      <w:r>
        <w:rPr>
          <w:rFonts w:hint="eastAsia" w:ascii="仿宋_GB2312" w:hAnsi="楷体"/>
          <w:sz w:val="32"/>
          <w:szCs w:val="32"/>
        </w:rPr>
        <w:t>、</w:t>
      </w:r>
      <w:bookmarkStart w:id="33" w:name="_GoBack"/>
      <w:bookmarkEnd w:id="33"/>
      <w:r>
        <w:rPr>
          <w:rFonts w:hint="eastAsia" w:ascii="仿宋_GB2312" w:hAnsi="楷体"/>
          <w:sz w:val="32"/>
          <w:szCs w:val="32"/>
          <w:lang w:eastAsia="zh-CN"/>
        </w:rPr>
        <w:t>负责城市规划内道路、给排水设施的新建、扩建、改建及日常维护和管理工作；</w:t>
      </w:r>
    </w:p>
    <w:p>
      <w:pPr>
        <w:numPr>
          <w:ilvl w:val="0"/>
          <w:numId w:val="1"/>
        </w:numPr>
        <w:ind w:firstLine="640"/>
        <w:rPr>
          <w:rFonts w:hint="eastAsia" w:ascii="仿宋_GB2312" w:hAnsi="楷体"/>
          <w:sz w:val="32"/>
          <w:szCs w:val="32"/>
        </w:rPr>
      </w:pPr>
      <w:r>
        <w:rPr>
          <w:rFonts w:hint="eastAsia" w:ascii="仿宋_GB2312" w:hAnsi="楷体"/>
          <w:sz w:val="32"/>
          <w:szCs w:val="32"/>
          <w:lang w:eastAsia="zh-CN"/>
        </w:rPr>
        <w:t>负责城区街道照明、城建档案、供气供热等工作</w:t>
      </w:r>
      <w:r>
        <w:rPr>
          <w:rFonts w:hint="eastAsia" w:ascii="仿宋_GB2312" w:hAnsi="楷体"/>
          <w:sz w:val="32"/>
          <w:szCs w:val="32"/>
        </w:rPr>
        <w:t>。</w:t>
      </w:r>
    </w:p>
    <w:p>
      <w:pPr>
        <w:numPr>
          <w:ilvl w:val="0"/>
          <w:numId w:val="2"/>
        </w:numPr>
        <w:ind w:firstLine="640" w:firstLineChars="200"/>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numPr>
          <w:ilvl w:val="0"/>
          <w:numId w:val="0"/>
        </w:numPr>
        <w:ind w:firstLine="640" w:firstLineChars="200"/>
        <w:rPr>
          <w:rFonts w:hint="eastAsia" w:ascii="仿宋_GB2312" w:hAnsi="楷体"/>
          <w:sz w:val="32"/>
          <w:szCs w:val="32"/>
          <w:lang w:val="en-US" w:eastAsia="zh-CN"/>
        </w:rPr>
      </w:pPr>
      <w:r>
        <w:rPr>
          <w:rFonts w:hint="eastAsia" w:ascii="仿宋_GB2312" w:hAnsi="楷体"/>
          <w:sz w:val="32"/>
          <w:szCs w:val="32"/>
          <w:lang w:eastAsia="zh-CN"/>
        </w:rPr>
        <w:t>市政</w:t>
      </w:r>
      <w:r>
        <w:rPr>
          <w:rFonts w:hint="eastAsia" w:ascii="仿宋_GB2312" w:hAnsi="楷体"/>
          <w:sz w:val="32"/>
          <w:szCs w:val="32"/>
          <w:lang w:val="en-US" w:eastAsia="zh-CN"/>
        </w:rPr>
        <w:t>工程服务中心</w:t>
      </w:r>
      <w:r>
        <w:rPr>
          <w:rFonts w:hint="eastAsia" w:ascii="仿宋_GB2312" w:hAnsi="楷体"/>
          <w:sz w:val="32"/>
          <w:szCs w:val="32"/>
          <w:lang w:eastAsia="zh-CN"/>
        </w:rPr>
        <w:t>事业</w:t>
      </w:r>
      <w:r>
        <w:rPr>
          <w:rFonts w:hint="eastAsia" w:ascii="仿宋_GB2312" w:hAnsi="楷体"/>
          <w:sz w:val="32"/>
          <w:szCs w:val="32"/>
        </w:rPr>
        <w:t>人员编制</w:t>
      </w:r>
      <w:r>
        <w:rPr>
          <w:rFonts w:hint="eastAsia" w:ascii="仿宋_GB2312" w:hAnsi="楷体"/>
          <w:sz w:val="32"/>
          <w:szCs w:val="32"/>
          <w:lang w:val="en-US" w:eastAsia="zh-CN"/>
        </w:rPr>
        <w:t>12</w:t>
      </w:r>
      <w:r>
        <w:rPr>
          <w:rFonts w:hint="eastAsia" w:ascii="仿宋_GB2312" w:hAnsi="楷体"/>
          <w:sz w:val="32"/>
          <w:szCs w:val="32"/>
        </w:rPr>
        <w:t>人，单位实有人员</w:t>
      </w:r>
      <w:r>
        <w:rPr>
          <w:rFonts w:hint="eastAsia" w:ascii="仿宋_GB2312" w:hAnsi="楷体"/>
          <w:sz w:val="32"/>
          <w:szCs w:val="32"/>
          <w:lang w:val="en-US" w:eastAsia="zh-CN"/>
        </w:rPr>
        <w:t>5</w:t>
      </w:r>
      <w:r>
        <w:rPr>
          <w:rFonts w:hint="eastAsia" w:ascii="仿宋_GB2312" w:hAnsi="楷体"/>
          <w:sz w:val="32"/>
          <w:szCs w:val="32"/>
        </w:rPr>
        <w:t>人</w:t>
      </w:r>
      <w:r>
        <w:rPr>
          <w:rFonts w:hint="eastAsia" w:ascii="仿宋_GB2312" w:hAnsi="楷体"/>
          <w:sz w:val="32"/>
          <w:szCs w:val="32"/>
          <w:lang w:eastAsia="zh-CN"/>
        </w:rPr>
        <w:t>。</w:t>
      </w:r>
      <w:r>
        <w:rPr>
          <w:rFonts w:hint="eastAsia" w:ascii="仿宋_GB2312" w:hAnsi="楷体"/>
          <w:sz w:val="32"/>
          <w:szCs w:val="32"/>
        </w:rPr>
        <w:t>下内设股室有</w:t>
      </w:r>
      <w:r>
        <w:rPr>
          <w:rFonts w:hint="eastAsia" w:ascii="仿宋_GB2312" w:hAnsi="楷体"/>
          <w:sz w:val="32"/>
          <w:szCs w:val="32"/>
          <w:lang w:eastAsia="zh-CN"/>
        </w:rPr>
        <w:t>：</w:t>
      </w:r>
      <w:r>
        <w:rPr>
          <w:rFonts w:hint="eastAsia" w:ascii="仿宋_GB2312" w:hAnsi="楷体"/>
          <w:sz w:val="32"/>
          <w:szCs w:val="32"/>
        </w:rPr>
        <w:t>办公室</w:t>
      </w:r>
      <w:r>
        <w:rPr>
          <w:rFonts w:hint="eastAsia" w:ascii="仿宋_GB2312" w:hAnsi="楷体"/>
          <w:sz w:val="32"/>
          <w:szCs w:val="32"/>
          <w:lang w:eastAsia="zh-CN"/>
        </w:rPr>
        <w:t>、财务室、</w:t>
      </w:r>
      <w:r>
        <w:rPr>
          <w:rFonts w:hint="eastAsia" w:ascii="仿宋_GB2312" w:hAnsi="楷体"/>
          <w:sz w:val="32"/>
          <w:szCs w:val="32"/>
          <w:lang w:val="en-US" w:eastAsia="zh-CN"/>
        </w:rPr>
        <w:t>业务室。</w:t>
      </w:r>
    </w:p>
    <w:p>
      <w:pPr>
        <w:pStyle w:val="3"/>
        <w:ind w:left="0" w:leftChars="0" w:firstLine="640" w:firstLineChars="200"/>
        <w:rPr>
          <w:rFonts w:hint="eastAsia" w:ascii="仿宋" w:hAnsi="仿宋" w:eastAsia="仿宋" w:cs="仿宋"/>
          <w:b w:val="0"/>
          <w:bCs/>
        </w:rPr>
      </w:pP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1159.87</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1159.87</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418.60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26.52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418.60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26.52</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2021年创建文明县城复检市政维修维护工程项目支</w:t>
      </w:r>
      <w:r>
        <w:rPr>
          <w:rFonts w:hint="eastAsia" w:ascii="仿宋_GB2312"/>
          <w:szCs w:val="32"/>
          <w:lang w:val="en-US" w:eastAsia="zh-CN"/>
        </w:rPr>
        <w:t>出减少</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szCs w:val="32"/>
          <w:lang w:val="en-US" w:eastAsia="zh-CN"/>
        </w:rPr>
        <w:t>1159.87</w:t>
      </w:r>
      <w:r>
        <w:rPr>
          <w:rFonts w:hint="eastAsia" w:ascii="仿宋_GB2312"/>
          <w:szCs w:val="32"/>
        </w:rPr>
        <w:t>万元，其中：财政拨款收入</w:t>
      </w:r>
      <w:r>
        <w:rPr>
          <w:rFonts w:hint="eastAsia" w:ascii="仿宋_GB2312"/>
          <w:szCs w:val="32"/>
          <w:lang w:val="en-US" w:eastAsia="zh-CN"/>
        </w:rPr>
        <w:t>1159.87</w:t>
      </w:r>
      <w:r>
        <w:rPr>
          <w:rFonts w:hint="eastAsia" w:ascii="仿宋_GB2312"/>
          <w:szCs w:val="32"/>
        </w:rPr>
        <w:t>万元，占比</w:t>
      </w:r>
      <w:r>
        <w:rPr>
          <w:rFonts w:hint="eastAsia" w:ascii="仿宋_GB2312"/>
          <w:szCs w:val="32"/>
          <w:lang w:val="en-US" w:eastAsia="zh-CN"/>
        </w:rPr>
        <w:t>100.00</w:t>
      </w:r>
      <w:r>
        <w:rPr>
          <w:rFonts w:hint="eastAsia" w:ascii="仿宋_GB2312"/>
          <w:szCs w:val="32"/>
        </w:rPr>
        <w:t>%；上级补助收入</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%；事业收入</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%；经营收入</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w:t>
      </w:r>
      <w:r>
        <w:rPr>
          <w:rFonts w:hint="eastAsia" w:ascii="仿宋_GB2312"/>
          <w:szCs w:val="32"/>
          <w:lang w:eastAsia="zh-CN"/>
        </w:rPr>
        <w:t>。</w:t>
      </w:r>
      <w:r>
        <w:rPr>
          <w:rFonts w:hint="eastAsia" w:ascii="仿宋_GB2312"/>
          <w:szCs w:val="32"/>
        </w:rPr>
        <w:t>附属单位上缴收入</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%；其他收入</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szCs w:val="32"/>
          <w:lang w:val="en-US" w:eastAsia="zh-CN"/>
        </w:rPr>
        <w:t>1159.87</w:t>
      </w:r>
      <w:r>
        <w:rPr>
          <w:rFonts w:hint="eastAsia" w:ascii="仿宋_GB2312"/>
          <w:szCs w:val="32"/>
        </w:rPr>
        <w:t>万元，其中：基本支出</w:t>
      </w:r>
      <w:r>
        <w:rPr>
          <w:rFonts w:hint="eastAsia" w:ascii="仿宋_GB2312"/>
          <w:szCs w:val="32"/>
          <w:lang w:val="en-US" w:eastAsia="zh-CN"/>
        </w:rPr>
        <w:t>35.58</w:t>
      </w:r>
      <w:r>
        <w:rPr>
          <w:rFonts w:hint="eastAsia" w:ascii="仿宋_GB2312"/>
          <w:szCs w:val="32"/>
        </w:rPr>
        <w:t>万元，占比</w:t>
      </w:r>
      <w:r>
        <w:rPr>
          <w:rFonts w:hint="eastAsia" w:ascii="仿宋_GB2312"/>
          <w:szCs w:val="32"/>
          <w:lang w:val="en-US" w:eastAsia="zh-CN"/>
        </w:rPr>
        <w:t>3.07</w:t>
      </w:r>
      <w:r>
        <w:rPr>
          <w:rFonts w:hint="eastAsia" w:ascii="仿宋_GB2312"/>
          <w:szCs w:val="32"/>
        </w:rPr>
        <w:t>%；项目支出</w:t>
      </w:r>
      <w:r>
        <w:rPr>
          <w:rFonts w:hint="eastAsia" w:ascii="仿宋_GB2312"/>
          <w:szCs w:val="32"/>
          <w:lang w:val="en-US" w:eastAsia="zh-CN"/>
        </w:rPr>
        <w:t>1124.29</w:t>
      </w:r>
      <w:r>
        <w:rPr>
          <w:rFonts w:hint="eastAsia" w:ascii="仿宋_GB2312"/>
          <w:szCs w:val="32"/>
        </w:rPr>
        <w:t>万元，占比</w:t>
      </w:r>
      <w:r>
        <w:rPr>
          <w:rFonts w:hint="eastAsia" w:ascii="仿宋_GB2312"/>
          <w:szCs w:val="32"/>
          <w:lang w:val="en-US" w:eastAsia="zh-CN"/>
        </w:rPr>
        <w:t>96.93</w:t>
      </w:r>
      <w:r>
        <w:rPr>
          <w:rFonts w:hint="eastAsia" w:ascii="仿宋_GB2312"/>
          <w:szCs w:val="32"/>
        </w:rPr>
        <w:t>%，上缴上级支出</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%，经营支出</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%,对附属单位补助支出</w:t>
      </w:r>
      <w:r>
        <w:rPr>
          <w:rFonts w:hint="eastAsia" w:ascii="仿宋_GB2312"/>
          <w:szCs w:val="32"/>
          <w:lang w:val="en-US" w:eastAsia="zh-CN"/>
        </w:rPr>
        <w:t>0</w:t>
      </w:r>
      <w:r>
        <w:rPr>
          <w:rFonts w:hint="eastAsia" w:ascii="仿宋_GB2312"/>
          <w:szCs w:val="32"/>
        </w:rPr>
        <w:t>万元，占比</w:t>
      </w:r>
      <w:r>
        <w:rPr>
          <w:rFonts w:hint="eastAsia" w:ascii="仿宋_GB2312"/>
          <w:szCs w:val="32"/>
          <w:lang w:val="en-US" w:eastAsia="zh-CN"/>
        </w:rPr>
        <w:t>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color w:val="000000" w:themeColor="text1"/>
          <w:szCs w:val="32"/>
          <w14:textFill>
            <w14:solidFill>
              <w14:schemeClr w14:val="tx1"/>
            </w14:solidFill>
          </w14:textFill>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szCs w:val="32"/>
          <w:lang w:val="en-US" w:eastAsia="zh-CN"/>
        </w:rPr>
        <w:t>1159.87</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1159.87</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418.60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26.52</w:t>
      </w:r>
      <w:r>
        <w:rPr>
          <w:rFonts w:hint="eastAsia" w:ascii="仿宋_GB2312"/>
          <w:color w:val="000000" w:themeColor="text1"/>
          <w:szCs w:val="32"/>
          <w14:textFill>
            <w14:solidFill>
              <w14:schemeClr w14:val="tx1"/>
            </w14:solidFill>
          </w14:textFill>
        </w:rPr>
        <w:t>%，财政拨款支出总计减少</w:t>
      </w:r>
      <w:r>
        <w:rPr>
          <w:rFonts w:hint="eastAsia" w:ascii="仿宋_GB2312"/>
          <w:color w:val="000000" w:themeColor="text1"/>
          <w:szCs w:val="32"/>
          <w:lang w:val="en-US" w:eastAsia="zh-CN"/>
          <w14:textFill>
            <w14:solidFill>
              <w14:schemeClr w14:val="tx1"/>
            </w14:solidFill>
          </w14:textFill>
        </w:rPr>
        <w:t>418.60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26.52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2021年创建文明县城复检市政维修维护工程项目支出减少</w:t>
      </w:r>
      <w:r>
        <w:rPr>
          <w:rFonts w:hint="eastAsia" w:ascii="仿宋_GB2312"/>
          <w:color w:val="000000" w:themeColor="text1"/>
          <w:szCs w:val="32"/>
          <w14:textFill>
            <w14:solidFill>
              <w14:schemeClr w14:val="tx1"/>
            </w14:solidFill>
          </w14:textFill>
        </w:rPr>
        <w:t>。</w:t>
      </w:r>
    </w:p>
    <w:p>
      <w:pPr>
        <w:pStyle w:val="3"/>
        <w:ind w:left="0" w:leftChars="0" w:firstLine="643" w:firstLineChars="200"/>
        <w:rPr>
          <w:rFonts w:hint="eastAsia" w:ascii="仿宋" w:hAnsi="仿宋" w:eastAsia="仿宋" w:cs="仿宋"/>
          <w:b/>
          <w:bCs w:val="0"/>
          <w:color w:val="000000" w:themeColor="text1"/>
          <w:lang w:val="en-US" w:eastAsia="zh-CN"/>
          <w14:textFill>
            <w14:solidFill>
              <w14:schemeClr w14:val="tx1"/>
            </w14:solidFill>
          </w14:textFill>
        </w:rPr>
      </w:pPr>
      <w:bookmarkStart w:id="19" w:name="_Toc6501"/>
      <w:bookmarkStart w:id="20" w:name="_Toc934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1159.87</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w:t>
      </w:r>
      <w:r>
        <w:rPr>
          <w:rFonts w:hint="eastAsia" w:ascii="仿宋_GB2312"/>
          <w:color w:val="000000" w:themeColor="text1"/>
          <w:szCs w:val="32"/>
          <w:lang w:val="en-US" w:eastAsia="zh-CN"/>
          <w14:textFill>
            <w14:solidFill>
              <w14:schemeClr w14:val="tx1"/>
            </w14:solidFill>
          </w14:textFill>
        </w:rPr>
        <w:t>418.60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26.52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2021年创建文明县城复检市政维修维护工程项目支出减少</w:t>
      </w:r>
      <w:r>
        <w:rPr>
          <w:rFonts w:hint="eastAsia" w:ascii="仿宋_GB2312"/>
          <w:color w:val="000000" w:themeColor="text1"/>
          <w:szCs w:val="32"/>
          <w14:textFill>
            <w14:solidFill>
              <w14:schemeClr w14:val="tx1"/>
            </w14:solidFill>
          </w14:textFill>
        </w:rPr>
        <w:t>。其中，</w:t>
      </w:r>
      <w:r>
        <w:rPr>
          <w:rFonts w:hint="eastAsia" w:ascii="仿宋_GB2312"/>
          <w:color w:val="000000" w:themeColor="text1"/>
          <w:szCs w:val="32"/>
          <w:lang w:val="en-US" w:eastAsia="zh-CN"/>
          <w14:textFill>
            <w14:solidFill>
              <w14:schemeClr w14:val="tx1"/>
            </w14:solidFill>
          </w14:textFill>
        </w:rPr>
        <w:t>政府性基金预算支出0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1159.87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城乡社区</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1159.87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100.00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1159.87</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1159.87</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10"/>
        <w:tblW w:w="902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4050"/>
        <w:gridCol w:w="1290"/>
        <w:gridCol w:w="1275"/>
        <w:gridCol w:w="1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widowControl/>
              <w:ind w:left="0" w:leftChars="0" w:firstLine="0" w:firstLineChars="0"/>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4050" w:type="dxa"/>
            <w:vAlign w:val="center"/>
          </w:tcPr>
          <w:p>
            <w:pPr>
              <w:widowControl/>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290" w:type="dxa"/>
            <w:vAlign w:val="center"/>
          </w:tcPr>
          <w:p>
            <w:pPr>
              <w:widowControl/>
              <w:ind w:left="0" w:leftChars="0" w:firstLine="0" w:firstLineChars="0"/>
              <w:jc w:val="center"/>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275" w:type="dxa"/>
            <w:vAlign w:val="center"/>
          </w:tcPr>
          <w:p>
            <w:pPr>
              <w:widowControl/>
              <w:ind w:left="0" w:leftChars="0" w:firstLine="0" w:firstLineChars="0"/>
              <w:jc w:val="center"/>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180" w:type="dxa"/>
            <w:vAlign w:val="center"/>
          </w:tcPr>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225" w:type="dxa"/>
            <w:vAlign w:val="center"/>
          </w:tcPr>
          <w:p>
            <w:pPr>
              <w:keepNext w:val="0"/>
              <w:keepLines w:val="0"/>
              <w:widowControl/>
              <w:suppressLineNumbers w:val="0"/>
              <w:ind w:firstLine="480" w:firstLineChars="200"/>
              <w:jc w:val="left"/>
              <w:textAlignment w:val="center"/>
              <w:rPr>
                <w:rFonts w:hint="eastAsia" w:asciiTheme="minorEastAsia" w:hAnsiTheme="minorEastAsia" w:eastAsiaTheme="minorEastAsia" w:cstheme="minorEastAsia"/>
                <w:color w:val="FF0000"/>
                <w:sz w:val="24"/>
                <w:szCs w:val="24"/>
              </w:rPr>
            </w:pPr>
          </w:p>
        </w:tc>
        <w:tc>
          <w:tcPr>
            <w:tcW w:w="4050" w:type="dxa"/>
            <w:vAlign w:val="top"/>
          </w:tcPr>
          <w:p>
            <w:pPr>
              <w:ind w:left="0" w:leftChars="0" w:firstLine="0" w:firstLineChars="0"/>
              <w:jc w:val="left"/>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z w:val="24"/>
                <w:szCs w:val="24"/>
                <w:lang w:val="en-US" w:eastAsia="zh-CN"/>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合  计</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auto"/>
                <w:sz w:val="24"/>
                <w:szCs w:val="24"/>
                <w:lang w:val="en-US" w:eastAsia="zh-CN"/>
              </w:rPr>
              <w:t>1,578.47</w:t>
            </w:r>
          </w:p>
        </w:tc>
        <w:tc>
          <w:tcPr>
            <w:tcW w:w="1275"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i w:val="0"/>
                <w:iCs w:val="0"/>
                <w:color w:val="000000"/>
                <w:kern w:val="0"/>
                <w:sz w:val="24"/>
                <w:szCs w:val="24"/>
                <w:u w:val="none"/>
                <w:lang w:val="en-US" w:eastAsia="zh-CN" w:bidi="ar"/>
              </w:rPr>
              <w:t>1,159.87</w:t>
            </w:r>
          </w:p>
        </w:tc>
        <w:tc>
          <w:tcPr>
            <w:tcW w:w="1180" w:type="dxa"/>
            <w:vAlign w:val="top"/>
          </w:tcPr>
          <w:p>
            <w:pPr>
              <w:ind w:left="0" w:leftChars="0" w:firstLine="0" w:firstLineChars="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212</w:t>
            </w:r>
          </w:p>
        </w:tc>
        <w:tc>
          <w:tcPr>
            <w:tcW w:w="4050"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城乡社区支出</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auto"/>
                <w:sz w:val="24"/>
                <w:szCs w:val="24"/>
                <w:lang w:val="en-US" w:eastAsia="zh-CN"/>
              </w:rPr>
              <w:t>1,578.47</w:t>
            </w:r>
          </w:p>
        </w:tc>
        <w:tc>
          <w:tcPr>
            <w:tcW w:w="1275"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1,159.87</w:t>
            </w:r>
          </w:p>
        </w:tc>
        <w:tc>
          <w:tcPr>
            <w:tcW w:w="1180" w:type="dxa"/>
            <w:vAlign w:val="top"/>
          </w:tcPr>
          <w:p>
            <w:pPr>
              <w:ind w:left="0" w:leftChars="0" w:firstLine="0" w:firstLineChars="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21201</w:t>
            </w:r>
          </w:p>
        </w:tc>
        <w:tc>
          <w:tcPr>
            <w:tcW w:w="4050" w:type="dxa"/>
            <w:vAlign w:val="center"/>
          </w:tcPr>
          <w:p>
            <w:pPr>
              <w:keepNext w:val="0"/>
              <w:keepLines w:val="0"/>
              <w:widowControl/>
              <w:suppressLineNumbers w:val="0"/>
              <w:ind w:firstLine="480" w:firstLineChars="20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城乡社区管理事务</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auto"/>
                <w:sz w:val="24"/>
                <w:szCs w:val="24"/>
                <w:lang w:val="en-US" w:eastAsia="zh-CN"/>
              </w:rPr>
              <w:t>98.88</w:t>
            </w:r>
          </w:p>
        </w:tc>
        <w:tc>
          <w:tcPr>
            <w:tcW w:w="1275"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60.25</w:t>
            </w:r>
          </w:p>
        </w:tc>
        <w:tc>
          <w:tcPr>
            <w:tcW w:w="1180" w:type="dxa"/>
            <w:vAlign w:val="top"/>
          </w:tcPr>
          <w:p>
            <w:pPr>
              <w:ind w:left="0" w:leftChars="0" w:firstLine="0" w:firstLineChars="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2120101</w:t>
            </w:r>
          </w:p>
        </w:tc>
        <w:tc>
          <w:tcPr>
            <w:tcW w:w="4050" w:type="dxa"/>
            <w:vAlign w:val="center"/>
          </w:tcPr>
          <w:p>
            <w:pPr>
              <w:keepNext w:val="0"/>
              <w:keepLines w:val="0"/>
              <w:widowControl/>
              <w:suppressLineNumbers w:val="0"/>
              <w:ind w:firstLine="480" w:firstLineChars="20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  行政运行</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auto"/>
                <w:sz w:val="24"/>
                <w:szCs w:val="24"/>
                <w:lang w:val="en-US" w:eastAsia="zh-CN"/>
              </w:rPr>
              <w:t>98.88</w:t>
            </w:r>
          </w:p>
        </w:tc>
        <w:tc>
          <w:tcPr>
            <w:tcW w:w="1275"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60.25</w:t>
            </w:r>
          </w:p>
        </w:tc>
        <w:tc>
          <w:tcPr>
            <w:tcW w:w="1180" w:type="dxa"/>
            <w:vAlign w:val="top"/>
          </w:tcPr>
          <w:p>
            <w:pPr>
              <w:ind w:left="0" w:leftChars="0" w:firstLine="0" w:firstLineChars="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21203</w:t>
            </w:r>
          </w:p>
        </w:tc>
        <w:tc>
          <w:tcPr>
            <w:tcW w:w="4050" w:type="dxa"/>
            <w:vAlign w:val="center"/>
          </w:tcPr>
          <w:p>
            <w:pPr>
              <w:keepNext w:val="0"/>
              <w:keepLines w:val="0"/>
              <w:widowControl/>
              <w:suppressLineNumbers w:val="0"/>
              <w:ind w:firstLine="480" w:firstLineChars="200"/>
              <w:jc w:val="left"/>
              <w:textAlignment w:val="center"/>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城乡社区公共设施</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color w:val="auto"/>
                <w:sz w:val="24"/>
                <w:szCs w:val="24"/>
                <w:lang w:val="en-US" w:eastAsia="zh-CN"/>
              </w:rPr>
              <w:t>559.59</w:t>
            </w:r>
          </w:p>
        </w:tc>
        <w:tc>
          <w:tcPr>
            <w:tcW w:w="1275"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1,099.62</w:t>
            </w:r>
          </w:p>
        </w:tc>
        <w:tc>
          <w:tcPr>
            <w:tcW w:w="1180" w:type="dxa"/>
            <w:vAlign w:val="top"/>
          </w:tcPr>
          <w:p>
            <w:pPr>
              <w:ind w:left="0" w:leftChars="0" w:firstLine="0" w:firstLineChars="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iCs w:val="0"/>
                <w:color w:val="000000"/>
                <w:kern w:val="0"/>
                <w:sz w:val="24"/>
                <w:szCs w:val="24"/>
                <w:u w:val="none"/>
                <w:lang w:val="en-US" w:eastAsia="zh-CN" w:bidi="ar"/>
              </w:rPr>
              <w:t>2120399</w:t>
            </w:r>
          </w:p>
        </w:tc>
        <w:tc>
          <w:tcPr>
            <w:tcW w:w="4050" w:type="dxa"/>
            <w:vAlign w:val="center"/>
          </w:tcPr>
          <w:p>
            <w:pPr>
              <w:keepNext w:val="0"/>
              <w:keepLines w:val="0"/>
              <w:widowControl/>
              <w:suppressLineNumbers w:val="0"/>
              <w:ind w:firstLine="480" w:firstLineChars="200"/>
              <w:jc w:val="left"/>
              <w:textAlignment w:val="center"/>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 xml:space="preserve">  其他城乡社区公共设施支出</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color w:val="auto"/>
                <w:sz w:val="24"/>
                <w:szCs w:val="24"/>
                <w:lang w:val="en-US" w:eastAsia="zh-CN"/>
              </w:rPr>
              <w:t>559.59</w:t>
            </w:r>
          </w:p>
        </w:tc>
        <w:tc>
          <w:tcPr>
            <w:tcW w:w="1275"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i w:val="0"/>
                <w:iCs w:val="0"/>
                <w:color w:val="000000"/>
                <w:kern w:val="0"/>
                <w:sz w:val="24"/>
                <w:szCs w:val="24"/>
                <w:u w:val="none"/>
                <w:lang w:val="en-US" w:eastAsia="zh-CN" w:bidi="ar"/>
              </w:rPr>
              <w:t>1,099.62</w:t>
            </w:r>
          </w:p>
        </w:tc>
        <w:tc>
          <w:tcPr>
            <w:tcW w:w="1180" w:type="dxa"/>
            <w:vAlign w:val="top"/>
          </w:tcPr>
          <w:p>
            <w:pPr>
              <w:ind w:left="0" w:leftChars="0" w:firstLine="0" w:firstLineChars="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color w:val="auto"/>
                <w:kern w:val="0"/>
                <w:sz w:val="24"/>
                <w:szCs w:val="24"/>
                <w:u w:val="none"/>
                <w:lang w:val="en-US" w:eastAsia="zh-CN"/>
              </w:rPr>
              <w:t>21213</w:t>
            </w:r>
          </w:p>
        </w:tc>
        <w:tc>
          <w:tcPr>
            <w:tcW w:w="4050" w:type="dxa"/>
            <w:vAlign w:val="center"/>
          </w:tcPr>
          <w:p>
            <w:pPr>
              <w:keepNext w:val="0"/>
              <w:keepLines w:val="0"/>
              <w:widowControl/>
              <w:suppressLineNumbers w:val="0"/>
              <w:ind w:left="0" w:leftChars="0" w:firstLine="240" w:firstLineChars="100"/>
              <w:jc w:val="both"/>
              <w:textAlignment w:val="center"/>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i w:val="0"/>
                <w:color w:val="auto"/>
                <w:kern w:val="0"/>
                <w:sz w:val="24"/>
                <w:szCs w:val="24"/>
                <w:u w:val="none"/>
                <w:lang w:val="en-US" w:eastAsia="zh-CN"/>
              </w:rPr>
              <w:t>城市基础设施配套费安排的支出</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color w:val="auto"/>
                <w:sz w:val="24"/>
                <w:szCs w:val="24"/>
                <w:lang w:val="en-US" w:eastAsia="zh-CN"/>
              </w:rPr>
              <w:t>920.00</w:t>
            </w:r>
          </w:p>
        </w:tc>
        <w:tc>
          <w:tcPr>
            <w:tcW w:w="1275" w:type="dxa"/>
            <w:vAlign w:val="center"/>
          </w:tcPr>
          <w:p>
            <w:pPr>
              <w:keepNext w:val="0"/>
              <w:keepLines w:val="0"/>
              <w:widowControl/>
              <w:suppressLineNumbers w:val="0"/>
              <w:jc w:val="right"/>
              <w:textAlignment w:val="center"/>
              <w:rPr>
                <w:rFonts w:hint="eastAsia" w:asciiTheme="minorEastAsia" w:hAnsiTheme="minorEastAsia" w:eastAsiaTheme="minorEastAsia" w:cstheme="minorEastAsia"/>
                <w:color w:val="000000"/>
                <w:sz w:val="24"/>
                <w:szCs w:val="24"/>
                <w:lang w:val="en-US" w:eastAsia="zh-CN"/>
              </w:rPr>
            </w:pPr>
          </w:p>
        </w:tc>
        <w:tc>
          <w:tcPr>
            <w:tcW w:w="1180"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center"/>
          </w:tcPr>
          <w:p>
            <w:pPr>
              <w:keepNext w:val="0"/>
              <w:keepLines w:val="0"/>
              <w:widowControl/>
              <w:suppressLineNumbers w:val="0"/>
              <w:ind w:left="0" w:leftChars="0" w:firstLine="0" w:firstLineChars="0"/>
              <w:jc w:val="left"/>
              <w:textAlignment w:val="cente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i w:val="0"/>
                <w:color w:val="auto"/>
                <w:kern w:val="0"/>
                <w:sz w:val="24"/>
                <w:szCs w:val="24"/>
                <w:u w:val="none"/>
                <w:lang w:val="en-US" w:eastAsia="zh-CN"/>
              </w:rPr>
              <w:t>2121301</w:t>
            </w:r>
          </w:p>
        </w:tc>
        <w:tc>
          <w:tcPr>
            <w:tcW w:w="4050" w:type="dxa"/>
            <w:vAlign w:val="center"/>
          </w:tcPr>
          <w:p>
            <w:pPr>
              <w:keepNext w:val="0"/>
              <w:keepLines w:val="0"/>
              <w:widowControl/>
              <w:suppressLineNumbers w:val="0"/>
              <w:ind w:left="0" w:leftChars="0" w:firstLine="480" w:firstLineChars="200"/>
              <w:jc w:val="left"/>
              <w:textAlignment w:val="center"/>
              <w:rPr>
                <w:rFonts w:hint="eastAsia"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i w:val="0"/>
                <w:color w:val="auto"/>
                <w:kern w:val="0"/>
                <w:sz w:val="24"/>
                <w:szCs w:val="24"/>
                <w:u w:val="none"/>
                <w:lang w:val="en-US" w:eastAsia="zh-CN"/>
              </w:rPr>
              <w:t>城市公共设施</w:t>
            </w:r>
          </w:p>
        </w:tc>
        <w:tc>
          <w:tcPr>
            <w:tcW w:w="1290"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auto"/>
                <w:sz w:val="24"/>
                <w:szCs w:val="24"/>
                <w:lang w:val="en-US" w:eastAsia="zh-CN"/>
              </w:rPr>
              <w:t>920.00</w:t>
            </w:r>
          </w:p>
        </w:tc>
        <w:tc>
          <w:tcPr>
            <w:tcW w:w="1275" w:type="dxa"/>
            <w:vAlign w:val="center"/>
          </w:tcPr>
          <w:p>
            <w:pPr>
              <w:keepNext w:val="0"/>
              <w:keepLines w:val="0"/>
              <w:widowControl/>
              <w:suppressLineNumbers w:val="0"/>
              <w:jc w:val="right"/>
              <w:textAlignment w:val="center"/>
              <w:rPr>
                <w:rFonts w:hint="eastAsia" w:asciiTheme="minorEastAsia" w:hAnsiTheme="minorEastAsia" w:eastAsiaTheme="minorEastAsia" w:cstheme="minorEastAsia"/>
                <w:color w:val="000000"/>
                <w:sz w:val="24"/>
                <w:szCs w:val="24"/>
                <w:lang w:val="en-US" w:eastAsia="zh-CN"/>
              </w:rPr>
            </w:pPr>
          </w:p>
        </w:tc>
        <w:tc>
          <w:tcPr>
            <w:tcW w:w="1180"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25" w:type="dxa"/>
            <w:vAlign w:val="top"/>
          </w:tcPr>
          <w:p>
            <w:pPr>
              <w:jc w:val="left"/>
              <w:rPr>
                <w:rFonts w:hint="eastAsia" w:ascii="仿宋" w:hAnsi="仿宋" w:eastAsia="仿宋" w:cs="仿宋"/>
                <w:color w:val="FF0000"/>
                <w:sz w:val="24"/>
                <w:szCs w:val="24"/>
              </w:rPr>
            </w:pPr>
          </w:p>
        </w:tc>
        <w:tc>
          <w:tcPr>
            <w:tcW w:w="4050" w:type="dxa"/>
            <w:vAlign w:val="top"/>
          </w:tcPr>
          <w:p>
            <w:pPr>
              <w:jc w:val="left"/>
              <w:rPr>
                <w:rFonts w:hint="eastAsia" w:ascii="仿宋" w:hAnsi="仿宋" w:eastAsia="仿宋" w:cs="仿宋"/>
                <w:color w:val="FF0000"/>
                <w:sz w:val="24"/>
                <w:szCs w:val="24"/>
              </w:rPr>
            </w:pPr>
          </w:p>
        </w:tc>
        <w:tc>
          <w:tcPr>
            <w:tcW w:w="1290"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275"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180" w:type="dxa"/>
            <w:vAlign w:val="top"/>
          </w:tcPr>
          <w:p>
            <w:pPr>
              <w:jc w:val="left"/>
              <w:rPr>
                <w:rFonts w:hint="eastAsia" w:ascii="仿宋" w:hAnsi="仿宋" w:eastAsia="仿宋" w:cs="仿宋"/>
                <w:color w:val="000000"/>
                <w:sz w:val="24"/>
                <w:szCs w:val="24"/>
                <w:lang w:val="en-US" w:eastAsia="zh-CN"/>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1993"/>
        <w:gridCol w:w="2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1993"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2034"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合  计</w:t>
            </w:r>
          </w:p>
        </w:tc>
        <w:tc>
          <w:tcPr>
            <w:tcW w:w="1837"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i w:val="0"/>
                <w:color w:val="000000" w:themeColor="text1"/>
                <w:kern w:val="0"/>
                <w:sz w:val="24"/>
                <w:szCs w:val="24"/>
                <w:u w:val="none"/>
                <w:lang w:val="en-US" w:eastAsia="zh-CN"/>
                <w14:textFill>
                  <w14:solidFill>
                    <w14:schemeClr w14:val="tx1"/>
                  </w14:solidFill>
                </w14:textFill>
              </w:rPr>
              <w:t>1578.47</w:t>
            </w:r>
          </w:p>
        </w:tc>
        <w:tc>
          <w:tcPr>
            <w:tcW w:w="1993"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1159.87</w:t>
            </w:r>
          </w:p>
        </w:tc>
        <w:tc>
          <w:tcPr>
            <w:tcW w:w="2034" w:type="dxa"/>
            <w:vAlign w:val="center"/>
          </w:tcPr>
          <w:p>
            <w:pPr>
              <w:widowControl/>
              <w:ind w:left="0" w:leftChars="0" w:firstLine="0" w:firstLineChars="0"/>
              <w:jc w:val="righ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-26.52%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2876" w:type="dxa"/>
            <w:vAlign w:val="center"/>
          </w:tcPr>
          <w:p>
            <w:pPr>
              <w:widowControl/>
              <w:jc w:val="lef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工资福利支出</w:t>
            </w:r>
          </w:p>
        </w:tc>
        <w:tc>
          <w:tcPr>
            <w:tcW w:w="1837"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i w:val="0"/>
                <w:color w:val="000000" w:themeColor="text1"/>
                <w:kern w:val="0"/>
                <w:sz w:val="24"/>
                <w:szCs w:val="24"/>
                <w:u w:val="none"/>
                <w:lang w:val="en-US" w:eastAsia="zh-CN"/>
                <w14:textFill>
                  <w14:solidFill>
                    <w14:schemeClr w14:val="tx1"/>
                  </w14:solidFill>
                </w14:textFill>
              </w:rPr>
              <w:t>33.56</w:t>
            </w:r>
          </w:p>
        </w:tc>
        <w:tc>
          <w:tcPr>
            <w:tcW w:w="1993" w:type="dxa"/>
            <w:vAlign w:val="center"/>
          </w:tcPr>
          <w:p>
            <w:pPr>
              <w:keepNext w:val="0"/>
              <w:keepLines w:val="0"/>
              <w:widowControl/>
              <w:suppressLineNumbers w:val="0"/>
              <w:ind w:firstLine="480" w:firstLineChars="200"/>
              <w:jc w:val="right"/>
              <w:textAlignment w:val="center"/>
              <w:rPr>
                <w:rFonts w:hint="eastAsia" w:asciiTheme="minorEastAsia" w:hAnsiTheme="minorEastAsia" w:eastAsiaTheme="minorEastAsia" w:cstheme="minorEastAsia"/>
                <w:i w:val="0"/>
                <w:iCs w:val="0"/>
                <w:color w:val="000000" w:themeColor="text1"/>
                <w:kern w:val="2"/>
                <w:sz w:val="24"/>
                <w:szCs w:val="24"/>
                <w:u w:val="none"/>
                <w:lang w:val="en-US" w:eastAsia="zh-CN" w:bidi="ar-SA"/>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34.75</w:t>
            </w:r>
          </w:p>
        </w:tc>
        <w:tc>
          <w:tcPr>
            <w:tcW w:w="2034" w:type="dxa"/>
            <w:vAlign w:val="center"/>
          </w:tcPr>
          <w:p>
            <w:pPr>
              <w:widowControl/>
              <w:ind w:left="0" w:leftChars="0" w:firstLine="0" w:firstLineChars="0"/>
              <w:jc w:val="righ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2876" w:type="dxa"/>
            <w:vAlign w:val="center"/>
          </w:tcPr>
          <w:p>
            <w:pPr>
              <w:widowControl/>
              <w:jc w:val="lef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商品服务支出</w:t>
            </w:r>
          </w:p>
        </w:tc>
        <w:tc>
          <w:tcPr>
            <w:tcW w:w="1837"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themeColor="text1"/>
                <w:kern w:val="0"/>
                <w:sz w:val="24"/>
                <w:szCs w:val="24"/>
                <w:lang w:val="en-US"/>
                <w14:textFill>
                  <w14:solidFill>
                    <w14:schemeClr w14:val="tx1"/>
                  </w14:solidFill>
                </w14:textFill>
              </w:rPr>
            </w:pPr>
            <w:r>
              <w:rPr>
                <w:rFonts w:hint="eastAsia" w:asciiTheme="minorEastAsia" w:hAnsiTheme="minorEastAsia" w:eastAsiaTheme="minorEastAsia" w:cstheme="minorEastAsia"/>
                <w:i w:val="0"/>
                <w:color w:val="000000" w:themeColor="text1"/>
                <w:kern w:val="0"/>
                <w:sz w:val="24"/>
                <w:szCs w:val="24"/>
                <w:u w:val="none"/>
                <w:lang w:val="en-US" w:eastAsia="zh-CN"/>
                <w14:textFill>
                  <w14:solidFill>
                    <w14:schemeClr w14:val="tx1"/>
                  </w14:solidFill>
                </w14:textFill>
              </w:rPr>
              <w:t>317.99</w:t>
            </w:r>
          </w:p>
        </w:tc>
        <w:tc>
          <w:tcPr>
            <w:tcW w:w="1993" w:type="dxa"/>
            <w:vAlign w:val="center"/>
          </w:tcPr>
          <w:p>
            <w:pPr>
              <w:keepNext w:val="0"/>
              <w:keepLines w:val="0"/>
              <w:widowControl/>
              <w:suppressLineNumbers w:val="0"/>
              <w:ind w:firstLine="480" w:firstLineChars="200"/>
              <w:jc w:val="right"/>
              <w:textAlignment w:val="center"/>
              <w:rPr>
                <w:rFonts w:hint="eastAsia" w:asciiTheme="minorEastAsia" w:hAnsiTheme="minorEastAsia" w:eastAsiaTheme="minorEastAsia" w:cstheme="minorEastAsia"/>
                <w:i w:val="0"/>
                <w:iCs w:val="0"/>
                <w:color w:val="000000" w:themeColor="text1"/>
                <w:kern w:val="2"/>
                <w:sz w:val="24"/>
                <w:szCs w:val="24"/>
                <w:u w:val="none"/>
                <w:lang w:val="en-US" w:eastAsia="zh-CN" w:bidi="ar-SA"/>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292.24</w:t>
            </w:r>
          </w:p>
        </w:tc>
        <w:tc>
          <w:tcPr>
            <w:tcW w:w="2034" w:type="dxa"/>
            <w:vAlign w:val="center"/>
          </w:tcPr>
          <w:p>
            <w:pPr>
              <w:widowControl/>
              <w:ind w:left="0" w:leftChars="0" w:firstLine="0" w:firstLineChars="0"/>
              <w:jc w:val="righ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trPr>
        <w:tc>
          <w:tcPr>
            <w:tcW w:w="2876" w:type="dxa"/>
            <w:vAlign w:val="center"/>
          </w:tcPr>
          <w:p>
            <w:pPr>
              <w:widowControl/>
              <w:ind w:left="0" w:leftChars="0" w:firstLine="0" w:firstLineChars="0"/>
              <w:jc w:val="lef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对个人和家庭的补助</w:t>
            </w:r>
          </w:p>
        </w:tc>
        <w:tc>
          <w:tcPr>
            <w:tcW w:w="1837"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i w:val="0"/>
                <w:color w:val="000000" w:themeColor="text1"/>
                <w:kern w:val="0"/>
                <w:sz w:val="24"/>
                <w:szCs w:val="24"/>
                <w:u w:val="none"/>
                <w:lang w:val="en-US" w:eastAsia="zh-CN"/>
                <w14:textFill>
                  <w14:solidFill>
                    <w14:schemeClr w14:val="tx1"/>
                  </w14:solidFill>
                </w14:textFill>
              </w:rPr>
              <w:t>13.32</w:t>
            </w:r>
          </w:p>
        </w:tc>
        <w:tc>
          <w:tcPr>
            <w:tcW w:w="1993" w:type="dxa"/>
            <w:vAlign w:val="center"/>
          </w:tcPr>
          <w:p>
            <w:pPr>
              <w:keepNext w:val="0"/>
              <w:keepLines w:val="0"/>
              <w:widowControl/>
              <w:suppressLineNumbers w:val="0"/>
              <w:ind w:firstLine="480" w:firstLineChars="200"/>
              <w:jc w:val="right"/>
              <w:textAlignment w:val="center"/>
              <w:rPr>
                <w:rFonts w:hint="eastAsia" w:asciiTheme="minorEastAsia" w:hAnsiTheme="minorEastAsia" w:eastAsiaTheme="minorEastAsia" w:cstheme="minorEastAsia"/>
                <w:i w:val="0"/>
                <w:iCs w:val="0"/>
                <w:color w:val="000000" w:themeColor="text1"/>
                <w:kern w:val="2"/>
                <w:sz w:val="24"/>
                <w:szCs w:val="24"/>
                <w:u w:val="none"/>
                <w:lang w:val="en-US" w:eastAsia="zh-CN" w:bidi="ar-SA"/>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51.65</w:t>
            </w:r>
          </w:p>
        </w:tc>
        <w:tc>
          <w:tcPr>
            <w:tcW w:w="2034" w:type="dxa"/>
            <w:vAlign w:val="center"/>
          </w:tcPr>
          <w:p>
            <w:pPr>
              <w:widowControl/>
              <w:ind w:left="0" w:leftChars="0" w:firstLine="0" w:firstLineChars="0"/>
              <w:jc w:val="righ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287.76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876" w:type="dxa"/>
            <w:vAlign w:val="center"/>
          </w:tcPr>
          <w:p>
            <w:pPr>
              <w:widowControl/>
              <w:jc w:val="left"/>
              <w:rPr>
                <w:rFonts w:hint="eastAsia" w:asciiTheme="minorEastAsia" w:hAnsiTheme="minorEastAsia" w:eastAsiaTheme="minorEastAsia" w:cstheme="minorEastAsia"/>
                <w:b/>
                <w:bCs/>
                <w:color w:val="000000" w:themeColor="text1"/>
                <w:kern w:val="0"/>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资本性支出</w:t>
            </w:r>
          </w:p>
        </w:tc>
        <w:tc>
          <w:tcPr>
            <w:tcW w:w="1837" w:type="dxa"/>
            <w:vAlign w:val="center"/>
          </w:tcPr>
          <w:p>
            <w:pPr>
              <w:keepNext w:val="0"/>
              <w:keepLines w:val="0"/>
              <w:widowControl/>
              <w:suppressLineNumbers w:val="0"/>
              <w:ind w:left="0" w:leftChars="0" w:firstLine="0" w:firstLineChars="0"/>
              <w:jc w:val="right"/>
              <w:textAlignment w:val="cente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i w:val="0"/>
                <w:color w:val="000000" w:themeColor="text1"/>
                <w:kern w:val="0"/>
                <w:sz w:val="24"/>
                <w:szCs w:val="24"/>
                <w:u w:val="none"/>
                <w:lang w:val="en-US" w:eastAsia="zh-CN"/>
                <w14:textFill>
                  <w14:solidFill>
                    <w14:schemeClr w14:val="tx1"/>
                  </w14:solidFill>
                </w14:textFill>
              </w:rPr>
              <w:t>1213.60</w:t>
            </w:r>
          </w:p>
        </w:tc>
        <w:tc>
          <w:tcPr>
            <w:tcW w:w="1993" w:type="dxa"/>
            <w:vAlign w:val="center"/>
          </w:tcPr>
          <w:p>
            <w:pPr>
              <w:keepNext w:val="0"/>
              <w:keepLines w:val="0"/>
              <w:widowControl/>
              <w:suppressLineNumbers w:val="0"/>
              <w:ind w:firstLine="480" w:firstLineChars="200"/>
              <w:jc w:val="right"/>
              <w:textAlignment w:val="center"/>
              <w:rPr>
                <w:rFonts w:hint="eastAsia" w:asciiTheme="minorEastAsia" w:hAnsiTheme="minorEastAsia" w:eastAsiaTheme="minorEastAsia" w:cstheme="minorEastAsia"/>
                <w:i w:val="0"/>
                <w:iCs w:val="0"/>
                <w:color w:val="000000" w:themeColor="text1"/>
                <w:kern w:val="2"/>
                <w:sz w:val="24"/>
                <w:szCs w:val="24"/>
                <w:u w:val="none"/>
                <w:lang w:val="en-US" w:eastAsia="zh-CN" w:bidi="ar-SA"/>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4"/>
                <w:szCs w:val="24"/>
                <w:u w:val="none"/>
                <w:lang w:val="en-US" w:eastAsia="zh-CN" w:bidi="ar"/>
                <w14:textFill>
                  <w14:solidFill>
                    <w14:schemeClr w14:val="tx1"/>
                  </w14:solidFill>
                </w14:textFill>
              </w:rPr>
              <w:t>781.23</w:t>
            </w:r>
          </w:p>
        </w:tc>
        <w:tc>
          <w:tcPr>
            <w:tcW w:w="2034" w:type="dxa"/>
            <w:vAlign w:val="center"/>
          </w:tcPr>
          <w:p>
            <w:pPr>
              <w:widowControl/>
              <w:ind w:left="0" w:leftChars="0" w:firstLine="0" w:firstLineChars="0"/>
              <w:jc w:val="right"/>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-35.63%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1993"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2034"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35.58</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34.74</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：基本工资</w:t>
      </w:r>
      <w:r>
        <w:rPr>
          <w:rFonts w:hint="eastAsia" w:ascii="仿宋_GB2312"/>
          <w:szCs w:val="32"/>
          <w:lang w:val="en-US" w:eastAsia="zh-CN"/>
        </w:rPr>
        <w:t>12.78万元、津贴补贴2.50万元、绩效工资6.74万元、机关事业单位基本养老保险费5.36万元、职业年金缴费2.68万元、职工基本医疗保险缴费2.42万元、住房公积金1.79万元等</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0.84</w:t>
      </w:r>
      <w:r>
        <w:rPr>
          <w:rFonts w:hint="eastAsia" w:ascii="仿宋_GB2312"/>
          <w:szCs w:val="32"/>
        </w:rPr>
        <w:t>万元</w:t>
      </w:r>
      <w:r>
        <w:rPr>
          <w:rFonts w:ascii="仿宋_GB2312"/>
          <w:szCs w:val="32"/>
        </w:rPr>
        <w:t>，主要包括</w:t>
      </w:r>
      <w:r>
        <w:rPr>
          <w:rFonts w:hint="eastAsia" w:ascii="仿宋_GB2312"/>
          <w:szCs w:val="32"/>
          <w:lang w:eastAsia="zh-CN"/>
        </w:rPr>
        <w:t>：办公费</w:t>
      </w:r>
      <w:r>
        <w:rPr>
          <w:rFonts w:hint="eastAsia" w:ascii="仿宋_GB2312"/>
          <w:szCs w:val="32"/>
          <w:lang w:val="en-US" w:eastAsia="zh-CN"/>
        </w:rPr>
        <w:t>0.84万元;</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1124.29</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万元，，比上年减少（增加）</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万元，下降（增长）</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%。其中：因公出国（境）费支出决算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%，比上年减少（增加）</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万元，下降（增长）</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%；公务用车购置及运行费支出决算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%，比上年减少（增加）</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万元，减少（增长）</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%；公务接待费支出决算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%，比上年减少（增加）</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万元，减少（增长）</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w:t>
      </w:r>
    </w:p>
    <w:p>
      <w:pPr>
        <w:spacing w:line="580" w:lineRule="exact"/>
        <w:ind w:firstLine="640"/>
        <w:rPr>
          <w:rFonts w:hint="eastAsia"/>
          <w:b/>
          <w:color w:val="FF0000"/>
          <w:szCs w:val="32"/>
        </w:rPr>
      </w:pPr>
      <w:r>
        <w:rPr>
          <w:rFonts w:hint="eastAsia"/>
          <w:color w:val="000000" w:themeColor="text1"/>
          <w:szCs w:val="32"/>
          <w:lang w:eastAsia="zh-CN"/>
          <w14:textFill>
            <w14:solidFill>
              <w14:schemeClr w14:val="tx1"/>
            </w14:solidFill>
          </w14:textFill>
        </w:rPr>
        <w:t>本单位</w:t>
      </w:r>
      <w:r>
        <w:rPr>
          <w:rFonts w:hint="eastAsia"/>
          <w:color w:val="000000" w:themeColor="text1"/>
          <w:szCs w:val="32"/>
          <w:lang w:val="en-US" w:eastAsia="zh-CN"/>
          <w14:textFill>
            <w14:solidFill>
              <w14:schemeClr w14:val="tx1"/>
            </w14:solidFill>
          </w14:textFill>
        </w:rPr>
        <w:t>2021年</w:t>
      </w:r>
      <w:r>
        <w:rPr>
          <w:rFonts w:hint="eastAsia"/>
          <w:b/>
          <w:color w:val="000000" w:themeColor="text1"/>
          <w:szCs w:val="32"/>
          <w14:textFill>
            <w14:solidFill>
              <w14:schemeClr w14:val="tx1"/>
            </w14:solidFill>
          </w14:textFill>
        </w:rPr>
        <w:t>无三公经费</w:t>
      </w:r>
      <w:r>
        <w:rPr>
          <w:rFonts w:hint="eastAsia"/>
          <w:b/>
          <w:color w:val="000000" w:themeColor="text1"/>
          <w:szCs w:val="32"/>
          <w:lang w:eastAsia="zh-CN"/>
          <w14:textFill>
            <w14:solidFill>
              <w14:schemeClr w14:val="tx1"/>
            </w14:solidFill>
          </w14:textFill>
        </w:rPr>
        <w:t>预算收入和支出</w:t>
      </w:r>
      <w:r>
        <w:rPr>
          <w:rFonts w:hint="eastAsia"/>
          <w:b/>
          <w:color w:val="000000" w:themeColor="text1"/>
          <w:szCs w:val="32"/>
          <w14:textFill>
            <w14:solidFill>
              <w14:schemeClr w14:val="tx1"/>
            </w14:solidFill>
          </w14:textFill>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ascii="仿宋_GB2312" w:hAnsi="宋体"/>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0</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年增加（减少）</w:t>
      </w:r>
      <w:r>
        <w:rPr>
          <w:rFonts w:hint="eastAsia" w:ascii="仿宋_GB2312" w:hAnsi="宋体"/>
          <w:szCs w:val="32"/>
          <w:lang w:val="en-US" w:eastAsia="zh-CN"/>
        </w:rPr>
        <w:t>0</w:t>
      </w:r>
      <w:r>
        <w:rPr>
          <w:rFonts w:hint="eastAsia" w:ascii="仿宋_GB2312" w:hAnsi="宋体"/>
          <w:szCs w:val="32"/>
        </w:rPr>
        <w:t>万元，增长（降低）</w:t>
      </w:r>
      <w:r>
        <w:rPr>
          <w:rFonts w:hint="eastAsia" w:ascii="仿宋_GB2312" w:hAnsi="宋体"/>
          <w:szCs w:val="32"/>
          <w:lang w:val="en-US" w:eastAsia="zh-CN"/>
        </w:rPr>
        <w:t>0</w:t>
      </w:r>
      <w:r>
        <w:rPr>
          <w:rFonts w:hint="eastAsia" w:ascii="仿宋_GB2312" w:hAnsi="宋体"/>
          <w:szCs w:val="32"/>
        </w:rPr>
        <w:t>%。</w:t>
      </w:r>
      <w:r>
        <w:rPr>
          <w:rFonts w:hint="eastAsia" w:ascii="仿宋_GB2312" w:hAnsi="宋体"/>
          <w:szCs w:val="32"/>
          <w:lang w:val="en-US" w:eastAsia="zh-CN"/>
        </w:rPr>
        <w:t xml:space="preserve">   </w:t>
      </w:r>
    </w:p>
    <w:p>
      <w:pPr>
        <w:spacing w:line="580" w:lineRule="exact"/>
        <w:ind w:firstLine="640"/>
        <w:rPr>
          <w:rFonts w:hint="eastAsia"/>
          <w:b/>
          <w:szCs w:val="32"/>
        </w:rPr>
      </w:pPr>
      <w:r>
        <w:rPr>
          <w:rFonts w:hint="eastAsia" w:ascii="仿宋_GB2312" w:hAnsi="宋体"/>
          <w:b/>
          <w:bCs/>
          <w:i w:val="0"/>
          <w:iCs w:val="0"/>
          <w:color w:val="000000" w:themeColor="text1"/>
          <w:szCs w:val="32"/>
          <w:lang w:val="en-US" w:eastAsia="zh-CN"/>
          <w14:textFill>
            <w14:solidFill>
              <w14:schemeClr w14:val="tx1"/>
            </w14:solidFill>
          </w14:textFill>
        </w:rPr>
        <w:t>本单位为事业单位，</w:t>
      </w:r>
      <w:r>
        <w:rPr>
          <w:rFonts w:hint="eastAsia"/>
          <w:b/>
          <w:bCs/>
          <w:i w:val="0"/>
          <w:iCs w:val="0"/>
          <w:color w:val="000000" w:themeColor="text1"/>
          <w:szCs w:val="32"/>
          <w14:textFill>
            <w14:solidFill>
              <w14:schemeClr w14:val="tx1"/>
            </w14:solidFill>
          </w14:textFill>
        </w:rPr>
        <w:t>无机关运行经费。</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315.68</w:t>
      </w:r>
      <w:r>
        <w:rPr>
          <w:rFonts w:hint="eastAsia" w:ascii="仿宋_GB2312"/>
          <w:szCs w:val="32"/>
        </w:rPr>
        <w:t>万元，其中：政府采购货物支出</w:t>
      </w:r>
      <w:r>
        <w:rPr>
          <w:rFonts w:hint="eastAsia" w:ascii="仿宋_GB2312"/>
          <w:szCs w:val="32"/>
          <w:lang w:val="en-US" w:eastAsia="zh-CN"/>
        </w:rPr>
        <w:t>315.48</w:t>
      </w:r>
      <w:r>
        <w:rPr>
          <w:rFonts w:hint="eastAsia" w:ascii="仿宋_GB2312"/>
          <w:szCs w:val="32"/>
        </w:rPr>
        <w:t>万元、政府采购工程支出</w:t>
      </w:r>
      <w:r>
        <w:rPr>
          <w:rFonts w:hint="eastAsia" w:ascii="仿宋_GB2312"/>
          <w:szCs w:val="32"/>
          <w:lang w:val="en-US" w:eastAsia="zh-CN"/>
        </w:rPr>
        <w:t>0</w:t>
      </w:r>
      <w:r>
        <w:rPr>
          <w:rFonts w:hint="eastAsia" w:ascii="仿宋_GB2312"/>
          <w:szCs w:val="32"/>
        </w:rPr>
        <w:t>万元、政府采购服务支出</w:t>
      </w:r>
      <w:r>
        <w:rPr>
          <w:rFonts w:hint="eastAsia" w:ascii="仿宋_GB2312"/>
          <w:szCs w:val="32"/>
          <w:lang w:val="en-US" w:eastAsia="zh-CN"/>
        </w:rPr>
        <w:t>0.2</w:t>
      </w:r>
      <w:r>
        <w:rPr>
          <w:rFonts w:hint="eastAsia" w:ascii="仿宋_GB2312"/>
          <w:szCs w:val="32"/>
        </w:rPr>
        <w:t>万元。政府采购授予中小企业合同金额</w:t>
      </w:r>
      <w:r>
        <w:rPr>
          <w:rFonts w:hint="eastAsia" w:ascii="仿宋_GB2312"/>
          <w:szCs w:val="32"/>
          <w:lang w:val="en-US" w:eastAsia="zh-CN"/>
        </w:rPr>
        <w:t>315.68</w:t>
      </w:r>
      <w:r>
        <w:rPr>
          <w:rFonts w:hint="eastAsia" w:ascii="仿宋_GB2312"/>
          <w:szCs w:val="32"/>
        </w:rPr>
        <w:t>万元，占政府采购支出总额的</w:t>
      </w:r>
      <w:r>
        <w:rPr>
          <w:rFonts w:hint="eastAsia" w:ascii="仿宋_GB2312"/>
          <w:szCs w:val="32"/>
          <w:lang w:val="en-US" w:eastAsia="zh-CN"/>
        </w:rPr>
        <w:t>100.00</w:t>
      </w:r>
      <w:r>
        <w:rPr>
          <w:rFonts w:ascii="仿宋_GB2312"/>
          <w:szCs w:val="32"/>
        </w:rPr>
        <w:t>%</w:t>
      </w:r>
      <w:r>
        <w:rPr>
          <w:rFonts w:hint="eastAsia" w:ascii="仿宋_GB2312"/>
          <w:szCs w:val="32"/>
        </w:rPr>
        <w:t>。其中：授予小微企业合同金额</w:t>
      </w:r>
      <w:r>
        <w:rPr>
          <w:rFonts w:hint="eastAsia" w:ascii="仿宋_GB2312"/>
          <w:szCs w:val="32"/>
          <w:lang w:val="en-US" w:eastAsia="zh-CN"/>
        </w:rPr>
        <w:t>315.68</w:t>
      </w:r>
      <w:r>
        <w:rPr>
          <w:rFonts w:hint="eastAsia" w:ascii="仿宋_GB2312"/>
          <w:szCs w:val="32"/>
        </w:rPr>
        <w:t>万元，占政府采购支出总额的</w:t>
      </w:r>
      <w:r>
        <w:rPr>
          <w:rFonts w:hint="eastAsia" w:ascii="仿宋_GB2312"/>
          <w:szCs w:val="32"/>
          <w:lang w:val="en-US" w:eastAsia="zh-CN"/>
        </w:rPr>
        <w:t>100.00</w:t>
      </w:r>
      <w:r>
        <w:rPr>
          <w:rFonts w:ascii="仿宋_GB2312"/>
          <w:szCs w:val="32"/>
        </w:rPr>
        <w:t>%</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szCs w:val="32"/>
          <w:lang w:val="en-US" w:eastAsia="zh-CN"/>
        </w:rPr>
        <w:t>0</w:t>
      </w:r>
      <w:r>
        <w:rPr>
          <w:rFonts w:hint="eastAsia" w:ascii="仿宋_GB2312"/>
          <w:szCs w:val="32"/>
        </w:rPr>
        <w:t>辆。其中，副部（省）级及以上领导用车</w:t>
      </w:r>
      <w:r>
        <w:rPr>
          <w:rFonts w:hint="eastAsia" w:ascii="仿宋_GB2312"/>
          <w:szCs w:val="32"/>
          <w:lang w:val="en-US" w:eastAsia="zh-CN"/>
        </w:rPr>
        <w:t>0</w:t>
      </w:r>
      <w:r>
        <w:rPr>
          <w:rFonts w:hint="eastAsia" w:ascii="仿宋_GB2312"/>
          <w:szCs w:val="32"/>
        </w:rPr>
        <w:t>辆、主要领导干部用车</w:t>
      </w:r>
      <w:r>
        <w:rPr>
          <w:rFonts w:hint="eastAsia" w:ascii="仿宋_GB2312"/>
          <w:szCs w:val="32"/>
          <w:lang w:val="en-US" w:eastAsia="zh-CN"/>
        </w:rPr>
        <w:t>0</w:t>
      </w:r>
      <w:r>
        <w:rPr>
          <w:rFonts w:hint="eastAsia" w:ascii="仿宋_GB2312"/>
          <w:szCs w:val="32"/>
        </w:rPr>
        <w:t>辆、机要通信用车</w:t>
      </w:r>
      <w:r>
        <w:rPr>
          <w:rFonts w:hint="eastAsia" w:ascii="仿宋_GB2312"/>
          <w:szCs w:val="32"/>
          <w:lang w:val="en-US" w:eastAsia="zh-CN"/>
        </w:rPr>
        <w:t>0</w:t>
      </w:r>
      <w:r>
        <w:rPr>
          <w:rFonts w:hint="eastAsia" w:ascii="仿宋_GB2312"/>
          <w:szCs w:val="32"/>
        </w:rPr>
        <w:t>辆、应急保障用车</w:t>
      </w:r>
      <w:r>
        <w:rPr>
          <w:rFonts w:hint="eastAsia" w:ascii="仿宋_GB2312"/>
          <w:szCs w:val="32"/>
          <w:lang w:val="en-US" w:eastAsia="zh-CN"/>
        </w:rPr>
        <w:t>0</w:t>
      </w:r>
      <w:r>
        <w:rPr>
          <w:rFonts w:hint="eastAsia" w:ascii="仿宋_GB2312"/>
          <w:szCs w:val="32"/>
        </w:rPr>
        <w:t>辆、执法执勤用车</w:t>
      </w:r>
      <w:r>
        <w:rPr>
          <w:rFonts w:hint="eastAsia" w:ascii="仿宋_GB2312"/>
          <w:szCs w:val="32"/>
          <w:lang w:val="en-US" w:eastAsia="zh-CN"/>
        </w:rPr>
        <w:t>0</w:t>
      </w:r>
      <w:r>
        <w:rPr>
          <w:rFonts w:hint="eastAsia" w:ascii="仿宋_GB2312"/>
          <w:szCs w:val="32"/>
        </w:rPr>
        <w:t>辆、特种专业技术用车</w:t>
      </w:r>
      <w:r>
        <w:rPr>
          <w:rFonts w:hint="eastAsia" w:ascii="仿宋_GB2312"/>
          <w:szCs w:val="32"/>
          <w:lang w:val="en-US" w:eastAsia="zh-CN"/>
        </w:rPr>
        <w:t>0</w:t>
      </w:r>
      <w:r>
        <w:rPr>
          <w:rFonts w:hint="eastAsia" w:ascii="仿宋_GB2312"/>
          <w:szCs w:val="32"/>
        </w:rPr>
        <w:t>辆、离退休干部用车</w:t>
      </w:r>
      <w:r>
        <w:rPr>
          <w:rFonts w:hint="eastAsia" w:ascii="仿宋_GB2312"/>
          <w:szCs w:val="32"/>
          <w:lang w:val="en-US" w:eastAsia="zh-CN"/>
        </w:rPr>
        <w:t>0</w:t>
      </w:r>
      <w:r>
        <w:rPr>
          <w:rFonts w:hint="eastAsia" w:ascii="仿宋_GB2312"/>
          <w:szCs w:val="32"/>
        </w:rPr>
        <w:t>辆、其他用车</w:t>
      </w:r>
      <w:r>
        <w:rPr>
          <w:rFonts w:hint="eastAsia" w:ascii="仿宋_GB2312"/>
          <w:szCs w:val="32"/>
          <w:lang w:val="en-US" w:eastAsia="zh-CN"/>
        </w:rPr>
        <w:t>0</w:t>
      </w:r>
      <w:r>
        <w:rPr>
          <w:rFonts w:hint="eastAsia" w:ascii="仿宋_GB2312"/>
          <w:szCs w:val="32"/>
        </w:rPr>
        <w:t>辆；单价50万元（含）以上的通用设备</w:t>
      </w:r>
      <w:r>
        <w:rPr>
          <w:rFonts w:hint="eastAsia" w:ascii="仿宋_GB2312"/>
          <w:szCs w:val="32"/>
          <w:lang w:val="en-US" w:eastAsia="zh-CN"/>
        </w:rPr>
        <w:t>0</w:t>
      </w:r>
      <w:r>
        <w:rPr>
          <w:rFonts w:hint="eastAsia" w:ascii="仿宋_GB2312"/>
          <w:szCs w:val="32"/>
        </w:rPr>
        <w:t>台（套），单价100万元（含）以上专用设备</w:t>
      </w:r>
      <w:r>
        <w:rPr>
          <w:rFonts w:hint="eastAsia" w:ascii="仿宋_GB2312"/>
          <w:szCs w:val="32"/>
          <w:lang w:val="en-US" w:eastAsia="zh-CN"/>
        </w:rPr>
        <w:t>0</w:t>
      </w:r>
      <w:r>
        <w:rPr>
          <w:rFonts w:hint="eastAsia" w:ascii="仿宋_GB2312"/>
          <w:szCs w:val="32"/>
        </w:rPr>
        <w:t>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1025.00</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91.17</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年度X等</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lang w:val="en-US" w:eastAsia="zh-CN"/>
        </w:rPr>
        <w:t>个政府性基金预算项目支出开展绩效自评，共涉及预算资金</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lang w:val="en-US" w:eastAsia="zh-CN"/>
        </w:rPr>
        <w:t>万元，占政府性基金预算项目支出总额的</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2021年创建全国文明城市维护费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500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500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按工程进度支付工程款</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严格执行项目绩效管理要求，严把工程质量关</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进一步做好创建全国文明城市后续工作</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2021年市政委会费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365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365</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按市政维护工程要求按进度付款</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严格执行项目绩效管理要求，严把工程质量关</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进一步做好市政维护的后续工作</w:t>
      </w:r>
      <w:r>
        <w:rPr>
          <w:rFonts w:hint="eastAsia" w:ascii="仿宋_GB2312" w:hAnsi="仿宋_GB2312" w:eastAsia="仿宋_GB2312" w:cs="仿宋_GB2312"/>
          <w:sz w:val="32"/>
          <w:szCs w:val="32"/>
          <w:lang w:val="en-US"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单位名称：静乐县市政工程服务中心</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1DF38B"/>
    <w:multiLevelType w:val="singleLevel"/>
    <w:tmpl w:val="8E1DF38B"/>
    <w:lvl w:ilvl="0" w:tentative="0">
      <w:start w:val="2"/>
      <w:numFmt w:val="chineseCounting"/>
      <w:suff w:val="nothing"/>
      <w:lvlText w:val="%1、"/>
      <w:lvlJc w:val="left"/>
      <w:rPr>
        <w:rFonts w:hint="eastAsia"/>
      </w:rPr>
    </w:lvl>
  </w:abstractNum>
  <w:abstractNum w:abstractNumId="1">
    <w:nsid w:val="00000008"/>
    <w:multiLevelType w:val="singleLevel"/>
    <w:tmpl w:val="00000008"/>
    <w:lvl w:ilvl="0" w:tentative="0">
      <w:start w:val="2"/>
      <w:numFmt w:val="decimal"/>
      <w:suff w:val="nothing"/>
      <w:lvlText w:val="%1、"/>
      <w:lvlJc w:val="left"/>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0NWU5YWU3NjgxNWM1YWZjNTA3NTE5NDg3OWFiMWEifQ=="/>
  </w:docVars>
  <w:rsids>
    <w:rsidRoot w:val="495520D0"/>
    <w:rsid w:val="03696819"/>
    <w:rsid w:val="06366D97"/>
    <w:rsid w:val="16654CDD"/>
    <w:rsid w:val="1A4A5C33"/>
    <w:rsid w:val="220A65BC"/>
    <w:rsid w:val="2701594C"/>
    <w:rsid w:val="27426717"/>
    <w:rsid w:val="2AD27817"/>
    <w:rsid w:val="37943B50"/>
    <w:rsid w:val="3821117E"/>
    <w:rsid w:val="42C12CEC"/>
    <w:rsid w:val="44401A62"/>
    <w:rsid w:val="495520D0"/>
    <w:rsid w:val="4A012068"/>
    <w:rsid w:val="53A30631"/>
    <w:rsid w:val="53D33E07"/>
    <w:rsid w:val="57DA2ED9"/>
    <w:rsid w:val="5EC01F6A"/>
    <w:rsid w:val="63AB51DF"/>
    <w:rsid w:val="649C6DC9"/>
    <w:rsid w:val="715A78E4"/>
    <w:rsid w:val="7761744D"/>
    <w:rsid w:val="78745037"/>
    <w:rsid w:val="79F53F5A"/>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3423</Words>
  <Characters>4053</Characters>
  <Lines>0</Lines>
  <Paragraphs>0</Paragraphs>
  <ScaleCrop>false</ScaleCrop>
  <LinksUpToDate>false</LinksUpToDate>
  <CharactersWithSpaces>4529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2022-08-22T10:38:27Z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405B765DC8C54C0692B340A9144E82F1</vt:lpwstr>
  </property>
</Properties>
</file>