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jc w:val="center"/>
        <w:rPr>
          <w:rFonts w:hint="eastAsia" w:ascii="华文中宋" w:hAnsi="华文中宋" w:eastAsia="华文中宋"/>
          <w:color w:val="auto"/>
          <w:sz w:val="44"/>
          <w:szCs w:val="44"/>
          <w:lang w:val="en-US" w:eastAsia="zh-CN"/>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静乐县辛村乡人民政府</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8"/>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4"/>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5"/>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静乐县</w:t>
      </w:r>
      <w:r>
        <w:rPr>
          <w:rFonts w:hint="eastAsia" w:ascii="仿宋" w:hAnsi="仿宋" w:eastAsia="仿宋" w:cs="仿宋"/>
          <w:sz w:val="32"/>
          <w:szCs w:val="32"/>
          <w:lang w:eastAsia="zh-CN"/>
        </w:rPr>
        <w:t>辛村乡</w:t>
      </w:r>
      <w:r>
        <w:rPr>
          <w:rFonts w:hint="eastAsia" w:ascii="仿宋" w:hAnsi="仿宋" w:eastAsia="仿宋" w:cs="仿宋"/>
          <w:sz w:val="32"/>
          <w:szCs w:val="32"/>
        </w:rPr>
        <w:t>人民政府坚持以巩固党在基层执政基础、满足人民群众美好生活需要为目标，以强化</w:t>
      </w:r>
      <w:r>
        <w:rPr>
          <w:rFonts w:hint="eastAsia" w:ascii="仿宋" w:hAnsi="仿宋" w:eastAsia="仿宋" w:cs="仿宋"/>
          <w:sz w:val="32"/>
          <w:szCs w:val="32"/>
          <w:lang w:eastAsia="zh-CN"/>
        </w:rPr>
        <w:t>乡</w:t>
      </w:r>
      <w:r>
        <w:rPr>
          <w:rFonts w:hint="eastAsia" w:ascii="仿宋" w:hAnsi="仿宋" w:eastAsia="仿宋" w:cs="仿宋"/>
          <w:sz w:val="32"/>
          <w:szCs w:val="32"/>
        </w:rPr>
        <w:t>党委统筹协调功能为核心，以构建简约高效的管理体制为重点，突出党建引领，强化经济社会发展，提升管理服务水平，在履行职责过程中坚持和加强党对</w:t>
      </w:r>
      <w:r>
        <w:rPr>
          <w:rFonts w:hint="eastAsia" w:ascii="仿宋" w:hAnsi="仿宋" w:eastAsia="仿宋" w:cs="仿宋"/>
          <w:sz w:val="32"/>
          <w:szCs w:val="32"/>
          <w:lang w:eastAsia="zh-CN"/>
        </w:rPr>
        <w:t>乡</w:t>
      </w:r>
      <w:r>
        <w:rPr>
          <w:rFonts w:hint="eastAsia" w:ascii="仿宋" w:hAnsi="仿宋" w:eastAsia="仿宋" w:cs="仿宋"/>
          <w:sz w:val="32"/>
          <w:szCs w:val="32"/>
        </w:rPr>
        <w:t>工作的集中统一领导。主要职责是：</w:t>
      </w:r>
    </w:p>
    <w:p>
      <w:pPr>
        <w:numPr>
          <w:ilvl w:val="0"/>
          <w:numId w:val="1"/>
        </w:num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宣传贯彻执行党的路线方针政策和国家法律法规，落实上级党委、政府的各项决策部署，执行上级党组织的决议、决定</w:t>
      </w:r>
      <w:r>
        <w:rPr>
          <w:rFonts w:hint="eastAsia" w:ascii="仿宋_GB2312" w:hAnsi="仿宋_GB2312" w:eastAsia="仿宋_GB2312" w:cs="仿宋_GB2312"/>
          <w:color w:val="000000"/>
          <w:kern w:val="0"/>
          <w:sz w:val="32"/>
          <w:szCs w:val="32"/>
        </w:rPr>
        <w:t>和本</w:t>
      </w:r>
      <w:r>
        <w:rPr>
          <w:rFonts w:hint="eastAsia" w:ascii="仿宋_GB2312" w:hAnsi="仿宋_GB2312" w:eastAsia="仿宋_GB2312" w:cs="仿宋_GB2312"/>
          <w:color w:val="000000"/>
          <w:kern w:val="0"/>
          <w:sz w:val="32"/>
          <w:szCs w:val="32"/>
          <w:lang w:eastAsia="zh-CN"/>
        </w:rPr>
        <w:t>乡</w:t>
      </w:r>
      <w:r>
        <w:rPr>
          <w:rFonts w:hint="eastAsia" w:ascii="仿宋_GB2312" w:hAnsi="仿宋_GB2312" w:eastAsia="仿宋_GB2312" w:cs="仿宋_GB2312"/>
          <w:color w:val="000000"/>
          <w:kern w:val="0"/>
          <w:sz w:val="32"/>
          <w:szCs w:val="32"/>
        </w:rPr>
        <w:t>党员代表大会（党员大会）的决议，</w:t>
      </w:r>
      <w:r>
        <w:rPr>
          <w:rFonts w:hint="eastAsia" w:ascii="仿宋" w:hAnsi="仿宋" w:eastAsia="仿宋" w:cs="仿宋"/>
          <w:sz w:val="32"/>
          <w:szCs w:val="32"/>
        </w:rPr>
        <w:t>保证上级安排的各项任务顺利完成。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（二）讨论和决定本</w:t>
      </w:r>
      <w:r>
        <w:rPr>
          <w:rFonts w:hint="eastAsia" w:ascii="仿宋" w:hAnsi="仿宋" w:eastAsia="仿宋" w:cs="仿宋"/>
          <w:sz w:val="32"/>
          <w:szCs w:val="32"/>
          <w:lang w:eastAsia="zh-CN"/>
        </w:rPr>
        <w:t>乡</w:t>
      </w:r>
      <w:r>
        <w:rPr>
          <w:rFonts w:hint="eastAsia" w:ascii="仿宋" w:hAnsi="仿宋" w:eastAsia="仿宋" w:cs="仿宋"/>
          <w:sz w:val="32"/>
          <w:szCs w:val="32"/>
        </w:rPr>
        <w:t>经济建设、政治建设、文化建设、社会建设、生态文明建设和党的建设以及</w:t>
      </w:r>
      <w:r>
        <w:rPr>
          <w:rFonts w:hint="eastAsia" w:ascii="仿宋" w:hAnsi="仿宋" w:eastAsia="仿宋" w:cs="仿宋"/>
          <w:sz w:val="32"/>
          <w:szCs w:val="32"/>
          <w:lang w:eastAsia="zh-CN"/>
        </w:rPr>
        <w:t>乡</w:t>
      </w:r>
      <w:r>
        <w:rPr>
          <w:rFonts w:hint="eastAsia" w:ascii="仿宋" w:hAnsi="仿宋" w:eastAsia="仿宋" w:cs="仿宋"/>
          <w:sz w:val="32"/>
          <w:szCs w:val="32"/>
        </w:rPr>
        <w:t>村振兴中的重大问题。</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（三）执行本</w:t>
      </w:r>
      <w:r>
        <w:rPr>
          <w:rFonts w:hint="eastAsia" w:ascii="仿宋" w:hAnsi="仿宋" w:eastAsia="仿宋" w:cs="仿宋"/>
          <w:sz w:val="32"/>
          <w:szCs w:val="32"/>
          <w:lang w:eastAsia="zh-CN"/>
        </w:rPr>
        <w:t>乡</w:t>
      </w:r>
      <w:r>
        <w:rPr>
          <w:rFonts w:hint="eastAsia" w:ascii="仿宋" w:hAnsi="仿宋" w:eastAsia="仿宋" w:cs="仿宋"/>
          <w:sz w:val="32"/>
          <w:szCs w:val="32"/>
        </w:rPr>
        <w:t>经济和社会发展计划、预算，管理本</w:t>
      </w:r>
      <w:r>
        <w:rPr>
          <w:rFonts w:hint="eastAsia" w:ascii="仿宋" w:hAnsi="仿宋" w:eastAsia="仿宋" w:cs="仿宋"/>
          <w:sz w:val="32"/>
          <w:szCs w:val="32"/>
          <w:lang w:eastAsia="zh-CN"/>
        </w:rPr>
        <w:t>乡</w:t>
      </w:r>
      <w:r>
        <w:rPr>
          <w:rFonts w:hint="eastAsia" w:ascii="仿宋" w:hAnsi="仿宋" w:eastAsia="仿宋" w:cs="仿宋"/>
          <w:sz w:val="32"/>
          <w:szCs w:val="32"/>
        </w:rPr>
        <w:t>经济、教育、科学、文化、卫生健康、体育事业和财政、统计、民政、司法行政等行政工作。落实本</w:t>
      </w:r>
      <w:r>
        <w:rPr>
          <w:rFonts w:hint="eastAsia" w:ascii="仿宋" w:hAnsi="仿宋" w:eastAsia="仿宋" w:cs="仿宋"/>
          <w:sz w:val="32"/>
          <w:szCs w:val="32"/>
          <w:lang w:eastAsia="zh-CN"/>
        </w:rPr>
        <w:t>乡</w:t>
      </w:r>
      <w:r>
        <w:rPr>
          <w:rFonts w:hint="eastAsia" w:ascii="仿宋" w:hAnsi="仿宋" w:eastAsia="仿宋" w:cs="仿宋"/>
          <w:sz w:val="32"/>
          <w:szCs w:val="32"/>
        </w:rPr>
        <w:t>经济发展战略总体规划和土地利用、城</w:t>
      </w:r>
      <w:r>
        <w:rPr>
          <w:rFonts w:hint="eastAsia" w:ascii="仿宋" w:hAnsi="仿宋" w:eastAsia="仿宋" w:cs="仿宋"/>
          <w:sz w:val="32"/>
          <w:szCs w:val="32"/>
          <w:lang w:eastAsia="zh-CN"/>
        </w:rPr>
        <w:t>乡</w:t>
      </w:r>
      <w:r>
        <w:rPr>
          <w:rFonts w:hint="eastAsia" w:ascii="仿宋" w:hAnsi="仿宋" w:eastAsia="仿宋" w:cs="仿宋"/>
          <w:sz w:val="32"/>
          <w:szCs w:val="32"/>
        </w:rPr>
        <w:t>建设、产业发展等专项规划，组织发展区域特色经济，提供符合当地实际和群众需求的公共服务。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sz w:val="32"/>
          <w:szCs w:val="32"/>
          <w:lang w:eastAsia="zh-CN"/>
        </w:rPr>
        <w:t>乡</w:t>
      </w:r>
      <w:r>
        <w:rPr>
          <w:rFonts w:hint="eastAsia" w:ascii="仿宋" w:hAnsi="仿宋" w:eastAsia="仿宋" w:cs="仿宋"/>
          <w:sz w:val="32"/>
          <w:szCs w:val="32"/>
        </w:rPr>
        <w:t>党委领导</w:t>
      </w:r>
      <w:r>
        <w:rPr>
          <w:rFonts w:hint="eastAsia" w:ascii="仿宋" w:hAnsi="仿宋" w:eastAsia="仿宋" w:cs="仿宋"/>
          <w:sz w:val="32"/>
          <w:szCs w:val="32"/>
          <w:lang w:eastAsia="zh-CN"/>
        </w:rPr>
        <w:t>乡</w:t>
      </w:r>
      <w:r>
        <w:rPr>
          <w:rFonts w:hint="eastAsia" w:ascii="仿宋" w:hAnsi="仿宋" w:eastAsia="仿宋" w:cs="仿宋"/>
          <w:sz w:val="32"/>
          <w:szCs w:val="32"/>
        </w:rPr>
        <w:t>政权机关、群团组织和其他各类组织，加强指导和规范，支持和保证这些机关和组织依照国家法律法规以及各自章程履行职责。坚持党管武装的根本原则和制度，协调各方力量，对</w:t>
      </w:r>
      <w:r>
        <w:rPr>
          <w:rFonts w:hint="eastAsia" w:ascii="仿宋" w:hAnsi="仿宋" w:eastAsia="仿宋" w:cs="仿宋"/>
          <w:sz w:val="32"/>
          <w:szCs w:val="32"/>
          <w:lang w:eastAsia="zh-CN"/>
        </w:rPr>
        <w:t>乡</w:t>
      </w:r>
      <w:r>
        <w:rPr>
          <w:rFonts w:hint="eastAsia" w:ascii="仿宋" w:hAnsi="仿宋" w:eastAsia="仿宋" w:cs="仿宋"/>
          <w:sz w:val="32"/>
          <w:szCs w:val="32"/>
        </w:rPr>
        <w:t>人民武装工作实行统一领导。</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（五）加强</w:t>
      </w:r>
      <w:r>
        <w:rPr>
          <w:rFonts w:hint="eastAsia" w:ascii="仿宋" w:hAnsi="仿宋" w:eastAsia="仿宋" w:cs="仿宋"/>
          <w:sz w:val="32"/>
          <w:szCs w:val="32"/>
          <w:lang w:eastAsia="zh-CN"/>
        </w:rPr>
        <w:t>乡</w:t>
      </w:r>
      <w:r>
        <w:rPr>
          <w:rFonts w:hint="eastAsia" w:ascii="仿宋" w:hAnsi="仿宋" w:eastAsia="仿宋" w:cs="仿宋"/>
          <w:sz w:val="32"/>
          <w:szCs w:val="32"/>
        </w:rPr>
        <w:t>党委自身建设和村党组织建设，以及其它隶属</w:t>
      </w:r>
      <w:r>
        <w:rPr>
          <w:rFonts w:hint="eastAsia" w:ascii="仿宋" w:hAnsi="仿宋" w:eastAsia="仿宋" w:cs="仿宋"/>
          <w:sz w:val="32"/>
          <w:szCs w:val="32"/>
          <w:lang w:eastAsia="zh-CN"/>
        </w:rPr>
        <w:t>乡</w:t>
      </w:r>
      <w:r>
        <w:rPr>
          <w:rFonts w:hint="eastAsia" w:ascii="仿宋" w:hAnsi="仿宋" w:eastAsia="仿宋" w:cs="仿宋"/>
          <w:sz w:val="32"/>
          <w:szCs w:val="32"/>
        </w:rPr>
        <w:t>党委的党组织建设，抓好发展党员工作，加强党员队伍建设。履行党风廉政建设主体责任，维护和执行党的纪律，监督党员干部和其他任何工作人员严格遵守国家法律法规。</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（六）按照干部管理权限，负责对干部的教育、培训、选拔、考核和监督工作。协助管理上级有关部门派驻</w:t>
      </w:r>
      <w:r>
        <w:rPr>
          <w:rFonts w:hint="eastAsia" w:ascii="仿宋" w:hAnsi="仿宋" w:eastAsia="仿宋" w:cs="仿宋"/>
          <w:sz w:val="32"/>
          <w:szCs w:val="32"/>
          <w:lang w:eastAsia="zh-CN"/>
        </w:rPr>
        <w:t>乡</w:t>
      </w:r>
      <w:r>
        <w:rPr>
          <w:rFonts w:hint="eastAsia" w:ascii="仿宋" w:hAnsi="仿宋" w:eastAsia="仿宋" w:cs="仿宋"/>
          <w:sz w:val="32"/>
          <w:szCs w:val="32"/>
        </w:rPr>
        <w:t>单位的干部。做好人才服务和引进工作。</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（七）加强平安建设工作，</w:t>
      </w:r>
      <w:r>
        <w:rPr>
          <w:rFonts w:hint="eastAsia" w:ascii="仿宋_GB2312" w:hAnsi="仿宋_GB2312" w:eastAsia="仿宋_GB2312" w:cs="仿宋_GB2312"/>
          <w:color w:val="000000"/>
          <w:sz w:val="32"/>
          <w:szCs w:val="32"/>
        </w:rPr>
        <w:t>依托村（社区）合理划分基本网格单元，统筹网格内各项工作，推进网格标准化建设，</w:t>
      </w:r>
      <w:r>
        <w:rPr>
          <w:rFonts w:hint="eastAsia" w:ascii="仿宋" w:hAnsi="仿宋" w:eastAsia="仿宋" w:cs="仿宋"/>
          <w:sz w:val="32"/>
          <w:szCs w:val="32"/>
        </w:rPr>
        <w:t>构建公共安全防控体系。加强法制宣传，调解民事纠纷，化解农村社会矛盾，维护农村社会稳定。加强对突发事件的预警和管理，做好应急管理、防灾减灾、生态环境保护、美丽</w:t>
      </w:r>
      <w:r>
        <w:rPr>
          <w:rFonts w:hint="eastAsia" w:ascii="仿宋" w:hAnsi="仿宋" w:eastAsia="仿宋" w:cs="仿宋"/>
          <w:sz w:val="32"/>
          <w:szCs w:val="32"/>
          <w:lang w:eastAsia="zh-CN"/>
        </w:rPr>
        <w:t>乡</w:t>
      </w:r>
      <w:r>
        <w:rPr>
          <w:rFonts w:hint="eastAsia" w:ascii="仿宋" w:hAnsi="仿宋" w:eastAsia="仿宋" w:cs="仿宋"/>
          <w:sz w:val="32"/>
          <w:szCs w:val="32"/>
        </w:rPr>
        <w:t>村建设、民生保障、脱贫致富、民族宗教等工作。承担民兵预备役、征兵、退役军人服务、拥军优属等工作。</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八）推进基层民主，指导村民自治，推动农村社区建设，完善民主议事制度，推进农村村务公开，引导农民有序参与村级事务管理，促进社会组织健康发展。依法保护国家、集体、公民财产和各类组织的合法权益，保障公民人身权利、民主权利和其他权利，维护社会秩序，构建农村和谐社会。</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（九）完成上级党委、政府交办的其他事项。</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第四条 </w:t>
      </w:r>
      <w:r>
        <w:rPr>
          <w:rFonts w:hint="eastAsia" w:ascii="仿宋" w:hAnsi="仿宋" w:eastAsia="仿宋" w:cs="仿宋"/>
          <w:sz w:val="32"/>
          <w:szCs w:val="32"/>
          <w:lang w:val="en-US" w:eastAsia="zh-CN"/>
        </w:rPr>
        <w:t>理</w:t>
      </w:r>
      <w:r>
        <w:rPr>
          <w:rFonts w:hint="eastAsia" w:ascii="仿宋" w:hAnsi="仿宋" w:eastAsia="仿宋" w:cs="仿宋"/>
          <w:sz w:val="32"/>
          <w:szCs w:val="32"/>
        </w:rPr>
        <w:t>清县</w:t>
      </w:r>
      <w:r>
        <w:rPr>
          <w:rFonts w:hint="eastAsia" w:ascii="仿宋" w:hAnsi="仿宋" w:eastAsia="仿宋" w:cs="仿宋"/>
          <w:sz w:val="32"/>
          <w:szCs w:val="32"/>
          <w:lang w:eastAsia="zh-CN"/>
        </w:rPr>
        <w:t>乡</w:t>
      </w:r>
      <w:r>
        <w:rPr>
          <w:rFonts w:hint="eastAsia" w:ascii="仿宋" w:hAnsi="仿宋" w:eastAsia="仿宋" w:cs="仿宋"/>
          <w:sz w:val="32"/>
          <w:szCs w:val="32"/>
        </w:rPr>
        <w:t>关系：</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（一）理顺派驻机构管理体制</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按照“依法下放，宜放则放”的原则，县级部门派驻在</w:t>
      </w:r>
      <w:r>
        <w:rPr>
          <w:rFonts w:hint="eastAsia" w:ascii="仿宋" w:hAnsi="仿宋" w:eastAsia="仿宋" w:cs="仿宋"/>
          <w:sz w:val="32"/>
          <w:szCs w:val="32"/>
          <w:lang w:eastAsia="zh-CN"/>
        </w:rPr>
        <w:t>乡</w:t>
      </w:r>
      <w:r>
        <w:rPr>
          <w:rFonts w:hint="eastAsia" w:ascii="仿宋" w:hAnsi="仿宋" w:eastAsia="仿宋" w:cs="仿宋"/>
          <w:sz w:val="32"/>
          <w:szCs w:val="32"/>
        </w:rPr>
        <w:t>的涉农类、服务类站所，统一下放</w:t>
      </w:r>
      <w:r>
        <w:rPr>
          <w:rFonts w:hint="eastAsia" w:ascii="仿宋" w:hAnsi="仿宋" w:eastAsia="仿宋" w:cs="仿宋"/>
          <w:sz w:val="32"/>
          <w:szCs w:val="32"/>
          <w:lang w:eastAsia="zh-CN"/>
        </w:rPr>
        <w:t>乡</w:t>
      </w:r>
      <w:r>
        <w:rPr>
          <w:rFonts w:hint="eastAsia" w:ascii="仿宋" w:hAnsi="仿宋" w:eastAsia="仿宋" w:cs="仿宋"/>
          <w:sz w:val="32"/>
          <w:szCs w:val="32"/>
        </w:rPr>
        <w:t>实行属地管理，与</w:t>
      </w:r>
      <w:r>
        <w:rPr>
          <w:rFonts w:hint="eastAsia" w:ascii="仿宋" w:hAnsi="仿宋" w:eastAsia="仿宋" w:cs="仿宋"/>
          <w:sz w:val="32"/>
          <w:szCs w:val="32"/>
          <w:lang w:eastAsia="zh-CN"/>
        </w:rPr>
        <w:t>乡</w:t>
      </w:r>
      <w:r>
        <w:rPr>
          <w:rFonts w:hint="eastAsia" w:ascii="仿宋" w:hAnsi="仿宋" w:eastAsia="仿宋" w:cs="仿宋"/>
          <w:sz w:val="32"/>
          <w:szCs w:val="32"/>
        </w:rPr>
        <w:t>综合便民服务中心进行资源整合，接受上级部门业务指导和培训。按区域设置的中心站所，由县级部门与所在</w:t>
      </w:r>
      <w:r>
        <w:rPr>
          <w:rFonts w:hint="eastAsia" w:ascii="仿宋" w:hAnsi="仿宋" w:eastAsia="仿宋" w:cs="仿宋"/>
          <w:sz w:val="32"/>
          <w:szCs w:val="32"/>
          <w:lang w:eastAsia="zh-CN"/>
        </w:rPr>
        <w:t>乡</w:t>
      </w:r>
      <w:r>
        <w:rPr>
          <w:rFonts w:hint="eastAsia" w:ascii="仿宋" w:hAnsi="仿宋" w:eastAsia="仿宋" w:cs="仿宋"/>
          <w:sz w:val="32"/>
          <w:szCs w:val="32"/>
        </w:rPr>
        <w:t>协调明确其管理职责和服务范围。继续实行派驻体制的，派驻人员实行派驻单位和</w:t>
      </w:r>
      <w:r>
        <w:rPr>
          <w:rFonts w:hint="eastAsia" w:ascii="仿宋" w:hAnsi="仿宋" w:eastAsia="仿宋" w:cs="仿宋"/>
          <w:sz w:val="32"/>
          <w:szCs w:val="32"/>
          <w:lang w:eastAsia="zh-CN"/>
        </w:rPr>
        <w:t>乡</w:t>
      </w:r>
      <w:r>
        <w:rPr>
          <w:rFonts w:hint="eastAsia" w:ascii="仿宋" w:hAnsi="仿宋" w:eastAsia="仿宋" w:cs="仿宋"/>
          <w:sz w:val="32"/>
          <w:szCs w:val="32"/>
        </w:rPr>
        <w:t>双重管理，党的组织关系纳入</w:t>
      </w:r>
      <w:r>
        <w:rPr>
          <w:rFonts w:hint="eastAsia" w:ascii="仿宋" w:hAnsi="仿宋" w:eastAsia="仿宋" w:cs="仿宋"/>
          <w:sz w:val="32"/>
          <w:szCs w:val="32"/>
          <w:lang w:eastAsia="zh-CN"/>
        </w:rPr>
        <w:t>乡</w:t>
      </w:r>
      <w:r>
        <w:rPr>
          <w:rFonts w:hint="eastAsia" w:ascii="仿宋" w:hAnsi="仿宋" w:eastAsia="仿宋" w:cs="仿宋"/>
          <w:sz w:val="32"/>
          <w:szCs w:val="32"/>
        </w:rPr>
        <w:t>统一管理，主要负责人任免、奖惩听取所在</w:t>
      </w:r>
      <w:r>
        <w:rPr>
          <w:rFonts w:hint="eastAsia" w:ascii="仿宋" w:hAnsi="仿宋" w:eastAsia="仿宋" w:cs="仿宋"/>
          <w:sz w:val="32"/>
          <w:szCs w:val="32"/>
          <w:lang w:eastAsia="zh-CN"/>
        </w:rPr>
        <w:t>乡</w:t>
      </w:r>
      <w:r>
        <w:rPr>
          <w:rFonts w:hint="eastAsia" w:ascii="仿宋" w:hAnsi="仿宋" w:eastAsia="仿宋" w:cs="仿宋"/>
          <w:sz w:val="32"/>
          <w:szCs w:val="32"/>
        </w:rPr>
        <w:t>党委意见，工作考核以</w:t>
      </w:r>
      <w:r>
        <w:rPr>
          <w:rFonts w:hint="eastAsia" w:ascii="仿宋" w:hAnsi="仿宋" w:eastAsia="仿宋" w:cs="仿宋"/>
          <w:sz w:val="32"/>
          <w:szCs w:val="32"/>
          <w:lang w:eastAsia="zh-CN"/>
        </w:rPr>
        <w:t>乡</w:t>
      </w:r>
      <w:r>
        <w:rPr>
          <w:rFonts w:hint="eastAsia" w:ascii="仿宋" w:hAnsi="仿宋" w:eastAsia="仿宋" w:cs="仿宋"/>
          <w:sz w:val="32"/>
          <w:szCs w:val="32"/>
        </w:rPr>
        <w:t>为主。</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（二）明晰县</w:t>
      </w:r>
      <w:r>
        <w:rPr>
          <w:rFonts w:hint="eastAsia" w:ascii="仿宋" w:hAnsi="仿宋" w:eastAsia="仿宋" w:cs="仿宋"/>
          <w:sz w:val="32"/>
          <w:szCs w:val="32"/>
          <w:lang w:eastAsia="zh-CN"/>
        </w:rPr>
        <w:t>乡</w:t>
      </w:r>
      <w:r>
        <w:rPr>
          <w:rFonts w:hint="eastAsia" w:ascii="仿宋" w:hAnsi="仿宋" w:eastAsia="仿宋" w:cs="仿宋"/>
          <w:sz w:val="32"/>
          <w:szCs w:val="32"/>
        </w:rPr>
        <w:t>职责边界</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法律法规授权</w:t>
      </w:r>
      <w:r>
        <w:rPr>
          <w:rFonts w:hint="eastAsia" w:ascii="仿宋" w:hAnsi="仿宋" w:eastAsia="仿宋" w:cs="仿宋"/>
          <w:sz w:val="32"/>
          <w:szCs w:val="32"/>
          <w:lang w:eastAsia="zh-CN"/>
        </w:rPr>
        <w:t>乡</w:t>
      </w:r>
      <w:r>
        <w:rPr>
          <w:rFonts w:hint="eastAsia" w:ascii="仿宋" w:hAnsi="仿宋" w:eastAsia="仿宋" w:cs="仿宋"/>
          <w:sz w:val="32"/>
          <w:szCs w:val="32"/>
        </w:rPr>
        <w:t>行使的执法事项，以</w:t>
      </w:r>
      <w:r>
        <w:rPr>
          <w:rFonts w:hint="eastAsia" w:ascii="仿宋" w:hAnsi="仿宋" w:eastAsia="仿宋" w:cs="仿宋"/>
          <w:sz w:val="32"/>
          <w:szCs w:val="32"/>
          <w:lang w:eastAsia="zh-CN"/>
        </w:rPr>
        <w:t>乡</w:t>
      </w:r>
      <w:r>
        <w:rPr>
          <w:rFonts w:hint="eastAsia" w:ascii="仿宋" w:hAnsi="仿宋" w:eastAsia="仿宋" w:cs="仿宋"/>
          <w:sz w:val="32"/>
          <w:szCs w:val="32"/>
        </w:rPr>
        <w:t>名义执法。县级部门委托下放的行政执法事项，由县级部门与</w:t>
      </w:r>
      <w:r>
        <w:rPr>
          <w:rFonts w:hint="eastAsia" w:ascii="仿宋" w:hAnsi="仿宋" w:eastAsia="仿宋" w:cs="仿宋"/>
          <w:sz w:val="32"/>
          <w:szCs w:val="32"/>
          <w:lang w:eastAsia="zh-CN"/>
        </w:rPr>
        <w:t>乡</w:t>
      </w:r>
      <w:r>
        <w:rPr>
          <w:rFonts w:hint="eastAsia" w:ascii="仿宋" w:hAnsi="仿宋" w:eastAsia="仿宋" w:cs="仿宋"/>
          <w:sz w:val="32"/>
          <w:szCs w:val="32"/>
        </w:rPr>
        <w:t>按程序签订委托协议，报县级司法部门审核备案，以委托机关名义执法。法律法规未授权也不宜委托下放、需</w:t>
      </w:r>
      <w:r>
        <w:rPr>
          <w:rFonts w:hint="eastAsia" w:ascii="仿宋" w:hAnsi="仿宋" w:eastAsia="仿宋" w:cs="仿宋"/>
          <w:sz w:val="32"/>
          <w:szCs w:val="32"/>
          <w:lang w:eastAsia="zh-CN"/>
        </w:rPr>
        <w:t>乡</w:t>
      </w:r>
      <w:r>
        <w:rPr>
          <w:rFonts w:hint="eastAsia" w:ascii="仿宋" w:hAnsi="仿宋" w:eastAsia="仿宋" w:cs="仿宋"/>
          <w:sz w:val="32"/>
          <w:szCs w:val="32"/>
        </w:rPr>
        <w:t>配合的行政执法事项，实行“街</w:t>
      </w:r>
      <w:r>
        <w:rPr>
          <w:rFonts w:hint="eastAsia" w:ascii="仿宋" w:hAnsi="仿宋" w:eastAsia="仿宋" w:cs="仿宋"/>
          <w:sz w:val="32"/>
          <w:szCs w:val="32"/>
          <w:lang w:eastAsia="zh-CN"/>
        </w:rPr>
        <w:t>乡</w:t>
      </w:r>
      <w:r>
        <w:rPr>
          <w:rFonts w:hint="eastAsia" w:ascii="仿宋" w:hAnsi="仿宋" w:eastAsia="仿宋" w:cs="仿宋"/>
          <w:sz w:val="32"/>
          <w:szCs w:val="32"/>
        </w:rPr>
        <w:t>吹哨、部门报到”，由</w:t>
      </w:r>
      <w:r>
        <w:rPr>
          <w:rFonts w:hint="eastAsia" w:ascii="仿宋" w:hAnsi="仿宋" w:eastAsia="仿宋" w:cs="仿宋"/>
          <w:sz w:val="32"/>
          <w:szCs w:val="32"/>
          <w:lang w:eastAsia="zh-CN"/>
        </w:rPr>
        <w:t>乡</w:t>
      </w:r>
      <w:r>
        <w:rPr>
          <w:rFonts w:hint="eastAsia" w:ascii="仿宋" w:hAnsi="仿宋" w:eastAsia="仿宋" w:cs="仿宋"/>
          <w:sz w:val="32"/>
          <w:szCs w:val="32"/>
        </w:rPr>
        <w:t>负责日常巡查，履行相应的协调权、督办权，协助县级部门开展监督检查、立案调查等工作。县级部门在</w:t>
      </w:r>
      <w:r>
        <w:rPr>
          <w:rFonts w:hint="eastAsia" w:ascii="仿宋" w:hAnsi="仿宋" w:eastAsia="仿宋" w:cs="仿宋"/>
          <w:sz w:val="32"/>
          <w:szCs w:val="32"/>
          <w:lang w:eastAsia="zh-CN"/>
        </w:rPr>
        <w:t>乡</w:t>
      </w:r>
      <w:r>
        <w:rPr>
          <w:rFonts w:hint="eastAsia" w:ascii="仿宋" w:hAnsi="仿宋" w:eastAsia="仿宋" w:cs="仿宋"/>
          <w:sz w:val="32"/>
          <w:szCs w:val="32"/>
        </w:rPr>
        <w:t>派驻的综合行政执法队伍，纳入</w:t>
      </w:r>
      <w:r>
        <w:rPr>
          <w:rFonts w:hint="eastAsia" w:ascii="仿宋" w:hAnsi="仿宋" w:eastAsia="仿宋" w:cs="仿宋"/>
          <w:sz w:val="32"/>
          <w:szCs w:val="32"/>
          <w:lang w:eastAsia="zh-CN"/>
        </w:rPr>
        <w:t>乡</w:t>
      </w:r>
      <w:r>
        <w:rPr>
          <w:rFonts w:hint="eastAsia" w:ascii="仿宋" w:hAnsi="仿宋" w:eastAsia="仿宋" w:cs="仿宋"/>
          <w:sz w:val="32"/>
          <w:szCs w:val="32"/>
        </w:rPr>
        <w:t>综合行政执法管理体系。建立完善</w:t>
      </w:r>
      <w:r>
        <w:rPr>
          <w:rFonts w:hint="eastAsia" w:ascii="仿宋" w:hAnsi="仿宋" w:eastAsia="仿宋" w:cs="仿宋"/>
          <w:sz w:val="32"/>
          <w:szCs w:val="32"/>
          <w:lang w:eastAsia="zh-CN"/>
        </w:rPr>
        <w:t>乡</w:t>
      </w:r>
      <w:r>
        <w:rPr>
          <w:rFonts w:hint="eastAsia" w:ascii="仿宋" w:hAnsi="仿宋" w:eastAsia="仿宋" w:cs="仿宋"/>
          <w:sz w:val="32"/>
          <w:szCs w:val="32"/>
        </w:rPr>
        <w:t>与县级执法部门间信息共享、线索和案件移送、联合调查、案情通报等协调配合机制，逐步实现综合检查与专业执法的有机结合、行政执法与司法的有效衔接。</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（三）建立</w:t>
      </w:r>
      <w:r>
        <w:rPr>
          <w:rFonts w:hint="eastAsia" w:ascii="仿宋" w:hAnsi="仿宋" w:eastAsia="仿宋" w:cs="仿宋"/>
          <w:sz w:val="32"/>
          <w:szCs w:val="32"/>
          <w:lang w:eastAsia="zh-CN"/>
        </w:rPr>
        <w:t>乡</w:t>
      </w:r>
      <w:r>
        <w:rPr>
          <w:rFonts w:hint="eastAsia" w:ascii="仿宋" w:hAnsi="仿宋" w:eastAsia="仿宋" w:cs="仿宋"/>
          <w:sz w:val="32"/>
          <w:szCs w:val="32"/>
        </w:rPr>
        <w:t>职责准入制度</w:t>
      </w:r>
    </w:p>
    <w:p>
      <w:pPr>
        <w:spacing w:line="600" w:lineRule="exact"/>
        <w:ind w:firstLine="640" w:firstLineChars="200"/>
        <w:rPr>
          <w:rFonts w:hint="eastAsia"/>
        </w:rPr>
      </w:pPr>
      <w:r>
        <w:rPr>
          <w:rFonts w:hint="eastAsia" w:ascii="仿宋" w:hAnsi="仿宋" w:eastAsia="仿宋" w:cs="仿宋"/>
          <w:sz w:val="32"/>
          <w:szCs w:val="32"/>
        </w:rPr>
        <w:t>按照职权法定、权责一致的原则，制定公布</w:t>
      </w:r>
      <w:r>
        <w:rPr>
          <w:rFonts w:hint="eastAsia" w:ascii="仿宋" w:hAnsi="仿宋" w:eastAsia="仿宋" w:cs="仿宋"/>
          <w:sz w:val="32"/>
          <w:szCs w:val="32"/>
          <w:lang w:eastAsia="zh-CN"/>
        </w:rPr>
        <w:t>乡</w:t>
      </w:r>
      <w:r>
        <w:rPr>
          <w:rFonts w:hint="eastAsia" w:ascii="仿宋" w:hAnsi="仿宋" w:eastAsia="仿宋" w:cs="仿宋"/>
          <w:sz w:val="32"/>
          <w:szCs w:val="32"/>
        </w:rPr>
        <w:t>权责清单。未列入清单的事项，原则上不得交由</w:t>
      </w:r>
      <w:r>
        <w:rPr>
          <w:rFonts w:hint="eastAsia" w:ascii="仿宋" w:hAnsi="仿宋" w:eastAsia="仿宋" w:cs="仿宋"/>
          <w:sz w:val="32"/>
          <w:szCs w:val="32"/>
          <w:lang w:eastAsia="zh-CN"/>
        </w:rPr>
        <w:t>乡</w:t>
      </w:r>
      <w:r>
        <w:rPr>
          <w:rFonts w:hint="eastAsia" w:ascii="仿宋" w:hAnsi="仿宋" w:eastAsia="仿宋" w:cs="仿宋"/>
          <w:sz w:val="32"/>
          <w:szCs w:val="32"/>
        </w:rPr>
        <w:t>承担。县级部门行政事务需要委托</w:t>
      </w:r>
      <w:r>
        <w:rPr>
          <w:rFonts w:hint="eastAsia" w:ascii="仿宋" w:hAnsi="仿宋" w:eastAsia="仿宋" w:cs="仿宋"/>
          <w:sz w:val="32"/>
          <w:szCs w:val="32"/>
          <w:lang w:eastAsia="zh-CN"/>
        </w:rPr>
        <w:t>乡</w:t>
      </w:r>
      <w:r>
        <w:rPr>
          <w:rFonts w:hint="eastAsia" w:ascii="仿宋" w:hAnsi="仿宋" w:eastAsia="仿宋" w:cs="仿宋"/>
          <w:sz w:val="32"/>
          <w:szCs w:val="32"/>
        </w:rPr>
        <w:t>承担的，应书面征求</w:t>
      </w:r>
      <w:r>
        <w:rPr>
          <w:rFonts w:hint="eastAsia" w:ascii="仿宋" w:hAnsi="仿宋" w:eastAsia="仿宋" w:cs="仿宋"/>
          <w:sz w:val="32"/>
          <w:szCs w:val="32"/>
          <w:lang w:eastAsia="zh-CN"/>
        </w:rPr>
        <w:t>乡</w:t>
      </w:r>
      <w:r>
        <w:rPr>
          <w:rFonts w:hint="eastAsia" w:ascii="仿宋" w:hAnsi="仿宋" w:eastAsia="仿宋" w:cs="仿宋"/>
          <w:sz w:val="32"/>
          <w:szCs w:val="32"/>
        </w:rPr>
        <w:t>意见并报县委、县政府审核批准，做到权随事转、人随事转、费随事转。确需</w:t>
      </w:r>
      <w:r>
        <w:rPr>
          <w:rFonts w:hint="eastAsia" w:ascii="仿宋" w:hAnsi="仿宋" w:eastAsia="仿宋" w:cs="仿宋"/>
          <w:sz w:val="32"/>
          <w:szCs w:val="32"/>
          <w:lang w:eastAsia="zh-CN"/>
        </w:rPr>
        <w:t>乡</w:t>
      </w:r>
      <w:r>
        <w:rPr>
          <w:rFonts w:hint="eastAsia" w:ascii="仿宋" w:hAnsi="仿宋" w:eastAsia="仿宋" w:cs="仿宋"/>
          <w:sz w:val="32"/>
          <w:szCs w:val="32"/>
        </w:rPr>
        <w:t>配合的临时性、阶段性任务，主要责任由县级部门承担。除中央和省委有明确规定外，县级部门不得以“一票否决”“签订责任状”等形式或者以属地管理、任务分解、下达指标、考核验收等名义，把工作责任和任务转嫁给</w:t>
      </w:r>
      <w:r>
        <w:rPr>
          <w:rFonts w:hint="eastAsia" w:ascii="仿宋" w:hAnsi="仿宋" w:eastAsia="仿宋" w:cs="仿宋"/>
          <w:sz w:val="32"/>
          <w:szCs w:val="32"/>
          <w:lang w:eastAsia="zh-CN"/>
        </w:rPr>
        <w:t>乡</w:t>
      </w:r>
      <w:r>
        <w:rPr>
          <w:rFonts w:hint="eastAsia" w:ascii="仿宋" w:hAnsi="仿宋" w:eastAsia="仿宋" w:cs="仿宋"/>
          <w:sz w:val="32"/>
          <w:szCs w:val="32"/>
        </w:rPr>
        <w:t>。</w:t>
      </w:r>
    </w:p>
    <w:p>
      <w:pPr>
        <w:pStyle w:val="5"/>
        <w:numPr>
          <w:ilvl w:val="0"/>
          <w:numId w:val="2"/>
        </w:numPr>
        <w:rPr>
          <w:rFonts w:hint="eastAsia"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pStyle w:val="2"/>
        <w:ind w:left="0" w:leftChars="0" w:firstLine="640" w:firstLineChars="200"/>
        <w:rPr>
          <w:rFonts w:hint="default"/>
          <w:lang w:val="en-US" w:eastAsia="zh-CN"/>
        </w:rPr>
      </w:pPr>
      <w:r>
        <w:rPr>
          <w:rFonts w:hint="eastAsia" w:ascii="仿宋" w:hAnsi="仿宋" w:eastAsia="仿宋" w:cs="仿宋"/>
          <w:b w:val="0"/>
          <w:bCs/>
          <w:sz w:val="32"/>
          <w:szCs w:val="32"/>
          <w:lang w:val="en-US" w:eastAsia="zh-CN"/>
        </w:rPr>
        <w:t>本单位编制42人，其中行政编制20人，事业编制22人，实有41人，行政22人，事业19人。单位设五办一站两中心：</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（一）党政综合办公室</w:t>
      </w:r>
    </w:p>
    <w:p>
      <w:pPr>
        <w:rPr>
          <w:rFonts w:hint="eastAsia" w:ascii="仿宋" w:hAnsi="仿宋" w:eastAsia="仿宋" w:cs="仿宋"/>
          <w:sz w:val="32"/>
          <w:szCs w:val="32"/>
        </w:rPr>
      </w:pPr>
      <w:r>
        <w:rPr>
          <w:rFonts w:hint="eastAsia" w:ascii="仿宋" w:hAnsi="仿宋" w:eastAsia="仿宋" w:cs="仿宋"/>
          <w:sz w:val="32"/>
          <w:szCs w:val="32"/>
        </w:rPr>
        <w:t>工作职责：负责乡党委、政府机关日常工作；负责人大、政协具体事务，负责全乡综治与矛盾纠纷化解与信访联席会议等工作。负责农村基层政权建设，指导村委会的民主选举、民主决策、民主管理和民主监督工作等工作，负责三支力量和网格员管理工作。完成乡党委、政府和上级有关部门交办的其他工作；负责完成党政综合办公室交办的其他各项工作。</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（二）经济发展办公室</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工作职责：负责全乡产业发展规划的制定实施及乡村振兴战略、区域协调发展战略的组织实施。分管脱贫攻坚与乡村振兴衔接，移民搬迁、发改等方面工作；完成乡党委、政府和上级有关部门交办与其他工作。负责完成经济发展办公室交办的其他各项工作。</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（三）社会事务办公室</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工作职责：负责行政审批、农业发展、教育、安全生产、应急管理的综合协调工作，负责办公用品以及固定资产管理，负责会务管理服务。完成乡党委、政府和上级有关部门交办的其他工作。负责完成社会事务办公室交办的其他各项工作。</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（四）规划建设办公室</w:t>
      </w:r>
    </w:p>
    <w:p>
      <w:pPr>
        <w:pStyle w:val="2"/>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工作职责：负责组织编制全乡总体规划和村庄规划，组织规划编制单位依法修改总体规划和修建性详细规划并依照审批程序报批，负责组织实施“四办法一标准”，负责财务和审计、危房改造、人社（养老保险）以及管理辖区内各项建筑活动和施工许可等初审和重大建设项目的协调工作。完成乡党委、政府和上级有关部门交办的其他任务；负责完成规划建设办公室交办的各项工作。</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（五）综合行政执法办公室</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工作职责：负责乡综合行政执法队伍的日常管理，组织开展对综合行政执法事项巡查上报、执法处置等日常执法工作；负责统筹协调辖区内市场监管、交通运输开展联合执法工作；负责林业、气象、交通、能源、水利和公检法司协调等工作。完成乡党委、政府和上级有关部门交办的其他任务，负责完成综合执法办公室交办的其他各项工作。</w:t>
      </w:r>
    </w:p>
    <w:p>
      <w:pPr>
        <w:pStyle w:val="2"/>
        <w:ind w:left="0" w:leftChars="0" w:firstLine="0" w:firstLineChars="0"/>
        <w:rPr>
          <w:rFonts w:hint="default" w:eastAsia="仿宋"/>
          <w:lang w:val="en-US" w:eastAsia="zh-CN"/>
        </w:rPr>
      </w:pPr>
      <w:r>
        <w:rPr>
          <w:rFonts w:hint="eastAsia" w:ascii="仿宋" w:hAnsi="仿宋" w:eastAsia="仿宋" w:cs="仿宋"/>
          <w:sz w:val="32"/>
          <w:szCs w:val="32"/>
          <w:lang w:val="en-US" w:eastAsia="zh-CN"/>
        </w:rPr>
        <w:t xml:space="preserve">    事业单位设置：</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（一）党群服务中心</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工作职责：负责发挥服务党组织和党员群众的功能，开展宣传党的方针政策和理论知识、党务政策咨询等活动；提供党员培训活动场所，做好区域内党建活动的日常组织、协调、联络和服务工作；为村</w:t>
      </w:r>
      <w:r>
        <w:rPr>
          <w:rFonts w:hint="eastAsia" w:ascii="仿宋" w:hAnsi="仿宋" w:eastAsia="仿宋" w:cs="仿宋"/>
          <w:sz w:val="32"/>
          <w:szCs w:val="32"/>
          <w:lang w:val="en-US" w:eastAsia="zh-CN"/>
        </w:rPr>
        <w:t>乡</w:t>
      </w:r>
      <w:r>
        <w:rPr>
          <w:rFonts w:hint="eastAsia" w:ascii="仿宋" w:hAnsi="仿宋" w:eastAsia="仿宋" w:cs="仿宋"/>
          <w:sz w:val="32"/>
          <w:szCs w:val="32"/>
        </w:rPr>
        <w:t>党组织、党员群众提供相关服务和资源保障；负责党群志愿者队伍建设和组织开展志愿服务活动。完成乡党委、政府和上级有关部门交办的其他任务。</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（二）综合便民服务中心</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工作职责：负责制定乡镇综合便民服务中心的管理制度并组织实施；结合实际设置基层来信来访、乡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便民服务站点日常工作开展。完成乡党委、政府及上级有关部门交办的其他任务。</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（三）退役军人服务保障工作站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lang w:val="en-US" w:eastAsia="zh-CN"/>
        </w:rPr>
      </w:pPr>
      <w:r>
        <w:rPr>
          <w:rFonts w:hint="eastAsia" w:ascii="仿宋" w:hAnsi="仿宋" w:eastAsia="仿宋" w:cs="仿宋"/>
          <w:sz w:val="32"/>
          <w:szCs w:val="32"/>
        </w:rPr>
        <w:t>工作职责：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乡党委、政府及上级有关部门交办的其他任务。</w:t>
      </w:r>
    </w:p>
    <w:p>
      <w:pPr>
        <w:pStyle w:val="4"/>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4"/>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5"/>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color w:val="auto"/>
          <w:szCs w:val="32"/>
          <w:lang w:val="en-US" w:eastAsia="zh-CN"/>
        </w:rPr>
        <w:t>2081.19</w:t>
      </w:r>
      <w:r>
        <w:rPr>
          <w:rFonts w:hint="eastAsia" w:ascii="仿宋_GB2312"/>
          <w:color w:val="auto"/>
          <w:szCs w:val="32"/>
        </w:rPr>
        <w:t>万元、支出总计</w:t>
      </w:r>
      <w:r>
        <w:rPr>
          <w:rFonts w:hint="eastAsia" w:ascii="仿宋_GB2312"/>
          <w:color w:val="auto"/>
          <w:szCs w:val="32"/>
          <w:lang w:val="en-US" w:eastAsia="zh-CN"/>
        </w:rPr>
        <w:t>2081.19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增长289.14</w:t>
      </w:r>
      <w:r>
        <w:rPr>
          <w:rFonts w:hint="eastAsia" w:ascii="仿宋_GB2312"/>
          <w:color w:val="auto"/>
          <w:szCs w:val="32"/>
        </w:rPr>
        <w:t>万元，</w:t>
      </w:r>
      <w:r>
        <w:rPr>
          <w:rFonts w:hint="eastAsia" w:ascii="仿宋_GB2312"/>
          <w:color w:val="auto"/>
          <w:szCs w:val="32"/>
          <w:lang w:val="en-US" w:eastAsia="zh-CN"/>
        </w:rPr>
        <w:t>增长16.13%</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增长289.14</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增长16.13</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一般公共服务支出和农林水支出增加</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2081.19</w:t>
      </w:r>
      <w:r>
        <w:rPr>
          <w:rFonts w:hint="eastAsia" w:ascii="仿宋_GB2312"/>
          <w:color w:val="auto"/>
          <w:szCs w:val="32"/>
        </w:rPr>
        <w:t>万元，其中：财政拨款收入</w:t>
      </w:r>
      <w:r>
        <w:rPr>
          <w:rFonts w:hint="eastAsia" w:ascii="仿宋_GB2312"/>
          <w:color w:val="auto"/>
          <w:szCs w:val="32"/>
          <w:lang w:val="en-US" w:eastAsia="zh-CN"/>
        </w:rPr>
        <w:t>2081.19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2081.19</w:t>
      </w:r>
      <w:r>
        <w:rPr>
          <w:rFonts w:hint="eastAsia" w:ascii="仿宋_GB2312"/>
          <w:color w:val="auto"/>
          <w:szCs w:val="32"/>
        </w:rPr>
        <w:t>万元，其中：基本支出</w:t>
      </w:r>
      <w:r>
        <w:rPr>
          <w:rFonts w:hint="eastAsia" w:ascii="仿宋_GB2312"/>
          <w:color w:val="auto"/>
          <w:szCs w:val="32"/>
          <w:lang w:val="en-US" w:eastAsia="zh-CN"/>
        </w:rPr>
        <w:t>528.91</w:t>
      </w:r>
      <w:r>
        <w:rPr>
          <w:rFonts w:hint="eastAsia" w:ascii="仿宋_GB2312"/>
          <w:color w:val="auto"/>
          <w:szCs w:val="32"/>
        </w:rPr>
        <w:t>万元，占比</w:t>
      </w:r>
      <w:r>
        <w:rPr>
          <w:rFonts w:hint="eastAsia" w:ascii="仿宋_GB2312"/>
          <w:color w:val="auto"/>
          <w:szCs w:val="32"/>
          <w:lang w:val="en-US" w:eastAsia="zh-CN"/>
        </w:rPr>
        <w:t>25.41</w:t>
      </w:r>
      <w:r>
        <w:rPr>
          <w:rFonts w:hint="eastAsia" w:ascii="仿宋_GB2312"/>
          <w:color w:val="auto"/>
          <w:szCs w:val="32"/>
        </w:rPr>
        <w:t>%；项目支出</w:t>
      </w:r>
      <w:r>
        <w:rPr>
          <w:rFonts w:hint="eastAsia" w:ascii="仿宋_GB2312"/>
          <w:color w:val="auto"/>
          <w:szCs w:val="32"/>
          <w:lang w:val="en-US" w:eastAsia="zh-CN"/>
        </w:rPr>
        <w:t>1552.28</w:t>
      </w:r>
      <w:r>
        <w:rPr>
          <w:rFonts w:hint="eastAsia" w:ascii="仿宋_GB2312"/>
          <w:color w:val="auto"/>
          <w:szCs w:val="32"/>
        </w:rPr>
        <w:t>万元，占比</w:t>
      </w:r>
      <w:r>
        <w:rPr>
          <w:rFonts w:hint="eastAsia" w:ascii="仿宋_GB2312"/>
          <w:color w:val="auto"/>
          <w:szCs w:val="32"/>
          <w:lang w:val="en-US" w:eastAsia="zh-CN"/>
        </w:rPr>
        <w:t>74.59</w:t>
      </w:r>
      <w:r>
        <w:rPr>
          <w:rFonts w:hint="eastAsia" w:ascii="仿宋_GB2312"/>
          <w:color w:val="auto"/>
          <w:szCs w:val="32"/>
        </w:rPr>
        <w:t>%</w:t>
      </w:r>
      <w:r>
        <w:rPr>
          <w:rFonts w:hint="eastAsia" w:ascii="仿宋_GB2312"/>
          <w:color w:val="auto"/>
          <w:szCs w:val="32"/>
          <w:lang w:eastAsia="zh-CN"/>
        </w:rPr>
        <w:t>。</w:t>
      </w:r>
    </w:p>
    <w:p>
      <w:pPr>
        <w:pStyle w:val="5"/>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2081.19</w:t>
      </w:r>
      <w:r>
        <w:rPr>
          <w:rFonts w:hint="eastAsia" w:ascii="仿宋_GB2312"/>
          <w:color w:val="auto"/>
          <w:szCs w:val="32"/>
        </w:rPr>
        <w:t>万元、支出总计</w:t>
      </w:r>
      <w:r>
        <w:rPr>
          <w:rFonts w:hint="eastAsia" w:ascii="仿宋_GB2312"/>
          <w:color w:val="auto"/>
          <w:szCs w:val="32"/>
          <w:lang w:val="en-US" w:eastAsia="zh-CN"/>
        </w:rPr>
        <w:t>2081.19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增长289.14</w:t>
      </w:r>
      <w:r>
        <w:rPr>
          <w:rFonts w:hint="eastAsia" w:ascii="仿宋_GB2312"/>
          <w:color w:val="auto"/>
          <w:szCs w:val="32"/>
        </w:rPr>
        <w:t>万元，</w:t>
      </w:r>
      <w:r>
        <w:rPr>
          <w:rFonts w:hint="eastAsia" w:ascii="仿宋_GB2312"/>
          <w:color w:val="auto"/>
          <w:szCs w:val="32"/>
          <w:lang w:val="en-US" w:eastAsia="zh-CN"/>
        </w:rPr>
        <w:t>增长16.13</w:t>
      </w:r>
      <w:r>
        <w:rPr>
          <w:rFonts w:ascii="仿宋_GB2312"/>
          <w:color w:val="auto"/>
          <w:szCs w:val="32"/>
        </w:rPr>
        <w:t>%</w:t>
      </w:r>
      <w:r>
        <w:rPr>
          <w:rFonts w:hint="eastAsia" w:ascii="仿宋_GB2312"/>
          <w:color w:val="auto"/>
          <w:szCs w:val="32"/>
        </w:rPr>
        <w:t>，财政拨款支出总计</w:t>
      </w:r>
      <w:r>
        <w:rPr>
          <w:rFonts w:hint="eastAsia" w:ascii="仿宋_GB2312"/>
          <w:color w:val="auto"/>
          <w:szCs w:val="32"/>
          <w:lang w:val="en-US" w:eastAsia="zh-CN"/>
        </w:rPr>
        <w:t>增长289.14</w:t>
      </w:r>
      <w:r>
        <w:rPr>
          <w:rFonts w:hint="eastAsia" w:ascii="仿宋_GB2312"/>
          <w:color w:val="auto"/>
          <w:szCs w:val="32"/>
        </w:rPr>
        <w:t>万元，</w:t>
      </w:r>
      <w:r>
        <w:rPr>
          <w:rFonts w:hint="eastAsia" w:ascii="仿宋_GB2312"/>
          <w:color w:val="auto"/>
          <w:szCs w:val="32"/>
          <w:lang w:val="en-US" w:eastAsia="zh-CN"/>
        </w:rPr>
        <w:t>增长16.13</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一般公共服务支出和农林水支出增加</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2081.19</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增加289.14</w:t>
      </w:r>
      <w:r>
        <w:rPr>
          <w:rFonts w:hint="eastAsia" w:ascii="仿宋_GB2312"/>
          <w:color w:val="auto"/>
          <w:szCs w:val="32"/>
        </w:rPr>
        <w:t>万元，</w:t>
      </w:r>
      <w:r>
        <w:rPr>
          <w:rFonts w:hint="eastAsia" w:ascii="仿宋_GB2312"/>
          <w:color w:val="auto"/>
          <w:szCs w:val="32"/>
          <w:lang w:val="en-US" w:eastAsia="zh-CN"/>
        </w:rPr>
        <w:t>增长16.13</w:t>
      </w:r>
      <w:r>
        <w:rPr>
          <w:rFonts w:hint="eastAsia" w:ascii="仿宋_GB2312"/>
          <w:color w:val="auto"/>
          <w:szCs w:val="32"/>
        </w:rPr>
        <w:t>%。主要原因是</w:t>
      </w:r>
      <w:r>
        <w:rPr>
          <w:rFonts w:hint="eastAsia" w:ascii="仿宋_GB2312"/>
          <w:color w:val="auto"/>
          <w:szCs w:val="32"/>
          <w:lang w:val="en-US" w:eastAsia="zh-CN"/>
        </w:rPr>
        <w:t>一般公共服务支出和农林水支出增加</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2081.19</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636.95</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30.61</w:t>
      </w:r>
      <w:r>
        <w:rPr>
          <w:rFonts w:ascii="仿宋_GB2312"/>
          <w:color w:val="auto"/>
          <w:szCs w:val="32"/>
        </w:rPr>
        <w:t>%；</w:t>
      </w:r>
      <w:r>
        <w:rPr>
          <w:rFonts w:hint="eastAsia" w:ascii="仿宋_GB2312"/>
          <w:b/>
          <w:color w:val="auto"/>
          <w:szCs w:val="32"/>
        </w:rPr>
        <w:t>教育</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4.28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0.21</w:t>
      </w:r>
      <w:r>
        <w:rPr>
          <w:rFonts w:ascii="仿宋_GB2312"/>
          <w:color w:val="auto"/>
          <w:szCs w:val="32"/>
        </w:rPr>
        <w:t>%；</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0.1</w:t>
      </w:r>
      <w:r>
        <w:rPr>
          <w:rFonts w:ascii="仿宋_GB2312"/>
          <w:color w:val="auto"/>
          <w:szCs w:val="32"/>
        </w:rPr>
        <w:t>%；</w:t>
      </w:r>
      <w:r>
        <w:rPr>
          <w:rFonts w:hint="eastAsia" w:ascii="仿宋_GB2312"/>
          <w:b/>
          <w:color w:val="auto"/>
          <w:szCs w:val="32"/>
        </w:rPr>
        <w:t>卫生</w:t>
      </w:r>
      <w:r>
        <w:rPr>
          <w:rFonts w:ascii="仿宋_GB2312"/>
          <w:b/>
          <w:color w:val="auto"/>
          <w:szCs w:val="32"/>
        </w:rPr>
        <w:t>健康（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0.58</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1425.96</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68.52</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2081.19</w:t>
      </w:r>
      <w:r>
        <w:rPr>
          <w:rFonts w:hint="eastAsia"/>
          <w:color w:val="auto"/>
          <w:szCs w:val="32"/>
        </w:rPr>
        <w:t>万元，支出决算</w:t>
      </w:r>
      <w:r>
        <w:rPr>
          <w:rFonts w:hint="eastAsia"/>
          <w:color w:val="auto"/>
          <w:szCs w:val="32"/>
          <w:lang w:val="en-US" w:eastAsia="zh-CN"/>
        </w:rPr>
        <w:t>2081.19</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2"/>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387.63</w:t>
            </w:r>
          </w:p>
        </w:tc>
        <w:tc>
          <w:tcPr>
            <w:tcW w:w="1684"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636.95</w:t>
            </w:r>
          </w:p>
        </w:tc>
        <w:tc>
          <w:tcPr>
            <w:tcW w:w="1393" w:type="dxa"/>
            <w:vAlign w:val="top"/>
          </w:tcPr>
          <w:p>
            <w:pPr>
              <w:spacing w:line="480" w:lineRule="auto"/>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p>
        </w:tc>
        <w:tc>
          <w:tcPr>
            <w:tcW w:w="2479" w:type="dxa"/>
            <w:vAlign w:val="top"/>
          </w:tcPr>
          <w:p>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财政事务</w:t>
            </w:r>
          </w:p>
        </w:tc>
        <w:tc>
          <w:tcPr>
            <w:tcW w:w="1876" w:type="dxa"/>
            <w:vAlign w:val="center"/>
          </w:tcPr>
          <w:p>
            <w:pPr>
              <w:keepNext w:val="0"/>
              <w:keepLines w:val="0"/>
              <w:widowControl/>
              <w:suppressLineNumbers w:val="0"/>
              <w:spacing w:line="480" w:lineRule="auto"/>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684"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2010601</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行政运行</w:t>
            </w:r>
          </w:p>
        </w:tc>
        <w:tc>
          <w:tcPr>
            <w:tcW w:w="1876" w:type="dxa"/>
            <w:vAlign w:val="center"/>
          </w:tcPr>
          <w:p>
            <w:pPr>
              <w:keepNext w:val="0"/>
              <w:keepLines w:val="0"/>
              <w:widowControl/>
              <w:suppressLineNumbers w:val="0"/>
              <w:spacing w:line="480" w:lineRule="auto"/>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684"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2010602</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一般行政管理事务</w:t>
            </w:r>
          </w:p>
        </w:tc>
        <w:tc>
          <w:tcPr>
            <w:tcW w:w="1876"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top"/>
          </w:tcPr>
          <w:p>
            <w:pPr>
              <w:spacing w:line="480" w:lineRule="auto"/>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5</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财政国库业务</w:t>
            </w:r>
          </w:p>
        </w:tc>
        <w:tc>
          <w:tcPr>
            <w:tcW w:w="1876"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0</w:t>
            </w:r>
          </w:p>
        </w:tc>
        <w:tc>
          <w:tcPr>
            <w:tcW w:w="1684"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7</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信息化建设</w:t>
            </w:r>
          </w:p>
        </w:tc>
        <w:tc>
          <w:tcPr>
            <w:tcW w:w="1876"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0</w:t>
            </w:r>
          </w:p>
        </w:tc>
        <w:tc>
          <w:tcPr>
            <w:tcW w:w="1684"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8</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财政委托业务支出</w:t>
            </w:r>
          </w:p>
        </w:tc>
        <w:tc>
          <w:tcPr>
            <w:tcW w:w="1876"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0</w:t>
            </w:r>
          </w:p>
        </w:tc>
        <w:tc>
          <w:tcPr>
            <w:tcW w:w="1684"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r>
              <w:rPr>
                <w:rFonts w:hint="eastAsia" w:ascii="仿宋" w:hAnsi="仿宋" w:eastAsia="仿宋" w:cs="仿宋"/>
                <w:color w:val="auto"/>
                <w:sz w:val="24"/>
                <w:szCs w:val="24"/>
                <w:lang w:val="en-US" w:eastAsia="zh-CN"/>
              </w:rPr>
              <w:t>50</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财政事业运行</w:t>
            </w:r>
          </w:p>
        </w:tc>
        <w:tc>
          <w:tcPr>
            <w:tcW w:w="1876" w:type="dxa"/>
            <w:vAlign w:val="center"/>
          </w:tcPr>
          <w:p>
            <w:pPr>
              <w:keepNext w:val="0"/>
              <w:keepLines w:val="0"/>
              <w:widowControl/>
              <w:suppressLineNumbers w:val="0"/>
              <w:spacing w:line="480" w:lineRule="auto"/>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1876"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4.85</w:t>
            </w:r>
          </w:p>
        </w:tc>
        <w:tc>
          <w:tcPr>
            <w:tcW w:w="1684" w:type="dxa"/>
            <w:vAlign w:val="center"/>
          </w:tcPr>
          <w:p>
            <w:pPr>
              <w:keepNext w:val="0"/>
              <w:keepLines w:val="0"/>
              <w:widowControl/>
              <w:suppressLineNumbers w:val="0"/>
              <w:spacing w:line="480" w:lineRule="auto"/>
              <w:ind w:left="0" w:leftChars="0" w:firstLine="0" w:firstLineChars="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4.28</w:t>
            </w:r>
          </w:p>
        </w:tc>
        <w:tc>
          <w:tcPr>
            <w:tcW w:w="1393" w:type="dxa"/>
            <w:vAlign w:val="top"/>
          </w:tcPr>
          <w:p>
            <w:pPr>
              <w:spacing w:line="480" w:lineRule="auto"/>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20504</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成人教育</w:t>
            </w:r>
          </w:p>
        </w:tc>
        <w:tc>
          <w:tcPr>
            <w:tcW w:w="1876"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2050499</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其他成人教育支出</w:t>
            </w:r>
          </w:p>
        </w:tc>
        <w:tc>
          <w:tcPr>
            <w:tcW w:w="1876"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top"/>
          </w:tcPr>
          <w:p>
            <w:pPr>
              <w:spacing w:line="480" w:lineRule="auto"/>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22999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pPr>
              <w:spacing w:line="480" w:lineRule="auto"/>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top"/>
          </w:tcPr>
          <w:p>
            <w:pPr>
              <w:spacing w:line="480" w:lineRule="auto"/>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spacing w:line="480" w:lineRule="auto"/>
              <w:ind w:left="0" w:leftChars="0" w:firstLine="0" w:firstLineChars="0"/>
              <w:jc w:val="center"/>
              <w:rPr>
                <w:rFonts w:hint="eastAsia" w:ascii="仿宋" w:hAnsi="仿宋" w:eastAsia="仿宋" w:cs="仿宋"/>
                <w:color w:val="auto"/>
                <w:sz w:val="24"/>
                <w:szCs w:val="24"/>
              </w:rPr>
            </w:pPr>
          </w:p>
        </w:tc>
      </w:tr>
    </w:tbl>
    <w:p>
      <w:pPr>
        <w:numPr>
          <w:ilvl w:val="0"/>
          <w:numId w:val="3"/>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2"/>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1792.05</w:t>
            </w:r>
          </w:p>
        </w:tc>
        <w:tc>
          <w:tcPr>
            <w:tcW w:w="2071" w:type="dxa"/>
            <w:vAlign w:val="center"/>
          </w:tcPr>
          <w:p>
            <w:pPr>
              <w:keepNext w:val="0"/>
              <w:keepLines w:val="0"/>
              <w:widowControl/>
              <w:suppressLineNumbers w:val="0"/>
              <w:spacing w:line="240" w:lineRule="auto"/>
              <w:ind w:left="0" w:leftChars="0" w:firstLine="0" w:firstLineChars="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2081.19</w:t>
            </w:r>
          </w:p>
        </w:tc>
        <w:tc>
          <w:tcPr>
            <w:tcW w:w="1956"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252.72</w:t>
            </w:r>
          </w:p>
        </w:tc>
        <w:tc>
          <w:tcPr>
            <w:tcW w:w="2071" w:type="dxa"/>
            <w:vAlign w:val="center"/>
          </w:tcPr>
          <w:p>
            <w:pPr>
              <w:keepNext w:val="0"/>
              <w:keepLines w:val="0"/>
              <w:widowControl/>
              <w:suppressLineNumbers w:val="0"/>
              <w:spacing w:line="240" w:lineRule="auto"/>
              <w:ind w:left="0" w:leftChars="0" w:firstLine="0" w:firstLineChars="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425.53</w:t>
            </w:r>
          </w:p>
        </w:tc>
        <w:tc>
          <w:tcPr>
            <w:tcW w:w="1956"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331.21</w:t>
            </w:r>
          </w:p>
        </w:tc>
        <w:tc>
          <w:tcPr>
            <w:tcW w:w="2071" w:type="dxa"/>
            <w:vAlign w:val="center"/>
          </w:tcPr>
          <w:p>
            <w:pPr>
              <w:keepNext w:val="0"/>
              <w:keepLines w:val="0"/>
              <w:widowControl/>
              <w:suppressLineNumbers w:val="0"/>
              <w:spacing w:line="240" w:lineRule="auto"/>
              <w:ind w:left="0" w:leftChars="0" w:firstLine="0" w:firstLineChars="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395.24</w:t>
            </w:r>
          </w:p>
        </w:tc>
        <w:tc>
          <w:tcPr>
            <w:tcW w:w="1956"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401.89</w:t>
            </w:r>
          </w:p>
        </w:tc>
        <w:tc>
          <w:tcPr>
            <w:tcW w:w="2071"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218.41</w:t>
            </w:r>
          </w:p>
        </w:tc>
        <w:tc>
          <w:tcPr>
            <w:tcW w:w="1956"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496.22</w:t>
            </w:r>
          </w:p>
        </w:tc>
        <w:tc>
          <w:tcPr>
            <w:tcW w:w="2071" w:type="dxa"/>
            <w:vAlign w:val="center"/>
          </w:tcPr>
          <w:p>
            <w:pPr>
              <w:keepNext w:val="0"/>
              <w:keepLines w:val="0"/>
              <w:widowControl/>
              <w:suppressLineNumbers w:val="0"/>
              <w:spacing w:line="240" w:lineRule="auto"/>
              <w:ind w:left="0" w:leftChars="0"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722</w:t>
            </w:r>
          </w:p>
        </w:tc>
        <w:tc>
          <w:tcPr>
            <w:tcW w:w="1956" w:type="dxa"/>
            <w:vAlign w:val="center"/>
          </w:tcPr>
          <w:p>
            <w:pPr>
              <w:widowControl/>
              <w:spacing w:line="240" w:lineRule="auto"/>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5"/>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2081.19</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425.98</w:t>
      </w:r>
      <w:r>
        <w:rPr>
          <w:rFonts w:hint="eastAsia" w:ascii="仿宋_GB2312"/>
          <w:color w:val="auto"/>
          <w:szCs w:val="32"/>
        </w:rPr>
        <w:t>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102.92</w:t>
      </w:r>
      <w:r>
        <w:rPr>
          <w:rFonts w:hint="eastAsia" w:ascii="仿宋_GB2312"/>
          <w:color w:val="auto"/>
          <w:szCs w:val="32"/>
        </w:rPr>
        <w:t>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1552.28</w:t>
      </w:r>
      <w:r>
        <w:rPr>
          <w:rFonts w:hint="eastAsia" w:ascii="仿宋_GB2312"/>
          <w:color w:val="auto"/>
          <w:szCs w:val="32"/>
        </w:rPr>
        <w:t>万元</w:t>
      </w:r>
      <w:r>
        <w:rPr>
          <w:rFonts w:hint="eastAsia" w:ascii="仿宋_GB2312"/>
          <w:color w:val="auto"/>
          <w:szCs w:val="32"/>
          <w:lang w:eastAsia="zh-CN"/>
        </w:rPr>
        <w:t>。</w:t>
      </w:r>
    </w:p>
    <w:p>
      <w:pPr>
        <w:pStyle w:val="5"/>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2</w:t>
      </w:r>
      <w:r>
        <w:rPr>
          <w:rFonts w:hint="eastAsia" w:ascii="仿宋_GB2312"/>
          <w:color w:val="auto"/>
          <w:szCs w:val="32"/>
        </w:rPr>
        <w:t>万元，，比上年减少（增加）</w:t>
      </w:r>
      <w:r>
        <w:rPr>
          <w:rFonts w:hint="eastAsia" w:ascii="仿宋_GB2312"/>
          <w:color w:val="auto"/>
          <w:szCs w:val="32"/>
          <w:lang w:val="en-US" w:eastAsia="zh-CN"/>
        </w:rPr>
        <w:t>0</w:t>
      </w:r>
      <w:r>
        <w:rPr>
          <w:rFonts w:hint="eastAsia" w:ascii="仿宋_GB2312"/>
          <w:color w:val="auto"/>
          <w:szCs w:val="32"/>
        </w:rPr>
        <w:t>万元，下降（增长）</w:t>
      </w:r>
      <w:r>
        <w:rPr>
          <w:rFonts w:hint="eastAsia" w:ascii="仿宋_GB2312"/>
          <w:color w:val="auto"/>
          <w:szCs w:val="32"/>
          <w:lang w:val="en-US" w:eastAsia="zh-CN"/>
        </w:rPr>
        <w:t>0</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万元，下降（增长）</w:t>
      </w:r>
      <w:r>
        <w:rPr>
          <w:rFonts w:hint="eastAsia" w:ascii="仿宋_GB2312"/>
          <w:color w:val="auto"/>
          <w:szCs w:val="32"/>
          <w:lang w:val="en-US" w:eastAsia="zh-CN"/>
        </w:rPr>
        <w:t>0</w:t>
      </w:r>
      <w:r>
        <w:rPr>
          <w:rFonts w:hint="eastAsia" w:ascii="仿宋_GB2312"/>
          <w:color w:val="auto"/>
          <w:szCs w:val="32"/>
        </w:rPr>
        <w:t>%；公务用车购置及运行费支出决算</w:t>
      </w:r>
      <w:r>
        <w:rPr>
          <w:rFonts w:hint="eastAsia" w:ascii="仿宋_GB2312"/>
          <w:color w:val="auto"/>
          <w:szCs w:val="32"/>
          <w:lang w:val="en-US" w:eastAsia="zh-CN"/>
        </w:rPr>
        <w:t>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万元，减少（增长）</w:t>
      </w:r>
      <w:r>
        <w:rPr>
          <w:rFonts w:hint="eastAsia" w:ascii="仿宋_GB2312"/>
          <w:color w:val="auto"/>
          <w:szCs w:val="32"/>
          <w:lang w:val="en-US" w:eastAsia="zh-CN"/>
        </w:rPr>
        <w:t>0</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万元，减少（增长）</w:t>
      </w:r>
      <w:r>
        <w:rPr>
          <w:rFonts w:hint="eastAsia" w:ascii="仿宋_GB2312"/>
          <w:color w:val="auto"/>
          <w:szCs w:val="32"/>
          <w:lang w:val="en-US" w:eastAsia="zh-CN"/>
        </w:rPr>
        <w:t>0</w:t>
      </w:r>
      <w:r>
        <w:rPr>
          <w:rFonts w:hint="eastAsia" w:ascii="仿宋_GB2312"/>
          <w:color w:val="auto"/>
          <w:szCs w:val="32"/>
        </w:rPr>
        <w:t>。具体情况如下：</w:t>
      </w:r>
    </w:p>
    <w:p>
      <w:pPr>
        <w:pStyle w:val="10"/>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10"/>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10"/>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因公出国（境）费</w:t>
            </w:r>
          </w:p>
        </w:tc>
        <w:tc>
          <w:tcPr>
            <w:tcW w:w="1701" w:type="dxa"/>
            <w:vAlign w:val="top"/>
          </w:tcPr>
          <w:p>
            <w:pPr>
              <w:pStyle w:val="10"/>
              <w:jc w:val="center"/>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10"/>
              <w:jc w:val="center"/>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center"/>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公务接待费</w:t>
            </w:r>
          </w:p>
        </w:tc>
        <w:tc>
          <w:tcPr>
            <w:tcW w:w="1701" w:type="dxa"/>
            <w:vAlign w:val="top"/>
          </w:tcPr>
          <w:p>
            <w:pPr>
              <w:pStyle w:val="10"/>
              <w:jc w:val="center"/>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10"/>
              <w:jc w:val="center"/>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center"/>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10"/>
              <w:jc w:val="center"/>
              <w:rPr>
                <w:rFonts w:hint="default" w:eastAsia="宋体"/>
                <w:color w:val="auto"/>
                <w:sz w:val="28"/>
                <w:szCs w:val="28"/>
                <w:lang w:val="en-US" w:eastAsia="zh-CN"/>
              </w:rPr>
            </w:pPr>
            <w:r>
              <w:rPr>
                <w:rFonts w:hint="eastAsia" w:eastAsia="宋体"/>
                <w:color w:val="auto"/>
                <w:sz w:val="28"/>
                <w:szCs w:val="28"/>
                <w:lang w:val="en-US" w:eastAsia="zh-CN"/>
              </w:rPr>
              <w:t>2</w:t>
            </w:r>
          </w:p>
        </w:tc>
        <w:tc>
          <w:tcPr>
            <w:tcW w:w="1701" w:type="dxa"/>
            <w:vAlign w:val="top"/>
          </w:tcPr>
          <w:p>
            <w:pPr>
              <w:pStyle w:val="10"/>
              <w:jc w:val="center"/>
              <w:rPr>
                <w:rFonts w:hint="eastAsia" w:eastAsia="仿宋_GB2312"/>
                <w:color w:val="auto"/>
                <w:sz w:val="28"/>
                <w:szCs w:val="28"/>
                <w:lang w:val="en-US" w:eastAsia="zh-CN"/>
              </w:rPr>
            </w:pPr>
            <w:r>
              <w:rPr>
                <w:rFonts w:hint="eastAsia"/>
                <w:color w:val="auto"/>
                <w:sz w:val="28"/>
                <w:szCs w:val="28"/>
                <w:lang w:val="en-US" w:eastAsia="zh-CN"/>
              </w:rPr>
              <w:t>2</w:t>
            </w:r>
          </w:p>
        </w:tc>
        <w:tc>
          <w:tcPr>
            <w:tcW w:w="1418" w:type="dxa"/>
            <w:vAlign w:val="top"/>
          </w:tcPr>
          <w:p>
            <w:pPr>
              <w:pStyle w:val="10"/>
              <w:jc w:val="center"/>
              <w:rPr>
                <w:rFonts w:hint="default" w:eastAsia="宋体"/>
                <w:color w:val="auto"/>
                <w:sz w:val="28"/>
                <w:szCs w:val="28"/>
                <w:lang w:val="en-US" w:eastAsia="zh-CN"/>
              </w:rPr>
            </w:pPr>
            <w:r>
              <w:rPr>
                <w:rFonts w:hint="eastAsia" w:eastAsia="宋体"/>
                <w:color w:val="auto"/>
                <w:sz w:val="28"/>
                <w:szCs w:val="28"/>
                <w:lang w:val="en-US" w:eastAsia="zh-CN"/>
              </w:rPr>
              <w:t>0</w:t>
            </w:r>
          </w:p>
        </w:tc>
      </w:tr>
    </w:tbl>
    <w:p>
      <w:pPr>
        <w:pStyle w:val="10"/>
        <w:spacing w:before="0" w:beforeAutospacing="0" w:after="0" w:afterAutospacing="0"/>
        <w:rPr>
          <w:rFonts w:hint="eastAsia"/>
          <w:b/>
          <w:color w:val="auto"/>
          <w:szCs w:val="32"/>
        </w:rPr>
      </w:pPr>
    </w:p>
    <w:p>
      <w:pPr>
        <w:pStyle w:val="5"/>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102.92</w:t>
      </w:r>
      <w:r>
        <w:rPr>
          <w:rFonts w:hint="eastAsia" w:ascii="仿宋_GB2312" w:hAnsi="宋体"/>
          <w:color w:val="auto"/>
          <w:szCs w:val="32"/>
        </w:rPr>
        <w:t>万元（与部门决算中行政单位和参照公务员法管理的事业单位一般公共预算财政拨款基本支出中公用经费之和保持一致），比20</w:t>
      </w:r>
      <w:r>
        <w:rPr>
          <w:rFonts w:hint="eastAsia" w:ascii="仿宋_GB2312" w:hAnsi="宋体"/>
          <w:color w:val="auto"/>
          <w:szCs w:val="32"/>
          <w:lang w:val="en-US" w:eastAsia="zh-CN"/>
        </w:rPr>
        <w:t>20</w:t>
      </w:r>
      <w:r>
        <w:rPr>
          <w:rFonts w:hint="eastAsia" w:ascii="仿宋_GB2312" w:hAnsi="宋体"/>
          <w:color w:val="auto"/>
          <w:szCs w:val="32"/>
        </w:rPr>
        <w:t>年增加</w:t>
      </w:r>
      <w:r>
        <w:rPr>
          <w:rFonts w:hint="eastAsia" w:ascii="仿宋_GB2312" w:hAnsi="宋体"/>
          <w:color w:val="auto"/>
          <w:szCs w:val="32"/>
          <w:lang w:val="en-US" w:eastAsia="zh-CN"/>
        </w:rPr>
        <w:t>1.95</w:t>
      </w:r>
      <w:r>
        <w:rPr>
          <w:rFonts w:hint="eastAsia" w:ascii="仿宋_GB2312" w:hAnsi="宋体"/>
          <w:color w:val="auto"/>
          <w:szCs w:val="32"/>
        </w:rPr>
        <w:t>万元，增长</w:t>
      </w:r>
      <w:r>
        <w:rPr>
          <w:rFonts w:hint="eastAsia" w:ascii="仿宋_GB2312" w:hAnsi="宋体"/>
          <w:color w:val="auto"/>
          <w:szCs w:val="32"/>
          <w:lang w:val="en-US" w:eastAsia="zh-CN"/>
        </w:rPr>
        <w:t>1.89</w:t>
      </w:r>
      <w:r>
        <w:rPr>
          <w:rFonts w:hint="eastAsia" w:ascii="仿宋_GB2312" w:hAnsi="宋体"/>
          <w:color w:val="auto"/>
          <w:szCs w:val="32"/>
        </w:rPr>
        <w:t>%。主要原因是：</w:t>
      </w:r>
      <w:r>
        <w:rPr>
          <w:rFonts w:hint="eastAsia" w:ascii="仿宋_GB2312" w:hAnsi="宋体"/>
          <w:color w:val="auto"/>
          <w:szCs w:val="32"/>
          <w:lang w:val="en-US" w:eastAsia="zh-CN"/>
        </w:rPr>
        <w:t>人员增加</w:t>
      </w:r>
      <w:r>
        <w:rPr>
          <w:rFonts w:hint="eastAsia" w:ascii="仿宋_GB2312" w:hAnsi="宋体"/>
          <w:color w:val="auto"/>
          <w:szCs w:val="32"/>
        </w:rPr>
        <w:t>。</w:t>
      </w:r>
      <w:bookmarkStart w:id="31" w:name="_GoBack"/>
      <w:bookmarkEnd w:id="31"/>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17.09</w:t>
      </w:r>
      <w:r>
        <w:rPr>
          <w:rFonts w:hint="eastAsia" w:ascii="仿宋_GB2312"/>
          <w:color w:val="auto"/>
          <w:szCs w:val="32"/>
        </w:rPr>
        <w:t>万元，其中：政府采购货物支出</w:t>
      </w:r>
      <w:r>
        <w:rPr>
          <w:rFonts w:hint="eastAsia" w:ascii="仿宋_GB2312"/>
          <w:color w:val="auto"/>
          <w:szCs w:val="32"/>
          <w:lang w:val="en-US" w:eastAsia="zh-CN"/>
        </w:rPr>
        <w:t>17.09</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4</w:t>
      </w:r>
      <w:r>
        <w:rPr>
          <w:rFonts w:hint="eastAsia" w:ascii="仿宋_GB2312"/>
          <w:color w:val="auto"/>
          <w:szCs w:val="32"/>
        </w:rPr>
        <w:t>辆。其中，副部（省）级及以上领导用车</w:t>
      </w:r>
      <w:r>
        <w:rPr>
          <w:rFonts w:hint="eastAsia" w:ascii="仿宋_GB2312"/>
          <w:color w:val="auto"/>
          <w:szCs w:val="32"/>
          <w:lang w:val="en-US" w:eastAsia="zh-CN"/>
        </w:rPr>
        <w:t>0</w:t>
      </w:r>
      <w:r>
        <w:rPr>
          <w:rFonts w:hint="eastAsia" w:ascii="仿宋_GB2312"/>
          <w:color w:val="auto"/>
          <w:szCs w:val="32"/>
        </w:rPr>
        <w:t>辆、主要领导干部用车</w:t>
      </w:r>
      <w:r>
        <w:rPr>
          <w:rFonts w:hint="eastAsia" w:ascii="仿宋_GB2312"/>
          <w:color w:val="auto"/>
          <w:szCs w:val="32"/>
          <w:lang w:val="en-US" w:eastAsia="zh-CN"/>
        </w:rPr>
        <w:t>0</w:t>
      </w:r>
      <w:r>
        <w:rPr>
          <w:rFonts w:hint="eastAsia" w:ascii="仿宋_GB2312"/>
          <w:color w:val="auto"/>
          <w:szCs w:val="32"/>
        </w:rPr>
        <w:t>辆、机要通信用车</w:t>
      </w:r>
      <w:r>
        <w:rPr>
          <w:rFonts w:hint="eastAsia" w:ascii="仿宋_GB2312"/>
          <w:color w:val="auto"/>
          <w:szCs w:val="32"/>
          <w:lang w:val="en-US" w:eastAsia="zh-CN"/>
        </w:rPr>
        <w:t>1</w:t>
      </w:r>
      <w:r>
        <w:rPr>
          <w:rFonts w:hint="eastAsia" w:ascii="仿宋_GB2312"/>
          <w:color w:val="auto"/>
          <w:szCs w:val="32"/>
        </w:rPr>
        <w:t>辆、应急保障用车</w:t>
      </w:r>
      <w:r>
        <w:rPr>
          <w:rFonts w:hint="eastAsia" w:ascii="仿宋_GB2312"/>
          <w:color w:val="auto"/>
          <w:szCs w:val="32"/>
          <w:lang w:val="en-US" w:eastAsia="zh-CN"/>
        </w:rPr>
        <w:t>2</w:t>
      </w:r>
      <w:r>
        <w:rPr>
          <w:rFonts w:hint="eastAsia" w:ascii="仿宋_GB2312"/>
          <w:color w:val="auto"/>
          <w:szCs w:val="32"/>
        </w:rPr>
        <w:t>辆、执法执勤用车</w:t>
      </w:r>
      <w:r>
        <w:rPr>
          <w:rFonts w:hint="eastAsia" w:ascii="仿宋_GB2312"/>
          <w:color w:val="auto"/>
          <w:szCs w:val="32"/>
          <w:lang w:val="en-US" w:eastAsia="zh-CN"/>
        </w:rPr>
        <w:t>1</w:t>
      </w:r>
      <w:r>
        <w:rPr>
          <w:rFonts w:hint="eastAsia" w:ascii="仿宋_GB2312"/>
          <w:color w:val="auto"/>
          <w:szCs w:val="32"/>
        </w:rPr>
        <w:t>辆、特种专业技术用车</w:t>
      </w:r>
      <w:r>
        <w:rPr>
          <w:rFonts w:hint="eastAsia" w:ascii="仿宋_GB2312"/>
          <w:color w:val="auto"/>
          <w:szCs w:val="32"/>
          <w:lang w:val="en-US" w:eastAsia="zh-CN"/>
        </w:rPr>
        <w:t>0</w:t>
      </w:r>
      <w:r>
        <w:rPr>
          <w:rFonts w:hint="eastAsia" w:ascii="仿宋_GB2312"/>
          <w:color w:val="auto"/>
          <w:szCs w:val="32"/>
        </w:rPr>
        <w:t>辆、离退休干部用车</w:t>
      </w:r>
      <w:r>
        <w:rPr>
          <w:rFonts w:hint="eastAsia" w:ascii="仿宋_GB2312"/>
          <w:color w:val="auto"/>
          <w:szCs w:val="32"/>
          <w:lang w:val="en-US" w:eastAsia="zh-CN"/>
        </w:rPr>
        <w:t>0</w:t>
      </w:r>
      <w:r>
        <w:rPr>
          <w:rFonts w:hint="eastAsia" w:ascii="仿宋_GB2312"/>
          <w:color w:val="auto"/>
          <w:szCs w:val="32"/>
        </w:rPr>
        <w:t>辆、其他用车</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pStyle w:val="4"/>
        <w:ind w:left="0" w:leftChars="0" w:firstLine="0" w:firstLineChars="0"/>
        <w:jc w:val="center"/>
        <w:rPr>
          <w:rFonts w:hint="eastAsia"/>
          <w:b/>
          <w:color w:val="auto"/>
          <w:sz w:val="36"/>
          <w:szCs w:val="36"/>
          <w:lang w:val="en-US" w:eastAsia="zh-CN"/>
        </w:rPr>
      </w:pPr>
      <w:bookmarkStart w:id="30" w:name="_Toc8545"/>
      <w:r>
        <w:rPr>
          <w:rFonts w:hint="eastAsia"/>
          <w:b/>
          <w:color w:val="auto"/>
          <w:sz w:val="36"/>
          <w:szCs w:val="36"/>
          <w:lang w:val="en-US" w:eastAsia="zh-CN"/>
        </w:rPr>
        <w:t>第四部分  名词解释</w:t>
      </w:r>
      <w:bookmarkEnd w:id="30"/>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单位名称：静乐县辛村乡人民政府</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0BB1"/>
    <w:multiLevelType w:val="singleLevel"/>
    <w:tmpl w:val="04BE0BB1"/>
    <w:lvl w:ilvl="0" w:tentative="0">
      <w:start w:val="1"/>
      <w:numFmt w:val="chineseCounting"/>
      <w:suff w:val="nothing"/>
      <w:lvlText w:val="（%1）"/>
      <w:lvlJc w:val="left"/>
      <w:rPr>
        <w:rFonts w:hint="eastAsia"/>
      </w:rPr>
    </w:lvl>
  </w:abstractNum>
  <w:abstractNum w:abstractNumId="1">
    <w:nsid w:val="171F23A6"/>
    <w:multiLevelType w:val="singleLevel"/>
    <w:tmpl w:val="171F23A6"/>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NjY3ZjQ4ZGFjYjNjMjNlYmVlZGM0OTRjNGE3OTQifQ=="/>
  </w:docVars>
  <w:rsids>
    <w:rsidRoot w:val="495520D0"/>
    <w:rsid w:val="03696819"/>
    <w:rsid w:val="16654CDD"/>
    <w:rsid w:val="1A4A5C33"/>
    <w:rsid w:val="2701594C"/>
    <w:rsid w:val="27426717"/>
    <w:rsid w:val="2C646B95"/>
    <w:rsid w:val="37943B50"/>
    <w:rsid w:val="3821117E"/>
    <w:rsid w:val="3C7A05B8"/>
    <w:rsid w:val="42B57D7B"/>
    <w:rsid w:val="42C12CEC"/>
    <w:rsid w:val="44401A62"/>
    <w:rsid w:val="495520D0"/>
    <w:rsid w:val="4A012068"/>
    <w:rsid w:val="4CC72AFC"/>
    <w:rsid w:val="53A30631"/>
    <w:rsid w:val="56605CBF"/>
    <w:rsid w:val="5A2B7248"/>
    <w:rsid w:val="5EC01F6A"/>
    <w:rsid w:val="605604A0"/>
    <w:rsid w:val="63AB51DF"/>
    <w:rsid w:val="649C6DC9"/>
    <w:rsid w:val="715A78E4"/>
    <w:rsid w:val="7761744D"/>
    <w:rsid w:val="79DA3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uiPriority w:val="0"/>
  </w:style>
  <w:style w:type="paragraph" w:styleId="9">
    <w:name w:val="toc 2"/>
    <w:basedOn w:val="1"/>
    <w:next w:val="1"/>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6441</Words>
  <Characters>6975</Characters>
  <Lines>0</Lines>
  <Paragraphs>0</Paragraphs>
  <ScaleCrop>false</ScaleCrop>
  <LinksUpToDate>false</LinksUpToDate>
  <CharactersWithSpaces>7063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2022-07-29T09:23:11Z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C35AB2025741416CA3309BD521287C63</vt:lpwstr>
  </property>
</Properties>
</file>