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为了保障义务教育阶段学校正常运转，完成教育教学活动，改善学校办学环境，现下达2021年中小学税费改革资金共计：415000元。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2021年中小学税费改革资金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为加快预算执行进度，提高预算编制的完整性，保证学校正常运转，下达2021年中小学税费改革资金。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严格执行《城乡义务教育补助经费管理办法》（财教【2019】121号）和《山西省财政厅、山西省教育厅关于进一步加强义务教育学校公用经费管理的通知》及相关财务管理制度，切实加强公用经费的管理。确保资金规范使用，提高资金使用效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教育部门落实经费管理的主体责任，切实加强区域内公用经费的统筹安排和使用，根据本校实际情况使用本资金。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41.5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为加快预算执行进度，提高预算编制的完整性，保证学校正常运转，下达2021年中小学税费改革资金。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教育部门落实经费管理的主体责任，切实加强区域内公用经费的统筹安排和使用，根据本校实际情况使用本资金。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99.74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执行标准 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资金拨付及时性（%）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41.5万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41.5万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保证学校教育教学活动和其他日常工作正常运转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12.83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学生人数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37人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执行标准 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资金拨付及时性（%）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税改资金控制额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41.5万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41.5万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保证学校教育教学活动和其他日常工作正常运转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教师满意度（%）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12.83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12.86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12.73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满意度有待提高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