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38" w:leftChars="137" w:firstLine="442" w:firstLineChars="100"/>
        <w:jc w:val="center"/>
        <w:rPr>
          <w:rFonts w:hint="eastAsia" w:ascii="华文中宋" w:hAnsi="华文中宋" w:eastAsia="华文中宋"/>
          <w:color w:val="auto"/>
          <w:sz w:val="44"/>
          <w:szCs w:val="44"/>
          <w:lang w:val="en-US"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静乐县医疗保障局</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textAlignment w:val="auto"/>
        <w:rPr>
          <w:rFonts w:hint="eastAsia" w:ascii="仿宋_GB2312" w:hAnsi="楷体"/>
          <w:color w:val="auto"/>
          <w:szCs w:val="32"/>
        </w:rPr>
      </w:pPr>
      <w:r>
        <w:rPr>
          <w:rFonts w:hint="eastAsia" w:ascii="仿宋_GB2312" w:eastAsia="仿宋_GB2312"/>
          <w:color w:val="auto"/>
          <w:sz w:val="32"/>
          <w:szCs w:val="32"/>
          <w:lang w:eastAsia="zh-CN"/>
        </w:rPr>
        <w:t>拟订全县医疗保险、生育保险、医疗救助等医疗保障制度的政策、规划和标准并组织实施；</w:t>
      </w:r>
      <w:r>
        <w:rPr>
          <w:rFonts w:hint="eastAsia" w:ascii="仿宋_GB2312" w:eastAsia="仿宋_GB2312"/>
          <w:color w:val="auto"/>
          <w:sz w:val="32"/>
          <w:szCs w:val="32"/>
          <w:lang w:val="en-US" w:eastAsia="zh-CN"/>
        </w:rPr>
        <w:t>组织制定并实施全县医疗保障基金监督管理办法，建立健全医疗保障基金安全防控机制，推进医疗保障基金支付方式改革；宏观上组织实施医保的各项工作，完成县委、县政府交办的其他任务。</w:t>
      </w:r>
    </w:p>
    <w:p>
      <w:pPr>
        <w:pStyle w:val="3"/>
        <w:numPr>
          <w:ilvl w:val="0"/>
          <w:numId w:val="1"/>
        </w:numPr>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numPr>
          <w:ilvl w:val="0"/>
          <w:numId w:val="0"/>
        </w:numPr>
        <w:ind w:firstLine="640" w:firstLineChars="200"/>
        <w:rPr>
          <w:rFonts w:hint="eastAsia"/>
          <w:b/>
          <w:bCs/>
          <w:sz w:val="32"/>
          <w:szCs w:val="32"/>
          <w:lang w:val="en-US" w:eastAsia="zh-CN"/>
        </w:rPr>
      </w:pPr>
      <w:r>
        <w:rPr>
          <w:rFonts w:hint="eastAsia" w:ascii="仿宋_GB2312" w:eastAsia="仿宋_GB2312"/>
          <w:color w:val="auto"/>
          <w:sz w:val="32"/>
          <w:szCs w:val="32"/>
          <w:lang w:eastAsia="zh-CN"/>
        </w:rPr>
        <w:t>静</w:t>
      </w:r>
      <w:r>
        <w:rPr>
          <w:rFonts w:ascii="仿宋_GB2312" w:hAnsi="仿宋_GB2312" w:eastAsia="仿宋_GB2312"/>
          <w:color w:val="auto"/>
          <w:sz w:val="32"/>
          <w:szCs w:val="32"/>
        </w:rPr>
        <w:t>乐县</w:t>
      </w:r>
      <w:r>
        <w:rPr>
          <w:rFonts w:hint="eastAsia" w:ascii="仿宋_GB2312" w:hAnsi="仿宋_GB2312" w:eastAsia="仿宋_GB2312"/>
          <w:color w:val="auto"/>
          <w:sz w:val="32"/>
          <w:szCs w:val="32"/>
          <w:lang w:val="en-US" w:eastAsia="zh-CN"/>
        </w:rPr>
        <w:t>医疗保障局</w:t>
      </w:r>
      <w:r>
        <w:rPr>
          <w:rFonts w:ascii="仿宋_GB2312" w:hAnsi="仿宋_GB2312" w:eastAsia="仿宋_GB2312"/>
          <w:color w:val="auto"/>
          <w:sz w:val="32"/>
          <w:szCs w:val="32"/>
        </w:rPr>
        <w:t>内设</w:t>
      </w:r>
      <w:r>
        <w:rPr>
          <w:rFonts w:hint="eastAsia" w:ascii="仿宋_GB2312" w:hAnsi="仿宋_GB2312" w:eastAsia="仿宋_GB2312"/>
          <w:color w:val="auto"/>
          <w:sz w:val="32"/>
          <w:szCs w:val="32"/>
        </w:rPr>
        <w:t>综合办公室</w:t>
      </w:r>
      <w:r>
        <w:rPr>
          <w:rFonts w:hint="eastAsia" w:ascii="仿宋_GB2312" w:hAnsi="仿宋_GB2312" w:eastAsia="仿宋_GB2312"/>
          <w:color w:val="auto"/>
          <w:sz w:val="32"/>
          <w:szCs w:val="32"/>
          <w:lang w:eastAsia="zh-CN"/>
        </w:rPr>
        <w:t>、</w:t>
      </w:r>
      <w:r>
        <w:rPr>
          <w:rFonts w:hint="eastAsia" w:ascii="仿宋_GB2312" w:hAnsi="仿宋_GB2312"/>
          <w:color w:val="auto"/>
          <w:sz w:val="32"/>
          <w:szCs w:val="32"/>
          <w:lang w:val="en-US" w:eastAsia="zh-CN"/>
        </w:rPr>
        <w:t>财务室</w:t>
      </w:r>
      <w:r>
        <w:rPr>
          <w:rFonts w:ascii="仿宋_GB2312" w:hAnsi="仿宋_GB2312" w:eastAsia="仿宋_GB2312"/>
          <w:color w:val="auto"/>
          <w:sz w:val="32"/>
          <w:szCs w:val="32"/>
        </w:rPr>
        <w:t>；人员编制</w:t>
      </w:r>
      <w:r>
        <w:rPr>
          <w:rFonts w:hint="eastAsia" w:ascii="仿宋_GB2312" w:hAnsi="仿宋_GB2312" w:eastAsia="仿宋_GB2312"/>
          <w:color w:val="auto"/>
          <w:sz w:val="32"/>
          <w:szCs w:val="32"/>
          <w:lang w:val="en-US" w:eastAsia="zh-CN"/>
        </w:rPr>
        <w:t>6</w:t>
      </w:r>
      <w:r>
        <w:rPr>
          <w:rFonts w:ascii="仿宋_GB2312" w:hAnsi="仿宋_GB2312" w:eastAsia="仿宋_GB2312"/>
          <w:color w:val="auto"/>
          <w:sz w:val="32"/>
          <w:szCs w:val="32"/>
        </w:rPr>
        <w:t>人，实有人数</w:t>
      </w:r>
      <w:r>
        <w:rPr>
          <w:rFonts w:hint="eastAsia" w:ascii="仿宋_GB2312" w:hAnsi="仿宋_GB2312"/>
          <w:color w:val="auto"/>
          <w:sz w:val="32"/>
          <w:szCs w:val="32"/>
          <w:lang w:val="en-US" w:eastAsia="zh-CN"/>
        </w:rPr>
        <w:t>5</w:t>
      </w:r>
      <w:r>
        <w:rPr>
          <w:rFonts w:ascii="仿宋_GB2312" w:hAnsi="仿宋_GB2312" w:eastAsia="仿宋_GB2312"/>
          <w:color w:val="auto"/>
          <w:sz w:val="32"/>
          <w:szCs w:val="32"/>
        </w:rPr>
        <w:t>人。</w:t>
      </w:r>
    </w:p>
    <w:p>
      <w:pPr>
        <w:numPr>
          <w:ilvl w:val="0"/>
          <w:numId w:val="0"/>
        </w:numPr>
        <w:rPr>
          <w:rFonts w:hint="eastAsia"/>
        </w:rPr>
      </w:pP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65.26</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74.26</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w:t>
      </w:r>
      <w:r>
        <w:rPr>
          <w:rFonts w:hint="eastAsia" w:ascii="仿宋_GB2312"/>
          <w:color w:val="000000" w:themeColor="text1"/>
          <w:szCs w:val="32"/>
          <w:lang w:val="en-US" w:eastAsia="zh-CN"/>
          <w14:textFill>
            <w14:solidFill>
              <w14:schemeClr w14:val="tx1"/>
            </w14:solidFill>
          </w14:textFill>
        </w:rPr>
        <w:t>增长0.0032</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增长0.049</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val="en-US" w:eastAsia="zh-CN"/>
          <w14:textFill>
            <w14:solidFill>
              <w14:schemeClr w14:val="tx1"/>
            </w14:solidFill>
          </w14:textFill>
        </w:rPr>
        <w:t>增长18.22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增长32.52</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新招录两名公务员</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本年收入合计</w:t>
      </w:r>
      <w:r>
        <w:rPr>
          <w:rFonts w:hint="eastAsia" w:ascii="仿宋_GB2312"/>
          <w:szCs w:val="32"/>
          <w:lang w:val="en-US" w:eastAsia="zh-CN"/>
        </w:rPr>
        <w:t>65.26</w:t>
      </w:r>
      <w:r>
        <w:rPr>
          <w:rFonts w:hint="eastAsia" w:ascii="仿宋_GB2312"/>
          <w:szCs w:val="32"/>
        </w:rPr>
        <w:t>万元，其中：财政拨款收入</w:t>
      </w:r>
      <w:r>
        <w:rPr>
          <w:rFonts w:hint="eastAsia" w:ascii="仿宋_GB2312"/>
          <w:szCs w:val="32"/>
          <w:lang w:val="en-US" w:eastAsia="zh-CN"/>
        </w:rPr>
        <w:t>65.26</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74.26</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52.46</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70.64</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21.80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29.36</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65.26</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74.26</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w:t>
      </w:r>
      <w:r>
        <w:rPr>
          <w:rFonts w:hint="eastAsia" w:ascii="仿宋_GB2312"/>
          <w:color w:val="000000" w:themeColor="text1"/>
          <w:szCs w:val="32"/>
          <w:lang w:val="en-US" w:eastAsia="zh-CN"/>
          <w14:textFill>
            <w14:solidFill>
              <w14:schemeClr w14:val="tx1"/>
            </w14:solidFill>
          </w14:textFill>
        </w:rPr>
        <w:t>增长0.0032</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增长0.049</w:t>
      </w:r>
      <w:r>
        <w:rPr>
          <w:rFonts w:hint="eastAsia" w:ascii="仿宋_GB2312"/>
          <w:color w:val="000000" w:themeColor="text1"/>
          <w:szCs w:val="32"/>
          <w14:textFill>
            <w14:solidFill>
              <w14:schemeClr w14:val="tx1"/>
            </w14:solidFill>
          </w14:textFill>
        </w:rPr>
        <w:t>%，财政拨款支出总计</w:t>
      </w:r>
      <w:r>
        <w:rPr>
          <w:rFonts w:hint="eastAsia" w:ascii="仿宋_GB2312"/>
          <w:color w:val="000000" w:themeColor="text1"/>
          <w:szCs w:val="32"/>
          <w:lang w:val="en-US" w:eastAsia="zh-CN"/>
          <w14:textFill>
            <w14:solidFill>
              <w14:schemeClr w14:val="tx1"/>
            </w14:solidFill>
          </w14:textFill>
        </w:rPr>
        <w:t>增长18.22</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增长32.52</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新招录两名公务员</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74.26</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w:t>
      </w:r>
      <w:r>
        <w:rPr>
          <w:rFonts w:hint="eastAsia" w:ascii="仿宋_GB2312"/>
          <w:color w:val="000000" w:themeColor="text1"/>
          <w:szCs w:val="32"/>
          <w:lang w:val="en-US" w:eastAsia="zh-CN"/>
          <w14:textFill>
            <w14:solidFill>
              <w14:schemeClr w14:val="tx1"/>
            </w14:solidFill>
          </w14:textFill>
        </w:rPr>
        <w:t>增加18.22</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增长32.52</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新招录两名公务员</w:t>
      </w:r>
      <w:r>
        <w:rPr>
          <w:rFonts w:hint="eastAsia" w:ascii="仿宋_GB2312"/>
          <w:color w:val="000000" w:themeColor="text1"/>
          <w:szCs w:val="32"/>
          <w14:textFill>
            <w14:solidFill>
              <w14:schemeClr w14:val="tx1"/>
            </w14:solidFill>
          </w14:textFill>
        </w:rPr>
        <w:t>。其中，</w:t>
      </w:r>
      <w:r>
        <w:rPr>
          <w:rFonts w:hint="eastAsia" w:ascii="仿宋_GB2312"/>
          <w:color w:val="000000" w:themeColor="text1"/>
          <w:szCs w:val="32"/>
          <w:lang w:val="en-US" w:eastAsia="zh-CN"/>
          <w14:textFill>
            <w14:solidFill>
              <w14:schemeClr w14:val="tx1"/>
            </w14:solidFill>
          </w14:textFill>
        </w:rPr>
        <w:t>政府性基金预算支出0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74.26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color w:val="000000" w:themeColor="text1"/>
          <w:szCs w:val="32"/>
          <w14:textFill>
            <w14:solidFill>
              <w14:schemeClr w14:val="tx1"/>
            </w14:solidFill>
          </w14:textFill>
        </w:rPr>
        <w:t>卫生</w:t>
      </w:r>
      <w:r>
        <w:rPr>
          <w:rFonts w:ascii="仿宋_GB2312"/>
          <w:color w:val="000000" w:themeColor="text1"/>
          <w:szCs w:val="32"/>
          <w14:textFill>
            <w14:solidFill>
              <w14:schemeClr w14:val="tx1"/>
            </w14:solidFill>
          </w14:textFill>
        </w:rPr>
        <w:t>健康（</w:t>
      </w:r>
      <w:r>
        <w:rPr>
          <w:rFonts w:hint="eastAsia" w:ascii="仿宋_GB2312"/>
          <w:color w:val="000000" w:themeColor="text1"/>
          <w:szCs w:val="32"/>
          <w14:textFill>
            <w14:solidFill>
              <w14:schemeClr w14:val="tx1"/>
            </w14:solidFill>
          </w14:textFill>
        </w:rPr>
        <w:t>类</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74.26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65.26</w:t>
      </w:r>
      <w:r>
        <w:rPr>
          <w:rFonts w:hint="eastAsia"/>
          <w:color w:val="000000" w:themeColor="text1"/>
          <w:szCs w:val="32"/>
          <w14:textFill>
            <w14:solidFill>
              <w14:schemeClr w14:val="tx1"/>
            </w14:solidFill>
          </w14:textFill>
        </w:rPr>
        <w:t>万元，支出决算</w:t>
      </w:r>
      <w:r>
        <w:rPr>
          <w:rFonts w:hint="eastAsia"/>
          <w:color w:val="000000" w:themeColor="text1"/>
          <w:szCs w:val="32"/>
          <w:lang w:val="en-US" w:eastAsia="zh-CN"/>
          <w14:textFill>
            <w14:solidFill>
              <w14:schemeClr w14:val="tx1"/>
            </w14:solidFill>
          </w14:textFill>
        </w:rPr>
        <w:t>65.26</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100</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center"/>
          </w:tcPr>
          <w:p>
            <w:pPr>
              <w:ind w:firstLine="440" w:firstLineChars="200"/>
              <w:jc w:val="both"/>
              <w:rPr>
                <w:rFonts w:hint="eastAsia" w:ascii="宋体" w:hAnsi="宋体" w:eastAsia="宋体" w:cs="宋体"/>
                <w:color w:val="000000" w:themeColor="text1"/>
                <w:kern w:val="2"/>
                <w:sz w:val="22"/>
                <w:szCs w:val="22"/>
                <w:lang w:val="en-US" w:eastAsia="zh-CN" w:bidi="ar-SA"/>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卫生健康支出</w:t>
            </w:r>
          </w:p>
        </w:tc>
        <w:tc>
          <w:tcPr>
            <w:tcW w:w="1876" w:type="dxa"/>
            <w:vAlign w:val="center"/>
          </w:tcPr>
          <w:p>
            <w:pPr>
              <w:ind w:firstLine="440" w:firstLineChars="200"/>
              <w:jc w:val="both"/>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sz w:val="22"/>
                <w:szCs w:val="22"/>
                <w:lang w:val="en-US" w:eastAsia="zh-CN"/>
              </w:rPr>
              <w:t>56.03</w:t>
            </w:r>
          </w:p>
        </w:tc>
        <w:tc>
          <w:tcPr>
            <w:tcW w:w="1684" w:type="dxa"/>
            <w:vAlign w:val="center"/>
          </w:tcPr>
          <w:p>
            <w:pPr>
              <w:ind w:firstLine="440" w:firstLineChars="200"/>
              <w:jc w:val="both"/>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61.46</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1015</w:t>
            </w:r>
          </w:p>
        </w:tc>
        <w:tc>
          <w:tcPr>
            <w:tcW w:w="2479" w:type="dxa"/>
            <w:vAlign w:val="center"/>
          </w:tcPr>
          <w:p>
            <w:pPr>
              <w:ind w:firstLine="440" w:firstLineChars="200"/>
              <w:jc w:val="both"/>
              <w:rPr>
                <w:rFonts w:hint="eastAsia" w:ascii="宋体" w:hAnsi="宋体" w:eastAsia="宋体" w:cs="宋体"/>
                <w:color w:val="000000" w:themeColor="text1"/>
                <w:kern w:val="2"/>
                <w:sz w:val="22"/>
                <w:szCs w:val="22"/>
                <w:lang w:val="en-US" w:eastAsia="zh-CN" w:bidi="ar-SA"/>
                <w14:textFill>
                  <w14:solidFill>
                    <w14:schemeClr w14:val="tx1"/>
                  </w14:solidFill>
                </w14:textFill>
              </w:rPr>
            </w:pPr>
            <w:r>
              <w:rPr>
                <w:rFonts w:hint="eastAsia" w:ascii="宋体" w:hAnsi="宋体" w:eastAsia="宋体" w:cs="宋体"/>
                <w:color w:val="000000" w:themeColor="text1"/>
                <w:sz w:val="22"/>
                <w:szCs w:val="22"/>
                <w:lang w:eastAsia="zh-CN"/>
                <w14:textFill>
                  <w14:solidFill>
                    <w14:schemeClr w14:val="tx1"/>
                  </w14:solidFill>
                </w14:textFill>
              </w:rPr>
              <w:t>医疗保障管理事务</w:t>
            </w:r>
          </w:p>
        </w:tc>
        <w:tc>
          <w:tcPr>
            <w:tcW w:w="1876" w:type="dxa"/>
            <w:vAlign w:val="center"/>
          </w:tcPr>
          <w:p>
            <w:pPr>
              <w:ind w:firstLine="440" w:firstLineChars="200"/>
              <w:jc w:val="both"/>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sz w:val="22"/>
                <w:szCs w:val="22"/>
                <w:lang w:val="en-US" w:eastAsia="zh-CN"/>
              </w:rPr>
              <w:t>56.03</w:t>
            </w:r>
          </w:p>
        </w:tc>
        <w:tc>
          <w:tcPr>
            <w:tcW w:w="1684" w:type="dxa"/>
            <w:vAlign w:val="center"/>
          </w:tcPr>
          <w:p>
            <w:pPr>
              <w:ind w:firstLine="440" w:firstLineChars="200"/>
              <w:jc w:val="both"/>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61.46</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101501</w:t>
            </w:r>
          </w:p>
        </w:tc>
        <w:tc>
          <w:tcPr>
            <w:tcW w:w="2479" w:type="dxa"/>
            <w:vAlign w:val="center"/>
          </w:tcPr>
          <w:p>
            <w:pPr>
              <w:ind w:firstLine="440" w:firstLineChars="200"/>
              <w:jc w:val="both"/>
              <w:rPr>
                <w:rFonts w:hint="eastAsia" w:ascii="宋体" w:hAnsi="宋体" w:eastAsia="宋体" w:cs="宋体"/>
                <w:color w:val="000000" w:themeColor="text1"/>
                <w:kern w:val="2"/>
                <w:sz w:val="22"/>
                <w:szCs w:val="22"/>
                <w:lang w:val="en-US" w:eastAsia="zh-CN" w:bidi="ar-SA"/>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行政运行</w:t>
            </w:r>
          </w:p>
        </w:tc>
        <w:tc>
          <w:tcPr>
            <w:tcW w:w="1876" w:type="dxa"/>
            <w:vAlign w:val="center"/>
          </w:tcPr>
          <w:p>
            <w:pPr>
              <w:ind w:firstLine="440" w:firstLineChars="200"/>
              <w:jc w:val="both"/>
              <w:rPr>
                <w:rFonts w:hint="eastAsia" w:ascii="宋体" w:hAnsi="宋体" w:eastAsia="宋体" w:cs="宋体"/>
                <w:color w:val="000000"/>
                <w:kern w:val="2"/>
                <w:sz w:val="22"/>
                <w:szCs w:val="22"/>
                <w:lang w:val="en-US" w:eastAsia="zh-CN" w:bidi="ar-SA"/>
              </w:rPr>
            </w:pPr>
            <w:r>
              <w:rPr>
                <w:rFonts w:hint="eastAsia" w:ascii="宋体" w:hAnsi="宋体" w:eastAsia="宋体" w:cs="宋体"/>
                <w:color w:val="000000"/>
                <w:sz w:val="22"/>
                <w:szCs w:val="22"/>
                <w:lang w:val="en-US" w:eastAsia="zh-CN"/>
              </w:rPr>
              <w:t>56.03</w:t>
            </w:r>
          </w:p>
        </w:tc>
        <w:tc>
          <w:tcPr>
            <w:tcW w:w="1684" w:type="dxa"/>
            <w:vAlign w:val="center"/>
          </w:tcPr>
          <w:p>
            <w:pPr>
              <w:ind w:firstLine="440" w:firstLineChars="200"/>
              <w:jc w:val="both"/>
              <w:rPr>
                <w:rFonts w:hint="default" w:ascii="仿宋" w:hAnsi="仿宋" w:eastAsia="仿宋" w:cs="仿宋"/>
                <w:color w:val="000000"/>
                <w:sz w:val="24"/>
                <w:szCs w:val="24"/>
                <w:lang w:val="en-US" w:eastAsia="zh-CN"/>
              </w:rPr>
            </w:pPr>
            <w:r>
              <w:rPr>
                <w:rFonts w:hint="eastAsia" w:ascii="宋体" w:hAnsi="宋体" w:eastAsia="宋体" w:cs="宋体"/>
                <w:color w:val="000000"/>
                <w:sz w:val="22"/>
                <w:szCs w:val="22"/>
                <w:lang w:val="en-US" w:eastAsia="zh-CN"/>
              </w:rPr>
              <w:t>61</w:t>
            </w:r>
            <w:r>
              <w:rPr>
                <w:rFonts w:hint="eastAsia" w:ascii="仿宋" w:hAnsi="仿宋" w:eastAsia="仿宋" w:cs="仿宋"/>
                <w:color w:val="000000"/>
                <w:sz w:val="24"/>
                <w:szCs w:val="24"/>
                <w:lang w:val="en-US" w:eastAsia="zh-CN"/>
              </w:rPr>
              <w:t>.46</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9.68%</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176"/>
        <w:gridCol w:w="1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176"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851"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56.03</w:t>
            </w:r>
          </w:p>
        </w:tc>
        <w:tc>
          <w:tcPr>
            <w:tcW w:w="2176"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69.26</w:t>
            </w:r>
          </w:p>
        </w:tc>
        <w:tc>
          <w:tcPr>
            <w:tcW w:w="185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32.31</w:t>
            </w:r>
          </w:p>
        </w:tc>
        <w:tc>
          <w:tcPr>
            <w:tcW w:w="217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46.39</w:t>
            </w:r>
          </w:p>
        </w:tc>
        <w:tc>
          <w:tcPr>
            <w:tcW w:w="185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43.59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22.27</w:t>
            </w:r>
          </w:p>
        </w:tc>
        <w:tc>
          <w:tcPr>
            <w:tcW w:w="217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22.87</w:t>
            </w:r>
          </w:p>
        </w:tc>
        <w:tc>
          <w:tcPr>
            <w:tcW w:w="185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c>
          <w:tcPr>
            <w:tcW w:w="217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c>
          <w:tcPr>
            <w:tcW w:w="185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c>
          <w:tcPr>
            <w:tcW w:w="2176" w:type="dxa"/>
            <w:vAlign w:val="center"/>
          </w:tcPr>
          <w:p>
            <w:pPr>
              <w:keepNext w:val="0"/>
              <w:keepLines w:val="0"/>
              <w:widowControl/>
              <w:suppressLineNumbers w:val="0"/>
              <w:jc w:val="right"/>
              <w:textAlignment w:val="cente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0</w:t>
            </w:r>
          </w:p>
        </w:tc>
        <w:tc>
          <w:tcPr>
            <w:tcW w:w="185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52.46</w:t>
      </w:r>
      <w:r>
        <w:rPr>
          <w:rFonts w:hint="eastAsia" w:ascii="仿宋_GB2312"/>
          <w:szCs w:val="32"/>
        </w:rPr>
        <w:t>万元</w:t>
      </w:r>
      <w:r>
        <w:rPr>
          <w:rFonts w:ascii="仿宋_GB2312"/>
          <w:szCs w:val="32"/>
        </w:rPr>
        <w:t>，其中</w:t>
      </w:r>
      <w:r>
        <w:rPr>
          <w:rFonts w:hint="eastAsia" w:ascii="仿宋_GB2312"/>
          <w:szCs w:val="32"/>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46.39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w:t>
      </w:r>
      <w:r>
        <w:rPr>
          <w:rFonts w:hint="eastAsia" w:ascii="仿宋_GB2312"/>
          <w:szCs w:val="32"/>
        </w:rPr>
        <w:t>要</w:t>
      </w:r>
      <w:r>
        <w:rPr>
          <w:rFonts w:ascii="仿宋_GB2312"/>
          <w:szCs w:val="32"/>
        </w:rPr>
        <w:t>包括</w:t>
      </w:r>
      <w:r>
        <w:rPr>
          <w:rFonts w:hint="eastAsia" w:ascii="仿宋_GB2312"/>
          <w:szCs w:val="32"/>
          <w:lang w:val="en-US" w:eastAsia="zh-CN"/>
        </w:rPr>
        <w:t>基本工资21.01万元、津贴补贴12.97万元、社保8.07万元、其他工资福利4.34万元</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6.07</w:t>
      </w:r>
      <w:r>
        <w:rPr>
          <w:rFonts w:hint="eastAsia" w:ascii="仿宋_GB2312"/>
          <w:szCs w:val="32"/>
        </w:rPr>
        <w:t>万元</w:t>
      </w:r>
      <w:r>
        <w:rPr>
          <w:rFonts w:ascii="仿宋_GB2312"/>
          <w:szCs w:val="32"/>
        </w:rPr>
        <w:t>，主要包括</w:t>
      </w:r>
      <w:r>
        <w:rPr>
          <w:rFonts w:hint="eastAsia" w:ascii="仿宋_GB2312"/>
          <w:szCs w:val="32"/>
          <w:lang w:val="en-US" w:eastAsia="zh-CN"/>
        </w:rPr>
        <w:t>人头经费、工会费、福利费</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21.80</w:t>
      </w:r>
      <w:r>
        <w:rPr>
          <w:rFonts w:hint="eastAsia" w:ascii="仿宋_GB2312"/>
          <w:szCs w:val="32"/>
        </w:rPr>
        <w:t>万元</w:t>
      </w:r>
      <w:r>
        <w:rPr>
          <w:rFonts w:hint="eastAsia" w:ascii="仿宋_GB2312"/>
          <w:szCs w:val="32"/>
          <w:lang w:eastAsia="zh-CN"/>
        </w:rPr>
        <w:t>。</w:t>
      </w:r>
    </w:p>
    <w:p>
      <w:pPr>
        <w:pStyle w:val="3"/>
        <w:numPr>
          <w:ilvl w:val="0"/>
          <w:numId w:val="3"/>
        </w:numPr>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一般公共预算财政拨款“三公”经费支出决算情况说明</w:t>
      </w:r>
      <w:bookmarkEnd w:id="23"/>
      <w:bookmarkEnd w:id="24"/>
    </w:p>
    <w:p>
      <w:pPr>
        <w:pStyle w:val="3"/>
        <w:numPr>
          <w:ilvl w:val="0"/>
          <w:numId w:val="0"/>
        </w:numPr>
        <w:ind w:firstLine="640" w:firstLineChars="200"/>
        <w:rPr>
          <w:rFonts w:hint="eastAsia" w:ascii="仿宋_GB2312" w:hAnsi="Times New Roman" w:eastAsia="仿宋_GB2312" w:cstheme="minorBidi"/>
          <w:b w:val="0"/>
          <w:kern w:val="2"/>
          <w:sz w:val="32"/>
          <w:szCs w:val="32"/>
          <w:lang w:val="en-US" w:eastAsia="zh-CN" w:bidi="ar-SA"/>
        </w:rPr>
      </w:pPr>
      <w:r>
        <w:rPr>
          <w:rFonts w:hint="eastAsia" w:ascii="仿宋_GB2312" w:hAnsi="Times New Roman" w:eastAsia="仿宋_GB2312" w:cstheme="minorBidi"/>
          <w:b w:val="0"/>
          <w:kern w:val="2"/>
          <w:sz w:val="32"/>
          <w:szCs w:val="32"/>
          <w:lang w:val="en-US" w:eastAsia="zh-CN" w:bidi="ar-SA"/>
        </w:rPr>
        <w:t>本部门无三公经费。</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center"/>
              <w:rPr>
                <w:rFonts w:hint="default"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numPr>
          <w:ilvl w:val="0"/>
          <w:numId w:val="4"/>
        </w:numPr>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其他重要事项情况说明</w:t>
      </w:r>
      <w:bookmarkEnd w:id="25"/>
      <w:bookmarkEnd w:id="26"/>
    </w:p>
    <w:p>
      <w:pPr>
        <w:numPr>
          <w:ilvl w:val="0"/>
          <w:numId w:val="0"/>
        </w:numPr>
        <w:ind w:firstLine="640" w:firstLineChars="200"/>
        <w:rPr>
          <w:rFonts w:hint="default"/>
          <w:lang w:val="en-US" w:eastAsia="zh-CN"/>
        </w:rPr>
      </w:pPr>
      <w:r>
        <w:rPr>
          <w:rFonts w:hint="eastAsia"/>
          <w:lang w:val="en-US" w:eastAsia="zh-CN"/>
        </w:rPr>
        <w:t>无</w:t>
      </w:r>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default" w:eastAsia="仿宋_GB2312"/>
          <w:b/>
          <w:color w:val="000000" w:themeColor="text1"/>
          <w:szCs w:val="32"/>
          <w:lang w:val="en-US" w:eastAsia="zh-CN"/>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年本</w:t>
      </w:r>
      <w:r>
        <w:rPr>
          <w:rFonts w:hint="eastAsia" w:ascii="仿宋_GB2312" w:hAnsi="宋体"/>
          <w:color w:val="000000" w:themeColor="text1"/>
          <w:szCs w:val="32"/>
          <w:lang w:val="en-US" w:eastAsia="zh-CN"/>
          <w14:textFill>
            <w14:solidFill>
              <w14:schemeClr w14:val="tx1"/>
            </w14:solidFill>
          </w14:textFill>
        </w:rPr>
        <w:t>单位</w:t>
      </w:r>
      <w:r>
        <w:rPr>
          <w:rFonts w:hint="eastAsia" w:ascii="仿宋_GB2312" w:hAnsi="宋体"/>
          <w:color w:val="000000" w:themeColor="text1"/>
          <w:szCs w:val="32"/>
          <w14:textFill>
            <w14:solidFill>
              <w14:schemeClr w14:val="tx1"/>
            </w14:solidFill>
          </w14:textFill>
        </w:rPr>
        <w:t>机关运行经费支出</w:t>
      </w:r>
      <w:r>
        <w:rPr>
          <w:rFonts w:hint="eastAsia" w:ascii="仿宋_GB2312" w:hAnsi="宋体"/>
          <w:color w:val="000000" w:themeColor="text1"/>
          <w:szCs w:val="32"/>
          <w:lang w:val="en-US" w:eastAsia="zh-CN"/>
          <w14:textFill>
            <w14:solidFill>
              <w14:schemeClr w14:val="tx1"/>
            </w14:solidFill>
          </w14:textFill>
        </w:rPr>
        <w:t>6.07</w:t>
      </w:r>
      <w:r>
        <w:rPr>
          <w:rFonts w:hint="eastAsia" w:ascii="仿宋_GB2312" w:hAnsi="宋体"/>
          <w:color w:val="000000" w:themeColor="text1"/>
          <w:szCs w:val="32"/>
          <w14:textFill>
            <w14:solidFill>
              <w14:schemeClr w14:val="tx1"/>
            </w14:solidFill>
          </w14:textFill>
        </w:rPr>
        <w:t>万元（与部门决算中行政单位和参照公务员法管理的事业单位一般公共预算财政拨款基本支出中公用经费之和保持一致），比20</w:t>
      </w:r>
      <w:r>
        <w:rPr>
          <w:rFonts w:hint="eastAsia" w:ascii="仿宋_GB2312" w:hAnsi="宋体"/>
          <w:color w:val="000000" w:themeColor="text1"/>
          <w:szCs w:val="32"/>
          <w:lang w:val="en-US" w:eastAsia="zh-CN"/>
          <w14:textFill>
            <w14:solidFill>
              <w14:schemeClr w14:val="tx1"/>
            </w14:solidFill>
          </w14:textFill>
        </w:rPr>
        <w:t>20</w:t>
      </w:r>
      <w:r>
        <w:rPr>
          <w:rFonts w:hint="eastAsia" w:ascii="仿宋_GB2312" w:hAnsi="宋体"/>
          <w:color w:val="000000" w:themeColor="text1"/>
          <w:szCs w:val="32"/>
          <w14:textFill>
            <w14:solidFill>
              <w14:schemeClr w14:val="tx1"/>
            </w14:solidFill>
          </w14:textFill>
        </w:rPr>
        <w:t>年减少</w:t>
      </w:r>
      <w:r>
        <w:rPr>
          <w:rFonts w:hint="eastAsia" w:ascii="仿宋_GB2312" w:hAnsi="宋体"/>
          <w:color w:val="000000" w:themeColor="text1"/>
          <w:szCs w:val="32"/>
          <w:lang w:val="en-US" w:eastAsia="zh-CN"/>
          <w14:textFill>
            <w14:solidFill>
              <w14:schemeClr w14:val="tx1"/>
            </w14:solidFill>
          </w14:textFill>
        </w:rPr>
        <w:t>17.66</w:t>
      </w:r>
      <w:r>
        <w:rPr>
          <w:rFonts w:hint="eastAsia" w:ascii="仿宋_GB2312" w:hAnsi="宋体"/>
          <w:color w:val="000000" w:themeColor="text1"/>
          <w:szCs w:val="32"/>
          <w14:textFill>
            <w14:solidFill>
              <w14:schemeClr w14:val="tx1"/>
            </w14:solidFill>
          </w14:textFill>
        </w:rPr>
        <w:t>万元，降低</w:t>
      </w:r>
      <w:r>
        <w:rPr>
          <w:rFonts w:hint="eastAsia" w:ascii="仿宋_GB2312" w:hAnsi="宋体"/>
          <w:color w:val="000000" w:themeColor="text1"/>
          <w:szCs w:val="32"/>
          <w:lang w:val="en-US" w:eastAsia="zh-CN"/>
          <w14:textFill>
            <w14:solidFill>
              <w14:schemeClr w14:val="tx1"/>
            </w14:solidFill>
          </w14:textFill>
        </w:rPr>
        <w:t>74.43</w:t>
      </w:r>
      <w:r>
        <w:rPr>
          <w:rFonts w:hint="eastAsia" w:ascii="仿宋_GB2312" w:hAnsi="宋体"/>
          <w:color w:val="000000" w:themeColor="text1"/>
          <w:szCs w:val="32"/>
          <w14:textFill>
            <w14:solidFill>
              <w14:schemeClr w14:val="tx1"/>
            </w14:solidFill>
          </w14:textFill>
        </w:rPr>
        <w:t>%。主要原因是：</w:t>
      </w:r>
      <w:r>
        <w:rPr>
          <w:rFonts w:hint="eastAsia" w:ascii="仿宋_GB2312" w:hAnsi="宋体"/>
          <w:color w:val="000000" w:themeColor="text1"/>
          <w:szCs w:val="32"/>
          <w:lang w:val="en-US" w:eastAsia="zh-CN"/>
          <w14:textFill>
            <w14:solidFill>
              <w14:schemeClr w14:val="tx1"/>
            </w14:solidFill>
          </w14:textFill>
        </w:rPr>
        <w:t>今年办公支出少。</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23.10</w:t>
      </w:r>
      <w:r>
        <w:rPr>
          <w:rFonts w:hint="eastAsia" w:ascii="仿宋_GB2312"/>
          <w:szCs w:val="32"/>
        </w:rPr>
        <w:t>万元，其中：政府采购货物支出</w:t>
      </w:r>
      <w:r>
        <w:rPr>
          <w:rFonts w:hint="eastAsia" w:ascii="仿宋_GB2312"/>
          <w:szCs w:val="32"/>
          <w:lang w:val="en-US" w:eastAsia="zh-CN"/>
        </w:rPr>
        <w:t>23.10</w:t>
      </w:r>
      <w:bookmarkStart w:id="33" w:name="_GoBack"/>
      <w:bookmarkEnd w:id="33"/>
      <w:r>
        <w:rPr>
          <w:rFonts w:hint="eastAsia" w:ascii="仿宋_GB2312"/>
          <w:szCs w:val="32"/>
        </w:rPr>
        <w:t>万元、政府采购工程支出</w:t>
      </w:r>
      <w:r>
        <w:rPr>
          <w:rFonts w:hint="eastAsia" w:ascii="仿宋_GB2312"/>
          <w:szCs w:val="32"/>
          <w:lang w:val="en-US" w:eastAsia="zh-CN"/>
        </w:rPr>
        <w:t>0</w:t>
      </w:r>
      <w:r>
        <w:rPr>
          <w:rFonts w:hint="eastAsia" w:ascii="仿宋_GB2312"/>
          <w:szCs w:val="32"/>
        </w:rPr>
        <w:t>万元、政府采购服务支出</w:t>
      </w:r>
      <w:r>
        <w:rPr>
          <w:rFonts w:hint="eastAsia" w:ascii="仿宋_GB2312"/>
          <w:szCs w:val="32"/>
          <w:lang w:val="en-US" w:eastAsia="zh-CN"/>
        </w:rPr>
        <w:t>0</w:t>
      </w:r>
      <w:r>
        <w:rPr>
          <w:rFonts w:hint="eastAsia" w:ascii="仿宋_GB2312"/>
          <w:szCs w:val="32"/>
        </w:rPr>
        <w:t>万元。</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年12月31日，本部门共有车辆</w:t>
      </w:r>
      <w:r>
        <w:rPr>
          <w:rFonts w:hint="eastAsia" w:ascii="仿宋_GB2312"/>
          <w:szCs w:val="32"/>
          <w:lang w:val="en-US" w:eastAsia="zh-CN"/>
        </w:rPr>
        <w:t>0</w:t>
      </w:r>
      <w:r>
        <w:rPr>
          <w:rFonts w:hint="eastAsia" w:ascii="仿宋_GB2312"/>
          <w:szCs w:val="32"/>
        </w:rPr>
        <w:t>辆。单价50万元（含）以上的通用设备</w:t>
      </w:r>
      <w:r>
        <w:rPr>
          <w:rFonts w:hint="eastAsia" w:ascii="仿宋_GB2312"/>
          <w:szCs w:val="32"/>
          <w:lang w:val="en-US" w:eastAsia="zh-CN"/>
        </w:rPr>
        <w:t>0</w:t>
      </w:r>
      <w:r>
        <w:rPr>
          <w:rFonts w:hint="eastAsia" w:ascii="仿宋_GB2312"/>
          <w:szCs w:val="32"/>
        </w:rPr>
        <w:t>台（套），单价100万元（含）以上专用设备</w:t>
      </w:r>
      <w:r>
        <w:rPr>
          <w:rFonts w:hint="eastAsia" w:ascii="仿宋_GB2312"/>
          <w:szCs w:val="32"/>
          <w:lang w:val="en-US" w:eastAsia="zh-CN"/>
        </w:rPr>
        <w:t>0</w:t>
      </w:r>
      <w:r>
        <w:rPr>
          <w:rFonts w:hint="eastAsia" w:ascii="仿宋_GB2312"/>
          <w:szCs w:val="32"/>
        </w:rPr>
        <w:t>台（套）。</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spacing w:line="580" w:lineRule="exact"/>
        <w:ind w:firstLine="640"/>
        <w:rPr>
          <w:rFonts w:hint="eastAsia" w:ascii="仿宋_GB2312"/>
          <w:szCs w:val="32"/>
          <w:lang w:val="en-US" w:eastAsia="zh-CN"/>
        </w:rPr>
      </w:pPr>
      <w:r>
        <w:rPr>
          <w:rFonts w:hint="eastAsia" w:ascii="仿宋_GB2312"/>
          <w:szCs w:val="32"/>
          <w:lang w:val="en-US" w:eastAsia="zh-CN"/>
        </w:rPr>
        <w:t>我单位无重点项目预算绩效。</w:t>
      </w:r>
    </w:p>
    <w:p>
      <w:pPr>
        <w:numPr>
          <w:ilvl w:val="0"/>
          <w:numId w:val="5"/>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rPr>
        <w:t>其他需要说明的事项</w:t>
      </w:r>
      <w:bookmarkEnd w:id="30"/>
      <w:bookmarkEnd w:id="31"/>
    </w:p>
    <w:p>
      <w:pPr>
        <w:numPr>
          <w:ilvl w:val="0"/>
          <w:numId w:val="0"/>
        </w:numPr>
        <w:spacing w:line="580" w:lineRule="exact"/>
        <w:outlineLvl w:val="0"/>
        <w:rPr>
          <w:rFonts w:hint="default" w:ascii="仿宋_GB2312"/>
          <w:szCs w:val="32"/>
          <w:lang w:val="en-US" w:eastAsia="zh-CN"/>
        </w:rPr>
      </w:pPr>
      <w:r>
        <w:rPr>
          <w:rFonts w:hint="eastAsia" w:ascii="仿宋_GB2312"/>
          <w:b/>
          <w:szCs w:val="32"/>
          <w:lang w:val="en-US" w:eastAsia="zh-CN"/>
        </w:rPr>
        <w:t xml:space="preserve"> </w:t>
      </w:r>
      <w:r>
        <w:rPr>
          <w:rFonts w:hint="eastAsia" w:ascii="仿宋_GB2312"/>
          <w:szCs w:val="32"/>
          <w:lang w:val="en-US" w:eastAsia="zh-CN"/>
        </w:rPr>
        <w:t xml:space="preserve">    无</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单位名称：静乐县医疗保障局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769EAF"/>
    <w:multiLevelType w:val="singleLevel"/>
    <w:tmpl w:val="90769EAF"/>
    <w:lvl w:ilvl="0" w:tentative="0">
      <w:start w:val="2"/>
      <w:numFmt w:val="chineseCounting"/>
      <w:suff w:val="nothing"/>
      <w:lvlText w:val="%1、"/>
      <w:lvlJc w:val="left"/>
      <w:rPr>
        <w:rFonts w:hint="eastAsia"/>
      </w:rPr>
    </w:lvl>
  </w:abstractNum>
  <w:abstractNum w:abstractNumId="1">
    <w:nsid w:val="AFC8BC5B"/>
    <w:multiLevelType w:val="singleLevel"/>
    <w:tmpl w:val="AFC8BC5B"/>
    <w:lvl w:ilvl="0" w:tentative="0">
      <w:start w:val="8"/>
      <w:numFmt w:val="chineseCounting"/>
      <w:suff w:val="nothing"/>
      <w:lvlText w:val="%1、"/>
      <w:lvlJc w:val="left"/>
      <w:rPr>
        <w:rFonts w:hint="eastAsia"/>
      </w:rPr>
    </w:lvl>
  </w:abstractNum>
  <w:abstractNum w:abstractNumId="2">
    <w:nsid w:val="2D89F9A8"/>
    <w:multiLevelType w:val="singleLevel"/>
    <w:tmpl w:val="2D89F9A8"/>
    <w:lvl w:ilvl="0" w:tentative="0">
      <w:start w:val="7"/>
      <w:numFmt w:val="chineseCounting"/>
      <w:suff w:val="nothing"/>
      <w:lvlText w:val="%1、"/>
      <w:lvlJc w:val="left"/>
      <w:rPr>
        <w:rFonts w:hint="eastAsia"/>
      </w:rPr>
    </w:lvl>
  </w:abstractNum>
  <w:abstractNum w:abstractNumId="3">
    <w:nsid w:val="60A4CC00"/>
    <w:multiLevelType w:val="singleLevel"/>
    <w:tmpl w:val="60A4CC00"/>
    <w:lvl w:ilvl="0" w:tentative="0">
      <w:start w:val="2"/>
      <w:numFmt w:val="decimal"/>
      <w:suff w:val="nothing"/>
      <w:lvlText w:val="（%1）"/>
      <w:lvlJc w:val="left"/>
    </w:lvl>
  </w:abstractNum>
  <w:abstractNum w:abstractNumId="4">
    <w:nsid w:val="60A4DC26"/>
    <w:multiLevelType w:val="singleLevel"/>
    <w:tmpl w:val="60A4DC26"/>
    <w:lvl w:ilvl="0" w:tentative="0">
      <w:start w:val="4"/>
      <w:numFmt w:val="chineseCounting"/>
      <w:suff w:val="nothing"/>
      <w:lvlText w:val="（%1）"/>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3YjhiZjdmZjc1MTM5ZWQ5ZjQ1OGJjMTNhNzAzZTMifQ=="/>
  </w:docVars>
  <w:rsids>
    <w:rsidRoot w:val="495520D0"/>
    <w:rsid w:val="003532FE"/>
    <w:rsid w:val="005F65CD"/>
    <w:rsid w:val="02DF57A3"/>
    <w:rsid w:val="03696819"/>
    <w:rsid w:val="040B29E0"/>
    <w:rsid w:val="066466EB"/>
    <w:rsid w:val="088272FC"/>
    <w:rsid w:val="0C5B233E"/>
    <w:rsid w:val="0E2D55FB"/>
    <w:rsid w:val="0EDB411C"/>
    <w:rsid w:val="14A97A0E"/>
    <w:rsid w:val="14C111AC"/>
    <w:rsid w:val="15340D1A"/>
    <w:rsid w:val="16654CDD"/>
    <w:rsid w:val="17E7717C"/>
    <w:rsid w:val="18041ADC"/>
    <w:rsid w:val="1A121D36"/>
    <w:rsid w:val="1A4A5C33"/>
    <w:rsid w:val="1D222C3C"/>
    <w:rsid w:val="1FE41153"/>
    <w:rsid w:val="25BF5294"/>
    <w:rsid w:val="2701594C"/>
    <w:rsid w:val="27426717"/>
    <w:rsid w:val="276E0D20"/>
    <w:rsid w:val="281C077C"/>
    <w:rsid w:val="295403E9"/>
    <w:rsid w:val="2EFE6E2D"/>
    <w:rsid w:val="33BA291E"/>
    <w:rsid w:val="34675474"/>
    <w:rsid w:val="354B26A0"/>
    <w:rsid w:val="36407D2B"/>
    <w:rsid w:val="37943B50"/>
    <w:rsid w:val="3821117E"/>
    <w:rsid w:val="399F2B5D"/>
    <w:rsid w:val="39ED1F78"/>
    <w:rsid w:val="3F7153F9"/>
    <w:rsid w:val="42C12CEC"/>
    <w:rsid w:val="439E2535"/>
    <w:rsid w:val="44401A62"/>
    <w:rsid w:val="453448AC"/>
    <w:rsid w:val="495520D0"/>
    <w:rsid w:val="49747FC0"/>
    <w:rsid w:val="4A012068"/>
    <w:rsid w:val="4D1D271C"/>
    <w:rsid w:val="53A30631"/>
    <w:rsid w:val="53B84F4D"/>
    <w:rsid w:val="570010E5"/>
    <w:rsid w:val="5B6F05E7"/>
    <w:rsid w:val="5C9B540C"/>
    <w:rsid w:val="5EC01F6A"/>
    <w:rsid w:val="61D55A53"/>
    <w:rsid w:val="62AF1C11"/>
    <w:rsid w:val="63AB51DF"/>
    <w:rsid w:val="649C6DC9"/>
    <w:rsid w:val="64FB738F"/>
    <w:rsid w:val="66C167F9"/>
    <w:rsid w:val="67E1286C"/>
    <w:rsid w:val="68BE6537"/>
    <w:rsid w:val="69216C99"/>
    <w:rsid w:val="6C305B70"/>
    <w:rsid w:val="701240E1"/>
    <w:rsid w:val="715A78E4"/>
    <w:rsid w:val="718A3E8B"/>
    <w:rsid w:val="735F60D8"/>
    <w:rsid w:val="7761744D"/>
    <w:rsid w:val="77A15B74"/>
    <w:rsid w:val="78FB1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2400</Words>
  <Characters>2834</Characters>
  <Lines>0</Lines>
  <Paragraphs>0</Paragraphs>
  <ScaleCrop>false</ScaleCrop>
  <LinksUpToDate>false</LinksUpToDate>
  <CharactersWithSpaces>3026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2022-07-29T02:33:49Z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58F0A3AD6BBA4337834351E5FCAB3227</vt:lpwstr>
  </property>
</Properties>
</file>