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bookmarkStart w:id="33" w:name="_GoBack"/>
      <w:bookmarkEnd w:id="33"/>
      <w:bookmarkStart w:id="0" w:name="_Toc31071"/>
      <w:bookmarkStart w:id="1" w:name="_Toc32048"/>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静乐县劳动保障监察综合行政执法队</w:t>
      </w: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3"/>
        <w:keepNext/>
        <w:keepLines/>
        <w:pageBreakBefore w:val="0"/>
        <w:widowControl w:val="0"/>
        <w:numPr>
          <w:ilvl w:val="0"/>
          <w:numId w:val="0"/>
        </w:numPr>
        <w:kinsoku/>
        <w:wordWrap/>
        <w:overflowPunct/>
        <w:topLinePunct w:val="0"/>
        <w:autoSpaceDE/>
        <w:autoSpaceDN/>
        <w:bidi w:val="0"/>
        <w:adjustRightInd/>
        <w:snapToGrid/>
        <w:spacing w:before="260" w:beforeLines="0" w:after="260" w:afterLines="0" w:line="413" w:lineRule="auto"/>
        <w:ind w:leftChars="200" w:right="0" w:rightChars="0" w:firstLine="640" w:firstLineChars="200"/>
        <w:jc w:val="both"/>
        <w:textAlignment w:val="auto"/>
        <w:outlineLvl w:val="1"/>
        <w:rPr>
          <w:rFonts w:hint="eastAsia"/>
        </w:rPr>
      </w:pPr>
      <w:r>
        <w:rPr>
          <w:rFonts w:hint="eastAsia" w:ascii="仿宋" w:hAnsi="仿宋" w:eastAsia="仿宋" w:cs="仿宋"/>
          <w:b w:val="0"/>
          <w:bCs/>
          <w:lang w:val="en-US" w:eastAsia="zh-CN"/>
        </w:rPr>
        <w:t>受县人力资源和社会保障局委托对用人单位具体实施劳动保障监察。履行下列职责：1、宣传劳动保障法律、法规和规章，督促用人单位贯彻执行；2、检查用人单位遵守劳动保障法律、法规和规章的情况；3、受理对违反劳动保障法律、法规或者规章的行为的举报、投诉；4、依法纠正和查处违反劳动保障法律、法规或者规章的行为。</w:t>
      </w:r>
    </w:p>
    <w:p>
      <w:pPr>
        <w:pStyle w:val="3"/>
        <w:numPr>
          <w:ilvl w:val="0"/>
          <w:numId w:val="1"/>
        </w:numPr>
        <w:rPr>
          <w:rFonts w:hint="default" w:eastAsia="仿宋_GB2312"/>
          <w:lang w:val="en-US" w:eastAsia="zh-CN"/>
        </w:rPr>
      </w:pPr>
      <w:bookmarkStart w:id="7" w:name="_Toc9155"/>
      <w:bookmarkStart w:id="8" w:name="_Toc275"/>
      <w:r>
        <w:rPr>
          <w:rFonts w:hint="eastAsia" w:ascii="仿宋" w:hAnsi="仿宋" w:eastAsia="仿宋" w:cs="仿宋"/>
          <w:b w:val="0"/>
          <w:bCs/>
        </w:rPr>
        <w:t>机构设置情况</w:t>
      </w:r>
      <w:bookmarkEnd w:id="7"/>
      <w:bookmarkEnd w:id="8"/>
    </w:p>
    <w:p>
      <w:pPr>
        <w:pStyle w:val="3"/>
        <w:keepNext/>
        <w:keepLines/>
        <w:pageBreakBefore w:val="0"/>
        <w:widowControl w:val="0"/>
        <w:numPr>
          <w:ilvl w:val="0"/>
          <w:numId w:val="0"/>
        </w:numPr>
        <w:kinsoku/>
        <w:wordWrap/>
        <w:overflowPunct/>
        <w:topLinePunct w:val="0"/>
        <w:autoSpaceDE/>
        <w:autoSpaceDN/>
        <w:bidi w:val="0"/>
        <w:adjustRightInd/>
        <w:snapToGrid/>
        <w:spacing w:before="260" w:beforeLines="0" w:after="260" w:afterLines="0" w:line="413" w:lineRule="auto"/>
        <w:ind w:leftChars="200" w:right="0" w:rightChars="0" w:firstLine="640" w:firstLineChars="200"/>
        <w:jc w:val="both"/>
        <w:textAlignment w:val="auto"/>
        <w:outlineLvl w:val="1"/>
        <w:rPr>
          <w:rFonts w:hint="default"/>
          <w:lang w:val="en-US" w:eastAsia="zh-CN"/>
        </w:rPr>
      </w:pPr>
      <w:r>
        <w:rPr>
          <w:rFonts w:hint="eastAsia" w:ascii="仿宋" w:hAnsi="仿宋" w:eastAsia="仿宋" w:cs="仿宋"/>
          <w:b w:val="0"/>
          <w:bCs/>
          <w:lang w:val="en-US" w:eastAsia="zh-CN"/>
        </w:rPr>
        <w:t>静乐县劳动保障监察综合行政执法队人员编制10人，实有为数9人；内设接待室、询问室、办公室、财务室。</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108.08</w:t>
      </w:r>
      <w:r>
        <w:rPr>
          <w:rFonts w:hint="eastAsia" w:ascii="仿宋_GB2312"/>
          <w:color w:val="auto"/>
          <w:szCs w:val="32"/>
        </w:rPr>
        <w:t>万元、支出总计</w:t>
      </w:r>
      <w:r>
        <w:rPr>
          <w:rFonts w:hint="eastAsia" w:ascii="仿宋_GB2312"/>
          <w:color w:val="auto"/>
          <w:szCs w:val="32"/>
          <w:lang w:val="en-US" w:eastAsia="zh-CN"/>
        </w:rPr>
        <w:t>108.08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增长19.91</w:t>
      </w:r>
      <w:r>
        <w:rPr>
          <w:rFonts w:hint="eastAsia" w:ascii="仿宋_GB2312"/>
          <w:color w:val="auto"/>
          <w:szCs w:val="32"/>
        </w:rPr>
        <w:t>万元，</w:t>
      </w:r>
      <w:r>
        <w:rPr>
          <w:rFonts w:hint="eastAsia" w:ascii="仿宋_GB2312"/>
          <w:color w:val="auto"/>
          <w:szCs w:val="32"/>
          <w:lang w:val="en-US" w:eastAsia="zh-CN"/>
        </w:rPr>
        <w:t>增长22.58</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增长19.91</w:t>
      </w:r>
      <w:r>
        <w:rPr>
          <w:rFonts w:hint="eastAsia" w:ascii="仿宋_GB2312"/>
          <w:color w:val="auto"/>
          <w:szCs w:val="32"/>
        </w:rPr>
        <w:t>万元。主要原因是</w:t>
      </w:r>
      <w:r>
        <w:rPr>
          <w:rFonts w:hint="eastAsia" w:ascii="仿宋_GB2312"/>
          <w:color w:val="auto"/>
          <w:szCs w:val="32"/>
          <w:lang w:val="en-US" w:eastAsia="zh-CN"/>
        </w:rPr>
        <w:t>人员工资增加及公用经费增加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108.08</w:t>
      </w:r>
      <w:r>
        <w:rPr>
          <w:rFonts w:hint="eastAsia" w:ascii="仿宋_GB2312"/>
          <w:color w:val="auto"/>
          <w:szCs w:val="32"/>
        </w:rPr>
        <w:t>万元，财政拨款收入</w:t>
      </w:r>
      <w:r>
        <w:rPr>
          <w:rFonts w:hint="eastAsia" w:ascii="仿宋_GB2312"/>
          <w:color w:val="auto"/>
          <w:szCs w:val="32"/>
          <w:lang w:val="en-US" w:eastAsia="zh-CN"/>
        </w:rPr>
        <w:t>108.08</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108.08</w:t>
      </w:r>
      <w:r>
        <w:rPr>
          <w:rFonts w:hint="eastAsia" w:ascii="仿宋_GB2312"/>
          <w:color w:val="auto"/>
          <w:szCs w:val="32"/>
        </w:rPr>
        <w:t>万元，其中：基本支出</w:t>
      </w:r>
      <w:r>
        <w:rPr>
          <w:rFonts w:hint="eastAsia" w:ascii="仿宋_GB2312"/>
          <w:color w:val="auto"/>
          <w:szCs w:val="32"/>
          <w:lang w:val="en-US" w:eastAsia="zh-CN"/>
        </w:rPr>
        <w:t>103.61</w:t>
      </w:r>
      <w:r>
        <w:rPr>
          <w:rFonts w:hint="eastAsia" w:ascii="仿宋_GB2312"/>
          <w:color w:val="auto"/>
          <w:szCs w:val="32"/>
        </w:rPr>
        <w:t>万元，占比</w:t>
      </w:r>
      <w:r>
        <w:rPr>
          <w:rFonts w:hint="eastAsia" w:ascii="仿宋_GB2312"/>
          <w:color w:val="auto"/>
          <w:szCs w:val="32"/>
          <w:lang w:val="en-US" w:eastAsia="zh-CN"/>
        </w:rPr>
        <w:t>95.86</w:t>
      </w:r>
      <w:r>
        <w:rPr>
          <w:rFonts w:hint="eastAsia" w:ascii="仿宋_GB2312"/>
          <w:color w:val="auto"/>
          <w:szCs w:val="32"/>
        </w:rPr>
        <w:t>%；项目支出</w:t>
      </w:r>
      <w:r>
        <w:rPr>
          <w:rFonts w:hint="eastAsia" w:ascii="仿宋_GB2312"/>
          <w:color w:val="auto"/>
          <w:szCs w:val="32"/>
          <w:lang w:val="en-US" w:eastAsia="zh-CN"/>
        </w:rPr>
        <w:t>4.47</w:t>
      </w:r>
      <w:r>
        <w:rPr>
          <w:rFonts w:hint="eastAsia" w:ascii="仿宋_GB2312"/>
          <w:color w:val="auto"/>
          <w:szCs w:val="32"/>
        </w:rPr>
        <w:t>万元，占比</w:t>
      </w:r>
      <w:r>
        <w:rPr>
          <w:rFonts w:hint="eastAsia" w:ascii="仿宋_GB2312"/>
          <w:color w:val="auto"/>
          <w:szCs w:val="32"/>
          <w:lang w:val="en-US" w:eastAsia="zh-CN"/>
        </w:rPr>
        <w:t>4.14</w:t>
      </w:r>
      <w:r>
        <w:rPr>
          <w:rFonts w:hint="eastAsia" w:ascii="仿宋_GB2312"/>
          <w:color w:val="auto"/>
          <w:szCs w:val="32"/>
        </w:rPr>
        <w:t>%，</w:t>
      </w:r>
      <w:r>
        <w:rPr>
          <w:rFonts w:hint="eastAsia" w:ascii="仿宋_GB2312"/>
          <w:color w:val="auto"/>
          <w:szCs w:val="32"/>
          <w:lang w:val="en-US" w:eastAsia="zh-CN"/>
        </w:rPr>
        <w:t>无</w:t>
      </w:r>
      <w:r>
        <w:rPr>
          <w:rFonts w:hint="eastAsia" w:ascii="仿宋_GB2312"/>
          <w:color w:val="auto"/>
          <w:szCs w:val="32"/>
        </w:rPr>
        <w:t>上缴上级支出</w:t>
      </w:r>
      <w:r>
        <w:rPr>
          <w:rFonts w:hint="eastAsia" w:ascii="仿宋_GB2312"/>
          <w:color w:val="auto"/>
          <w:szCs w:val="32"/>
          <w:lang w:eastAsia="zh-CN"/>
        </w:rPr>
        <w:t>、</w:t>
      </w:r>
      <w:r>
        <w:rPr>
          <w:rFonts w:hint="eastAsia" w:ascii="仿宋_GB2312"/>
          <w:color w:val="auto"/>
          <w:szCs w:val="32"/>
        </w:rPr>
        <w:t>经营支出</w:t>
      </w:r>
      <w:r>
        <w:rPr>
          <w:rFonts w:hint="eastAsia" w:ascii="仿宋_GB2312"/>
          <w:color w:val="auto"/>
          <w:szCs w:val="32"/>
          <w:lang w:eastAsia="zh-CN"/>
        </w:rPr>
        <w:t>、</w:t>
      </w:r>
      <w:r>
        <w:rPr>
          <w:rFonts w:hint="eastAsia" w:ascii="仿宋_GB2312"/>
          <w:color w:val="auto"/>
          <w:szCs w:val="32"/>
        </w:rPr>
        <w:t>对附属单位补助支出</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108.08</w:t>
      </w:r>
      <w:r>
        <w:rPr>
          <w:rFonts w:hint="eastAsia" w:ascii="仿宋_GB2312"/>
          <w:color w:val="auto"/>
          <w:szCs w:val="32"/>
        </w:rPr>
        <w:t>万元、支出总计</w:t>
      </w:r>
      <w:r>
        <w:rPr>
          <w:rFonts w:hint="eastAsia" w:ascii="仿宋_GB2312"/>
          <w:color w:val="auto"/>
          <w:szCs w:val="32"/>
          <w:lang w:val="en-US" w:eastAsia="zh-CN"/>
        </w:rPr>
        <w:t>108.08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增长19.91</w:t>
      </w:r>
      <w:r>
        <w:rPr>
          <w:rFonts w:hint="eastAsia" w:ascii="仿宋_GB2312"/>
          <w:color w:val="auto"/>
          <w:szCs w:val="32"/>
        </w:rPr>
        <w:t>万元，</w:t>
      </w:r>
      <w:r>
        <w:rPr>
          <w:rFonts w:hint="eastAsia" w:ascii="仿宋_GB2312"/>
          <w:color w:val="auto"/>
          <w:szCs w:val="32"/>
          <w:lang w:val="en-US" w:eastAsia="zh-CN"/>
        </w:rPr>
        <w:t>增长22.58</w:t>
      </w:r>
      <w:r>
        <w:rPr>
          <w:rFonts w:hint="eastAsia" w:ascii="仿宋_GB2312"/>
          <w:color w:val="auto"/>
          <w:szCs w:val="32"/>
        </w:rPr>
        <w:t>%，财政拨款支出总计</w:t>
      </w:r>
      <w:r>
        <w:rPr>
          <w:rFonts w:hint="eastAsia" w:ascii="仿宋_GB2312"/>
          <w:color w:val="auto"/>
          <w:szCs w:val="32"/>
          <w:lang w:val="en-US" w:eastAsia="zh-CN"/>
        </w:rPr>
        <w:t>增长19.91</w:t>
      </w:r>
      <w:r>
        <w:rPr>
          <w:rFonts w:hint="eastAsia" w:ascii="仿宋_GB2312"/>
          <w:color w:val="auto"/>
          <w:szCs w:val="32"/>
        </w:rPr>
        <w:t>万元。主要原因是</w:t>
      </w:r>
      <w:r>
        <w:rPr>
          <w:rFonts w:hint="eastAsia" w:ascii="仿宋_GB2312"/>
          <w:color w:val="auto"/>
          <w:szCs w:val="32"/>
          <w:lang w:val="en-US" w:eastAsia="zh-CN"/>
        </w:rPr>
        <w:t>人员增加工资增加及公用经费增加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108.08</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增加19.91</w:t>
      </w:r>
      <w:r>
        <w:rPr>
          <w:rFonts w:hint="eastAsia" w:ascii="仿宋_GB2312"/>
          <w:color w:val="auto"/>
          <w:szCs w:val="32"/>
        </w:rPr>
        <w:t>万元，</w:t>
      </w:r>
      <w:r>
        <w:rPr>
          <w:rFonts w:hint="eastAsia" w:ascii="仿宋_GB2312"/>
          <w:color w:val="auto"/>
          <w:szCs w:val="32"/>
          <w:lang w:val="en-US" w:eastAsia="zh-CN"/>
        </w:rPr>
        <w:t>增长22.58</w:t>
      </w:r>
      <w:r>
        <w:rPr>
          <w:rFonts w:hint="eastAsia" w:ascii="仿宋_GB2312"/>
          <w:color w:val="auto"/>
          <w:szCs w:val="32"/>
        </w:rPr>
        <w:t>%。主要原因是</w:t>
      </w:r>
      <w:r>
        <w:rPr>
          <w:rFonts w:hint="eastAsia" w:ascii="仿宋_GB2312"/>
          <w:color w:val="auto"/>
          <w:szCs w:val="32"/>
          <w:lang w:val="en-US" w:eastAsia="zh-CN"/>
        </w:rPr>
        <w:t>人员增加工资增加及公用经费增加</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108.08</w:t>
      </w:r>
      <w:r>
        <w:rPr>
          <w:rFonts w:hint="eastAsia" w:ascii="仿宋_GB2312"/>
          <w:color w:val="auto"/>
          <w:szCs w:val="32"/>
        </w:rPr>
        <w:t>万元</w:t>
      </w:r>
      <w:r>
        <w:rPr>
          <w:rFonts w:ascii="仿宋_GB2312"/>
          <w:color w:val="auto"/>
          <w:szCs w:val="32"/>
        </w:rPr>
        <w:t>，</w:t>
      </w:r>
      <w:r>
        <w:rPr>
          <w:rFonts w:hint="eastAsia" w:ascii="仿宋_GB2312"/>
          <w:b/>
          <w:color w:val="auto"/>
          <w:szCs w:val="32"/>
        </w:rPr>
        <w:t>社会</w:t>
      </w:r>
      <w:r>
        <w:rPr>
          <w:rFonts w:ascii="仿宋_GB2312"/>
          <w:b/>
          <w:color w:val="auto"/>
          <w:szCs w:val="32"/>
        </w:rPr>
        <w:t>保障和就业（</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108.08</w:t>
      </w:r>
      <w:r>
        <w:rPr>
          <w:rFonts w:hint="eastAsia" w:ascii="仿宋_GB2312"/>
          <w:color w:val="auto"/>
          <w:szCs w:val="32"/>
        </w:rPr>
        <w:t>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108.08</w:t>
      </w:r>
      <w:r>
        <w:rPr>
          <w:rFonts w:hint="eastAsia"/>
          <w:color w:val="auto"/>
          <w:szCs w:val="32"/>
        </w:rPr>
        <w:t>万元，支出决算</w:t>
      </w:r>
      <w:r>
        <w:rPr>
          <w:rFonts w:hint="eastAsia"/>
          <w:color w:val="auto"/>
          <w:szCs w:val="32"/>
          <w:lang w:val="en-US" w:eastAsia="zh-CN"/>
        </w:rPr>
        <w:t>108.08</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723"/>
        <w:gridCol w:w="1545"/>
        <w:gridCol w:w="1590"/>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588" w:type="dxa"/>
            <w:vAlign w:val="center"/>
          </w:tcPr>
          <w:p>
            <w:pPr>
              <w:widowControl/>
              <w:ind w:left="0" w:leftChars="0" w:firstLine="0" w:firstLineChars="0"/>
              <w:jc w:val="center"/>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723" w:type="dxa"/>
            <w:vAlign w:val="center"/>
          </w:tcPr>
          <w:p>
            <w:pPr>
              <w:widowControl/>
              <w:jc w:val="center"/>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545" w:type="dxa"/>
            <w:vAlign w:val="center"/>
          </w:tcPr>
          <w:p>
            <w:pPr>
              <w:widowControl/>
              <w:jc w:val="center"/>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590" w:type="dxa"/>
            <w:vAlign w:val="center"/>
          </w:tcPr>
          <w:p>
            <w:pPr>
              <w:widowControl/>
              <w:jc w:val="center"/>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574" w:type="dxa"/>
            <w:vAlign w:val="center"/>
          </w:tcPr>
          <w:p>
            <w:pPr>
              <w:widowControl/>
              <w:ind w:left="0" w:leftChars="0" w:firstLine="0" w:firstLineChars="0"/>
              <w:jc w:val="center"/>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588" w:type="dxa"/>
            <w:vAlign w:val="center"/>
          </w:tcPr>
          <w:p>
            <w:pPr>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20</w:t>
            </w:r>
            <w:r>
              <w:rPr>
                <w:rFonts w:hint="eastAsia" w:ascii="仿宋" w:hAnsi="仿宋" w:eastAsia="仿宋" w:cs="仿宋"/>
                <w:color w:val="auto"/>
                <w:sz w:val="24"/>
                <w:szCs w:val="24"/>
                <w:lang w:val="en-US" w:eastAsia="zh-CN"/>
              </w:rPr>
              <w:t>8</w:t>
            </w:r>
          </w:p>
        </w:tc>
        <w:tc>
          <w:tcPr>
            <w:tcW w:w="272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社会保障和就业支出</w:t>
            </w:r>
          </w:p>
        </w:tc>
        <w:tc>
          <w:tcPr>
            <w:tcW w:w="1545" w:type="dxa"/>
            <w:vAlign w:val="center"/>
          </w:tcPr>
          <w:p>
            <w:pPr>
              <w:keepNext w:val="0"/>
              <w:keepLines w:val="0"/>
              <w:widowControl/>
              <w:suppressLineNumbers w:val="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88.17</w:t>
            </w:r>
          </w:p>
        </w:tc>
        <w:tc>
          <w:tcPr>
            <w:tcW w:w="1590" w:type="dxa"/>
            <w:vAlign w:val="center"/>
          </w:tcPr>
          <w:p>
            <w:pPr>
              <w:keepNext w:val="0"/>
              <w:keepLines w:val="0"/>
              <w:widowControl/>
              <w:suppressLineNumbers w:val="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108.08</w:t>
            </w:r>
          </w:p>
        </w:tc>
        <w:tc>
          <w:tcPr>
            <w:tcW w:w="1574" w:type="dxa"/>
            <w:vAlign w:val="center"/>
          </w:tcPr>
          <w:p>
            <w:pPr>
              <w:keepNext w:val="0"/>
              <w:keepLines w:val="0"/>
              <w:widowControl/>
              <w:suppressLineNumbers w:val="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0</w:t>
            </w:r>
            <w:r>
              <w:rPr>
                <w:rFonts w:hint="eastAsia" w:ascii="仿宋" w:hAnsi="仿宋" w:eastAsia="仿宋" w:cs="仿宋"/>
                <w:color w:val="auto"/>
                <w:sz w:val="24"/>
                <w:szCs w:val="24"/>
                <w:lang w:val="en-US" w:eastAsia="zh-CN"/>
              </w:rPr>
              <w:t>1</w:t>
            </w:r>
          </w:p>
        </w:tc>
        <w:tc>
          <w:tcPr>
            <w:tcW w:w="272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18"/>
                <w:szCs w:val="18"/>
                <w:lang w:val="en-US" w:eastAsia="zh-CN"/>
              </w:rPr>
              <w:t>人力资源和社会保障管理事务</w:t>
            </w:r>
          </w:p>
        </w:tc>
        <w:tc>
          <w:tcPr>
            <w:tcW w:w="1545" w:type="dxa"/>
            <w:vAlign w:val="center"/>
          </w:tcPr>
          <w:p>
            <w:pPr>
              <w:keepNext w:val="0"/>
              <w:keepLines w:val="0"/>
              <w:widowControl/>
              <w:suppressLineNumbers w:val="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88.17</w:t>
            </w:r>
          </w:p>
        </w:tc>
        <w:tc>
          <w:tcPr>
            <w:tcW w:w="1590" w:type="dxa"/>
            <w:vAlign w:val="center"/>
          </w:tcPr>
          <w:p>
            <w:pPr>
              <w:keepNext w:val="0"/>
              <w:keepLines w:val="0"/>
              <w:widowControl/>
              <w:suppressLineNumbers w:val="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108.08</w:t>
            </w:r>
          </w:p>
        </w:tc>
        <w:tc>
          <w:tcPr>
            <w:tcW w:w="1574" w:type="dxa"/>
            <w:vAlign w:val="center"/>
          </w:tcPr>
          <w:p>
            <w:pPr>
              <w:keepNext w:val="0"/>
              <w:keepLines w:val="0"/>
              <w:widowControl/>
              <w:suppressLineNumbers w:val="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w:t>
            </w:r>
            <w:r>
              <w:rPr>
                <w:rFonts w:hint="eastAsia" w:ascii="仿宋" w:hAnsi="仿宋" w:eastAsia="仿宋" w:cs="仿宋"/>
                <w:color w:val="auto"/>
                <w:sz w:val="24"/>
                <w:szCs w:val="24"/>
                <w:lang w:val="en-US" w:eastAsia="zh-CN"/>
              </w:rPr>
              <w:t>80105</w:t>
            </w:r>
          </w:p>
        </w:tc>
        <w:tc>
          <w:tcPr>
            <w:tcW w:w="2723" w:type="dxa"/>
            <w:vAlign w:val="center"/>
          </w:tcPr>
          <w:p>
            <w:pPr>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劳动保障监察</w:t>
            </w:r>
          </w:p>
        </w:tc>
        <w:tc>
          <w:tcPr>
            <w:tcW w:w="1545" w:type="dxa"/>
            <w:vAlign w:val="center"/>
          </w:tcPr>
          <w:p>
            <w:pPr>
              <w:keepNext w:val="0"/>
              <w:keepLines w:val="0"/>
              <w:widowControl/>
              <w:suppressLineNumbers w:val="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88.17</w:t>
            </w:r>
          </w:p>
        </w:tc>
        <w:tc>
          <w:tcPr>
            <w:tcW w:w="1590" w:type="dxa"/>
            <w:vAlign w:val="center"/>
          </w:tcPr>
          <w:p>
            <w:pPr>
              <w:keepNext w:val="0"/>
              <w:keepLines w:val="0"/>
              <w:widowControl/>
              <w:suppressLineNumbers w:val="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108.08</w:t>
            </w:r>
          </w:p>
        </w:tc>
        <w:tc>
          <w:tcPr>
            <w:tcW w:w="1574" w:type="dxa"/>
            <w:vAlign w:val="center"/>
          </w:tcPr>
          <w:p>
            <w:pPr>
              <w:keepNext w:val="0"/>
              <w:keepLines w:val="0"/>
              <w:widowControl/>
              <w:suppressLineNumbers w:val="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22.58%</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56"/>
        <w:gridCol w:w="1500"/>
        <w:gridCol w:w="1950"/>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3456" w:type="dxa"/>
            <w:vAlign w:val="center"/>
          </w:tcPr>
          <w:p>
            <w:pPr>
              <w:widowControl/>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500" w:type="dxa"/>
            <w:vAlign w:val="center"/>
          </w:tcPr>
          <w:p>
            <w:pPr>
              <w:widowControl/>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1950" w:type="dxa"/>
            <w:vAlign w:val="center"/>
          </w:tcPr>
          <w:p>
            <w:pPr>
              <w:widowControl/>
              <w:jc w:val="center"/>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834" w:type="dxa"/>
            <w:vAlign w:val="center"/>
          </w:tcPr>
          <w:p>
            <w:pPr>
              <w:widowControl/>
              <w:jc w:val="center"/>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3456"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500"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88.17</w:t>
            </w:r>
          </w:p>
        </w:tc>
        <w:tc>
          <w:tcPr>
            <w:tcW w:w="1950"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108.08</w:t>
            </w:r>
          </w:p>
        </w:tc>
        <w:tc>
          <w:tcPr>
            <w:tcW w:w="1834"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trPr>
        <w:tc>
          <w:tcPr>
            <w:tcW w:w="3456"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500"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80.95</w:t>
            </w:r>
          </w:p>
        </w:tc>
        <w:tc>
          <w:tcPr>
            <w:tcW w:w="1950"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98.89</w:t>
            </w:r>
          </w:p>
        </w:tc>
        <w:tc>
          <w:tcPr>
            <w:tcW w:w="1834"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6" w:hRule="atLeast"/>
        </w:trPr>
        <w:tc>
          <w:tcPr>
            <w:tcW w:w="3456"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500"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7.22</w:t>
            </w:r>
          </w:p>
        </w:tc>
        <w:tc>
          <w:tcPr>
            <w:tcW w:w="1950"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7.42</w:t>
            </w:r>
          </w:p>
        </w:tc>
        <w:tc>
          <w:tcPr>
            <w:tcW w:w="1834"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3456"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500"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p>
        </w:tc>
        <w:tc>
          <w:tcPr>
            <w:tcW w:w="1950"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p>
        </w:tc>
        <w:tc>
          <w:tcPr>
            <w:tcW w:w="1834"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3456"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资本性支出</w:t>
            </w:r>
          </w:p>
        </w:tc>
        <w:tc>
          <w:tcPr>
            <w:tcW w:w="1500"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p>
        </w:tc>
        <w:tc>
          <w:tcPr>
            <w:tcW w:w="1950"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1.77</w:t>
            </w:r>
          </w:p>
        </w:tc>
        <w:tc>
          <w:tcPr>
            <w:tcW w:w="1834"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103.61</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98.89</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基本工资44.01万元、津贴补贴9.35万元、绩效工资24.12万元、机关事业单位基本养老保险缴费10.96万元、职工基本医疗保险缴费4.49万元、其他社会保障缴费0.71万元、住房公积金5.24万元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4.72</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办公费1.42万元、咨询费0.26万元、电费0.12万元、邮电费0.16万元、差旅费1.69万元、工会费0.75万元、公务用车运行维护费0.04万元、办公设备购置0.28万元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4.47</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0.85</w:t>
      </w:r>
      <w:r>
        <w:rPr>
          <w:rFonts w:hint="eastAsia" w:ascii="仿宋_GB2312"/>
          <w:color w:val="auto"/>
          <w:szCs w:val="32"/>
        </w:rPr>
        <w:t>万元，，比上年减少</w:t>
      </w:r>
      <w:r>
        <w:rPr>
          <w:rFonts w:hint="eastAsia" w:ascii="仿宋_GB2312"/>
          <w:color w:val="auto"/>
          <w:szCs w:val="32"/>
          <w:lang w:val="en-US" w:eastAsia="zh-CN"/>
        </w:rPr>
        <w:t>0.35</w:t>
      </w:r>
      <w:r>
        <w:rPr>
          <w:rFonts w:hint="eastAsia" w:ascii="仿宋_GB2312"/>
          <w:color w:val="auto"/>
          <w:szCs w:val="32"/>
        </w:rPr>
        <w:t>万元，下降</w:t>
      </w:r>
      <w:r>
        <w:rPr>
          <w:rFonts w:hint="eastAsia" w:ascii="仿宋_GB2312"/>
          <w:color w:val="auto"/>
          <w:szCs w:val="32"/>
          <w:lang w:val="en-US" w:eastAsia="zh-CN"/>
        </w:rPr>
        <w:t>29.06</w:t>
      </w:r>
      <w:r>
        <w:rPr>
          <w:rFonts w:hint="eastAsia" w:ascii="仿宋_GB2312"/>
          <w:color w:val="auto"/>
          <w:szCs w:val="32"/>
        </w:rPr>
        <w:t>%，原因是：</w:t>
      </w:r>
      <w:r>
        <w:rPr>
          <w:rFonts w:hint="eastAsia" w:ascii="仿宋_GB2312"/>
          <w:color w:val="auto"/>
          <w:szCs w:val="32"/>
          <w:lang w:val="en-US" w:eastAsia="zh-CN"/>
        </w:rPr>
        <w:t>节约公务用车开支</w:t>
      </w:r>
      <w:r>
        <w:rPr>
          <w:rFonts w:hint="eastAsia" w:ascii="仿宋_GB2312"/>
          <w:color w:val="auto"/>
          <w:szCs w:val="32"/>
        </w:rPr>
        <w:t>。其中：公务用车购置及运行费支出决算</w:t>
      </w:r>
      <w:r>
        <w:rPr>
          <w:rFonts w:hint="eastAsia" w:ascii="仿宋_GB2312"/>
          <w:color w:val="auto"/>
          <w:szCs w:val="32"/>
          <w:lang w:val="en-US" w:eastAsia="zh-CN"/>
        </w:rPr>
        <w:t>0.85</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%，比上年减少</w:t>
      </w:r>
      <w:r>
        <w:rPr>
          <w:rFonts w:hint="eastAsia" w:ascii="仿宋_GB2312"/>
          <w:color w:val="auto"/>
          <w:szCs w:val="32"/>
          <w:lang w:val="en-US" w:eastAsia="zh-CN"/>
        </w:rPr>
        <w:t>0.35</w:t>
      </w:r>
      <w:r>
        <w:rPr>
          <w:rFonts w:hint="eastAsia" w:ascii="仿宋_GB2312"/>
          <w:color w:val="auto"/>
          <w:szCs w:val="32"/>
        </w:rPr>
        <w:t>万元，减少</w:t>
      </w:r>
      <w:r>
        <w:rPr>
          <w:rFonts w:hint="eastAsia" w:ascii="仿宋_GB2312"/>
          <w:color w:val="auto"/>
          <w:szCs w:val="32"/>
          <w:lang w:val="en-US" w:eastAsia="zh-CN"/>
        </w:rPr>
        <w:t>29.06</w:t>
      </w:r>
      <w:r>
        <w:rPr>
          <w:rFonts w:hint="eastAsia" w:ascii="仿宋_GB2312"/>
          <w:color w:val="auto"/>
          <w:szCs w:val="32"/>
        </w:rPr>
        <w:t>%。具体情况如下：</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6"/>
        <w:gridCol w:w="2025"/>
        <w:gridCol w:w="1710"/>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6"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2025"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10"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650" w:type="dxa"/>
            <w:vAlign w:val="top"/>
          </w:tcPr>
          <w:p>
            <w:pPr>
              <w:pStyle w:val="8"/>
              <w:ind w:left="0" w:leftChars="0" w:firstLine="0" w:firstLineChars="0"/>
              <w:jc w:val="center"/>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6" w:type="dxa"/>
            <w:vAlign w:val="top"/>
          </w:tcPr>
          <w:p>
            <w:pPr>
              <w:pStyle w:val="8"/>
              <w:rPr>
                <w:rFonts w:hint="eastAsia"/>
                <w:color w:val="000000"/>
                <w:sz w:val="28"/>
                <w:szCs w:val="28"/>
              </w:rPr>
            </w:pPr>
            <w:r>
              <w:rPr>
                <w:rFonts w:hint="eastAsia"/>
                <w:color w:val="000000"/>
                <w:sz w:val="28"/>
                <w:szCs w:val="28"/>
              </w:rPr>
              <w:t>因公出国（境）费</w:t>
            </w:r>
          </w:p>
        </w:tc>
        <w:tc>
          <w:tcPr>
            <w:tcW w:w="2025" w:type="dxa"/>
            <w:vAlign w:val="top"/>
          </w:tcPr>
          <w:p>
            <w:pPr>
              <w:pStyle w:val="8"/>
              <w:jc w:val="right"/>
              <w:rPr>
                <w:rFonts w:hint="eastAsia"/>
                <w:color w:val="000000"/>
                <w:sz w:val="28"/>
                <w:szCs w:val="28"/>
              </w:rPr>
            </w:pPr>
          </w:p>
        </w:tc>
        <w:tc>
          <w:tcPr>
            <w:tcW w:w="1710" w:type="dxa"/>
            <w:vAlign w:val="top"/>
          </w:tcPr>
          <w:p>
            <w:pPr>
              <w:pStyle w:val="8"/>
              <w:jc w:val="right"/>
              <w:rPr>
                <w:rFonts w:hint="eastAsia"/>
                <w:color w:val="000000"/>
                <w:sz w:val="28"/>
                <w:szCs w:val="28"/>
              </w:rPr>
            </w:pPr>
          </w:p>
        </w:tc>
        <w:tc>
          <w:tcPr>
            <w:tcW w:w="1650"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6" w:type="dxa"/>
            <w:vAlign w:val="top"/>
          </w:tcPr>
          <w:p>
            <w:pPr>
              <w:pStyle w:val="8"/>
              <w:rPr>
                <w:rFonts w:hint="eastAsia"/>
                <w:color w:val="000000"/>
                <w:sz w:val="28"/>
                <w:szCs w:val="28"/>
              </w:rPr>
            </w:pPr>
            <w:r>
              <w:rPr>
                <w:rFonts w:hint="eastAsia"/>
                <w:color w:val="000000"/>
                <w:sz w:val="28"/>
                <w:szCs w:val="28"/>
              </w:rPr>
              <w:t>公务接待费</w:t>
            </w:r>
          </w:p>
        </w:tc>
        <w:tc>
          <w:tcPr>
            <w:tcW w:w="2025" w:type="dxa"/>
            <w:vAlign w:val="top"/>
          </w:tcPr>
          <w:p>
            <w:pPr>
              <w:pStyle w:val="8"/>
              <w:jc w:val="right"/>
              <w:rPr>
                <w:rFonts w:hint="eastAsia"/>
                <w:color w:val="000000"/>
                <w:sz w:val="28"/>
                <w:szCs w:val="28"/>
              </w:rPr>
            </w:pPr>
          </w:p>
        </w:tc>
        <w:tc>
          <w:tcPr>
            <w:tcW w:w="1710" w:type="dxa"/>
            <w:vAlign w:val="top"/>
          </w:tcPr>
          <w:p>
            <w:pPr>
              <w:pStyle w:val="8"/>
              <w:jc w:val="right"/>
              <w:rPr>
                <w:rFonts w:hint="eastAsia"/>
                <w:color w:val="000000"/>
                <w:sz w:val="28"/>
                <w:szCs w:val="28"/>
              </w:rPr>
            </w:pPr>
          </w:p>
        </w:tc>
        <w:tc>
          <w:tcPr>
            <w:tcW w:w="1650"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46" w:type="dxa"/>
            <w:vAlign w:val="top"/>
          </w:tcPr>
          <w:p>
            <w:pPr>
              <w:pStyle w:val="8"/>
              <w:ind w:left="0" w:leftChars="0" w:firstLine="0" w:firstLineChars="0"/>
              <w:rPr>
                <w:rFonts w:hint="eastAsia"/>
                <w:color w:val="000000"/>
                <w:sz w:val="28"/>
                <w:szCs w:val="28"/>
              </w:rPr>
            </w:pPr>
            <w:r>
              <w:rPr>
                <w:rFonts w:hint="eastAsia"/>
                <w:color w:val="000000"/>
                <w:sz w:val="24"/>
                <w:szCs w:val="24"/>
              </w:rPr>
              <w:t>公务用车购置及运行维护费</w:t>
            </w:r>
          </w:p>
        </w:tc>
        <w:tc>
          <w:tcPr>
            <w:tcW w:w="2025" w:type="dxa"/>
            <w:vAlign w:val="center"/>
          </w:tcPr>
          <w:p>
            <w:pPr>
              <w:pStyle w:val="8"/>
              <w:jc w:val="both"/>
              <w:rPr>
                <w:rFonts w:hint="default" w:eastAsia="宋体"/>
                <w:color w:val="000000"/>
                <w:sz w:val="28"/>
                <w:szCs w:val="28"/>
                <w:lang w:val="en-US" w:eastAsia="zh-CN"/>
              </w:rPr>
            </w:pPr>
            <w:r>
              <w:rPr>
                <w:rFonts w:hint="eastAsia" w:eastAsia="宋体"/>
                <w:color w:val="000000"/>
                <w:sz w:val="28"/>
                <w:szCs w:val="28"/>
                <w:lang w:val="en-US" w:eastAsia="zh-CN"/>
              </w:rPr>
              <w:t>1.2</w:t>
            </w:r>
          </w:p>
        </w:tc>
        <w:tc>
          <w:tcPr>
            <w:tcW w:w="1710" w:type="dxa"/>
            <w:vAlign w:val="center"/>
          </w:tcPr>
          <w:p>
            <w:pPr>
              <w:pStyle w:val="8"/>
              <w:jc w:val="both"/>
              <w:rPr>
                <w:rFonts w:hint="default" w:eastAsia="仿宋_GB2312"/>
                <w:color w:val="000000"/>
                <w:sz w:val="28"/>
                <w:szCs w:val="28"/>
                <w:lang w:val="en-US" w:eastAsia="zh-CN"/>
              </w:rPr>
            </w:pPr>
            <w:r>
              <w:rPr>
                <w:rFonts w:hint="eastAsia"/>
                <w:color w:val="000000"/>
                <w:sz w:val="28"/>
                <w:szCs w:val="28"/>
                <w:lang w:val="en-US" w:eastAsia="zh-CN"/>
              </w:rPr>
              <w:t>0.85</w:t>
            </w:r>
          </w:p>
        </w:tc>
        <w:tc>
          <w:tcPr>
            <w:tcW w:w="1650" w:type="dxa"/>
            <w:vAlign w:val="center"/>
          </w:tcPr>
          <w:p>
            <w:pPr>
              <w:pStyle w:val="8"/>
              <w:jc w:val="both"/>
              <w:rPr>
                <w:rFonts w:hint="default" w:eastAsia="宋体"/>
                <w:color w:val="000000"/>
                <w:sz w:val="28"/>
                <w:szCs w:val="28"/>
                <w:lang w:val="en-US" w:eastAsia="zh-CN"/>
              </w:rPr>
            </w:pPr>
            <w:r>
              <w:rPr>
                <w:rFonts w:hint="eastAsia" w:eastAsia="宋体"/>
                <w:color w:val="000000"/>
                <w:sz w:val="28"/>
                <w:szCs w:val="28"/>
                <w:lang w:val="en-US" w:eastAsia="zh-CN"/>
              </w:rPr>
              <w:t>-29.06</w:t>
            </w:r>
          </w:p>
        </w:tc>
      </w:tr>
    </w:tbl>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color w:val="auto"/>
          <w:szCs w:val="32"/>
        </w:rPr>
      </w:pPr>
      <w:r>
        <w:rPr>
          <w:rFonts w:hint="eastAsia"/>
          <w:b/>
          <w:color w:val="auto"/>
          <w:szCs w:val="32"/>
        </w:rPr>
        <w:t>本部门无机关运行经费。</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6.14</w:t>
      </w:r>
      <w:r>
        <w:rPr>
          <w:rFonts w:hint="eastAsia" w:ascii="仿宋_GB2312"/>
          <w:color w:val="auto"/>
          <w:szCs w:val="32"/>
        </w:rPr>
        <w:t>万元，其中：政府采购货物支出</w:t>
      </w:r>
      <w:r>
        <w:rPr>
          <w:rFonts w:hint="eastAsia" w:ascii="仿宋_GB2312"/>
          <w:color w:val="auto"/>
          <w:szCs w:val="32"/>
          <w:lang w:val="en-US" w:eastAsia="zh-CN"/>
        </w:rPr>
        <w:t>6.14</w:t>
      </w:r>
      <w:r>
        <w:rPr>
          <w:rFonts w:hint="eastAsia" w:ascii="仿宋_GB2312"/>
          <w:color w:val="auto"/>
          <w:szCs w:val="32"/>
        </w:rPr>
        <w:t>万元</w:t>
      </w:r>
      <w:r>
        <w:rPr>
          <w:rFonts w:hint="eastAsia" w:ascii="仿宋_GB2312"/>
          <w:color w:val="auto"/>
          <w:szCs w:val="32"/>
          <w:lang w:eastAsia="zh-CN"/>
        </w:rPr>
        <w:t>，</w:t>
      </w:r>
      <w:r>
        <w:rPr>
          <w:rFonts w:hint="eastAsia" w:ascii="仿宋_GB2312"/>
          <w:color w:val="auto"/>
          <w:szCs w:val="32"/>
        </w:rPr>
        <w:t>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6.14</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w:t>
      </w:r>
      <w:r>
        <w:rPr>
          <w:rFonts w:hint="eastAsia" w:ascii="仿宋_GB2312"/>
          <w:color w:val="auto"/>
          <w:szCs w:val="32"/>
          <w:lang w:eastAsia="zh-CN"/>
        </w:rPr>
        <w:t>，</w:t>
      </w:r>
      <w:r>
        <w:rPr>
          <w:rFonts w:hint="eastAsia" w:ascii="仿宋_GB2312"/>
          <w:color w:val="auto"/>
          <w:szCs w:val="32"/>
          <w:lang w:val="en-US" w:eastAsia="zh-CN"/>
        </w:rPr>
        <w:t>为</w:t>
      </w:r>
      <w:r>
        <w:rPr>
          <w:rFonts w:hint="eastAsia" w:ascii="仿宋_GB2312"/>
          <w:color w:val="auto"/>
          <w:szCs w:val="32"/>
        </w:rPr>
        <w:t>执法执勤用车</w:t>
      </w:r>
      <w:r>
        <w:rPr>
          <w:rFonts w:hint="eastAsia" w:ascii="仿宋_GB2312"/>
          <w:color w:val="auto"/>
          <w:szCs w:val="32"/>
          <w:lang w:eastAsia="zh-CN"/>
        </w:rPr>
        <w:t>。</w:t>
      </w:r>
      <w:r>
        <w:rPr>
          <w:rFonts w:hint="eastAsia" w:ascii="仿宋_GB2312"/>
          <w:color w:val="auto"/>
          <w:szCs w:val="32"/>
          <w:lang w:val="en-US" w:eastAsia="zh-CN"/>
        </w:rPr>
        <w:t>无</w:t>
      </w:r>
      <w:r>
        <w:rPr>
          <w:rFonts w:hint="eastAsia" w:ascii="仿宋_GB2312"/>
          <w:color w:val="auto"/>
          <w:szCs w:val="32"/>
        </w:rPr>
        <w:t>单价50万元（含）以上的通用设备，单价100万元（含）以上专用设备。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3"/>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我单位无县级财政预算安排的专项资金类和200万元以上的经费补助类项目。无政府性基金预算项目。</w:t>
      </w:r>
    </w:p>
    <w:p>
      <w:pPr>
        <w:numPr>
          <w:ilvl w:val="0"/>
          <w:numId w:val="3"/>
        </w:numPr>
        <w:ind w:left="0" w:leftChars="0" w:firstLine="643" w:firstLineChars="200"/>
        <w:rPr>
          <w:rFonts w:hint="eastAsia" w:ascii="仿宋" w:hAnsi="仿宋" w:eastAsia="仿宋" w:cs="仿宋"/>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部门决算中项目绩效自评结果。</w:t>
      </w:r>
      <w:r>
        <w:rPr>
          <w:rFonts w:hint="eastAsia" w:ascii="仿宋" w:hAnsi="仿宋" w:eastAsia="仿宋" w:cs="仿宋"/>
          <w:b w:val="0"/>
          <w:bCs w:val="0"/>
          <w:color w:val="auto"/>
          <w:sz w:val="32"/>
          <w:szCs w:val="32"/>
          <w:lang w:val="en-US" w:eastAsia="zh-CN"/>
        </w:rPr>
        <w:t>我单位无重点项目。</w:t>
      </w:r>
    </w:p>
    <w:p>
      <w:pPr>
        <w:numPr>
          <w:ilvl w:val="0"/>
          <w:numId w:val="2"/>
        </w:numPr>
        <w:ind w:left="0" w:leftChars="0" w:firstLine="643" w:firstLineChars="200"/>
        <w:rPr>
          <w:rFonts w:hint="default" w:ascii="仿宋" w:hAnsi="仿宋" w:eastAsia="仿宋" w:cs="仿宋"/>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 w:hAnsi="仿宋" w:eastAsia="仿宋" w:cs="仿宋"/>
          <w:b w:val="0"/>
          <w:bCs w:val="0"/>
          <w:color w:val="auto"/>
          <w:sz w:val="32"/>
          <w:szCs w:val="32"/>
          <w:lang w:val="en-US" w:eastAsia="zh-CN"/>
        </w:rPr>
        <w:t>我单位无重点项目。</w:t>
      </w:r>
    </w:p>
    <w:p>
      <w:pPr>
        <w:rPr>
          <w:rFonts w:hint="eastAsia" w:ascii="仿宋" w:hAnsi="仿宋" w:eastAsia="仿宋" w:cs="仿宋"/>
          <w:b w:val="0"/>
          <w:bCs w:val="0"/>
          <w:color w:val="auto"/>
          <w:sz w:val="32"/>
          <w:szCs w:val="32"/>
          <w:lang w:val="en-US" w:eastAsia="zh-CN"/>
        </w:rPr>
      </w:pPr>
      <w:bookmarkStart w:id="30" w:name="_Toc28108"/>
      <w:bookmarkStart w:id="31" w:name="_Toc8450"/>
      <w:r>
        <w:rPr>
          <w:rFonts w:hint="eastAsia"/>
          <w:b/>
          <w:bCs/>
          <w:color w:val="auto"/>
          <w:lang w:eastAsia="zh-CN"/>
        </w:rPr>
        <w:t>（</w:t>
      </w:r>
      <w:r>
        <w:rPr>
          <w:rFonts w:hint="eastAsia"/>
          <w:b/>
          <w:bCs/>
          <w:color w:val="auto"/>
          <w:lang w:val="en-US" w:eastAsia="zh-CN"/>
        </w:rPr>
        <w:t>五</w:t>
      </w:r>
      <w:r>
        <w:rPr>
          <w:rFonts w:hint="eastAsia"/>
          <w:b/>
          <w:bCs/>
          <w:color w:val="auto"/>
          <w:lang w:eastAsia="zh-CN"/>
        </w:rPr>
        <w:t>）其他需要说明的事项</w:t>
      </w:r>
      <w:bookmarkEnd w:id="30"/>
      <w:bookmarkEnd w:id="31"/>
      <w:r>
        <w:rPr>
          <w:rFonts w:hint="eastAsia"/>
          <w:b/>
          <w:bCs/>
          <w:color w:val="auto"/>
          <w:lang w:val="en-US" w:eastAsia="zh-CN"/>
        </w:rPr>
        <w:t>。</w:t>
      </w:r>
      <w:r>
        <w:rPr>
          <w:rFonts w:hint="eastAsia" w:ascii="仿宋" w:hAnsi="仿宋" w:eastAsia="仿宋" w:cs="仿宋"/>
          <w:b w:val="0"/>
          <w:bCs w:val="0"/>
          <w:color w:val="auto"/>
          <w:sz w:val="32"/>
          <w:szCs w:val="32"/>
          <w:lang w:val="en-US" w:eastAsia="zh-CN"/>
        </w:rPr>
        <w:t>无。</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left="0" w:leftChars="0" w:firstLine="0" w:firstLineChars="0"/>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单位名称：静乐县劳动保障监察综合行政执法队</w:t>
      </w:r>
    </w:p>
    <w:p>
      <w:pPr>
        <w:ind w:left="0" w:leftChars="0" w:firstLine="3840" w:firstLineChars="12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569DD"/>
    <w:multiLevelType w:val="singleLevel"/>
    <w:tmpl w:val="3ED569DD"/>
    <w:lvl w:ilvl="0" w:tentative="0">
      <w:start w:val="2"/>
      <w:numFmt w:val="chineseCounting"/>
      <w:suff w:val="nothing"/>
      <w:lvlText w:val="%1、"/>
      <w:lvlJc w:val="left"/>
      <w:rPr>
        <w:rFonts w:hint="eastAsia"/>
      </w:rPr>
    </w:lvl>
  </w:abstractNum>
  <w:abstractNum w:abstractNumId="1">
    <w:nsid w:val="527DE6C5"/>
    <w:multiLevelType w:val="singleLevel"/>
    <w:tmpl w:val="527DE6C5"/>
    <w:lvl w:ilvl="0" w:tentative="0">
      <w:start w:val="1"/>
      <w:numFmt w:val="decimal"/>
      <w:suff w:val="nothing"/>
      <w:lvlText w:val="（%1）"/>
      <w:lvlJc w:val="left"/>
    </w:lvl>
  </w:abstractNum>
  <w:abstractNum w:abstractNumId="2">
    <w:nsid w:val="60A4CC00"/>
    <w:multiLevelType w:val="singleLevel"/>
    <w:tmpl w:val="60A4CC00"/>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kYzg1ZWVlZmFiZjEyZmY0ZDczNmZjZTYyNTg0NDMifQ=="/>
  </w:docVars>
  <w:rsids>
    <w:rsidRoot w:val="495520D0"/>
    <w:rsid w:val="03696819"/>
    <w:rsid w:val="09490E3D"/>
    <w:rsid w:val="0CCD42A1"/>
    <w:rsid w:val="0D5361D6"/>
    <w:rsid w:val="0D7750C3"/>
    <w:rsid w:val="16654CDD"/>
    <w:rsid w:val="1A4A5C33"/>
    <w:rsid w:val="1E0E67D6"/>
    <w:rsid w:val="1EA75C5E"/>
    <w:rsid w:val="20D83632"/>
    <w:rsid w:val="2701594C"/>
    <w:rsid w:val="27426717"/>
    <w:rsid w:val="27BB1A3E"/>
    <w:rsid w:val="37943B50"/>
    <w:rsid w:val="3821117E"/>
    <w:rsid w:val="3B580765"/>
    <w:rsid w:val="429338D8"/>
    <w:rsid w:val="42C12CEC"/>
    <w:rsid w:val="44401A62"/>
    <w:rsid w:val="44705D8C"/>
    <w:rsid w:val="493E4634"/>
    <w:rsid w:val="495520D0"/>
    <w:rsid w:val="4A012068"/>
    <w:rsid w:val="52E96962"/>
    <w:rsid w:val="53A30631"/>
    <w:rsid w:val="5EC01F6A"/>
    <w:rsid w:val="63AB51DF"/>
    <w:rsid w:val="649C6DC9"/>
    <w:rsid w:val="715A78E4"/>
    <w:rsid w:val="7761744D"/>
    <w:rsid w:val="7EF30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2668</Words>
  <Characters>3091</Characters>
  <Lines>0</Lines>
  <Paragraphs>0</Paragraphs>
  <ScaleCrop>false</ScaleCrop>
  <LinksUpToDate>false</LinksUpToDate>
  <CharactersWithSpaces>3142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2022-08-22T09:56:32Z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04BEC50D45E84C29983B0927AA543307</vt:lpwstr>
  </property>
</Properties>
</file>