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鸿远农产品有限公司优质粮食工程补助资金</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静乐县发展和改革局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静乐县发展和改革局-013</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鸿远农产品有限公司优质粮食工程补助资金是为了促进企业实现优粮优加、优粮优销，推动地方经济发展而设立的项目。</w:t>
      </w:r>
    </w:p>
    <w:p>
      <w:pPr>
        <w:pStyle w:val="44"/>
        <w:ind w:left="280" w:firstLine="562"/>
        <w:rPr>
          <w:lang w:eastAsia="zh-CN"/>
        </w:rPr>
      </w:pPr>
      <w:r>
        <w:rPr>
          <w:rFonts w:hint="eastAsia"/>
          <w:b/>
          <w:bCs/>
          <w:lang w:val="en-US" w:eastAsia="zh-CN"/>
        </w:rPr>
        <w:t>立项依据：</w:t>
      </w:r>
      <w:r>
        <w:rPr>
          <w:rFonts w:hint="eastAsia"/>
          <w:lang w:eastAsia="zh-CN"/>
        </w:rPr>
        <w:t>忻州市静乐县“中国好粮油”行动示范县实施方案（2019-2020年度）</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项目的实施将积极推进现代农业发展，实现产、加、销一体化经营，开发具有本地特色的“中国好粮油”产品，突出品牌提升，发挥行动示范引领，带动地区粮油示范企业发展。</w:t>
      </w:r>
    </w:p>
    <w:p>
      <w:pPr>
        <w:pStyle w:val="44"/>
        <w:ind w:left="280" w:firstLine="562"/>
        <w:rPr>
          <w:lang w:eastAsia="zh-CN"/>
        </w:rPr>
      </w:pPr>
      <w:r>
        <w:rPr>
          <w:rFonts w:hint="eastAsia"/>
          <w:b/>
          <w:bCs/>
          <w:lang w:val="en-US" w:eastAsia="zh-CN"/>
        </w:rPr>
        <w:t>保证项目实施的措施与制度：</w:t>
      </w:r>
      <w:r>
        <w:rPr>
          <w:rFonts w:hint="eastAsia"/>
          <w:lang w:eastAsia="zh-CN"/>
        </w:rPr>
        <w:t>优粮优加（建设机榨麻油、木梁榨油、方便面挂面膨化食品加工、燕麦制粉车间改造4条）、优粮优销（建设线上线下销售渠道）。</w:t>
      </w:r>
    </w:p>
    <w:p>
      <w:pPr>
        <w:pStyle w:val="44"/>
        <w:ind w:left="280" w:firstLine="562"/>
        <w:rPr>
          <w:lang w:eastAsia="zh-CN"/>
        </w:rPr>
      </w:pPr>
      <w:r>
        <w:rPr>
          <w:rFonts w:hint="eastAsia"/>
          <w:b/>
          <w:bCs/>
          <w:lang w:val="en-US" w:eastAsia="zh-CN"/>
        </w:rPr>
        <w:t>项目实施计划：</w:t>
      </w:r>
      <w:r>
        <w:rPr>
          <w:rFonts w:hint="eastAsia"/>
          <w:lang w:eastAsia="zh-CN"/>
        </w:rPr>
        <w:t>优粮优加（建设机榨麻油、木梁榨油、方便面挂面膨化食品加工、燕麦制粉车间改造4条）、优粮优销（建设线上线下销售渠道）。</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53</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实现优粮优加（建设机榨麻油、木梁榨油、方便面挂面膨化食品加工、燕麦制粉车间改造4条）、优粮优销（建设线上线下销售渠道）。</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实现优粮优加（建设机榨麻油、木梁榨油、方便面挂面膨化食品加工、燕麦制粉车间改造4条）、优粮优销（建设线上线下销售渠道）。</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鸿远农产品有限公司优质粮食工程补助资金</w:t>
      </w:r>
      <w:r>
        <w:rPr>
          <w:rFonts w:hint="eastAsia"/>
          <w:lang w:eastAsia="zh-CN"/>
        </w:rPr>
        <w:t>项目绩效自评价结果为:总得分</w:t>
      </w:r>
      <w:r>
        <w:rPr>
          <w:color w:val=""/>
          <w:u w:val="none"/>
        </w:rPr>
        <w:t>99.89</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建设生产线（条）</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4条</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产品质量合格率（％）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项目建设期（年）</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1年</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4条生产线投入资金（219万）,线上线下销售投入资金（44万）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263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263万元</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年收益预期目标（万元）</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≥60万元</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给当地群众提供就业岗位（个）</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≥23个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延伸产业链，提高经济效益年限（年）</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20年</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无</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无</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无</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无</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建设生产线（条）</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4条</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产品质量合格率（％）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项目建设期（年）</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1年</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4条生产线投入资金（219万）,线上线下销售投入资金（44万）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263</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263万元</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年收益预期目标（万元）</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≥60万元</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给当地群众提供就业岗位（个）</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≥23个</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延伸产业链，提高经济效益年限（年）</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20年</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