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专款（忻财资环【2021】87号）关于下达2021年冬季清洁取暖第一批补助资金的通知</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静乐县能源局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静乐县能源局-029</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全县2021年完成清洁取暖“煤改电”655户</w:t>
      </w:r>
    </w:p>
    <w:p>
      <w:pPr>
        <w:pStyle w:val="44"/>
        <w:ind w:left="280" w:firstLine="562"/>
        <w:rPr>
          <w:lang w:eastAsia="zh-CN"/>
        </w:rPr>
      </w:pPr>
      <w:r>
        <w:rPr>
          <w:rFonts w:hint="eastAsia"/>
          <w:b/>
          <w:bCs/>
          <w:lang w:val="en-US" w:eastAsia="zh-CN"/>
        </w:rPr>
        <w:t>立项依据：</w:t>
      </w:r>
      <w:r>
        <w:rPr>
          <w:rFonts w:hint="eastAsia"/>
          <w:lang w:eastAsia="zh-CN"/>
        </w:rPr>
        <w:t>忻财资环【2021】87号</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为全面贯彻落实市委、市政府关于清洁全暖工作的决策部署</w:t>
      </w:r>
    </w:p>
    <w:p>
      <w:pPr>
        <w:pStyle w:val="44"/>
        <w:ind w:left="280" w:firstLine="562"/>
        <w:rPr>
          <w:lang w:eastAsia="zh-CN"/>
        </w:rPr>
      </w:pPr>
      <w:r>
        <w:rPr>
          <w:rFonts w:hint="eastAsia"/>
          <w:b/>
          <w:bCs/>
          <w:lang w:val="en-US" w:eastAsia="zh-CN"/>
        </w:rPr>
        <w:t>保证项目实施的措施与制度：</w:t>
      </w:r>
      <w:r>
        <w:rPr>
          <w:rFonts w:hint="eastAsia"/>
          <w:lang w:eastAsia="zh-CN"/>
        </w:rPr>
        <w:t>（一）制定方案 （二）组织实施 （三）考核总结</w:t>
      </w:r>
    </w:p>
    <w:p>
      <w:pPr>
        <w:pStyle w:val="44"/>
        <w:ind w:left="280" w:firstLine="562"/>
        <w:rPr>
          <w:lang w:eastAsia="zh-CN"/>
        </w:rPr>
      </w:pPr>
      <w:r>
        <w:rPr>
          <w:rFonts w:hint="eastAsia"/>
          <w:b/>
          <w:bCs/>
          <w:lang w:val="en-US" w:eastAsia="zh-CN"/>
        </w:rPr>
        <w:t>项目实施计划：</w:t>
      </w:r>
      <w:r>
        <w:rPr>
          <w:rFonts w:hint="eastAsia"/>
          <w:lang w:eastAsia="zh-CN"/>
        </w:rPr>
        <w:t>市级负责设备的统一采购、资金的统一结算，县人民政府授权县能源局代表县政府分别与中标企业签订设备供货合同</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131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131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131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131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2021年冬季清洁取暖第一批补助资金</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“煤改电”清洁取暖工程设备采购，执行全市统一标准，选用空气源热泵类电采暖设备</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专款（忻财资环【2021】87号）关于下达2021年冬季清洁取暖第一批补助资金的通知</w:t>
      </w:r>
      <w:r>
        <w:rPr>
          <w:rFonts w:hint="eastAsia"/>
          <w:lang w:eastAsia="zh-CN"/>
        </w:rPr>
        <w:t>项目绩效自评价结果为:总得分</w:t>
      </w:r>
      <w:r>
        <w:rPr>
          <w:color w:val=""/>
          <w:u w:val="none"/>
        </w:rPr>
        <w:t>99.17</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完成户数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655户</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质量控制</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市级负责设备的统一采购、资金的统一结算</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实施期限</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9月底</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成本管控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市级负责设备的统一采购、资金的统一结算</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经济成本节约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执行全市统一标准</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14.17</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质量控制：市级负责设备的统一采购、资金的统一结算；实施期限：9；成本管控：市级负责设备的统一采购、资金的统一结算；经济成本节约：执行全市统一标准；完成户数：655；预算执行率：100%</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质量控制：市级负责设备的统一采购、资金的统一结算；实施期限：9；成本管控：市级负责设备的统一采购、资金的统一结算；经济成本节约：执行全市统一标准；完成户数：655；预算执行率：100%</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质量控制：市级负责设备的统一采购、资金的统一结算；实施期限：9；成本管控：市级负责设备的统一采购、资金的统一结算；经济成本节约：执行全市统一标准；完成户数：655；预算执行率：100%</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质量控制：市级负责设备的统一采购、资金的统一结算；实施期限：9；成本管控：市级负责设备的统一采购、资金的统一结算；经济成本节约：执行全市统一标准；完成户数：655；预算执行率：100%</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完成户数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655户</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质量控制</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市级负责设备的统一采购、资金的统一结算</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实施期限</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9月底</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成本管控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市级负责设备的统一采购、资金的统一结算</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经济成本节约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执行全市统一标准</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94.44%</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14.17</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