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lang w:val="en-US" w:eastAsia="zh-CN"/>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静乐县中庄联合学区</w:t>
      </w:r>
    </w:p>
    <w:p>
      <w:pPr>
        <w:pStyle w:val="2"/>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7"/>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8"/>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rFonts w:hint="eastAsia"/>
          <w:color w:val="auto"/>
          <w:lang w:val="en-US" w:eastAsia="zh-CN"/>
        </w:rPr>
        <w:t xml:space="preserve">  9</w:t>
      </w:r>
      <w:r>
        <w:rPr>
          <w:color w:val="auto"/>
        </w:rPr>
        <w:fldChar w:fldCharType="begin"/>
      </w:r>
      <w:r>
        <w:rPr>
          <w:color w:val="auto"/>
        </w:rPr>
        <w:instrText xml:space="preserve"> PAGEREF _Toc28108 </w:instrText>
      </w:r>
      <w:r>
        <w:rPr>
          <w:color w:val="auto"/>
        </w:rPr>
        <w:fldChar w:fldCharType="separate"/>
      </w:r>
      <w:r>
        <w:rPr>
          <w:b/>
        </w:rPr>
        <w:t>。</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一、本部门职责</w:t>
      </w:r>
      <w:bookmarkEnd w:id="5"/>
      <w:bookmarkEnd w:id="6"/>
    </w:p>
    <w:p>
      <w:pPr>
        <w:rPr>
          <w:rFonts w:hint="eastAsia"/>
          <w:color w:val="auto"/>
        </w:rPr>
      </w:pPr>
      <w:r>
        <w:rPr>
          <w:rFonts w:hint="eastAsia"/>
          <w:color w:val="auto"/>
        </w:rPr>
        <w:t>1.负责贯彻党的教育方针，坚持社会主义办学方向，实行教育与生产劳动相结合，对学生进行德育、智育、体育、美育和劳动等方面的教育。</w:t>
      </w:r>
    </w:p>
    <w:p>
      <w:pPr>
        <w:rPr>
          <w:rFonts w:hint="eastAsia"/>
          <w:color w:val="auto"/>
        </w:rPr>
      </w:pPr>
      <w:r>
        <w:rPr>
          <w:rFonts w:hint="eastAsia"/>
          <w:color w:val="auto"/>
        </w:rPr>
        <w:t>2.负责依法制定学校章程，并按照章程自主管理。</w:t>
      </w:r>
    </w:p>
    <w:p>
      <w:pPr>
        <w:rPr>
          <w:rFonts w:hint="eastAsia"/>
          <w:color w:val="auto"/>
        </w:rPr>
      </w:pPr>
      <w:r>
        <w:rPr>
          <w:rFonts w:hint="eastAsia"/>
          <w:color w:val="auto"/>
        </w:rPr>
        <w:t>3.负责配合各级人民政府依法动员、组织适龄儿童、少年入学，严格控制学生辍学，依法保证适龄儿童、少年接受</w:t>
      </w:r>
      <w:r>
        <w:rPr>
          <w:rFonts w:hint="eastAsia"/>
          <w:color w:val="auto"/>
          <w:lang w:eastAsia="zh-CN"/>
        </w:rPr>
        <w:t>学前</w:t>
      </w:r>
      <w:r>
        <w:rPr>
          <w:rFonts w:hint="eastAsia"/>
          <w:color w:val="auto"/>
        </w:rPr>
        <w:t>教育。</w:t>
      </w:r>
    </w:p>
    <w:p>
      <w:pPr>
        <w:rPr>
          <w:rFonts w:hint="eastAsia"/>
          <w:color w:val="auto"/>
        </w:rPr>
      </w:pPr>
      <w:r>
        <w:rPr>
          <w:rFonts w:hint="eastAsia"/>
          <w:color w:val="auto"/>
        </w:rPr>
        <w:t>4.负责制定学校教育发展规划，并抓好组织实施和落实工作。</w:t>
      </w:r>
    </w:p>
    <w:p>
      <w:pPr>
        <w:rPr>
          <w:rFonts w:hint="eastAsia"/>
          <w:color w:val="auto"/>
        </w:rPr>
      </w:pPr>
      <w:r>
        <w:rPr>
          <w:rFonts w:hint="eastAsia"/>
          <w:color w:val="auto"/>
        </w:rPr>
        <w:t>5.负责按照教育主管部门发布的指导性教学计划、教学大纲，组织实施教育教学活动。负责依据国家教育主管部门有关教学计划、课程设置等方面的规定，决定和实施本校的教学计划，组织教学评比、集体备课，对学生进行统一考核等。</w:t>
      </w:r>
    </w:p>
    <w:p>
      <w:pPr>
        <w:rPr>
          <w:rFonts w:hint="eastAsia"/>
          <w:color w:val="auto"/>
        </w:rPr>
      </w:pPr>
      <w:r>
        <w:rPr>
          <w:rFonts w:hint="eastAsia"/>
          <w:color w:val="auto"/>
        </w:rPr>
        <w:t>6.负责学籍管理并对学生实施奖励或处分。</w:t>
      </w:r>
    </w:p>
    <w:p>
      <w:pPr>
        <w:rPr>
          <w:rFonts w:hint="eastAsia"/>
          <w:color w:val="auto"/>
        </w:rPr>
      </w:pPr>
      <w:r>
        <w:rPr>
          <w:rFonts w:hint="eastAsia"/>
          <w:color w:val="auto"/>
        </w:rPr>
        <w:t>7.负责依法制定本校教师及其他职工聘任办法并对教师及其他员工实施包括奖励、处分在内的具体管理活动，依法聘任、解聘有关教师和其他职工。</w:t>
      </w:r>
    </w:p>
    <w:p>
      <w:pPr>
        <w:rPr>
          <w:rFonts w:hint="eastAsia"/>
          <w:color w:val="auto"/>
        </w:rPr>
      </w:pPr>
      <w:r>
        <w:rPr>
          <w:rFonts w:hint="eastAsia"/>
          <w:color w:val="auto"/>
        </w:rPr>
        <w:t>8.负责聘任、培训、考核教师，依法奖励或处分教师和其他职工。</w:t>
      </w:r>
    </w:p>
    <w:p>
      <w:pPr>
        <w:rPr>
          <w:rFonts w:hint="eastAsia"/>
          <w:color w:val="auto"/>
        </w:rPr>
      </w:pPr>
      <w:r>
        <w:rPr>
          <w:rFonts w:hint="eastAsia"/>
          <w:color w:val="auto"/>
        </w:rPr>
        <w:t>9.负责科学管理、合理使用学校的设施和经费，并积极筹措资金，改善办学条件。</w:t>
      </w:r>
    </w:p>
    <w:p>
      <w:pPr>
        <w:rPr>
          <w:rFonts w:hint="eastAsia"/>
          <w:color w:val="auto"/>
        </w:rPr>
      </w:pPr>
      <w:r>
        <w:rPr>
          <w:rFonts w:hint="eastAsia"/>
          <w:color w:val="auto"/>
        </w:rPr>
        <w:t>10.负责维护学校、师生的合法权益，有权拒绝任何组织和个人对教育教学活动进行非法干涉。</w:t>
      </w:r>
    </w:p>
    <w:p>
      <w:pPr>
        <w:rPr>
          <w:rFonts w:hint="eastAsia"/>
          <w:color w:val="auto"/>
        </w:rPr>
      </w:pPr>
      <w:r>
        <w:rPr>
          <w:rFonts w:hint="eastAsia"/>
          <w:color w:val="auto"/>
        </w:rPr>
        <w:t>11.依法接受各级教育行政部门的检查指导和人民群众的监督。</w:t>
      </w:r>
    </w:p>
    <w:p>
      <w:pPr>
        <w:pStyle w:val="3"/>
        <w:numPr>
          <w:ilvl w:val="0"/>
          <w:numId w:val="1"/>
        </w:numPr>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机构设置情况</w:t>
      </w:r>
      <w:bookmarkEnd w:id="7"/>
      <w:bookmarkEnd w:id="8"/>
    </w:p>
    <w:p>
      <w:pPr>
        <w:pStyle w:val="9"/>
        <w:spacing w:before="0" w:beforeAutospacing="0" w:after="0" w:afterAutospacing="0" w:line="50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学区现管辖</w:t>
      </w:r>
      <w:r>
        <w:rPr>
          <w:rFonts w:hint="eastAsia" w:ascii="仿宋_GB2312"/>
          <w:color w:val="auto"/>
          <w:sz w:val="32"/>
          <w:szCs w:val="32"/>
          <w:lang w:val="en-US" w:eastAsia="zh-CN"/>
        </w:rPr>
        <w:t>1</w:t>
      </w:r>
      <w:r>
        <w:rPr>
          <w:rFonts w:hint="eastAsia" w:ascii="仿宋_GB2312" w:eastAsia="仿宋_GB2312"/>
          <w:color w:val="auto"/>
          <w:sz w:val="32"/>
          <w:szCs w:val="32"/>
        </w:rPr>
        <w:t>个学校，</w:t>
      </w:r>
      <w:r>
        <w:rPr>
          <w:rFonts w:hint="eastAsia" w:ascii="仿宋_GB2312"/>
          <w:color w:val="auto"/>
          <w:sz w:val="32"/>
          <w:szCs w:val="32"/>
          <w:lang w:eastAsia="zh-CN"/>
        </w:rPr>
        <w:t>中庄小学</w:t>
      </w:r>
      <w:r>
        <w:rPr>
          <w:rFonts w:hint="eastAsia" w:ascii="仿宋_GB2312" w:eastAsia="仿宋_GB2312"/>
          <w:color w:val="auto"/>
          <w:sz w:val="32"/>
          <w:szCs w:val="32"/>
        </w:rPr>
        <w:t>。</w:t>
      </w:r>
    </w:p>
    <w:p>
      <w:pPr>
        <w:pStyle w:val="2"/>
        <w:ind w:left="0" w:leftChars="0" w:firstLine="361" w:firstLineChars="100"/>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278.22</w:t>
      </w:r>
      <w:r>
        <w:rPr>
          <w:rFonts w:hint="eastAsia" w:ascii="仿宋_GB2312"/>
          <w:color w:val="auto"/>
          <w:szCs w:val="32"/>
        </w:rPr>
        <w:t>万元、支出总计</w:t>
      </w:r>
      <w:r>
        <w:rPr>
          <w:rFonts w:hint="eastAsia" w:ascii="仿宋_GB2312"/>
          <w:color w:val="auto"/>
          <w:szCs w:val="32"/>
          <w:lang w:val="en-US" w:eastAsia="zh-CN"/>
        </w:rPr>
        <w:t>278.22</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减少14.95</w:t>
      </w:r>
      <w:r>
        <w:rPr>
          <w:rFonts w:hint="eastAsia" w:ascii="仿宋_GB2312"/>
          <w:color w:val="auto"/>
          <w:szCs w:val="32"/>
        </w:rPr>
        <w:t>万元，</w:t>
      </w:r>
      <w:r>
        <w:rPr>
          <w:rFonts w:hint="eastAsia" w:ascii="仿宋_GB2312"/>
          <w:color w:val="auto"/>
          <w:szCs w:val="32"/>
          <w:lang w:eastAsia="zh-CN"/>
        </w:rPr>
        <w:t>减少</w:t>
      </w:r>
      <w:r>
        <w:rPr>
          <w:rFonts w:hint="eastAsia" w:ascii="仿宋_GB2312"/>
          <w:color w:val="auto"/>
          <w:szCs w:val="32"/>
          <w:lang w:val="en-US" w:eastAsia="zh-CN"/>
        </w:rPr>
        <w:t>5.1</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增长14.95</w:t>
      </w:r>
      <w:r>
        <w:rPr>
          <w:rFonts w:hint="eastAsia" w:ascii="仿宋_GB2312"/>
          <w:color w:val="auto"/>
          <w:szCs w:val="32"/>
        </w:rPr>
        <w:t>万元</w:t>
      </w:r>
      <w:r>
        <w:rPr>
          <w:rFonts w:ascii="仿宋_GB2312"/>
          <w:color w:val="auto"/>
          <w:szCs w:val="32"/>
        </w:rPr>
        <w:t>，</w:t>
      </w:r>
      <w:r>
        <w:rPr>
          <w:rFonts w:hint="eastAsia" w:ascii="仿宋_GB2312"/>
          <w:color w:val="auto"/>
          <w:szCs w:val="32"/>
          <w:lang w:eastAsia="zh-CN"/>
        </w:rPr>
        <w:t>减少</w:t>
      </w:r>
      <w:r>
        <w:rPr>
          <w:rFonts w:hint="eastAsia" w:ascii="仿宋_GB2312"/>
          <w:color w:val="auto"/>
          <w:szCs w:val="32"/>
          <w:lang w:val="en-US" w:eastAsia="zh-CN"/>
        </w:rPr>
        <w:t>5.1</w:t>
      </w:r>
      <w:r>
        <w:rPr>
          <w:rFonts w:hint="eastAsia" w:ascii="仿宋_GB2312"/>
          <w:color w:val="auto"/>
          <w:szCs w:val="32"/>
        </w:rPr>
        <w:t>%</w:t>
      </w:r>
      <w:r>
        <w:rPr>
          <w:rFonts w:ascii="仿宋_GB2312"/>
          <w:color w:val="auto"/>
          <w:szCs w:val="32"/>
        </w:rPr>
        <w:t>%</w:t>
      </w:r>
      <w:r>
        <w:rPr>
          <w:rFonts w:hint="eastAsia" w:ascii="仿宋_GB2312"/>
          <w:color w:val="auto"/>
          <w:szCs w:val="32"/>
        </w:rPr>
        <w:t>。主要原因是本年度退</w:t>
      </w:r>
      <w:r>
        <w:rPr>
          <w:rFonts w:hint="eastAsia" w:ascii="仿宋_GB2312"/>
          <w:color w:val="auto"/>
          <w:szCs w:val="32"/>
          <w:lang w:eastAsia="zh-CN"/>
        </w:rPr>
        <w:t>休人员</w:t>
      </w:r>
      <w:r>
        <w:rPr>
          <w:rFonts w:hint="eastAsia" w:ascii="仿宋_GB2312"/>
          <w:color w:val="auto"/>
          <w:szCs w:val="32"/>
        </w:rPr>
        <w:t>导致。</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278.22</w:t>
      </w:r>
      <w:r>
        <w:rPr>
          <w:rFonts w:hint="eastAsia" w:ascii="仿宋_GB2312"/>
          <w:color w:val="auto"/>
          <w:szCs w:val="32"/>
        </w:rPr>
        <w:t>万元，其中：财政拨款收入</w:t>
      </w:r>
      <w:r>
        <w:rPr>
          <w:rFonts w:hint="eastAsia" w:ascii="仿宋_GB2312"/>
          <w:color w:val="auto"/>
          <w:szCs w:val="32"/>
          <w:lang w:val="en-US" w:eastAsia="zh-CN"/>
        </w:rPr>
        <w:t>278.22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278.22</w:t>
      </w:r>
      <w:r>
        <w:rPr>
          <w:rFonts w:hint="eastAsia" w:ascii="仿宋_GB2312"/>
          <w:color w:val="auto"/>
          <w:szCs w:val="32"/>
        </w:rPr>
        <w:t>万元，其中：基本支出</w:t>
      </w:r>
      <w:r>
        <w:rPr>
          <w:rFonts w:hint="eastAsia" w:ascii="仿宋_GB2312"/>
          <w:color w:val="auto"/>
          <w:szCs w:val="32"/>
          <w:lang w:val="en-US" w:eastAsia="zh-CN"/>
        </w:rPr>
        <w:t>278.22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278.22</w:t>
      </w:r>
      <w:r>
        <w:rPr>
          <w:rFonts w:hint="eastAsia" w:ascii="仿宋_GB2312"/>
          <w:color w:val="auto"/>
          <w:szCs w:val="32"/>
        </w:rPr>
        <w:t>万元、支出总计</w:t>
      </w:r>
      <w:r>
        <w:rPr>
          <w:rFonts w:hint="eastAsia" w:ascii="仿宋_GB2312"/>
          <w:color w:val="auto"/>
          <w:szCs w:val="32"/>
          <w:lang w:val="en-US" w:eastAsia="zh-CN"/>
        </w:rPr>
        <w:t>278.22</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减少14.95</w:t>
      </w:r>
      <w:r>
        <w:rPr>
          <w:rFonts w:hint="eastAsia" w:ascii="仿宋_GB2312"/>
          <w:color w:val="auto"/>
          <w:szCs w:val="32"/>
        </w:rPr>
        <w:t>万元，</w:t>
      </w:r>
      <w:r>
        <w:rPr>
          <w:rFonts w:hint="eastAsia" w:ascii="仿宋_GB2312"/>
          <w:color w:val="auto"/>
          <w:szCs w:val="32"/>
          <w:lang w:val="en-US" w:eastAsia="zh-CN"/>
        </w:rPr>
        <w:t>减少5.1</w:t>
      </w:r>
      <w:r>
        <w:rPr>
          <w:rFonts w:hint="eastAsia" w:ascii="仿宋_GB2312"/>
          <w:color w:val="auto"/>
          <w:szCs w:val="32"/>
        </w:rPr>
        <w:t>%，财政拨款支出总计</w:t>
      </w:r>
      <w:r>
        <w:rPr>
          <w:rFonts w:hint="eastAsia" w:ascii="仿宋_GB2312"/>
          <w:color w:val="auto"/>
          <w:szCs w:val="32"/>
          <w:lang w:val="en-US" w:eastAsia="zh-CN"/>
        </w:rPr>
        <w:t>减少14.95</w:t>
      </w:r>
      <w:r>
        <w:rPr>
          <w:rFonts w:hint="eastAsia" w:ascii="仿宋_GB2312"/>
          <w:color w:val="auto"/>
          <w:szCs w:val="32"/>
        </w:rPr>
        <w:t>万元，</w:t>
      </w:r>
      <w:r>
        <w:rPr>
          <w:rFonts w:hint="eastAsia" w:ascii="仿宋_GB2312"/>
          <w:color w:val="auto"/>
          <w:szCs w:val="32"/>
          <w:lang w:val="en-US" w:eastAsia="zh-CN"/>
        </w:rPr>
        <w:t>增长减少5.1%</w:t>
      </w:r>
      <w:r>
        <w:rPr>
          <w:rFonts w:hint="eastAsia" w:ascii="仿宋_GB2312"/>
          <w:color w:val="auto"/>
          <w:szCs w:val="32"/>
        </w:rPr>
        <w:t>。主要原因是本年度退休</w:t>
      </w:r>
      <w:r>
        <w:rPr>
          <w:rFonts w:hint="eastAsia" w:ascii="仿宋_GB2312"/>
          <w:color w:val="auto"/>
          <w:szCs w:val="32"/>
          <w:lang w:eastAsia="zh-CN"/>
        </w:rPr>
        <w:t>人员</w:t>
      </w:r>
      <w:r>
        <w:rPr>
          <w:rFonts w:hint="eastAsia" w:ascii="仿宋_GB2312"/>
          <w:color w:val="auto"/>
          <w:szCs w:val="32"/>
        </w:rPr>
        <w:t>导致。</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278.22</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减少14.95</w:t>
      </w:r>
      <w:r>
        <w:rPr>
          <w:rFonts w:hint="eastAsia" w:ascii="仿宋_GB2312"/>
          <w:color w:val="auto"/>
          <w:szCs w:val="32"/>
        </w:rPr>
        <w:t>万元，</w:t>
      </w:r>
      <w:r>
        <w:rPr>
          <w:rFonts w:hint="eastAsia" w:ascii="仿宋_GB2312"/>
          <w:color w:val="auto"/>
          <w:szCs w:val="32"/>
          <w:lang w:val="en-US" w:eastAsia="zh-CN"/>
        </w:rPr>
        <w:t>减少5.1</w:t>
      </w:r>
      <w:r>
        <w:rPr>
          <w:rFonts w:hint="eastAsia" w:ascii="仿宋_GB2312"/>
          <w:color w:val="auto"/>
          <w:szCs w:val="32"/>
        </w:rPr>
        <w:t>%。主要原因是本年度退休</w:t>
      </w:r>
      <w:r>
        <w:rPr>
          <w:rFonts w:hint="eastAsia" w:ascii="仿宋_GB2312"/>
          <w:color w:val="auto"/>
          <w:szCs w:val="32"/>
          <w:lang w:eastAsia="zh-CN"/>
        </w:rPr>
        <w:t>人员</w:t>
      </w:r>
      <w:r>
        <w:rPr>
          <w:rFonts w:hint="eastAsia" w:ascii="仿宋_GB2312"/>
          <w:color w:val="auto"/>
          <w:szCs w:val="32"/>
        </w:rPr>
        <w:t>导致。其中，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278.22</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教育</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278.22</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278.22</w:t>
      </w:r>
      <w:r>
        <w:rPr>
          <w:rFonts w:hint="eastAsia"/>
          <w:color w:val="auto"/>
          <w:szCs w:val="32"/>
        </w:rPr>
        <w:t>万元，支出决算</w:t>
      </w:r>
      <w:r>
        <w:rPr>
          <w:rFonts w:hint="eastAsia"/>
          <w:color w:val="auto"/>
          <w:szCs w:val="32"/>
          <w:lang w:val="en-US" w:eastAsia="zh-CN"/>
        </w:rPr>
        <w:t>278.22</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205</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293.17</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rPr>
            </w:pPr>
            <w:r>
              <w:rPr>
                <w:rFonts w:hint="eastAsia" w:ascii="宋体" w:hAnsi="宋体" w:eastAsia="宋体" w:cs="宋体"/>
                <w:i w:val="0"/>
                <w:iCs w:val="0"/>
                <w:color w:val="auto"/>
                <w:kern w:val="0"/>
                <w:sz w:val="18"/>
                <w:szCs w:val="18"/>
                <w:u w:val="none"/>
                <w:lang w:val="en-US" w:eastAsia="zh-CN" w:bidi="ar"/>
              </w:rPr>
              <w:t>278.22</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1"/>
                <w:szCs w:val="21"/>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20502</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普通教育</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293.17</w:t>
            </w:r>
          </w:p>
        </w:tc>
        <w:tc>
          <w:tcPr>
            <w:tcW w:w="1684"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18"/>
                <w:szCs w:val="18"/>
                <w:u w:val="none"/>
                <w:lang w:val="en-US" w:eastAsia="zh-CN" w:bidi="ar"/>
              </w:rPr>
              <w:t>278.22</w:t>
            </w:r>
          </w:p>
        </w:tc>
        <w:tc>
          <w:tcPr>
            <w:tcW w:w="1393" w:type="dxa"/>
            <w:vAlign w:val="top"/>
          </w:tcPr>
          <w:p>
            <w:pPr>
              <w:ind w:firstLine="420" w:firstLineChars="200"/>
              <w:jc w:val="left"/>
              <w:rPr>
                <w:rFonts w:hint="eastAsia" w:ascii="仿宋" w:hAnsi="仿宋" w:eastAsia="仿宋" w:cs="仿宋"/>
                <w:color w:val="auto"/>
                <w:sz w:val="24"/>
                <w:szCs w:val="24"/>
              </w:rPr>
            </w:pPr>
            <w:r>
              <w:rPr>
                <w:rFonts w:hint="eastAsia" w:ascii="仿宋" w:hAnsi="仿宋" w:eastAsia="仿宋" w:cs="仿宋"/>
                <w:color w:val="auto"/>
                <w:sz w:val="21"/>
                <w:szCs w:val="21"/>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lang w:val="en-US"/>
              </w:rPr>
            </w:pPr>
            <w:r>
              <w:rPr>
                <w:rFonts w:hint="eastAsia" w:ascii="宋体" w:hAnsi="宋体" w:eastAsia="宋体" w:cs="宋体"/>
                <w:i w:val="0"/>
                <w:iCs w:val="0"/>
                <w:color w:val="auto"/>
                <w:kern w:val="0"/>
                <w:sz w:val="20"/>
                <w:szCs w:val="20"/>
                <w:u w:val="none"/>
                <w:lang w:val="en-US" w:eastAsia="zh-CN" w:bidi="ar"/>
              </w:rPr>
              <w:t>2050202</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小学教育</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293.17</w:t>
            </w:r>
          </w:p>
        </w:tc>
        <w:tc>
          <w:tcPr>
            <w:tcW w:w="1684" w:type="dxa"/>
            <w:vAlign w:val="center"/>
          </w:tcPr>
          <w:p>
            <w:pPr>
              <w:keepNext w:val="0"/>
              <w:keepLines w:val="0"/>
              <w:widowControl/>
              <w:suppressLineNumbers w:val="0"/>
              <w:ind w:firstLine="360" w:firstLineChars="200"/>
              <w:jc w:val="righ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278.22</w:t>
            </w:r>
          </w:p>
        </w:tc>
        <w:tc>
          <w:tcPr>
            <w:tcW w:w="1393" w:type="dxa"/>
            <w:vAlign w:val="top"/>
          </w:tcPr>
          <w:p>
            <w:pPr>
              <w:ind w:firstLine="420" w:firstLineChars="20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1"/>
                <w:szCs w:val="21"/>
                <w:lang w:val="en-US" w:eastAsia="zh-CN"/>
              </w:rPr>
              <w:t>-5.1%</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sz w:val="24"/>
                <w:szCs w:val="24"/>
                <w:lang w:val="en-US" w:eastAsia="zh-CN"/>
              </w:rPr>
              <w:t>293.17</w:t>
            </w:r>
          </w:p>
        </w:tc>
        <w:tc>
          <w:tcPr>
            <w:tcW w:w="2071" w:type="dxa"/>
            <w:vAlign w:val="center"/>
          </w:tcPr>
          <w:p>
            <w:pPr>
              <w:keepNext w:val="0"/>
              <w:keepLines w:val="0"/>
              <w:widowControl/>
              <w:suppressLineNumbers w:val="0"/>
              <w:ind w:firstLine="360" w:firstLineChars="200"/>
              <w:jc w:val="right"/>
              <w:textAlignment w:val="center"/>
              <w:rPr>
                <w:rFonts w:hint="default" w:ascii="仿宋" w:hAnsi="仿宋" w:eastAsia="仿宋" w:cs="仿宋"/>
                <w:color w:val="auto"/>
                <w:kern w:val="0"/>
                <w:sz w:val="28"/>
                <w:szCs w:val="28"/>
                <w:lang w:val="en-US" w:eastAsia="zh-CN"/>
              </w:rPr>
            </w:pPr>
            <w:r>
              <w:rPr>
                <w:rFonts w:hint="eastAsia" w:ascii="宋体" w:hAnsi="宋体" w:eastAsia="宋体" w:cs="宋体"/>
                <w:i w:val="0"/>
                <w:iCs w:val="0"/>
                <w:color w:val="auto"/>
                <w:kern w:val="0"/>
                <w:sz w:val="18"/>
                <w:szCs w:val="18"/>
                <w:u w:val="none"/>
                <w:lang w:val="en-US" w:eastAsia="zh-CN" w:bidi="ar"/>
              </w:rPr>
              <w:t>278.22</w:t>
            </w:r>
          </w:p>
        </w:tc>
        <w:tc>
          <w:tcPr>
            <w:tcW w:w="1956" w:type="dxa"/>
            <w:vAlign w:val="top"/>
          </w:tcPr>
          <w:p>
            <w:pPr>
              <w:ind w:firstLine="420" w:firstLineChars="200"/>
              <w:jc w:val="left"/>
              <w:rPr>
                <w:rFonts w:hint="default" w:ascii="仿宋" w:hAnsi="仿宋" w:eastAsia="仿宋" w:cs="仿宋"/>
                <w:color w:val="auto"/>
                <w:kern w:val="0"/>
                <w:sz w:val="28"/>
                <w:szCs w:val="28"/>
                <w:lang w:val="en-US" w:eastAsia="zh-CN"/>
              </w:rPr>
            </w:pPr>
            <w:r>
              <w:rPr>
                <w:rFonts w:hint="eastAsia" w:ascii="仿宋" w:hAnsi="仿宋" w:eastAsia="仿宋" w:cs="仿宋"/>
                <w:color w:val="auto"/>
                <w:sz w:val="21"/>
                <w:szCs w:val="21"/>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241.07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259.92</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32.08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11.72</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1.84</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6.58</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lang w:val="en-US" w:eastAsia="zh-CN"/>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278.22</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工资福利支出</w:t>
      </w:r>
      <w:r>
        <w:rPr>
          <w:rFonts w:hint="eastAsia" w:ascii="仿宋_GB2312"/>
          <w:color w:val="auto"/>
          <w:szCs w:val="32"/>
          <w:lang w:val="en-US" w:eastAsia="zh-CN"/>
        </w:rPr>
        <w:t>259.92万元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11.72</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商品和服务支出</w:t>
      </w:r>
      <w:r>
        <w:rPr>
          <w:rFonts w:hint="eastAsia" w:ascii="仿宋_GB2312"/>
          <w:color w:val="auto"/>
          <w:szCs w:val="32"/>
          <w:lang w:val="en-US" w:eastAsia="zh-CN"/>
        </w:rPr>
        <w:t>11.72万元和资本性支出0万元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r>
        <w:rPr>
          <w:rFonts w:hint="eastAsia"/>
          <w:b/>
          <w:color w:val="auto"/>
          <w:szCs w:val="32"/>
        </w:rPr>
        <w:t>无三公经费</w:t>
      </w:r>
      <w:r>
        <w:rPr>
          <w:rFonts w:hint="eastAsia"/>
          <w:b/>
          <w:color w:val="auto"/>
          <w:szCs w:val="32"/>
          <w:lang w:eastAsia="zh-CN"/>
        </w:rPr>
        <w:t>支出</w:t>
      </w:r>
      <w:r>
        <w:rPr>
          <w:rFonts w:hint="eastAsia"/>
          <w:b/>
          <w:color w:val="auto"/>
          <w:szCs w:val="32"/>
        </w:rPr>
        <w:t>。</w:t>
      </w:r>
    </w:p>
    <w:p>
      <w:pPr>
        <w:pStyle w:val="9"/>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9"/>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9"/>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auto"/>
                <w:sz w:val="28"/>
                <w:szCs w:val="28"/>
              </w:rPr>
            </w:pPr>
            <w:r>
              <w:rPr>
                <w:rFonts w:hint="eastAsia"/>
                <w:color w:val="auto"/>
                <w:sz w:val="28"/>
                <w:szCs w:val="28"/>
              </w:rPr>
              <w:t>因公出国（境）费</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auto"/>
                <w:sz w:val="28"/>
                <w:szCs w:val="28"/>
              </w:rPr>
            </w:pPr>
            <w:r>
              <w:rPr>
                <w:rFonts w:hint="eastAsia"/>
                <w:color w:val="auto"/>
                <w:sz w:val="28"/>
                <w:szCs w:val="28"/>
              </w:rPr>
              <w:t>公务接待费</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9"/>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eastAsia="宋体"/>
                <w:color w:val="auto"/>
                <w:sz w:val="28"/>
                <w:szCs w:val="28"/>
                <w:lang w:val="en-US" w:eastAsia="zh-CN"/>
              </w:rPr>
            </w:pPr>
          </w:p>
        </w:tc>
      </w:tr>
    </w:tbl>
    <w:p>
      <w:pPr>
        <w:pStyle w:val="9"/>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0</w:t>
      </w:r>
      <w:r>
        <w:rPr>
          <w:rFonts w:hint="eastAsia" w:ascii="仿宋_GB2312" w:hAnsi="宋体"/>
          <w:color w:val="auto"/>
          <w:szCs w:val="32"/>
        </w:rPr>
        <w:t>万元</w:t>
      </w:r>
      <w:r>
        <w:rPr>
          <w:rFonts w:hint="eastAsia" w:ascii="仿宋_GB2312" w:hAnsi="宋体"/>
          <w:color w:val="auto"/>
          <w:szCs w:val="32"/>
          <w:lang w:eastAsia="zh-CN"/>
        </w:rPr>
        <w:t>，</w:t>
      </w:r>
      <w:r>
        <w:rPr>
          <w:rFonts w:hint="eastAsia"/>
          <w:b/>
          <w:color w:val="auto"/>
          <w:szCs w:val="32"/>
        </w:rPr>
        <w:t>无机关运行经费</w:t>
      </w:r>
      <w:r>
        <w:rPr>
          <w:rFonts w:hint="eastAsia"/>
          <w:b/>
          <w:color w:val="auto"/>
          <w:szCs w:val="32"/>
          <w:lang w:eastAsia="zh-CN"/>
        </w:rPr>
        <w:t>支出</w:t>
      </w:r>
      <w:r>
        <w:rPr>
          <w:rFonts w:hint="eastAsia"/>
          <w:b/>
          <w:color w:val="auto"/>
          <w:szCs w:val="32"/>
        </w:rPr>
        <w:t>。</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0</w:t>
      </w:r>
      <w:r>
        <w:rPr>
          <w:rFonts w:hint="eastAsia" w:ascii="仿宋_GB2312"/>
          <w:color w:val="auto"/>
          <w:szCs w:val="32"/>
        </w:rPr>
        <w:t>万元，其中：政府采购货物支出</w:t>
      </w:r>
      <w:r>
        <w:rPr>
          <w:rFonts w:hint="eastAsia" w:ascii="仿宋_GB2312"/>
          <w:color w:val="auto"/>
          <w:szCs w:val="32"/>
          <w:lang w:val="en-US" w:eastAsia="zh-CN"/>
        </w:rPr>
        <w:t>0</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numPr>
          <w:ilvl w:val="0"/>
          <w:numId w:val="3"/>
        </w:numPr>
        <w:rPr>
          <w:rFonts w:hint="eastAsia"/>
          <w:b/>
          <w:bCs/>
          <w:color w:val="auto"/>
        </w:rPr>
      </w:pPr>
      <w:r>
        <w:rPr>
          <w:rFonts w:hint="eastAsia"/>
          <w:b/>
          <w:bCs/>
          <w:color w:val="auto"/>
        </w:rPr>
        <w:t>重点项目预算的绩效目标情况说明：</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w:t>
      </w:r>
      <w:r>
        <w:rPr>
          <w:rFonts w:hint="eastAsia" w:ascii="仿宋_GB2312" w:hAnsi="仿宋_GB2312" w:eastAsia="仿宋_GB2312" w:cs="仿宋_GB2312"/>
          <w:color w:val="auto"/>
          <w:sz w:val="32"/>
          <w:szCs w:val="32"/>
          <w:lang w:val="en-US" w:eastAsia="zh-CN"/>
        </w:rPr>
        <w:t>绩效管理工作开展情况。应当按照如下格式说明：根据预算绩效管理要求，我部门组织对2021年度县级财政预算安排的专项资金类支出全面开展绩效自评，</w:t>
      </w:r>
      <w:r>
        <w:rPr>
          <w:rFonts w:hint="eastAsia" w:ascii="仿宋_GB2312" w:hAnsi="仿宋_GB2312" w:cs="仿宋_GB2312"/>
          <w:color w:val="auto"/>
          <w:sz w:val="32"/>
          <w:szCs w:val="32"/>
          <w:lang w:val="en-US" w:eastAsia="zh-CN"/>
        </w:rPr>
        <w:t>本单位</w:t>
      </w:r>
      <w:r>
        <w:rPr>
          <w:rFonts w:hint="eastAsia" w:ascii="仿宋_GB2312" w:hAnsi="仿宋_GB2312" w:eastAsia="仿宋_GB2312" w:cs="仿宋_GB2312"/>
          <w:color w:val="auto"/>
          <w:sz w:val="32"/>
          <w:szCs w:val="32"/>
          <w:lang w:val="en-US" w:eastAsia="zh-CN"/>
        </w:rPr>
        <w:t>没有200万元以上的经费补助项目。</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r>
        <w:rPr>
          <w:rFonts w:hint="eastAsia" w:ascii="仿宋_GB2312" w:hAnsi="仿宋_GB2312" w:eastAsia="仿宋_GB2312" w:cs="仿宋_GB2312"/>
          <w:color w:val="auto"/>
          <w:sz w:val="32"/>
          <w:szCs w:val="32"/>
          <w:lang w:val="en-US" w:eastAsia="zh-CN"/>
        </w:rPr>
        <w:t>部门</w:t>
      </w:r>
      <w:r>
        <w:rPr>
          <w:rFonts w:hint="eastAsia" w:ascii="仿宋_GB2312" w:hAnsi="仿宋_GB2312" w:cs="仿宋_GB2312"/>
          <w:color w:val="auto"/>
          <w:sz w:val="32"/>
          <w:szCs w:val="32"/>
          <w:lang w:val="en-US" w:eastAsia="zh-CN"/>
        </w:rPr>
        <w:t>本单位重点</w:t>
      </w:r>
      <w:r>
        <w:rPr>
          <w:rFonts w:hint="eastAsia" w:ascii="仿宋_GB2312" w:hAnsi="仿宋_GB2312" w:eastAsia="仿宋_GB2312" w:cs="仿宋_GB2312"/>
          <w:color w:val="auto"/>
          <w:sz w:val="32"/>
          <w:szCs w:val="32"/>
          <w:lang w:val="en-US" w:eastAsia="zh-CN"/>
        </w:rPr>
        <w:t>项目向社会公开，按照如下格式进行说明。</w:t>
      </w:r>
    </w:p>
    <w:p>
      <w:pPr>
        <w:pStyle w:val="12"/>
        <w:ind w:left="160" w:leftChars="50" w:firstLine="560"/>
        <w:rPr>
          <w:color w:val="auto"/>
          <w:lang w:eastAsia="zh-CN"/>
        </w:rPr>
      </w:pPr>
      <w:r>
        <w:rPr>
          <w:rFonts w:hint="eastAsia"/>
          <w:color w:val="auto"/>
          <w:u w:val="none"/>
          <w:lang w:val="en-US" w:eastAsia="zh-CN"/>
        </w:rPr>
        <w:t xml:space="preserve">1.  </w:t>
      </w:r>
      <w:r>
        <w:rPr>
          <w:color w:val="auto"/>
          <w:u w:val="none"/>
        </w:rPr>
        <w:t>2021年静乐县</w:t>
      </w:r>
      <w:r>
        <w:rPr>
          <w:rFonts w:hint="eastAsia"/>
          <w:color w:val="auto"/>
          <w:u w:val="none"/>
          <w:lang w:eastAsia="zh-CN"/>
        </w:rPr>
        <w:t>中庄学区</w:t>
      </w:r>
      <w:r>
        <w:rPr>
          <w:color w:val="auto"/>
          <w:u w:val="none"/>
        </w:rPr>
        <w:t>教育经费</w:t>
      </w:r>
      <w:r>
        <w:rPr>
          <w:rFonts w:hint="eastAsia"/>
          <w:color w:val="auto"/>
          <w:lang w:eastAsia="zh-CN"/>
        </w:rPr>
        <w:t>项目绩效自评价结果为:总得分</w:t>
      </w:r>
      <w:r>
        <w:rPr>
          <w:color w:val="auto"/>
          <w:u w:val="none"/>
        </w:rPr>
        <w:t>91</w:t>
      </w:r>
      <w:r>
        <w:rPr>
          <w:rFonts w:hint="eastAsia"/>
          <w:color w:val="auto"/>
          <w:lang w:eastAsia="zh-CN"/>
        </w:rPr>
        <w:t>分，属于"</w:t>
      </w:r>
      <w:r>
        <w:rPr>
          <w:color w:val="auto"/>
          <w:u w:val="none"/>
        </w:rPr>
        <w:t>优秀</w:t>
      </w:r>
      <w:r>
        <w:rPr>
          <w:rFonts w:hint="eastAsia"/>
          <w:color w:val="auto"/>
          <w:lang w:eastAsia="zh-CN"/>
        </w:rPr>
        <w:t>"。</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（绩效评价报告以附件形式公开）</w:t>
      </w:r>
    </w:p>
    <w:p>
      <w:pPr>
        <w:numPr>
          <w:ilvl w:val="0"/>
          <w:numId w:val="0"/>
        </w:numPr>
        <w:ind w:firstLine="640" w:firstLineChars="20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表1</w:t>
      </w:r>
    </w:p>
    <w:tbl>
      <w:tblPr>
        <w:tblStyle w:val="10"/>
        <w:tblpPr w:leftFromText="180" w:rightFromText="180" w:vertAnchor="text" w:horzAnchor="page" w:tblpX="1095" w:tblpY="410"/>
        <w:tblOverlap w:val="never"/>
        <w:tblW w:w="9920" w:type="dxa"/>
        <w:tblInd w:w="0" w:type="dxa"/>
        <w:tblLayout w:type="fixed"/>
        <w:tblCellMar>
          <w:top w:w="0" w:type="dxa"/>
          <w:left w:w="0" w:type="dxa"/>
          <w:bottom w:w="0" w:type="dxa"/>
          <w:right w:w="0" w:type="dxa"/>
        </w:tblCellMar>
      </w:tblPr>
      <w:tblGrid>
        <w:gridCol w:w="980"/>
        <w:gridCol w:w="1140"/>
        <w:gridCol w:w="1701"/>
        <w:gridCol w:w="592"/>
        <w:gridCol w:w="837"/>
        <w:gridCol w:w="1050"/>
        <w:gridCol w:w="936"/>
        <w:gridCol w:w="901"/>
        <w:gridCol w:w="1783"/>
      </w:tblGrid>
      <w:tr>
        <w:tblPrEx>
          <w:tblCellMar>
            <w:top w:w="0" w:type="dxa"/>
            <w:left w:w="0" w:type="dxa"/>
            <w:bottom w:w="0" w:type="dxa"/>
            <w:right w:w="0" w:type="dxa"/>
          </w:tblCellMar>
        </w:tblPrEx>
        <w:trPr>
          <w:trHeight w:val="404" w:hRule="atLeast"/>
        </w:trPr>
        <w:tc>
          <w:tcPr>
            <w:tcW w:w="9920"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 w:val="18"/>
                <w:szCs w:val="18"/>
              </w:rPr>
            </w:pPr>
            <w:r>
              <w:rPr>
                <w:rFonts w:hint="eastAsia" w:ascii="仿宋" w:hAnsi="仿宋" w:eastAsia="仿宋" w:cs="仿宋"/>
                <w:b/>
                <w:sz w:val="18"/>
                <w:szCs w:val="15"/>
              </w:rPr>
              <w:t>附件1</w:t>
            </w:r>
            <w:r>
              <w:rPr>
                <w:rFonts w:ascii="仿宋" w:hAnsi="仿宋" w:eastAsia="仿宋" w:cs="仿宋"/>
                <w:b/>
                <w:sz w:val="18"/>
                <w:szCs w:val="15"/>
              </w:rPr>
              <w:t>.</w:t>
            </w:r>
            <w:r>
              <w:rPr>
                <w:rFonts w:hint="eastAsia" w:ascii="仿宋" w:hAnsi="仿宋" w:eastAsia="仿宋" w:cs="仿宋"/>
                <w:b/>
                <w:sz w:val="18"/>
                <w:szCs w:val="15"/>
              </w:rPr>
              <w:t>项目支出绩效自评表</w:t>
            </w:r>
          </w:p>
        </w:tc>
      </w:tr>
      <w:tr>
        <w:tblPrEx>
          <w:tblCellMar>
            <w:top w:w="0" w:type="dxa"/>
            <w:left w:w="0" w:type="dxa"/>
            <w:bottom w:w="0" w:type="dxa"/>
            <w:right w:w="0" w:type="dxa"/>
          </w:tblCellMar>
        </w:tblPrEx>
        <w:trPr>
          <w:trHeight w:val="420" w:hRule="atLeast"/>
        </w:trPr>
        <w:tc>
          <w:tcPr>
            <w:tcW w:w="980"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15"/>
                <w:szCs w:val="15"/>
              </w:rPr>
            </w:pPr>
            <w:r>
              <w:rPr>
                <w:rFonts w:hint="eastAsia" w:ascii="仿宋_GB2312" w:hAnsi="Arial" w:cs="Arial"/>
                <w:b/>
                <w:sz w:val="15"/>
                <w:szCs w:val="15"/>
              </w:rPr>
              <w:t>一级指标</w:t>
            </w:r>
          </w:p>
        </w:tc>
        <w:tc>
          <w:tcPr>
            <w:tcW w:w="114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15"/>
                <w:szCs w:val="15"/>
              </w:rPr>
            </w:pPr>
            <w:r>
              <w:rPr>
                <w:rFonts w:ascii="仿宋_GB2312" w:hAnsi="Arial" w:cs="Arial"/>
                <w:b/>
                <w:sz w:val="15"/>
                <w:szCs w:val="15"/>
              </w:rPr>
              <w:t>二级指标</w:t>
            </w:r>
          </w:p>
        </w:tc>
        <w:tc>
          <w:tcPr>
            <w:tcW w:w="1701"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15"/>
                <w:szCs w:val="15"/>
              </w:rPr>
            </w:pPr>
            <w:r>
              <w:rPr>
                <w:rFonts w:hint="eastAsia" w:ascii="仿宋_GB2312" w:hAnsi="Arial" w:cs="Arial"/>
                <w:b/>
                <w:sz w:val="15"/>
                <w:szCs w:val="15"/>
              </w:rPr>
              <w:t>目标指标</w:t>
            </w:r>
          </w:p>
        </w:tc>
        <w:tc>
          <w:tcPr>
            <w:tcW w:w="592"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15"/>
                <w:szCs w:val="15"/>
              </w:rPr>
            </w:pPr>
            <w:r>
              <w:rPr>
                <w:rFonts w:hint="eastAsia" w:ascii="仿宋_GB2312" w:hAnsi="Arial" w:cs="Arial"/>
                <w:b/>
                <w:sz w:val="15"/>
                <w:szCs w:val="15"/>
              </w:rPr>
              <w:t>权重</w:t>
            </w:r>
          </w:p>
        </w:tc>
        <w:tc>
          <w:tcPr>
            <w:tcW w:w="837"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15"/>
                <w:szCs w:val="15"/>
              </w:rPr>
            </w:pPr>
            <w:r>
              <w:rPr>
                <w:rFonts w:hint="eastAsia" w:ascii="仿宋_GB2312" w:hAnsi="Arial" w:cs="Arial"/>
                <w:b/>
                <w:sz w:val="15"/>
                <w:szCs w:val="15"/>
              </w:rPr>
              <w:t>目标值</w:t>
            </w:r>
          </w:p>
        </w:tc>
        <w:tc>
          <w:tcPr>
            <w:tcW w:w="1050"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15"/>
                <w:szCs w:val="15"/>
              </w:rPr>
            </w:pPr>
            <w:r>
              <w:rPr>
                <w:rFonts w:hint="eastAsia" w:ascii="仿宋_GB2312" w:hAnsi="Arial" w:cs="Arial"/>
                <w:b/>
                <w:sz w:val="15"/>
                <w:szCs w:val="15"/>
              </w:rPr>
              <w:t>业绩值</w:t>
            </w:r>
          </w:p>
        </w:tc>
        <w:tc>
          <w:tcPr>
            <w:tcW w:w="93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15"/>
                <w:szCs w:val="15"/>
              </w:rPr>
            </w:pPr>
            <w:r>
              <w:rPr>
                <w:rFonts w:hint="eastAsia" w:ascii="仿宋_GB2312" w:hAnsi="Arial" w:cs="Arial"/>
                <w:b/>
                <w:sz w:val="15"/>
                <w:szCs w:val="15"/>
              </w:rPr>
              <w:t>完成率</w:t>
            </w:r>
          </w:p>
        </w:tc>
        <w:tc>
          <w:tcPr>
            <w:tcW w:w="901"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15"/>
                <w:szCs w:val="15"/>
              </w:rPr>
            </w:pPr>
            <w:r>
              <w:rPr>
                <w:rFonts w:hint="eastAsia" w:ascii="仿宋_GB2312" w:hAnsi="Arial" w:cs="Arial"/>
                <w:b/>
                <w:sz w:val="15"/>
                <w:szCs w:val="15"/>
              </w:rPr>
              <w:t>指标得分</w:t>
            </w:r>
          </w:p>
        </w:tc>
        <w:tc>
          <w:tcPr>
            <w:tcW w:w="1783"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15"/>
                <w:szCs w:val="15"/>
              </w:rPr>
            </w:pPr>
            <w:r>
              <w:rPr>
                <w:rFonts w:hint="eastAsia" w:ascii="仿宋_GB2312" w:hAnsi="Arial" w:cs="Arial"/>
                <w:b/>
                <w:sz w:val="15"/>
                <w:szCs w:val="15"/>
              </w:rPr>
              <w:t>偏差原因分析及改进措施</w:t>
            </w:r>
          </w:p>
        </w:tc>
      </w:tr>
      <w:tr>
        <w:tblPrEx>
          <w:tblCellMar>
            <w:top w:w="0" w:type="dxa"/>
            <w:left w:w="0" w:type="dxa"/>
            <w:bottom w:w="0" w:type="dxa"/>
            <w:right w:w="0" w:type="dxa"/>
          </w:tblCellMar>
        </w:tblPrEx>
        <w:trPr>
          <w:trHeight w:val="420" w:hRule="atLeast"/>
        </w:trPr>
        <w:tc>
          <w:tcPr>
            <w:tcW w:w="980"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预算执行指标</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预算执行指标</w:t>
            </w: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预算执行率</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420" w:hRule="atLeast"/>
        </w:trPr>
        <w:tc>
          <w:tcPr>
            <w:tcW w:w="980"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产出指标</w:t>
            </w: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数量指标</w:t>
            </w: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公用经费</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7.55</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7.55万元</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814"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享受乡村教师生活补助教师数</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15</w:t>
            </w:r>
            <w:r>
              <w:rPr>
                <w:rFonts w:hint="eastAsia" w:ascii="仿宋" w:eastAsia="仿宋" w:cs="仿宋" w:hAnsiTheme="minorHAnsi"/>
                <w:color w:val="000000"/>
                <w:kern w:val="0"/>
                <w:sz w:val="16"/>
                <w:szCs w:val="16"/>
                <w:highlight w:val="white"/>
              </w:rPr>
              <w:t>人</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23</w:t>
            </w:r>
            <w:r>
              <w:rPr>
                <w:rFonts w:hint="eastAsia" w:ascii="仿宋" w:eastAsia="仿宋" w:cs="仿宋" w:hAnsiTheme="minorHAnsi"/>
                <w:color w:val="000000"/>
                <w:kern w:val="0"/>
                <w:sz w:val="16"/>
                <w:szCs w:val="16"/>
                <w:highlight w:val="white"/>
              </w:rPr>
              <w:t>人</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420"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享受一补人数</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5.32</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15</w:t>
            </w:r>
            <w:r>
              <w:rPr>
                <w:rFonts w:hint="eastAsia" w:ascii="仿宋" w:eastAsia="仿宋" w:cs="仿宋" w:hAnsiTheme="minorHAnsi"/>
                <w:color w:val="000000"/>
                <w:kern w:val="0"/>
                <w:sz w:val="16"/>
                <w:szCs w:val="16"/>
                <w:highlight w:val="white"/>
              </w:rPr>
              <w:t>人</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20</w:t>
            </w:r>
            <w:r>
              <w:rPr>
                <w:rFonts w:hint="eastAsia" w:ascii="仿宋" w:eastAsia="仿宋" w:cs="仿宋" w:hAnsiTheme="minorHAnsi"/>
                <w:color w:val="000000"/>
                <w:kern w:val="0"/>
                <w:sz w:val="16"/>
                <w:szCs w:val="16"/>
                <w:highlight w:val="white"/>
              </w:rPr>
              <w:t>人</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5.32</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814"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享受营养改善计划学生数</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15</w:t>
            </w:r>
            <w:r>
              <w:rPr>
                <w:rFonts w:hint="eastAsia" w:ascii="仿宋" w:eastAsia="仿宋" w:cs="仿宋" w:hAnsiTheme="minorHAnsi"/>
                <w:color w:val="000000"/>
                <w:kern w:val="0"/>
                <w:sz w:val="16"/>
                <w:szCs w:val="16"/>
                <w:highlight w:val="white"/>
              </w:rPr>
              <w:t>人</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20</w:t>
            </w:r>
            <w:r>
              <w:rPr>
                <w:rFonts w:hint="eastAsia" w:ascii="仿宋" w:eastAsia="仿宋" w:cs="仿宋" w:hAnsiTheme="minorHAnsi"/>
                <w:color w:val="000000"/>
                <w:kern w:val="0"/>
                <w:sz w:val="16"/>
                <w:szCs w:val="16"/>
                <w:highlight w:val="white"/>
              </w:rPr>
              <w:t>人</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1998"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质量指标</w:t>
            </w: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一补资助标准</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寄宿生每生每学期500元，走读生每生每学期250元</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814"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乡村教师生活补助标准</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每位教师每月补助300元</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814"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营养改善计划标准</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每生每天补助4元</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420"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时效指标</w:t>
            </w: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资金及时下达</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及时</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420"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成本指标</w:t>
            </w: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营养餐资金控制额</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0.96</w:t>
            </w:r>
            <w:r>
              <w:rPr>
                <w:rFonts w:hint="eastAsia" w:ascii="仿宋" w:eastAsia="仿宋" w:cs="仿宋" w:hAnsiTheme="minorHAnsi"/>
                <w:color w:val="000000"/>
                <w:kern w:val="0"/>
                <w:sz w:val="16"/>
                <w:szCs w:val="16"/>
                <w:highlight w:val="white"/>
              </w:rPr>
              <w:t>万元</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1.92</w:t>
            </w:r>
            <w:r>
              <w:rPr>
                <w:rFonts w:hint="eastAsia" w:ascii="仿宋" w:eastAsia="仿宋" w:cs="仿宋" w:hAnsiTheme="minorHAnsi"/>
                <w:color w:val="000000"/>
                <w:kern w:val="0"/>
                <w:sz w:val="16"/>
                <w:szCs w:val="16"/>
                <w:highlight w:val="white"/>
              </w:rPr>
              <w:t>万元</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814"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教师生活补助金控制额</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2.52</w:t>
            </w:r>
            <w:r>
              <w:rPr>
                <w:rFonts w:hint="eastAsia" w:ascii="仿宋" w:eastAsia="仿宋" w:cs="仿宋" w:hAnsiTheme="minorHAnsi"/>
                <w:color w:val="000000"/>
                <w:kern w:val="0"/>
                <w:sz w:val="16"/>
                <w:szCs w:val="16"/>
                <w:highlight w:val="white"/>
              </w:rPr>
              <w:t>万元</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4.14</w:t>
            </w:r>
            <w:r>
              <w:rPr>
                <w:rFonts w:hint="eastAsia" w:ascii="仿宋" w:eastAsia="仿宋" w:cs="仿宋" w:hAnsiTheme="minorHAnsi"/>
                <w:color w:val="000000"/>
                <w:kern w:val="0"/>
                <w:sz w:val="16"/>
                <w:szCs w:val="16"/>
                <w:highlight w:val="white"/>
              </w:rPr>
              <w:t>万元</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420"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预计公用经费控制额</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7.55万元</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7.55万元</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420"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一补资金控制额</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0.4</w:t>
            </w:r>
            <w:r>
              <w:rPr>
                <w:rFonts w:hint="eastAsia" w:ascii="仿宋" w:eastAsia="仿宋" w:cs="仿宋" w:hAnsiTheme="minorHAnsi"/>
                <w:color w:val="000000"/>
                <w:kern w:val="0"/>
                <w:sz w:val="16"/>
                <w:szCs w:val="16"/>
                <w:highlight w:val="white"/>
              </w:rPr>
              <w:t>万元</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lang w:val="en-US" w:eastAsia="zh-CN"/>
              </w:rPr>
              <w:t>0.75</w:t>
            </w:r>
            <w:r>
              <w:rPr>
                <w:rFonts w:hint="eastAsia" w:ascii="仿宋" w:eastAsia="仿宋" w:cs="仿宋" w:hAnsiTheme="minorHAnsi"/>
                <w:color w:val="000000"/>
                <w:kern w:val="0"/>
                <w:sz w:val="16"/>
                <w:szCs w:val="16"/>
                <w:highlight w:val="white"/>
              </w:rPr>
              <w:t>万元</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814" w:hRule="atLeast"/>
        </w:trPr>
        <w:tc>
          <w:tcPr>
            <w:tcW w:w="980"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效益指标</w:t>
            </w: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社会效益</w:t>
            </w: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保障了学校的正常运转</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是</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814"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提高了教师的生活水平</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是</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1209"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改善了学生的生活，提高了学生的体质健康</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是</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814" w:hRule="atLeast"/>
        </w:trPr>
        <w:tc>
          <w:tcPr>
            <w:tcW w:w="980"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保证了所有贫困生能正常上学</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是</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5.29</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p>
        </w:tc>
      </w:tr>
      <w:tr>
        <w:tblPrEx>
          <w:tblCellMar>
            <w:top w:w="0" w:type="dxa"/>
            <w:left w:w="0" w:type="dxa"/>
            <w:bottom w:w="0" w:type="dxa"/>
            <w:right w:w="0" w:type="dxa"/>
          </w:tblCellMar>
        </w:tblPrEx>
        <w:trPr>
          <w:trHeight w:val="420" w:hRule="atLeast"/>
        </w:trPr>
        <w:tc>
          <w:tcPr>
            <w:tcW w:w="980"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满意度指标</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服务对象满意度指标</w:t>
            </w:r>
          </w:p>
        </w:tc>
        <w:tc>
          <w:tcPr>
            <w:tcW w:w="17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学校满意度（%）</w:t>
            </w:r>
          </w:p>
        </w:tc>
        <w:tc>
          <w:tcPr>
            <w:tcW w:w="592"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5.33</w:t>
            </w:r>
          </w:p>
        </w:tc>
        <w:tc>
          <w:tcPr>
            <w:tcW w:w="837"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100%</w:t>
            </w:r>
          </w:p>
        </w:tc>
        <w:tc>
          <w:tcPr>
            <w:tcW w:w="1050"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98%</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98.00%</w:t>
            </w:r>
          </w:p>
        </w:tc>
        <w:tc>
          <w:tcPr>
            <w:tcW w:w="901"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5.22</w:t>
            </w:r>
          </w:p>
        </w:tc>
        <w:tc>
          <w:tcPr>
            <w:tcW w:w="1783"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16"/>
                <w:szCs w:val="16"/>
                <w:highlight w:val="white"/>
              </w:rPr>
            </w:pPr>
            <w:r>
              <w:rPr>
                <w:rFonts w:hint="eastAsia" w:ascii="仿宋" w:eastAsia="仿宋" w:cs="仿宋" w:hAnsiTheme="minorHAnsi"/>
                <w:color w:val="000000"/>
                <w:kern w:val="0"/>
                <w:sz w:val="16"/>
                <w:szCs w:val="16"/>
                <w:highlight w:val="white"/>
              </w:rPr>
              <w:t>满意度有待提高</w:t>
            </w:r>
          </w:p>
        </w:tc>
      </w:tr>
      <w:tr>
        <w:tblPrEx>
          <w:tblCellMar>
            <w:top w:w="0" w:type="dxa"/>
            <w:left w:w="0" w:type="dxa"/>
            <w:bottom w:w="0" w:type="dxa"/>
            <w:right w:w="0" w:type="dxa"/>
          </w:tblCellMar>
        </w:tblPrEx>
        <w:trPr>
          <w:trHeight w:val="420" w:hRule="atLeast"/>
        </w:trPr>
        <w:tc>
          <w:tcPr>
            <w:tcW w:w="980"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15"/>
                <w:szCs w:val="15"/>
              </w:rPr>
            </w:pPr>
          </w:p>
        </w:tc>
        <w:tc>
          <w:tcPr>
            <w:tcW w:w="1140" w:type="dxa"/>
            <w:tcBorders>
              <w:top w:val="single" w:color="auto" w:sz="4" w:space="0"/>
              <w:bottom w:val="single" w:color="000000" w:sz="4" w:space="0"/>
              <w:right w:val="nil"/>
            </w:tcBorders>
          </w:tcPr>
          <w:p>
            <w:pPr>
              <w:ind w:firstLine="440"/>
              <w:rPr>
                <w:rFonts w:ascii="仿宋_GB2312" w:hAnsi="Arial" w:cs="Arial"/>
                <w:sz w:val="15"/>
                <w:szCs w:val="15"/>
              </w:rPr>
            </w:pPr>
          </w:p>
        </w:tc>
        <w:tc>
          <w:tcPr>
            <w:tcW w:w="1701"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15"/>
                <w:szCs w:val="15"/>
              </w:rPr>
            </w:pPr>
          </w:p>
        </w:tc>
        <w:tc>
          <w:tcPr>
            <w:tcW w:w="592"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15"/>
                <w:szCs w:val="15"/>
              </w:rPr>
            </w:pPr>
          </w:p>
        </w:tc>
        <w:tc>
          <w:tcPr>
            <w:tcW w:w="83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15"/>
                <w:szCs w:val="15"/>
              </w:rPr>
            </w:pPr>
          </w:p>
        </w:tc>
        <w:tc>
          <w:tcPr>
            <w:tcW w:w="105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15"/>
                <w:szCs w:val="15"/>
              </w:rPr>
            </w:pPr>
          </w:p>
        </w:tc>
        <w:tc>
          <w:tcPr>
            <w:tcW w:w="936" w:type="dxa"/>
            <w:tcBorders>
              <w:top w:val="single" w:color="auto" w:sz="4" w:space="0"/>
              <w:left w:val="nil"/>
              <w:bottom w:val="single" w:color="000000" w:sz="4" w:space="0"/>
              <w:right w:val="nil"/>
            </w:tcBorders>
          </w:tcPr>
          <w:p>
            <w:pPr>
              <w:ind w:firstLine="440"/>
              <w:rPr>
                <w:rFonts w:ascii="仿宋_GB2312" w:hAnsi="Arial" w:cs="Arial"/>
                <w:sz w:val="15"/>
                <w:szCs w:val="15"/>
              </w:rPr>
            </w:pPr>
          </w:p>
        </w:tc>
        <w:tc>
          <w:tcPr>
            <w:tcW w:w="901"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15"/>
                <w:szCs w:val="15"/>
              </w:rPr>
            </w:pPr>
          </w:p>
        </w:tc>
        <w:tc>
          <w:tcPr>
            <w:tcW w:w="1783"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15"/>
                <w:szCs w:val="15"/>
              </w:rPr>
            </w:pPr>
          </w:p>
        </w:tc>
      </w:tr>
      <w:tr>
        <w:tblPrEx>
          <w:tblCellMar>
            <w:top w:w="0" w:type="dxa"/>
            <w:left w:w="0" w:type="dxa"/>
            <w:bottom w:w="0" w:type="dxa"/>
            <w:right w:w="0" w:type="dxa"/>
          </w:tblCellMar>
        </w:tblPrEx>
        <w:trPr>
          <w:trHeight w:val="420" w:hRule="atLeast"/>
          <w:hidden/>
        </w:trPr>
        <w:tc>
          <w:tcPr>
            <w:tcW w:w="98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11"/>
                <w:szCs w:val="11"/>
              </w:rPr>
            </w:pPr>
          </w:p>
        </w:tc>
        <w:tc>
          <w:tcPr>
            <w:tcW w:w="1140" w:type="dxa"/>
            <w:tcBorders>
              <w:top w:val="nil"/>
              <w:left w:val="nil"/>
              <w:bottom w:val="nil"/>
              <w:right w:val="nil"/>
            </w:tcBorders>
          </w:tcPr>
          <w:p>
            <w:pPr>
              <w:ind w:firstLine="400"/>
              <w:rPr>
                <w:rFonts w:ascii="Arial" w:hAnsi="Arial" w:cs="Arial"/>
                <w:vanish/>
                <w:sz w:val="11"/>
                <w:szCs w:val="11"/>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11"/>
                <w:szCs w:val="11"/>
              </w:rPr>
            </w:pPr>
          </w:p>
        </w:tc>
        <w:tc>
          <w:tcPr>
            <w:tcW w:w="592"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11"/>
                <w:szCs w:val="11"/>
              </w:rPr>
            </w:pPr>
          </w:p>
        </w:tc>
        <w:tc>
          <w:tcPr>
            <w:tcW w:w="83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11"/>
                <w:szCs w:val="11"/>
              </w:rPr>
            </w:pPr>
          </w:p>
        </w:tc>
        <w:tc>
          <w:tcPr>
            <w:tcW w:w="105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11"/>
                <w:szCs w:val="11"/>
              </w:rPr>
            </w:pPr>
          </w:p>
        </w:tc>
        <w:tc>
          <w:tcPr>
            <w:tcW w:w="936" w:type="dxa"/>
            <w:tcBorders>
              <w:top w:val="nil"/>
              <w:left w:val="nil"/>
              <w:bottom w:val="nil"/>
              <w:right w:val="nil"/>
            </w:tcBorders>
          </w:tcPr>
          <w:p>
            <w:pPr>
              <w:ind w:firstLine="400"/>
              <w:rPr>
                <w:rFonts w:ascii="Arial" w:hAnsi="Arial" w:cs="Arial"/>
                <w:vanish/>
                <w:sz w:val="11"/>
                <w:szCs w:val="11"/>
              </w:rPr>
            </w:pPr>
          </w:p>
        </w:tc>
        <w:tc>
          <w:tcPr>
            <w:tcW w:w="901"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11"/>
                <w:szCs w:val="11"/>
              </w:rPr>
            </w:pPr>
          </w:p>
        </w:tc>
        <w:tc>
          <w:tcPr>
            <w:tcW w:w="1783"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11"/>
                <w:szCs w:val="11"/>
              </w:rPr>
            </w:pPr>
          </w:p>
        </w:tc>
      </w:tr>
    </w:tbl>
    <w:tbl>
      <w:tblPr>
        <w:tblStyle w:val="10"/>
        <w:tblW w:w="8960" w:type="dxa"/>
        <w:tblInd w:w="20" w:type="dxa"/>
        <w:tblLayout w:type="fixed"/>
        <w:tblCellMar>
          <w:top w:w="0" w:type="dxa"/>
          <w:left w:w="0" w:type="dxa"/>
          <w:bottom w:w="0" w:type="dxa"/>
          <w:right w:w="0" w:type="dxa"/>
        </w:tblCellMar>
      </w:tblPr>
      <w:tblGrid>
        <w:gridCol w:w="1118"/>
        <w:gridCol w:w="1174"/>
        <w:gridCol w:w="1159"/>
        <w:gridCol w:w="535"/>
        <w:gridCol w:w="757"/>
        <w:gridCol w:w="948"/>
        <w:gridCol w:w="845"/>
        <w:gridCol w:w="814"/>
        <w:gridCol w:w="1610"/>
      </w:tblGrid>
      <w:tr>
        <w:tblPrEx>
          <w:tblCellMar>
            <w:top w:w="0" w:type="dxa"/>
            <w:left w:w="0" w:type="dxa"/>
            <w:bottom w:w="0" w:type="dxa"/>
            <w:right w:w="0" w:type="dxa"/>
          </w:tblCellMar>
        </w:tblPrEx>
        <w:trPr>
          <w:trHeight w:val="659" w:hRule="atLeast"/>
          <w:hidden/>
        </w:trPr>
        <w:tc>
          <w:tcPr>
            <w:tcW w:w="111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bookmarkStart w:id="30" w:name="_Toc8545"/>
          </w:p>
        </w:tc>
        <w:tc>
          <w:tcPr>
            <w:tcW w:w="1174" w:type="dxa"/>
            <w:tcBorders>
              <w:top w:val="nil"/>
              <w:left w:val="nil"/>
              <w:bottom w:val="nil"/>
              <w:right w:val="nil"/>
            </w:tcBorders>
          </w:tcPr>
          <w:p>
            <w:pPr>
              <w:ind w:firstLine="400"/>
              <w:rPr>
                <w:rFonts w:ascii="Arial" w:hAnsi="Arial" w:cs="Arial"/>
                <w:vanish/>
                <w:color w:val="auto"/>
                <w:sz w:val="20"/>
                <w:szCs w:val="20"/>
              </w:rPr>
            </w:pPr>
          </w:p>
        </w:tc>
        <w:tc>
          <w:tcPr>
            <w:tcW w:w="115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535"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75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94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845" w:type="dxa"/>
            <w:tcBorders>
              <w:top w:val="nil"/>
              <w:left w:val="nil"/>
              <w:bottom w:val="nil"/>
              <w:right w:val="nil"/>
            </w:tcBorders>
          </w:tcPr>
          <w:p>
            <w:pPr>
              <w:ind w:firstLine="400"/>
              <w:rPr>
                <w:rFonts w:ascii="Arial" w:hAnsi="Arial" w:cs="Arial"/>
                <w:vanish/>
                <w:color w:val="auto"/>
                <w:sz w:val="20"/>
                <w:szCs w:val="20"/>
              </w:rPr>
            </w:pPr>
          </w:p>
        </w:tc>
        <w:tc>
          <w:tcPr>
            <w:tcW w:w="81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c>
          <w:tcPr>
            <w:tcW w:w="161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color w:val="auto"/>
                <w:sz w:val="20"/>
                <w:szCs w:val="20"/>
              </w:rPr>
            </w:pPr>
          </w:p>
        </w:tc>
      </w:tr>
    </w:tbl>
    <w:p>
      <w:pPr>
        <w:numPr>
          <w:ilvl w:val="0"/>
          <w:numId w:val="0"/>
        </w:numPr>
        <w:ind w:leftChars="200"/>
        <w:rPr>
          <w:rFonts w:hint="eastAsia" w:ascii="仿宋_GB2312"/>
          <w:color w:val="auto"/>
          <w:szCs w:val="32"/>
          <w:lang w:val="en-US" w:eastAsia="zh-CN"/>
        </w:rPr>
      </w:pPr>
    </w:p>
    <w:p>
      <w:pPr>
        <w:numPr>
          <w:ilvl w:val="0"/>
          <w:numId w:val="0"/>
        </w:numPr>
        <w:ind w:leftChars="200"/>
        <w:rPr>
          <w:rFonts w:hint="eastAsia" w:ascii="仿宋_GB2312"/>
          <w:color w:val="auto"/>
          <w:szCs w:val="32"/>
        </w:rPr>
      </w:pPr>
      <w:r>
        <w:rPr>
          <w:rFonts w:hint="eastAsia" w:ascii="仿宋_GB2312"/>
          <w:color w:val="auto"/>
          <w:szCs w:val="32"/>
          <w:lang w:eastAsia="zh-CN"/>
        </w:rPr>
        <w:t>（四）</w:t>
      </w:r>
      <w:r>
        <w:rPr>
          <w:rFonts w:hint="eastAsia" w:ascii="仿宋_GB2312"/>
          <w:color w:val="auto"/>
          <w:szCs w:val="32"/>
        </w:rPr>
        <w:t>其他需要说明的事项</w:t>
      </w:r>
    </w:p>
    <w:p>
      <w:pPr>
        <w:numPr>
          <w:ilvl w:val="0"/>
          <w:numId w:val="0"/>
        </w:numPr>
        <w:ind w:leftChars="200"/>
        <w:rPr>
          <w:rFonts w:hint="eastAsia" w:ascii="仿宋_GB2312"/>
          <w:color w:val="auto"/>
          <w:szCs w:val="32"/>
          <w:lang w:val="en-US" w:eastAsia="zh-CN"/>
        </w:rPr>
      </w:pPr>
      <w:r>
        <w:rPr>
          <w:rFonts w:hint="eastAsia" w:ascii="仿宋_GB2312"/>
          <w:color w:val="auto"/>
          <w:szCs w:val="32"/>
          <w:lang w:val="en-US" w:eastAsia="zh-CN"/>
        </w:rPr>
        <w:t>无</w:t>
      </w:r>
    </w:p>
    <w:p>
      <w:pPr>
        <w:pStyle w:val="2"/>
        <w:ind w:left="0" w:leftChars="0" w:firstLine="0" w:firstLineChars="0"/>
        <w:jc w:val="center"/>
        <w:rPr>
          <w:rFonts w:hint="eastAsia"/>
          <w:b/>
          <w:color w:val="auto"/>
          <w:sz w:val="36"/>
          <w:szCs w:val="36"/>
          <w:lang w:val="en-US" w:eastAsia="zh-CN"/>
        </w:rPr>
      </w:pPr>
      <w:r>
        <w:rPr>
          <w:rFonts w:hint="eastAsia"/>
          <w:b/>
          <w:color w:val="auto"/>
          <w:sz w:val="36"/>
          <w:szCs w:val="36"/>
          <w:lang w:val="en-US" w:eastAsia="zh-CN"/>
        </w:rPr>
        <w:t>第四部分  名词解释</w:t>
      </w:r>
      <w:bookmarkEnd w:id="30"/>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left="0" w:leftChars="0" w:firstLine="0" w:firstLineChars="0"/>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单位名称：静乐县中庄联合学区</w:t>
      </w:r>
    </w:p>
    <w:p>
      <w:pPr>
        <w:ind w:firstLine="4800" w:firstLineChars="1500"/>
        <w:rPr>
          <w:rFonts w:hint="eastAsia" w:eastAsia="仿宋_GB2312"/>
          <w:color w:val="auto"/>
          <w:lang w:val="en-US" w:eastAsia="zh-CN"/>
        </w:rPr>
      </w:pPr>
      <w:r>
        <w:rPr>
          <w:rFonts w:hint="eastAsia"/>
          <w:color w:val="auto"/>
          <w:lang w:val="en-US" w:eastAsia="zh-CN"/>
        </w:rPr>
        <w:t>二〇二二年六月六</w:t>
      </w:r>
      <w:bookmarkStart w:id="31" w:name="_GoBack"/>
      <w:bookmarkEnd w:id="31"/>
      <w:r>
        <w:rPr>
          <w:rFonts w:hint="eastAsia"/>
          <w:color w:val="auto"/>
          <w:lang w:val="en-US" w:eastAsia="zh-CN"/>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795CA"/>
    <w:multiLevelType w:val="singleLevel"/>
    <w:tmpl w:val="83D795CA"/>
    <w:lvl w:ilvl="0" w:tentative="0">
      <w:start w:val="2"/>
      <w:numFmt w:val="chineseCounting"/>
      <w:suff w:val="nothing"/>
      <w:lvlText w:val="%1、"/>
      <w:lvlJc w:val="left"/>
      <w:rPr>
        <w:rFonts w:hint="eastAsia"/>
      </w:rPr>
    </w:lvl>
  </w:abstractNum>
  <w:abstractNum w:abstractNumId="1">
    <w:nsid w:val="48898AFE"/>
    <w:multiLevelType w:val="singleLevel"/>
    <w:tmpl w:val="48898AFE"/>
    <w:lvl w:ilvl="0" w:tentative="0">
      <w:start w:val="4"/>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2DA1636"/>
    <w:rsid w:val="03696819"/>
    <w:rsid w:val="03992A2D"/>
    <w:rsid w:val="07B0310A"/>
    <w:rsid w:val="09C65A58"/>
    <w:rsid w:val="0A46375F"/>
    <w:rsid w:val="0A4B1B08"/>
    <w:rsid w:val="0BEF67FF"/>
    <w:rsid w:val="0C4D30AF"/>
    <w:rsid w:val="0D7078E9"/>
    <w:rsid w:val="0DC3019B"/>
    <w:rsid w:val="16654CDD"/>
    <w:rsid w:val="187C23C8"/>
    <w:rsid w:val="1A4A5C33"/>
    <w:rsid w:val="1FB339CD"/>
    <w:rsid w:val="2701594C"/>
    <w:rsid w:val="27426717"/>
    <w:rsid w:val="2ED94C7A"/>
    <w:rsid w:val="304E5B92"/>
    <w:rsid w:val="35887450"/>
    <w:rsid w:val="37943B50"/>
    <w:rsid w:val="3821117E"/>
    <w:rsid w:val="3C130190"/>
    <w:rsid w:val="3EAB6853"/>
    <w:rsid w:val="409D6291"/>
    <w:rsid w:val="42C12CEC"/>
    <w:rsid w:val="44401A62"/>
    <w:rsid w:val="46C67DD9"/>
    <w:rsid w:val="48E26FF5"/>
    <w:rsid w:val="4916221B"/>
    <w:rsid w:val="495520D0"/>
    <w:rsid w:val="4A012068"/>
    <w:rsid w:val="51395865"/>
    <w:rsid w:val="53A30631"/>
    <w:rsid w:val="56392E30"/>
    <w:rsid w:val="588B2C87"/>
    <w:rsid w:val="59173FC6"/>
    <w:rsid w:val="5D871EE2"/>
    <w:rsid w:val="5EC01F6A"/>
    <w:rsid w:val="5ED877BD"/>
    <w:rsid w:val="63AB51DF"/>
    <w:rsid w:val="649C6DC9"/>
    <w:rsid w:val="663E7774"/>
    <w:rsid w:val="6D0C2AB9"/>
    <w:rsid w:val="6DED7D4E"/>
    <w:rsid w:val="6E9D3265"/>
    <w:rsid w:val="6EAE054D"/>
    <w:rsid w:val="6EFF2BBA"/>
    <w:rsid w:val="715A78E4"/>
    <w:rsid w:val="72FF64FC"/>
    <w:rsid w:val="7761744D"/>
    <w:rsid w:val="797B0997"/>
    <w:rsid w:val="798D0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3296</Words>
  <Characters>3916</Characters>
  <Lines>0</Lines>
  <Paragraphs>0</Paragraphs>
  <TotalTime>5</TotalTime>
  <ScaleCrop>false</ScaleCrop>
  <LinksUpToDate>false</LinksUpToDate>
  <CharactersWithSpaces>3983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2022-07-19T02:29:24Z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F0F98F0F4D43454BB3762A618422AA67</vt:lpwstr>
  </property>
</Properties>
</file>