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3"/>
        <w:jc w:val="center"/>
        <w:rPr>
          <w:rFonts w:hint="eastAsia" w:ascii="华文中宋" w:hAnsi="华文中宋" w:eastAsia="华文中宋"/>
          <w:color w:val="000000" w:themeColor="text1"/>
          <w:szCs w:val="44"/>
        </w:rPr>
      </w:pPr>
      <w:bookmarkStart w:id="0" w:name="_Toc32048"/>
      <w:bookmarkStart w:id="1" w:name="_Toc21118"/>
      <w:bookmarkStart w:id="2" w:name="_Toc31071"/>
      <w:r>
        <w:rPr>
          <w:rFonts w:hint="eastAsia" w:ascii="华文中宋" w:hAnsi="华文中宋" w:eastAsia="华文中宋"/>
          <w:color w:val="000000" w:themeColor="text1"/>
          <w:szCs w:val="44"/>
        </w:rPr>
        <w:t>静乐县档案馆</w:t>
      </w:r>
    </w:p>
    <w:p>
      <w:pPr>
        <w:pStyle w:val="2"/>
        <w:ind w:firstLine="883"/>
        <w:jc w:val="center"/>
        <w:rPr>
          <w:rFonts w:ascii="华文中宋" w:hAnsi="华文中宋" w:eastAsia="华文中宋"/>
          <w:color w:val="000000" w:themeColor="text1"/>
          <w:szCs w:val="44"/>
        </w:rPr>
      </w:pPr>
      <w:r>
        <w:rPr>
          <w:rFonts w:hint="eastAsia" w:ascii="华文中宋" w:hAnsi="华文中宋" w:eastAsia="华文中宋"/>
          <w:color w:val="000000" w:themeColor="text1"/>
          <w:szCs w:val="44"/>
        </w:rPr>
        <w:t>2021年度部门决算公开说明</w:t>
      </w:r>
      <w:bookmarkEnd w:id="0"/>
      <w:bookmarkEnd w:id="1"/>
      <w:bookmarkEnd w:id="2"/>
    </w:p>
    <w:p>
      <w:pPr>
        <w:pStyle w:val="6"/>
        <w:tabs>
          <w:tab w:val="right" w:leader="dot" w:pos="8306"/>
        </w:tabs>
        <w:ind w:firstLine="640"/>
        <w:rPr>
          <w:color w:val="000000" w:themeColor="text1"/>
        </w:rPr>
      </w:pPr>
      <w:r>
        <w:rPr>
          <w:rFonts w:hint="eastAsia" w:ascii="仿宋" w:hAnsi="仿宋" w:eastAsia="仿宋" w:cs="仿宋"/>
          <w:color w:val="000000" w:themeColor="text1"/>
          <w:szCs w:val="32"/>
        </w:rPr>
        <w:fldChar w:fldCharType="begin"/>
      </w:r>
      <w:r>
        <w:rPr>
          <w:rFonts w:hint="eastAsia" w:ascii="仿宋" w:hAnsi="仿宋" w:eastAsia="仿宋" w:cs="仿宋"/>
          <w:color w:val="000000" w:themeColor="text1"/>
          <w:szCs w:val="32"/>
        </w:rPr>
        <w:instrText xml:space="preserve">TOC \o "1-3" \h \u </w:instrText>
      </w:r>
      <w:r>
        <w:rPr>
          <w:rFonts w:hint="eastAsia" w:ascii="仿宋" w:hAnsi="仿宋" w:eastAsia="仿宋" w:cs="仿宋"/>
          <w:color w:val="000000" w:themeColor="text1"/>
          <w:szCs w:val="32"/>
        </w:rPr>
        <w:fldChar w:fldCharType="separate"/>
      </w:r>
      <w:r>
        <w:fldChar w:fldCharType="begin"/>
      </w:r>
      <w:r>
        <w:instrText xml:space="preserve"> HYPERLINK \l "_Toc31140" </w:instrText>
      </w:r>
      <w:r>
        <w:fldChar w:fldCharType="separate"/>
      </w:r>
      <w:r>
        <w:rPr>
          <w:rFonts w:hint="eastAsia"/>
          <w:color w:val="000000" w:themeColor="text1"/>
          <w:szCs w:val="36"/>
        </w:rPr>
        <w:t>第一部分  概况</w:t>
      </w:r>
      <w:r>
        <w:rPr>
          <w:color w:val="000000" w:themeColor="text1"/>
        </w:rPr>
        <w:tab/>
      </w:r>
      <w:r>
        <w:rPr>
          <w:color w:val="000000" w:themeColor="text1"/>
        </w:rPr>
        <w:fldChar w:fldCharType="begin"/>
      </w:r>
      <w:r>
        <w:rPr>
          <w:color w:val="000000" w:themeColor="text1"/>
        </w:rPr>
        <w:instrText xml:space="preserve"> PAGEREF _Toc31140 </w:instrText>
      </w:r>
      <w:r>
        <w:rPr>
          <w:color w:val="000000" w:themeColor="text1"/>
        </w:rPr>
        <w:fldChar w:fldCharType="separate"/>
      </w:r>
      <w:r>
        <w:rPr>
          <w:color w:val="000000" w:themeColor="text1"/>
        </w:rPr>
        <w:t>2</w:t>
      </w:r>
      <w:r>
        <w:rPr>
          <w:color w:val="000000" w:themeColor="text1"/>
        </w:rPr>
        <w:fldChar w:fldCharType="end"/>
      </w:r>
      <w:r>
        <w:rPr>
          <w:color w:val="000000" w:themeColor="text1"/>
        </w:rPr>
        <w:fldChar w:fldCharType="end"/>
      </w:r>
    </w:p>
    <w:p>
      <w:pPr>
        <w:pStyle w:val="7"/>
        <w:tabs>
          <w:tab w:val="right" w:leader="dot" w:pos="8306"/>
        </w:tabs>
        <w:ind w:left="640" w:firstLine="640"/>
        <w:rPr>
          <w:color w:val="000000" w:themeColor="text1"/>
        </w:rPr>
      </w:pPr>
      <w:r>
        <w:fldChar w:fldCharType="begin"/>
      </w:r>
      <w:r>
        <w:instrText xml:space="preserve"> HYPERLINK \l "_Toc4461" </w:instrText>
      </w:r>
      <w:r>
        <w:fldChar w:fldCharType="separate"/>
      </w:r>
      <w:r>
        <w:rPr>
          <w:rFonts w:hint="eastAsia" w:ascii="仿宋" w:hAnsi="仿宋" w:eastAsia="仿宋" w:cs="仿宋"/>
          <w:bCs/>
          <w:color w:val="000000" w:themeColor="text1"/>
        </w:rPr>
        <w:t>一、本部门职责</w:t>
      </w:r>
      <w:r>
        <w:rPr>
          <w:color w:val="000000" w:themeColor="text1"/>
        </w:rPr>
        <w:tab/>
      </w:r>
      <w:r>
        <w:rPr>
          <w:color w:val="000000" w:themeColor="text1"/>
        </w:rPr>
        <w:fldChar w:fldCharType="begin"/>
      </w:r>
      <w:r>
        <w:rPr>
          <w:color w:val="000000" w:themeColor="text1"/>
        </w:rPr>
        <w:instrText xml:space="preserve"> PAGEREF _Toc4461 </w:instrText>
      </w:r>
      <w:r>
        <w:rPr>
          <w:color w:val="000000" w:themeColor="text1"/>
        </w:rPr>
        <w:fldChar w:fldCharType="separate"/>
      </w:r>
      <w:r>
        <w:rPr>
          <w:color w:val="000000" w:themeColor="text1"/>
        </w:rPr>
        <w:t>2</w:t>
      </w:r>
      <w:r>
        <w:rPr>
          <w:color w:val="000000" w:themeColor="text1"/>
        </w:rPr>
        <w:fldChar w:fldCharType="end"/>
      </w:r>
      <w:r>
        <w:rPr>
          <w:color w:val="000000" w:themeColor="text1"/>
        </w:rPr>
        <w:fldChar w:fldCharType="end"/>
      </w:r>
    </w:p>
    <w:p>
      <w:pPr>
        <w:pStyle w:val="7"/>
        <w:tabs>
          <w:tab w:val="right" w:leader="dot" w:pos="8306"/>
        </w:tabs>
        <w:ind w:left="640" w:firstLine="640"/>
        <w:rPr>
          <w:color w:val="000000" w:themeColor="text1"/>
        </w:rPr>
      </w:pPr>
      <w:r>
        <w:fldChar w:fldCharType="begin"/>
      </w:r>
      <w:r>
        <w:instrText xml:space="preserve"> HYPERLINK \l "_Toc275" </w:instrText>
      </w:r>
      <w:r>
        <w:fldChar w:fldCharType="separate"/>
      </w:r>
      <w:r>
        <w:rPr>
          <w:rFonts w:hint="eastAsia" w:ascii="仿宋" w:hAnsi="仿宋" w:eastAsia="仿宋" w:cs="仿宋"/>
          <w:bCs/>
          <w:color w:val="000000" w:themeColor="text1"/>
        </w:rPr>
        <w:t>二、机构设置情况</w:t>
      </w:r>
      <w:r>
        <w:rPr>
          <w:color w:val="000000" w:themeColor="text1"/>
        </w:rPr>
        <w:tab/>
      </w:r>
      <w:r>
        <w:rPr>
          <w:color w:val="000000" w:themeColor="text1"/>
        </w:rPr>
        <w:fldChar w:fldCharType="begin"/>
      </w:r>
      <w:r>
        <w:rPr>
          <w:color w:val="000000" w:themeColor="text1"/>
        </w:rPr>
        <w:instrText xml:space="preserve"> PAGEREF _Toc275 </w:instrText>
      </w:r>
      <w:r>
        <w:rPr>
          <w:color w:val="000000" w:themeColor="text1"/>
        </w:rPr>
        <w:fldChar w:fldCharType="separate"/>
      </w:r>
      <w:r>
        <w:rPr>
          <w:color w:val="000000" w:themeColor="text1"/>
        </w:rPr>
        <w:t>2</w:t>
      </w:r>
      <w:r>
        <w:rPr>
          <w:color w:val="000000" w:themeColor="text1"/>
        </w:rPr>
        <w:fldChar w:fldCharType="end"/>
      </w:r>
      <w:r>
        <w:rPr>
          <w:color w:val="000000" w:themeColor="text1"/>
        </w:rPr>
        <w:fldChar w:fldCharType="end"/>
      </w:r>
    </w:p>
    <w:p>
      <w:pPr>
        <w:pStyle w:val="6"/>
        <w:tabs>
          <w:tab w:val="right" w:leader="dot" w:pos="8306"/>
        </w:tabs>
        <w:ind w:firstLine="640"/>
        <w:rPr>
          <w:color w:val="000000" w:themeColor="text1"/>
        </w:rPr>
      </w:pPr>
      <w:r>
        <w:fldChar w:fldCharType="begin"/>
      </w:r>
      <w:r>
        <w:instrText xml:space="preserve"> HYPERLINK \l "_Toc12749" </w:instrText>
      </w:r>
      <w:r>
        <w:fldChar w:fldCharType="separate"/>
      </w:r>
      <w:r>
        <w:rPr>
          <w:rFonts w:hint="eastAsia"/>
          <w:color w:val="000000" w:themeColor="text1"/>
          <w:szCs w:val="36"/>
        </w:rPr>
        <w:t>第二部分  2021年度部门决算报表（附表）</w:t>
      </w:r>
      <w:r>
        <w:rPr>
          <w:color w:val="000000" w:themeColor="text1"/>
        </w:rPr>
        <w:tab/>
      </w:r>
      <w:r>
        <w:rPr>
          <w:color w:val="000000" w:themeColor="text1"/>
        </w:rPr>
        <w:fldChar w:fldCharType="begin"/>
      </w:r>
      <w:r>
        <w:rPr>
          <w:color w:val="000000" w:themeColor="text1"/>
        </w:rPr>
        <w:instrText xml:space="preserve"> PAGEREF _Toc12749 </w:instrText>
      </w:r>
      <w:r>
        <w:rPr>
          <w:color w:val="000000" w:themeColor="text1"/>
        </w:rPr>
        <w:fldChar w:fldCharType="separate"/>
      </w:r>
      <w:r>
        <w:rPr>
          <w:color w:val="000000" w:themeColor="text1"/>
        </w:rPr>
        <w:t>2</w:t>
      </w:r>
      <w:r>
        <w:rPr>
          <w:color w:val="000000" w:themeColor="text1"/>
        </w:rPr>
        <w:fldChar w:fldCharType="end"/>
      </w:r>
      <w:r>
        <w:rPr>
          <w:color w:val="000000" w:themeColor="text1"/>
        </w:rPr>
        <w:fldChar w:fldCharType="end"/>
      </w:r>
    </w:p>
    <w:p>
      <w:pPr>
        <w:pStyle w:val="6"/>
        <w:tabs>
          <w:tab w:val="right" w:leader="dot" w:pos="8306"/>
        </w:tabs>
        <w:ind w:firstLine="640"/>
        <w:rPr>
          <w:color w:val="000000" w:themeColor="text1"/>
        </w:rPr>
      </w:pPr>
      <w:r>
        <w:fldChar w:fldCharType="begin"/>
      </w:r>
      <w:r>
        <w:instrText xml:space="preserve"> HYPERLINK \l "_Toc29325" </w:instrText>
      </w:r>
      <w:r>
        <w:fldChar w:fldCharType="separate"/>
      </w:r>
      <w:r>
        <w:rPr>
          <w:rFonts w:hint="eastAsia"/>
          <w:color w:val="000000" w:themeColor="text1"/>
          <w:szCs w:val="36"/>
        </w:rPr>
        <w:t>第三部分  2021年度部门决算情况说明</w:t>
      </w:r>
      <w:r>
        <w:rPr>
          <w:color w:val="000000" w:themeColor="text1"/>
        </w:rPr>
        <w:tab/>
      </w:r>
      <w:r>
        <w:rPr>
          <w:color w:val="000000" w:themeColor="text1"/>
        </w:rPr>
        <w:fldChar w:fldCharType="begin"/>
      </w:r>
      <w:r>
        <w:rPr>
          <w:color w:val="000000" w:themeColor="text1"/>
        </w:rPr>
        <w:instrText xml:space="preserve"> PAGEREF _Toc29325 </w:instrText>
      </w:r>
      <w:r>
        <w:rPr>
          <w:color w:val="000000" w:themeColor="text1"/>
        </w:rPr>
        <w:fldChar w:fldCharType="separate"/>
      </w:r>
      <w:r>
        <w:rPr>
          <w:color w:val="000000" w:themeColor="text1"/>
        </w:rPr>
        <w:t>2</w:t>
      </w:r>
      <w:r>
        <w:rPr>
          <w:color w:val="000000" w:themeColor="text1"/>
        </w:rPr>
        <w:fldChar w:fldCharType="end"/>
      </w:r>
      <w:r>
        <w:rPr>
          <w:color w:val="000000" w:themeColor="text1"/>
        </w:rPr>
        <w:fldChar w:fldCharType="end"/>
      </w:r>
    </w:p>
    <w:p>
      <w:pPr>
        <w:pStyle w:val="7"/>
        <w:tabs>
          <w:tab w:val="right" w:leader="dot" w:pos="8306"/>
        </w:tabs>
        <w:ind w:left="640" w:firstLine="640"/>
        <w:rPr>
          <w:color w:val="000000" w:themeColor="text1"/>
        </w:rPr>
      </w:pPr>
      <w:r>
        <w:fldChar w:fldCharType="begin"/>
      </w:r>
      <w:r>
        <w:instrText xml:space="preserve"> HYPERLINK \l "_Toc437" </w:instrText>
      </w:r>
      <w:r>
        <w:fldChar w:fldCharType="separate"/>
      </w:r>
      <w:r>
        <w:rPr>
          <w:rFonts w:hint="eastAsia" w:ascii="仿宋" w:hAnsi="仿宋" w:eastAsia="仿宋" w:cs="仿宋"/>
          <w:color w:val="000000" w:themeColor="text1"/>
        </w:rPr>
        <w:t>一、收入支出决算总体情况说明</w:t>
      </w:r>
      <w:r>
        <w:rPr>
          <w:color w:val="000000" w:themeColor="text1"/>
        </w:rPr>
        <w:tab/>
      </w:r>
      <w:r>
        <w:rPr>
          <w:color w:val="000000" w:themeColor="text1"/>
        </w:rPr>
        <w:fldChar w:fldCharType="begin"/>
      </w:r>
      <w:r>
        <w:rPr>
          <w:color w:val="000000" w:themeColor="text1"/>
        </w:rPr>
        <w:instrText xml:space="preserve"> PAGEREF _Toc437 </w:instrText>
      </w:r>
      <w:r>
        <w:rPr>
          <w:color w:val="000000" w:themeColor="text1"/>
        </w:rPr>
        <w:fldChar w:fldCharType="separate"/>
      </w:r>
      <w:r>
        <w:rPr>
          <w:color w:val="000000" w:themeColor="text1"/>
        </w:rPr>
        <w:t>2</w:t>
      </w:r>
      <w:r>
        <w:rPr>
          <w:color w:val="000000" w:themeColor="text1"/>
        </w:rPr>
        <w:fldChar w:fldCharType="end"/>
      </w:r>
      <w:r>
        <w:rPr>
          <w:color w:val="000000" w:themeColor="text1"/>
        </w:rPr>
        <w:fldChar w:fldCharType="end"/>
      </w:r>
    </w:p>
    <w:p>
      <w:pPr>
        <w:pStyle w:val="7"/>
        <w:tabs>
          <w:tab w:val="right" w:leader="dot" w:pos="8306"/>
        </w:tabs>
        <w:ind w:left="640" w:firstLine="640"/>
        <w:rPr>
          <w:color w:val="000000" w:themeColor="text1"/>
        </w:rPr>
      </w:pPr>
      <w:r>
        <w:fldChar w:fldCharType="begin"/>
      </w:r>
      <w:r>
        <w:instrText xml:space="preserve"> HYPERLINK \l "_Toc16754" </w:instrText>
      </w:r>
      <w:r>
        <w:fldChar w:fldCharType="separate"/>
      </w:r>
      <w:r>
        <w:rPr>
          <w:rFonts w:hint="eastAsia" w:ascii="仿宋" w:hAnsi="仿宋" w:eastAsia="仿宋" w:cs="仿宋"/>
          <w:color w:val="000000" w:themeColor="text1"/>
        </w:rPr>
        <w:t>二、收入决算情况说明</w:t>
      </w:r>
      <w:r>
        <w:rPr>
          <w:color w:val="000000" w:themeColor="text1"/>
        </w:rPr>
        <w:tab/>
      </w:r>
      <w:r>
        <w:rPr>
          <w:color w:val="000000" w:themeColor="text1"/>
        </w:rPr>
        <w:fldChar w:fldCharType="begin"/>
      </w:r>
      <w:r>
        <w:rPr>
          <w:color w:val="000000" w:themeColor="text1"/>
        </w:rPr>
        <w:instrText xml:space="preserve"> PAGEREF _Toc16754 </w:instrText>
      </w:r>
      <w:r>
        <w:rPr>
          <w:color w:val="000000" w:themeColor="text1"/>
        </w:rPr>
        <w:fldChar w:fldCharType="separate"/>
      </w:r>
      <w:r>
        <w:rPr>
          <w:color w:val="000000" w:themeColor="text1"/>
        </w:rPr>
        <w:t>3</w:t>
      </w:r>
      <w:r>
        <w:rPr>
          <w:color w:val="000000" w:themeColor="text1"/>
        </w:rPr>
        <w:fldChar w:fldCharType="end"/>
      </w:r>
      <w:r>
        <w:rPr>
          <w:color w:val="000000" w:themeColor="text1"/>
        </w:rPr>
        <w:fldChar w:fldCharType="end"/>
      </w:r>
    </w:p>
    <w:p>
      <w:pPr>
        <w:pStyle w:val="7"/>
        <w:tabs>
          <w:tab w:val="right" w:leader="dot" w:pos="8306"/>
        </w:tabs>
        <w:ind w:left="640" w:firstLine="640"/>
        <w:rPr>
          <w:color w:val="000000" w:themeColor="text1"/>
        </w:rPr>
      </w:pPr>
      <w:r>
        <w:fldChar w:fldCharType="begin"/>
      </w:r>
      <w:r>
        <w:instrText xml:space="preserve"> HYPERLINK \l "_Toc22098" </w:instrText>
      </w:r>
      <w:r>
        <w:fldChar w:fldCharType="separate"/>
      </w:r>
      <w:r>
        <w:rPr>
          <w:rFonts w:hint="eastAsia" w:ascii="仿宋" w:hAnsi="仿宋" w:eastAsia="仿宋" w:cs="仿宋"/>
          <w:color w:val="000000" w:themeColor="text1"/>
        </w:rPr>
        <w:t>三、支出决算情况说明</w:t>
      </w:r>
      <w:r>
        <w:rPr>
          <w:color w:val="000000" w:themeColor="text1"/>
        </w:rPr>
        <w:tab/>
      </w:r>
      <w:r>
        <w:rPr>
          <w:color w:val="000000" w:themeColor="text1"/>
        </w:rPr>
        <w:fldChar w:fldCharType="begin"/>
      </w:r>
      <w:r>
        <w:rPr>
          <w:color w:val="000000" w:themeColor="text1"/>
        </w:rPr>
        <w:instrText xml:space="preserve"> PAGEREF _Toc22098 </w:instrText>
      </w:r>
      <w:r>
        <w:rPr>
          <w:color w:val="000000" w:themeColor="text1"/>
        </w:rPr>
        <w:fldChar w:fldCharType="separate"/>
      </w:r>
      <w:r>
        <w:rPr>
          <w:color w:val="000000" w:themeColor="text1"/>
        </w:rPr>
        <w:t>3</w:t>
      </w:r>
      <w:r>
        <w:rPr>
          <w:color w:val="000000" w:themeColor="text1"/>
        </w:rPr>
        <w:fldChar w:fldCharType="end"/>
      </w:r>
      <w:r>
        <w:rPr>
          <w:color w:val="000000" w:themeColor="text1"/>
        </w:rPr>
        <w:fldChar w:fldCharType="end"/>
      </w:r>
    </w:p>
    <w:p>
      <w:pPr>
        <w:pStyle w:val="7"/>
        <w:tabs>
          <w:tab w:val="right" w:leader="dot" w:pos="8306"/>
        </w:tabs>
        <w:ind w:left="640" w:firstLine="640"/>
        <w:rPr>
          <w:color w:val="000000" w:themeColor="text1"/>
        </w:rPr>
      </w:pPr>
      <w:r>
        <w:fldChar w:fldCharType="begin"/>
      </w:r>
      <w:r>
        <w:instrText xml:space="preserve"> HYPERLINK \l "_Toc2142" </w:instrText>
      </w:r>
      <w:r>
        <w:fldChar w:fldCharType="separate"/>
      </w:r>
      <w:r>
        <w:rPr>
          <w:rFonts w:hint="eastAsia" w:ascii="仿宋" w:hAnsi="仿宋" w:eastAsia="仿宋" w:cs="仿宋"/>
          <w:color w:val="000000" w:themeColor="text1"/>
        </w:rPr>
        <w:t>四、财政拨款收入支出决算总体情况说明</w:t>
      </w:r>
      <w:r>
        <w:rPr>
          <w:color w:val="000000" w:themeColor="text1"/>
        </w:rPr>
        <w:tab/>
      </w:r>
      <w:r>
        <w:rPr>
          <w:color w:val="000000" w:themeColor="text1"/>
        </w:rPr>
        <w:fldChar w:fldCharType="begin"/>
      </w:r>
      <w:r>
        <w:rPr>
          <w:color w:val="000000" w:themeColor="text1"/>
        </w:rPr>
        <w:instrText xml:space="preserve"> PAGEREF _Toc2142 </w:instrText>
      </w:r>
      <w:r>
        <w:rPr>
          <w:color w:val="000000" w:themeColor="text1"/>
        </w:rPr>
        <w:fldChar w:fldCharType="separate"/>
      </w:r>
      <w:r>
        <w:rPr>
          <w:color w:val="000000" w:themeColor="text1"/>
        </w:rPr>
        <w:t>3</w:t>
      </w:r>
      <w:r>
        <w:rPr>
          <w:color w:val="000000" w:themeColor="text1"/>
        </w:rPr>
        <w:fldChar w:fldCharType="end"/>
      </w:r>
      <w:r>
        <w:rPr>
          <w:color w:val="000000" w:themeColor="text1"/>
        </w:rPr>
        <w:fldChar w:fldCharType="end"/>
      </w:r>
    </w:p>
    <w:p>
      <w:pPr>
        <w:pStyle w:val="7"/>
        <w:tabs>
          <w:tab w:val="right" w:leader="dot" w:pos="8306"/>
        </w:tabs>
        <w:ind w:left="640" w:firstLine="640"/>
        <w:rPr>
          <w:color w:val="000000" w:themeColor="text1"/>
        </w:rPr>
      </w:pPr>
      <w:r>
        <w:fldChar w:fldCharType="begin"/>
      </w:r>
      <w:r>
        <w:instrText xml:space="preserve"> HYPERLINK \l "_Toc6501" </w:instrText>
      </w:r>
      <w:r>
        <w:fldChar w:fldCharType="separate"/>
      </w:r>
      <w:r>
        <w:rPr>
          <w:rFonts w:hint="eastAsia" w:ascii="仿宋" w:hAnsi="仿宋" w:eastAsia="仿宋" w:cs="仿宋"/>
          <w:color w:val="000000" w:themeColor="text1"/>
        </w:rPr>
        <w:t>五、一般公共预算财政拨款支出决算情况说明</w:t>
      </w:r>
      <w:r>
        <w:rPr>
          <w:color w:val="000000" w:themeColor="text1"/>
        </w:rPr>
        <w:tab/>
      </w:r>
      <w:r>
        <w:rPr>
          <w:color w:val="000000" w:themeColor="text1"/>
        </w:rPr>
        <w:fldChar w:fldCharType="begin"/>
      </w:r>
      <w:r>
        <w:rPr>
          <w:color w:val="000000" w:themeColor="text1"/>
        </w:rPr>
        <w:instrText xml:space="preserve"> PAGEREF _Toc6501 </w:instrText>
      </w:r>
      <w:r>
        <w:rPr>
          <w:color w:val="000000" w:themeColor="text1"/>
        </w:rPr>
        <w:fldChar w:fldCharType="separate"/>
      </w:r>
      <w:r>
        <w:rPr>
          <w:color w:val="000000" w:themeColor="text1"/>
        </w:rPr>
        <w:t>3</w:t>
      </w:r>
      <w:r>
        <w:rPr>
          <w:color w:val="000000" w:themeColor="text1"/>
        </w:rPr>
        <w:fldChar w:fldCharType="end"/>
      </w:r>
      <w:r>
        <w:rPr>
          <w:color w:val="000000" w:themeColor="text1"/>
        </w:rPr>
        <w:fldChar w:fldCharType="end"/>
      </w:r>
    </w:p>
    <w:p>
      <w:pPr>
        <w:pStyle w:val="7"/>
        <w:tabs>
          <w:tab w:val="right" w:leader="dot" w:pos="8306"/>
        </w:tabs>
        <w:ind w:left="640" w:firstLine="640"/>
        <w:rPr>
          <w:color w:val="000000" w:themeColor="text1"/>
        </w:rPr>
      </w:pPr>
      <w:r>
        <w:fldChar w:fldCharType="begin"/>
      </w:r>
      <w:r>
        <w:instrText xml:space="preserve"> HYPERLINK \l "_Toc17728" </w:instrText>
      </w:r>
      <w:r>
        <w:fldChar w:fldCharType="separate"/>
      </w:r>
      <w:r>
        <w:rPr>
          <w:rFonts w:hint="eastAsia" w:ascii="仿宋" w:hAnsi="仿宋" w:eastAsia="仿宋" w:cs="仿宋"/>
          <w:color w:val="000000" w:themeColor="text1"/>
        </w:rPr>
        <w:t>六、一般公共预算财政拨款基本支出决算情况说明</w:t>
      </w:r>
      <w:r>
        <w:rPr>
          <w:color w:val="000000" w:themeColor="text1"/>
        </w:rPr>
        <w:tab/>
      </w:r>
      <w:r>
        <w:rPr>
          <w:color w:val="000000" w:themeColor="text1"/>
        </w:rPr>
        <w:fldChar w:fldCharType="begin"/>
      </w:r>
      <w:r>
        <w:rPr>
          <w:color w:val="000000" w:themeColor="text1"/>
        </w:rPr>
        <w:instrText xml:space="preserve"> PAGEREF _Toc17728 </w:instrText>
      </w:r>
      <w:r>
        <w:rPr>
          <w:color w:val="000000" w:themeColor="text1"/>
        </w:rPr>
        <w:fldChar w:fldCharType="separate"/>
      </w:r>
      <w:r>
        <w:rPr>
          <w:color w:val="000000" w:themeColor="text1"/>
        </w:rPr>
        <w:t>6</w:t>
      </w:r>
      <w:r>
        <w:rPr>
          <w:color w:val="000000" w:themeColor="text1"/>
        </w:rPr>
        <w:fldChar w:fldCharType="end"/>
      </w:r>
      <w:r>
        <w:rPr>
          <w:color w:val="000000" w:themeColor="text1"/>
        </w:rPr>
        <w:fldChar w:fldCharType="end"/>
      </w:r>
    </w:p>
    <w:p>
      <w:pPr>
        <w:pStyle w:val="7"/>
        <w:tabs>
          <w:tab w:val="right" w:leader="dot" w:pos="8306"/>
        </w:tabs>
        <w:ind w:left="640" w:firstLine="640"/>
        <w:rPr>
          <w:color w:val="000000" w:themeColor="text1"/>
        </w:rPr>
      </w:pPr>
      <w:r>
        <w:fldChar w:fldCharType="begin"/>
      </w:r>
      <w:r>
        <w:instrText xml:space="preserve"> HYPERLINK \l "_Toc26508" </w:instrText>
      </w:r>
      <w:r>
        <w:fldChar w:fldCharType="separate"/>
      </w:r>
      <w:r>
        <w:rPr>
          <w:rFonts w:hint="eastAsia" w:ascii="仿宋" w:hAnsi="仿宋" w:eastAsia="仿宋" w:cs="仿宋"/>
          <w:color w:val="000000" w:themeColor="text1"/>
        </w:rPr>
        <w:t>七、一般公共预算财政拨款“三公”经费支出决算情况说明</w:t>
      </w:r>
      <w:r>
        <w:rPr>
          <w:color w:val="000000" w:themeColor="text1"/>
        </w:rPr>
        <w:tab/>
      </w:r>
      <w:r>
        <w:rPr>
          <w:color w:val="000000" w:themeColor="text1"/>
        </w:rPr>
        <w:fldChar w:fldCharType="begin"/>
      </w:r>
      <w:r>
        <w:rPr>
          <w:color w:val="000000" w:themeColor="text1"/>
        </w:rPr>
        <w:instrText xml:space="preserve"> PAGEREF _Toc26508 </w:instrText>
      </w:r>
      <w:r>
        <w:rPr>
          <w:color w:val="000000" w:themeColor="text1"/>
        </w:rPr>
        <w:fldChar w:fldCharType="separate"/>
      </w:r>
      <w:r>
        <w:rPr>
          <w:color w:val="000000" w:themeColor="text1"/>
        </w:rPr>
        <w:t>6</w:t>
      </w:r>
      <w:r>
        <w:rPr>
          <w:color w:val="000000" w:themeColor="text1"/>
        </w:rPr>
        <w:fldChar w:fldCharType="end"/>
      </w:r>
      <w:r>
        <w:rPr>
          <w:color w:val="000000" w:themeColor="text1"/>
        </w:rPr>
        <w:fldChar w:fldCharType="end"/>
      </w:r>
    </w:p>
    <w:p>
      <w:pPr>
        <w:pStyle w:val="7"/>
        <w:tabs>
          <w:tab w:val="right" w:leader="dot" w:pos="8306"/>
        </w:tabs>
        <w:ind w:left="640" w:firstLine="640"/>
        <w:rPr>
          <w:color w:val="000000" w:themeColor="text1"/>
        </w:rPr>
      </w:pPr>
      <w:r>
        <w:fldChar w:fldCharType="begin"/>
      </w:r>
      <w:r>
        <w:instrText xml:space="preserve"> HYPERLINK \l "_Toc1792" </w:instrText>
      </w:r>
      <w:r>
        <w:fldChar w:fldCharType="separate"/>
      </w:r>
      <w:r>
        <w:rPr>
          <w:rFonts w:hint="eastAsia" w:ascii="仿宋" w:hAnsi="仿宋" w:eastAsia="仿宋" w:cs="仿宋"/>
          <w:color w:val="000000" w:themeColor="text1"/>
        </w:rPr>
        <w:t>八、其他重要事项情况说明</w:t>
      </w:r>
      <w:r>
        <w:rPr>
          <w:color w:val="000000" w:themeColor="text1"/>
        </w:rPr>
        <w:tab/>
      </w:r>
      <w:r>
        <w:rPr>
          <w:color w:val="000000" w:themeColor="text1"/>
        </w:rPr>
        <w:fldChar w:fldCharType="begin"/>
      </w:r>
      <w:r>
        <w:rPr>
          <w:color w:val="000000" w:themeColor="text1"/>
        </w:rPr>
        <w:instrText xml:space="preserve"> PAGEREF _Toc1792 </w:instrText>
      </w:r>
      <w:r>
        <w:rPr>
          <w:color w:val="000000" w:themeColor="text1"/>
        </w:rPr>
        <w:fldChar w:fldCharType="separate"/>
      </w:r>
      <w:r>
        <w:rPr>
          <w:color w:val="000000" w:themeColor="text1"/>
        </w:rPr>
        <w:t>7</w:t>
      </w:r>
      <w:r>
        <w:rPr>
          <w:color w:val="000000" w:themeColor="text1"/>
        </w:rPr>
        <w:fldChar w:fldCharType="end"/>
      </w:r>
      <w:r>
        <w:rPr>
          <w:color w:val="000000" w:themeColor="text1"/>
        </w:rPr>
        <w:fldChar w:fldCharType="end"/>
      </w:r>
    </w:p>
    <w:p>
      <w:pPr>
        <w:pStyle w:val="6"/>
        <w:tabs>
          <w:tab w:val="right" w:leader="dot" w:pos="8306"/>
        </w:tabs>
        <w:ind w:firstLine="640"/>
        <w:rPr>
          <w:color w:val="000000" w:themeColor="text1"/>
        </w:rPr>
      </w:pPr>
      <w:r>
        <w:fldChar w:fldCharType="begin"/>
      </w:r>
      <w:r>
        <w:instrText xml:space="preserve"> HYPERLINK \l "_Toc28108" </w:instrText>
      </w:r>
      <w:r>
        <w:fldChar w:fldCharType="separate"/>
      </w:r>
      <w:r>
        <w:rPr>
          <w:rFonts w:hint="eastAsia" w:ascii="仿宋_GB2312"/>
          <w:color w:val="000000" w:themeColor="text1"/>
          <w:szCs w:val="32"/>
        </w:rPr>
        <w:t>（四） 其他需要说明的事项</w:t>
      </w:r>
      <w:r>
        <w:rPr>
          <w:color w:val="000000" w:themeColor="text1"/>
        </w:rPr>
        <w:tab/>
      </w:r>
      <w:r>
        <w:rPr>
          <w:color w:val="000000" w:themeColor="text1"/>
        </w:rPr>
        <w:fldChar w:fldCharType="begin"/>
      </w:r>
      <w:r>
        <w:rPr>
          <w:color w:val="000000" w:themeColor="text1"/>
        </w:rPr>
        <w:instrText xml:space="preserve"> PAGEREF _Toc28108 </w:instrText>
      </w:r>
      <w:r>
        <w:rPr>
          <w:color w:val="000000" w:themeColor="text1"/>
        </w:rPr>
        <w:fldChar w:fldCharType="separate"/>
      </w:r>
      <w:r>
        <w:rPr>
          <w:color w:val="000000" w:themeColor="text1"/>
        </w:rPr>
        <w:t>9</w:t>
      </w:r>
      <w:r>
        <w:rPr>
          <w:color w:val="000000" w:themeColor="text1"/>
        </w:rPr>
        <w:fldChar w:fldCharType="end"/>
      </w:r>
      <w:r>
        <w:rPr>
          <w:color w:val="000000" w:themeColor="text1"/>
        </w:rPr>
        <w:fldChar w:fldCharType="end"/>
      </w:r>
    </w:p>
    <w:p>
      <w:pPr>
        <w:pStyle w:val="6"/>
        <w:tabs>
          <w:tab w:val="right" w:leader="dot" w:pos="8306"/>
        </w:tabs>
        <w:ind w:firstLine="640"/>
        <w:rPr>
          <w:color w:val="000000" w:themeColor="text1"/>
        </w:rPr>
      </w:pPr>
      <w:r>
        <w:fldChar w:fldCharType="begin"/>
      </w:r>
      <w:r>
        <w:instrText xml:space="preserve"> HYPERLINK \l "_Toc8545" </w:instrText>
      </w:r>
      <w:r>
        <w:fldChar w:fldCharType="separate"/>
      </w:r>
      <w:r>
        <w:rPr>
          <w:rFonts w:hint="eastAsia"/>
          <w:color w:val="000000" w:themeColor="text1"/>
          <w:szCs w:val="36"/>
        </w:rPr>
        <w:t>第四部分  名词解释</w:t>
      </w:r>
      <w:r>
        <w:rPr>
          <w:color w:val="000000" w:themeColor="text1"/>
        </w:rPr>
        <w:tab/>
      </w:r>
      <w:r>
        <w:rPr>
          <w:color w:val="000000" w:themeColor="text1"/>
        </w:rPr>
        <w:fldChar w:fldCharType="begin"/>
      </w:r>
      <w:r>
        <w:rPr>
          <w:color w:val="000000" w:themeColor="text1"/>
        </w:rPr>
        <w:instrText xml:space="preserve"> PAGEREF _Toc8545 </w:instrText>
      </w:r>
      <w:r>
        <w:rPr>
          <w:color w:val="000000" w:themeColor="text1"/>
        </w:rPr>
        <w:fldChar w:fldCharType="separate"/>
      </w:r>
      <w:r>
        <w:rPr>
          <w:color w:val="000000" w:themeColor="text1"/>
        </w:rPr>
        <w:t>9</w:t>
      </w:r>
      <w:r>
        <w:rPr>
          <w:color w:val="000000" w:themeColor="text1"/>
        </w:rPr>
        <w:fldChar w:fldCharType="end"/>
      </w:r>
      <w:r>
        <w:rPr>
          <w:color w:val="000000" w:themeColor="text1"/>
        </w:rPr>
        <w:fldChar w:fldCharType="end"/>
      </w:r>
    </w:p>
    <w:p>
      <w:pPr>
        <w:ind w:firstLine="640"/>
        <w:jc w:val="center"/>
        <w:rPr>
          <w:rFonts w:ascii="仿宋" w:hAnsi="仿宋" w:eastAsia="仿宋" w:cs="仿宋"/>
          <w:color w:val="000000" w:themeColor="text1"/>
          <w:szCs w:val="32"/>
        </w:rPr>
      </w:pPr>
      <w:r>
        <w:rPr>
          <w:rFonts w:hint="eastAsia" w:ascii="仿宋" w:hAnsi="仿宋" w:eastAsia="仿宋" w:cs="仿宋"/>
          <w:color w:val="000000" w:themeColor="text1"/>
          <w:szCs w:val="32"/>
        </w:rPr>
        <w:fldChar w:fldCharType="end"/>
      </w:r>
    </w:p>
    <w:p>
      <w:pPr>
        <w:pStyle w:val="2"/>
        <w:ind w:firstLine="0" w:firstLineChars="0"/>
        <w:jc w:val="center"/>
        <w:rPr>
          <w:color w:val="000000" w:themeColor="text1"/>
          <w:szCs w:val="36"/>
        </w:rPr>
      </w:pPr>
      <w:bookmarkStart w:id="3" w:name="_Toc23288"/>
      <w:bookmarkStart w:id="4" w:name="_Toc31140"/>
      <w:r>
        <w:rPr>
          <w:rFonts w:hint="eastAsia"/>
          <w:color w:val="000000" w:themeColor="text1"/>
          <w:sz w:val="36"/>
          <w:szCs w:val="36"/>
        </w:rPr>
        <w:t>第一部分  概况</w:t>
      </w:r>
      <w:bookmarkEnd w:id="3"/>
      <w:bookmarkEnd w:id="4"/>
    </w:p>
    <w:p>
      <w:pPr>
        <w:pStyle w:val="3"/>
        <w:ind w:firstLine="640"/>
        <w:rPr>
          <w:rFonts w:hint="eastAsia" w:ascii="仿宋" w:hAnsi="仿宋" w:eastAsia="仿宋" w:cs="仿宋"/>
          <w:b w:val="0"/>
          <w:bCs/>
          <w:color w:val="000000" w:themeColor="text1"/>
        </w:rPr>
      </w:pPr>
      <w:bookmarkStart w:id="5" w:name="_Toc24066"/>
      <w:bookmarkStart w:id="6" w:name="_Toc4461"/>
      <w:r>
        <w:rPr>
          <w:rFonts w:hint="eastAsia" w:ascii="仿宋" w:hAnsi="仿宋" w:eastAsia="仿宋" w:cs="仿宋"/>
          <w:b w:val="0"/>
          <w:bCs/>
          <w:color w:val="000000" w:themeColor="text1"/>
        </w:rPr>
        <w:t>一、本部门职责</w:t>
      </w:r>
      <w:bookmarkEnd w:id="5"/>
      <w:bookmarkEnd w:id="6"/>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1.接收、保管、征集、利用档案资料，为人民服务。</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2.负责依法接收全县行政区域内的机关、团体、企事业及组织机构的档案。</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负责对保存的档案进行科学整理、鉴定、统计、编制等。</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3.负责档案馆文件材料归档工作。</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4.负责档案馆的对外联络和各种接待工作。</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5.负责档案馆的职工考勤、节假日值班安排及后勤服务工作。</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6.做好档案统计上报工作。</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7.完成每年各类档案的收集、整理、鉴定、立卷和归档工作。集中统一管理各门类档案。</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8</w:t>
      </w:r>
      <w:r>
        <w:rPr>
          <w:rFonts w:hint="eastAsia" w:ascii="仿宋_GB2312" w:hAnsi="楷体" w:cs="Times New Roman"/>
          <w:bCs/>
          <w:color w:val="000000" w:themeColor="text1"/>
          <w:szCs w:val="32"/>
          <w:lang w:val="en-US" w:eastAsia="zh-CN"/>
        </w:rPr>
        <w:t>.</w:t>
      </w:r>
      <w:r>
        <w:rPr>
          <w:rFonts w:hint="eastAsia" w:ascii="仿宋_GB2312" w:hAnsi="楷体" w:cs="Times New Roman"/>
          <w:bCs/>
          <w:color w:val="000000" w:themeColor="text1"/>
          <w:szCs w:val="32"/>
        </w:rPr>
        <w:t>按照既符合保密要求，又便于利用的原则，在确保档案安全的前提下，最大限度地利用开放档案。</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9</w:t>
      </w:r>
      <w:r>
        <w:rPr>
          <w:rFonts w:hint="eastAsia" w:ascii="仿宋_GB2312" w:hAnsi="楷体" w:cs="Times New Roman"/>
          <w:bCs/>
          <w:color w:val="000000" w:themeColor="text1"/>
          <w:szCs w:val="32"/>
          <w:lang w:val="en-US" w:eastAsia="zh-CN"/>
        </w:rPr>
        <w:t>.</w:t>
      </w:r>
      <w:r>
        <w:rPr>
          <w:rFonts w:hint="eastAsia" w:ascii="仿宋_GB2312" w:hAnsi="楷体" w:cs="Times New Roman"/>
          <w:bCs/>
          <w:color w:val="000000" w:themeColor="text1"/>
          <w:szCs w:val="32"/>
        </w:rPr>
        <w:t>提高服务质量和水平，积极开展多层次，多方位的档案信息开发与利用工作。编制检索工具和汇编文件资料，优质高效地完成各类档案的查阅，借阅工作，收集档案利用的反馈信息，编制档案利用效果汇编。</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10</w:t>
      </w:r>
      <w:r>
        <w:rPr>
          <w:rFonts w:hint="eastAsia" w:ascii="仿宋_GB2312" w:hAnsi="楷体" w:cs="Times New Roman"/>
          <w:bCs/>
          <w:color w:val="000000" w:themeColor="text1"/>
          <w:szCs w:val="32"/>
          <w:lang w:val="en-US" w:eastAsia="zh-CN"/>
        </w:rPr>
        <w:t>.</w:t>
      </w:r>
      <w:r>
        <w:rPr>
          <w:rFonts w:hint="eastAsia" w:ascii="仿宋_GB2312" w:hAnsi="楷体" w:cs="Times New Roman"/>
          <w:bCs/>
          <w:color w:val="000000" w:themeColor="text1"/>
          <w:szCs w:val="32"/>
        </w:rPr>
        <w:t>开展多种形式的宣传活动，加大宣传力度，强化全体员工的档案意识。</w:t>
      </w:r>
    </w:p>
    <w:p>
      <w:pPr>
        <w:ind w:firstLine="640"/>
        <w:rPr>
          <w:rFonts w:ascii="仿宋_GB2312" w:hAnsi="楷体" w:cs="Times New Roman"/>
          <w:bCs/>
          <w:color w:val="000000" w:themeColor="text1"/>
          <w:szCs w:val="32"/>
        </w:rPr>
      </w:pPr>
      <w:r>
        <w:rPr>
          <w:rFonts w:hint="eastAsia" w:ascii="仿宋_GB2312" w:hAnsi="楷体" w:cs="Times New Roman"/>
          <w:bCs/>
          <w:color w:val="000000" w:themeColor="text1"/>
          <w:szCs w:val="32"/>
        </w:rPr>
        <w:t>11</w:t>
      </w:r>
      <w:r>
        <w:rPr>
          <w:rFonts w:hint="eastAsia" w:ascii="仿宋_GB2312" w:hAnsi="楷体" w:cs="Times New Roman"/>
          <w:bCs/>
          <w:color w:val="000000" w:themeColor="text1"/>
          <w:szCs w:val="32"/>
          <w:lang w:val="en-US" w:eastAsia="zh-CN"/>
        </w:rPr>
        <w:t>.</w:t>
      </w:r>
      <w:r>
        <w:rPr>
          <w:rFonts w:hint="eastAsia" w:ascii="仿宋_GB2312" w:hAnsi="楷体" w:cs="Times New Roman"/>
          <w:bCs/>
          <w:color w:val="000000" w:themeColor="text1"/>
          <w:szCs w:val="32"/>
        </w:rPr>
        <w:t>做好档案库房的维护与管理工作，确保档案的安全。</w:t>
      </w:r>
    </w:p>
    <w:p>
      <w:pPr>
        <w:ind w:firstLine="640"/>
        <w:rPr>
          <w:rFonts w:ascii="仿宋_GB2312" w:hAnsi="楷体"/>
          <w:bCs/>
          <w:color w:val="000000" w:themeColor="text1"/>
          <w:szCs w:val="32"/>
        </w:rPr>
      </w:pPr>
      <w:r>
        <w:rPr>
          <w:rFonts w:hint="eastAsia" w:ascii="仿宋_GB2312" w:hAnsi="楷体" w:cs="Times New Roman"/>
          <w:bCs/>
          <w:color w:val="000000" w:themeColor="text1"/>
          <w:szCs w:val="32"/>
        </w:rPr>
        <w:t>12</w:t>
      </w:r>
      <w:r>
        <w:rPr>
          <w:rFonts w:hint="eastAsia" w:ascii="仿宋_GB2312" w:hAnsi="楷体" w:cs="Times New Roman"/>
          <w:bCs/>
          <w:color w:val="000000" w:themeColor="text1"/>
          <w:szCs w:val="32"/>
          <w:lang w:val="en-US" w:eastAsia="zh-CN"/>
        </w:rPr>
        <w:t>.</w:t>
      </w:r>
      <w:r>
        <w:rPr>
          <w:rFonts w:hint="eastAsia" w:ascii="仿宋_GB2312" w:hAnsi="楷体" w:cs="Times New Roman"/>
          <w:bCs/>
          <w:color w:val="000000" w:themeColor="text1"/>
          <w:szCs w:val="32"/>
        </w:rPr>
        <w:t>完成领导交办的其他工作。</w:t>
      </w:r>
    </w:p>
    <w:p>
      <w:pPr>
        <w:pStyle w:val="3"/>
        <w:ind w:firstLine="640"/>
        <w:rPr>
          <w:rFonts w:hint="eastAsia" w:ascii="仿宋" w:hAnsi="仿宋" w:eastAsia="仿宋" w:cs="仿宋"/>
          <w:b w:val="0"/>
          <w:bCs/>
          <w:color w:val="000000" w:themeColor="text1"/>
        </w:rPr>
      </w:pPr>
      <w:bookmarkStart w:id="7" w:name="_Toc9155"/>
      <w:bookmarkStart w:id="8" w:name="_Toc275"/>
      <w:r>
        <w:rPr>
          <w:rFonts w:hint="eastAsia" w:ascii="仿宋" w:hAnsi="仿宋" w:eastAsia="仿宋" w:cs="仿宋"/>
          <w:b w:val="0"/>
          <w:bCs/>
          <w:color w:val="000000" w:themeColor="text1"/>
        </w:rPr>
        <w:t>二、机构设置情况</w:t>
      </w:r>
      <w:bookmarkEnd w:id="7"/>
      <w:bookmarkEnd w:id="8"/>
    </w:p>
    <w:p>
      <w:pPr>
        <w:ind w:firstLine="640"/>
        <w:rPr>
          <w:rFonts w:hint="eastAsia" w:cs="Times New Roman"/>
          <w:color w:val="000000" w:themeColor="text1"/>
        </w:rPr>
      </w:pPr>
      <w:r>
        <w:rPr>
          <w:rFonts w:hint="eastAsia" w:ascii="仿宋_GB2312" w:hAnsi="楷体" w:cs="Times New Roman"/>
          <w:bCs/>
          <w:color w:val="000000" w:themeColor="text1"/>
          <w:szCs w:val="32"/>
        </w:rPr>
        <w:t>静乐县档案馆人员编制7人，其中：参公事业人员7人。单位实有人员7人，为参公事业人员7人。内设科室：办公室、档案室共2个</w:t>
      </w:r>
      <w:r>
        <w:rPr>
          <w:rFonts w:hint="eastAsia" w:ascii="仿宋_GB2312" w:hAnsi="楷体" w:cs="Times New Roman"/>
          <w:bCs/>
          <w:color w:val="000000" w:themeColor="text1"/>
          <w:szCs w:val="32"/>
          <w:lang w:eastAsia="zh-CN"/>
        </w:rPr>
        <w:t>。</w:t>
      </w:r>
    </w:p>
    <w:p>
      <w:pPr>
        <w:ind w:firstLine="640"/>
        <w:rPr>
          <w:color w:val="000000" w:themeColor="text1"/>
        </w:rPr>
      </w:pPr>
    </w:p>
    <w:p>
      <w:pPr>
        <w:pStyle w:val="2"/>
        <w:ind w:firstLine="723"/>
        <w:rPr>
          <w:color w:val="000000" w:themeColor="text1"/>
          <w:sz w:val="36"/>
          <w:szCs w:val="36"/>
        </w:rPr>
      </w:pPr>
      <w:bookmarkStart w:id="9" w:name="_Toc12749"/>
      <w:r>
        <w:rPr>
          <w:rFonts w:hint="eastAsia"/>
          <w:color w:val="000000" w:themeColor="text1"/>
          <w:sz w:val="36"/>
          <w:szCs w:val="36"/>
        </w:rPr>
        <w:t>第二部分  2021年度部门决算报表（附表）</w:t>
      </w:r>
      <w:bookmarkEnd w:id="9"/>
    </w:p>
    <w:p>
      <w:pPr>
        <w:ind w:firstLine="640"/>
        <w:rPr>
          <w:rFonts w:ascii="仿宋_GB2312" w:hAnsi="楷体"/>
          <w:color w:val="000000" w:themeColor="text1"/>
          <w:szCs w:val="32"/>
        </w:rPr>
      </w:pPr>
      <w:r>
        <w:rPr>
          <w:rFonts w:hint="eastAsia" w:ascii="仿宋_GB2312" w:hAnsi="楷体"/>
          <w:color w:val="000000" w:themeColor="text1"/>
          <w:szCs w:val="32"/>
        </w:rPr>
        <w:t>一、收入支出决算总表</w:t>
      </w:r>
    </w:p>
    <w:p>
      <w:pPr>
        <w:ind w:firstLine="640"/>
        <w:rPr>
          <w:rFonts w:ascii="仿宋_GB2312" w:hAnsi="楷体"/>
          <w:color w:val="000000" w:themeColor="text1"/>
          <w:szCs w:val="32"/>
        </w:rPr>
      </w:pPr>
      <w:r>
        <w:rPr>
          <w:rFonts w:hint="eastAsia" w:ascii="仿宋_GB2312" w:hAnsi="楷体"/>
          <w:color w:val="000000" w:themeColor="text1"/>
          <w:szCs w:val="32"/>
        </w:rPr>
        <w:t>二、收入决算表</w:t>
      </w:r>
    </w:p>
    <w:p>
      <w:pPr>
        <w:ind w:firstLine="640"/>
        <w:rPr>
          <w:rFonts w:ascii="仿宋_GB2312" w:hAnsi="楷体"/>
          <w:color w:val="000000" w:themeColor="text1"/>
          <w:szCs w:val="32"/>
        </w:rPr>
      </w:pPr>
      <w:r>
        <w:rPr>
          <w:rFonts w:hint="eastAsia" w:ascii="仿宋_GB2312" w:hAnsi="楷体"/>
          <w:color w:val="000000" w:themeColor="text1"/>
          <w:szCs w:val="32"/>
        </w:rPr>
        <w:t>三、支出决算表</w:t>
      </w:r>
    </w:p>
    <w:p>
      <w:pPr>
        <w:ind w:firstLine="640"/>
        <w:rPr>
          <w:rFonts w:ascii="仿宋_GB2312" w:hAnsi="楷体"/>
          <w:color w:val="000000" w:themeColor="text1"/>
          <w:szCs w:val="32"/>
        </w:rPr>
      </w:pPr>
      <w:r>
        <w:rPr>
          <w:rFonts w:hint="eastAsia" w:ascii="仿宋_GB2312" w:hAnsi="楷体"/>
          <w:color w:val="000000" w:themeColor="text1"/>
          <w:szCs w:val="32"/>
        </w:rPr>
        <w:t>四、财政拨款收入支出决算总表</w:t>
      </w:r>
    </w:p>
    <w:p>
      <w:pPr>
        <w:ind w:firstLine="640"/>
        <w:rPr>
          <w:rFonts w:ascii="仿宋_GB2312" w:hAnsi="楷体"/>
          <w:color w:val="000000" w:themeColor="text1"/>
          <w:szCs w:val="32"/>
        </w:rPr>
      </w:pPr>
      <w:r>
        <w:rPr>
          <w:rFonts w:hint="eastAsia" w:ascii="仿宋_GB2312" w:hAnsi="楷体"/>
          <w:color w:val="000000" w:themeColor="text1"/>
          <w:szCs w:val="32"/>
        </w:rPr>
        <w:t>五、一般公共预算财政拨款支出决算表（一）</w:t>
      </w:r>
    </w:p>
    <w:p>
      <w:pPr>
        <w:ind w:firstLine="640"/>
        <w:rPr>
          <w:rFonts w:ascii="仿宋_GB2312" w:hAnsi="楷体"/>
          <w:color w:val="000000" w:themeColor="text1"/>
          <w:szCs w:val="32"/>
        </w:rPr>
      </w:pPr>
      <w:r>
        <w:rPr>
          <w:rFonts w:hint="eastAsia" w:ascii="仿宋_GB2312" w:hAnsi="楷体"/>
          <w:color w:val="000000" w:themeColor="text1"/>
          <w:szCs w:val="32"/>
        </w:rPr>
        <w:t>六、一般公共预算财政拨款支出决算表（二）</w:t>
      </w:r>
    </w:p>
    <w:p>
      <w:pPr>
        <w:ind w:firstLine="640"/>
        <w:rPr>
          <w:rFonts w:ascii="仿宋_GB2312" w:hAnsi="楷体"/>
          <w:color w:val="000000" w:themeColor="text1"/>
          <w:szCs w:val="32"/>
        </w:rPr>
      </w:pPr>
      <w:r>
        <w:rPr>
          <w:rFonts w:hint="eastAsia" w:ascii="仿宋_GB2312" w:hAnsi="楷体"/>
          <w:color w:val="000000" w:themeColor="text1"/>
          <w:szCs w:val="32"/>
        </w:rPr>
        <w:t>七、一般公共预算财政拨款“三公”经费支出决算表</w:t>
      </w:r>
    </w:p>
    <w:p>
      <w:pPr>
        <w:ind w:firstLine="640"/>
        <w:rPr>
          <w:rFonts w:ascii="仿宋_GB2312" w:hAnsi="楷体"/>
          <w:color w:val="000000" w:themeColor="text1"/>
          <w:szCs w:val="32"/>
        </w:rPr>
      </w:pPr>
      <w:r>
        <w:rPr>
          <w:rFonts w:hint="eastAsia" w:ascii="仿宋_GB2312" w:hAnsi="楷体"/>
          <w:color w:val="000000" w:themeColor="text1"/>
          <w:szCs w:val="32"/>
        </w:rPr>
        <w:t>八、政府性基金预算财政拨款收入支出决算表</w:t>
      </w:r>
    </w:p>
    <w:p>
      <w:pPr>
        <w:ind w:firstLine="640"/>
        <w:rPr>
          <w:rFonts w:ascii="仿宋_GB2312" w:hAnsi="楷体"/>
          <w:color w:val="000000" w:themeColor="text1"/>
          <w:szCs w:val="32"/>
        </w:rPr>
      </w:pPr>
      <w:r>
        <w:rPr>
          <w:rFonts w:hint="eastAsia" w:ascii="仿宋_GB2312" w:hAnsi="楷体"/>
          <w:color w:val="000000" w:themeColor="text1"/>
          <w:szCs w:val="32"/>
        </w:rPr>
        <w:t>九、国有资本经营预算财政拨款支出决算表</w:t>
      </w:r>
    </w:p>
    <w:p>
      <w:pPr>
        <w:ind w:firstLine="640"/>
        <w:rPr>
          <w:rFonts w:ascii="仿宋_GB2312" w:hAnsi="楷体"/>
          <w:color w:val="000000" w:themeColor="text1"/>
          <w:szCs w:val="32"/>
        </w:rPr>
      </w:pPr>
      <w:r>
        <w:rPr>
          <w:rFonts w:hint="eastAsia" w:ascii="仿宋_GB2312" w:hAnsi="楷体"/>
          <w:color w:val="000000" w:themeColor="text1"/>
          <w:szCs w:val="32"/>
        </w:rPr>
        <w:t>十、部门决算公开相关信息统计表</w:t>
      </w:r>
    </w:p>
    <w:p>
      <w:pPr>
        <w:pStyle w:val="2"/>
        <w:ind w:firstLine="0" w:firstLineChars="0"/>
        <w:jc w:val="center"/>
        <w:rPr>
          <w:rFonts w:hint="eastAsia"/>
          <w:color w:val="000000" w:themeColor="text1"/>
          <w:sz w:val="36"/>
          <w:szCs w:val="36"/>
        </w:rPr>
      </w:pPr>
      <w:bookmarkStart w:id="10" w:name="_Toc29325"/>
    </w:p>
    <w:p>
      <w:pPr>
        <w:pStyle w:val="2"/>
        <w:ind w:firstLine="0" w:firstLineChars="0"/>
        <w:jc w:val="center"/>
        <w:rPr>
          <w:color w:val="000000" w:themeColor="text1"/>
          <w:sz w:val="36"/>
          <w:szCs w:val="36"/>
        </w:rPr>
      </w:pPr>
      <w:r>
        <w:rPr>
          <w:rFonts w:hint="eastAsia"/>
          <w:color w:val="000000" w:themeColor="text1"/>
          <w:sz w:val="36"/>
          <w:szCs w:val="36"/>
        </w:rPr>
        <w:t>第三部分  2021年度部门决算情况说明</w:t>
      </w:r>
      <w:bookmarkEnd w:id="10"/>
    </w:p>
    <w:p>
      <w:pPr>
        <w:pStyle w:val="3"/>
        <w:ind w:firstLine="643"/>
        <w:rPr>
          <w:rFonts w:ascii="仿宋" w:hAnsi="仿宋" w:eastAsia="仿宋" w:cs="仿宋"/>
          <w:color w:val="000000" w:themeColor="text1"/>
        </w:rPr>
      </w:pPr>
      <w:bookmarkStart w:id="11" w:name="_Toc8717"/>
      <w:bookmarkStart w:id="12" w:name="_Toc437"/>
      <w:r>
        <w:rPr>
          <w:rFonts w:hint="eastAsia" w:ascii="仿宋" w:hAnsi="仿宋" w:eastAsia="仿宋" w:cs="仿宋"/>
          <w:color w:val="000000" w:themeColor="text1"/>
        </w:rPr>
        <w:t>一、收入支出决算总体情况说明</w:t>
      </w:r>
      <w:bookmarkEnd w:id="11"/>
      <w:bookmarkEnd w:id="12"/>
    </w:p>
    <w:p>
      <w:pPr>
        <w:ind w:firstLine="640"/>
        <w:rPr>
          <w:rFonts w:ascii="仿宋_GB2312"/>
          <w:color w:val="000000" w:themeColor="text1"/>
          <w:szCs w:val="32"/>
        </w:rPr>
      </w:pPr>
      <w:r>
        <w:rPr>
          <w:rFonts w:hint="eastAsia" w:ascii="仿宋_GB2312"/>
          <w:color w:val="000000" w:themeColor="text1"/>
          <w:szCs w:val="32"/>
        </w:rPr>
        <w:t>2021年度收入</w:t>
      </w:r>
      <w:r>
        <w:rPr>
          <w:rFonts w:ascii="仿宋_GB2312"/>
          <w:color w:val="000000" w:themeColor="text1"/>
          <w:szCs w:val="32"/>
        </w:rPr>
        <w:t>总计</w:t>
      </w:r>
      <w:r>
        <w:rPr>
          <w:rFonts w:hint="eastAsia" w:ascii="仿宋_GB2312"/>
          <w:color w:val="000000" w:themeColor="text1"/>
          <w:szCs w:val="32"/>
        </w:rPr>
        <w:t>321.85万元、支出总计321.85万元。与2020年相比，收入总计减少22.58万元，下降6.56%，</w:t>
      </w:r>
      <w:r>
        <w:rPr>
          <w:rFonts w:ascii="仿宋_GB2312"/>
          <w:color w:val="000000" w:themeColor="text1"/>
          <w:szCs w:val="32"/>
        </w:rPr>
        <w:t>支出总计减少</w:t>
      </w:r>
      <w:r>
        <w:rPr>
          <w:rFonts w:hint="eastAsia" w:ascii="仿宋_GB2312"/>
          <w:color w:val="000000" w:themeColor="text1"/>
          <w:szCs w:val="32"/>
        </w:rPr>
        <w:t>22.58万元</w:t>
      </w:r>
      <w:r>
        <w:rPr>
          <w:rFonts w:ascii="仿宋_GB2312"/>
          <w:color w:val="000000" w:themeColor="text1"/>
          <w:szCs w:val="32"/>
        </w:rPr>
        <w:t>，下降</w:t>
      </w:r>
      <w:r>
        <w:rPr>
          <w:rFonts w:hint="eastAsia" w:ascii="仿宋_GB2312"/>
          <w:color w:val="000000" w:themeColor="text1"/>
          <w:szCs w:val="32"/>
        </w:rPr>
        <w:t>6.56</w:t>
      </w:r>
      <w:r>
        <w:rPr>
          <w:rFonts w:ascii="仿宋_GB2312"/>
          <w:color w:val="000000" w:themeColor="text1"/>
          <w:szCs w:val="32"/>
        </w:rPr>
        <w:t>%</w:t>
      </w:r>
      <w:r>
        <w:rPr>
          <w:rFonts w:hint="eastAsia" w:ascii="仿宋_GB2312"/>
          <w:color w:val="000000" w:themeColor="text1"/>
          <w:szCs w:val="32"/>
        </w:rPr>
        <w:t>。主要原因是上年档案馆建设项目支出261.15万元、本年档案馆数字化建设等项目支出241.02万元、较上年减少20.13万元等。</w:t>
      </w:r>
    </w:p>
    <w:p>
      <w:pPr>
        <w:pStyle w:val="3"/>
        <w:ind w:firstLine="643"/>
        <w:rPr>
          <w:rFonts w:ascii="仿宋" w:hAnsi="仿宋" w:eastAsia="仿宋" w:cs="仿宋"/>
          <w:color w:val="000000" w:themeColor="text1"/>
        </w:rPr>
      </w:pPr>
      <w:bookmarkStart w:id="13" w:name="_Toc17404"/>
      <w:bookmarkStart w:id="14" w:name="_Toc16754"/>
      <w:r>
        <w:rPr>
          <w:rFonts w:hint="eastAsia" w:ascii="仿宋" w:hAnsi="仿宋" w:eastAsia="仿宋" w:cs="仿宋"/>
          <w:color w:val="000000" w:themeColor="text1"/>
        </w:rPr>
        <w:t>二、收入决算情况说明</w:t>
      </w:r>
      <w:bookmarkEnd w:id="13"/>
      <w:bookmarkEnd w:id="14"/>
    </w:p>
    <w:p>
      <w:pPr>
        <w:spacing w:line="580" w:lineRule="exact"/>
        <w:ind w:firstLine="640"/>
        <w:rPr>
          <w:rFonts w:hint="eastAsia" w:ascii="仿宋_GB2312"/>
          <w:color w:val="000000" w:themeColor="text1"/>
          <w:szCs w:val="32"/>
        </w:rPr>
      </w:pPr>
      <w:r>
        <w:rPr>
          <w:rFonts w:hint="eastAsia" w:ascii="仿宋_GB2312"/>
          <w:color w:val="000000" w:themeColor="text1"/>
          <w:szCs w:val="32"/>
        </w:rPr>
        <w:t>本年收入合计321.85万元，其中：财政拨款收入321.85万元，占比100.00%；上级补助收入0万元，占比0%；事业收入0万元，占比0%；经营收入0万元，占比0%。附属单位上缴收入0万元，占比0%；其他收入0万元，占比0%。</w:t>
      </w:r>
      <w:bookmarkStart w:id="15" w:name="_Toc9596"/>
      <w:bookmarkStart w:id="16" w:name="_Toc22098"/>
    </w:p>
    <w:p>
      <w:pPr>
        <w:pStyle w:val="3"/>
        <w:ind w:firstLine="643"/>
        <w:rPr>
          <w:rFonts w:ascii="仿宋" w:hAnsi="仿宋" w:eastAsia="仿宋" w:cs="仿宋"/>
          <w:color w:val="000000" w:themeColor="text1"/>
        </w:rPr>
      </w:pPr>
      <w:r>
        <w:rPr>
          <w:rFonts w:hint="eastAsia" w:ascii="仿宋" w:hAnsi="仿宋" w:eastAsia="仿宋" w:cs="仿宋"/>
          <w:color w:val="000000" w:themeColor="text1"/>
        </w:rPr>
        <w:t>三、支出决算情况说明</w:t>
      </w:r>
      <w:bookmarkEnd w:id="15"/>
      <w:bookmarkEnd w:id="16"/>
    </w:p>
    <w:p>
      <w:pPr>
        <w:spacing w:line="580" w:lineRule="exact"/>
        <w:ind w:firstLine="640"/>
        <w:rPr>
          <w:rFonts w:ascii="仿宋_GB2312"/>
          <w:color w:val="000000" w:themeColor="text1"/>
          <w:szCs w:val="32"/>
        </w:rPr>
      </w:pPr>
      <w:r>
        <w:rPr>
          <w:rFonts w:hint="eastAsia" w:ascii="仿宋_GB2312"/>
          <w:color w:val="000000" w:themeColor="text1"/>
          <w:szCs w:val="32"/>
        </w:rPr>
        <w:t>本年支出合计321.85万元，其中：基本支出80.83万元，占比25.11%；项目支出241.02万元，占比74.89%，上缴上级支出0万元，占比0%，经营支出0万元，占比0%,对附属单位补助支出0万元，占比0%。</w:t>
      </w:r>
    </w:p>
    <w:p>
      <w:pPr>
        <w:pStyle w:val="3"/>
        <w:ind w:firstLine="643"/>
        <w:rPr>
          <w:rFonts w:ascii="仿宋" w:hAnsi="仿宋" w:eastAsia="仿宋" w:cs="仿宋"/>
          <w:color w:val="000000" w:themeColor="text1"/>
        </w:rPr>
      </w:pPr>
      <w:bookmarkStart w:id="17" w:name="_Toc2142"/>
      <w:bookmarkStart w:id="18" w:name="_Toc4614"/>
      <w:r>
        <w:rPr>
          <w:rFonts w:hint="eastAsia" w:ascii="仿宋" w:hAnsi="仿宋" w:eastAsia="仿宋" w:cs="仿宋"/>
          <w:color w:val="000000" w:themeColor="text1"/>
        </w:rPr>
        <w:t>四、财政拨款收入支出决算总体情况说明</w:t>
      </w:r>
      <w:bookmarkEnd w:id="17"/>
      <w:bookmarkEnd w:id="18"/>
    </w:p>
    <w:p>
      <w:pPr>
        <w:ind w:firstLine="640"/>
        <w:rPr>
          <w:rFonts w:ascii="仿宋_GB2312"/>
          <w:color w:val="000000" w:themeColor="text1"/>
          <w:szCs w:val="32"/>
        </w:rPr>
      </w:pPr>
      <w:r>
        <w:rPr>
          <w:rFonts w:hint="eastAsia" w:ascii="仿宋_GB2312"/>
          <w:color w:val="000000" w:themeColor="text1"/>
          <w:szCs w:val="32"/>
        </w:rPr>
        <w:t>2021年度财政拨款收入</w:t>
      </w:r>
      <w:r>
        <w:rPr>
          <w:rFonts w:ascii="仿宋_GB2312"/>
          <w:color w:val="000000" w:themeColor="text1"/>
          <w:szCs w:val="32"/>
        </w:rPr>
        <w:t>总计</w:t>
      </w:r>
      <w:r>
        <w:rPr>
          <w:rFonts w:hint="eastAsia" w:ascii="仿宋_GB2312"/>
          <w:color w:val="000000" w:themeColor="text1"/>
          <w:szCs w:val="32"/>
        </w:rPr>
        <w:t>321.85万元、支出总计321.85万元。与2020年相比，财政拨款收入总计减少22.58万元，下降6.56%，财政拨款支出总计减少22.58万元，下降6.56%。主要原因是</w:t>
      </w:r>
      <w:bookmarkStart w:id="19" w:name="_Toc9341"/>
      <w:bookmarkStart w:id="20" w:name="_Toc6501"/>
      <w:r>
        <w:rPr>
          <w:rFonts w:hint="eastAsia" w:ascii="仿宋_GB2312"/>
          <w:color w:val="000000" w:themeColor="text1"/>
          <w:szCs w:val="32"/>
        </w:rPr>
        <w:t>上年档案馆建设项目支出261.15万元、本年档案馆数字化建设等项目支出241.02万元、较上年减少20.13万元等。</w:t>
      </w:r>
    </w:p>
    <w:p>
      <w:pPr>
        <w:pStyle w:val="3"/>
        <w:ind w:firstLine="643"/>
        <w:rPr>
          <w:rFonts w:ascii="仿宋" w:hAnsi="仿宋" w:eastAsia="仿宋" w:cs="仿宋"/>
          <w:color w:val="000000" w:themeColor="text1"/>
        </w:rPr>
      </w:pPr>
      <w:bookmarkStart w:id="33" w:name="_GoBack"/>
      <w:bookmarkEnd w:id="33"/>
      <w:r>
        <w:rPr>
          <w:rFonts w:hint="eastAsia" w:ascii="仿宋" w:hAnsi="仿宋" w:eastAsia="仿宋" w:cs="仿宋"/>
          <w:color w:val="000000" w:themeColor="text1"/>
        </w:rPr>
        <w:t>五、一般公共预算财政拨款支出决算情况说明</w:t>
      </w:r>
      <w:bookmarkEnd w:id="19"/>
      <w:bookmarkEnd w:id="20"/>
    </w:p>
    <w:p>
      <w:pPr>
        <w:spacing w:line="580" w:lineRule="exact"/>
        <w:ind w:firstLine="643"/>
        <w:rPr>
          <w:rFonts w:ascii="仿宋_GB2312"/>
          <w:b/>
          <w:color w:val="000000" w:themeColor="text1"/>
          <w:szCs w:val="32"/>
        </w:rPr>
      </w:pPr>
      <w:r>
        <w:rPr>
          <w:rFonts w:hint="eastAsia" w:ascii="仿宋_GB2312"/>
          <w:b/>
          <w:color w:val="000000" w:themeColor="text1"/>
          <w:szCs w:val="32"/>
        </w:rPr>
        <w:t>（一）财政拨款支出决算总体情况</w:t>
      </w:r>
    </w:p>
    <w:p>
      <w:pPr>
        <w:ind w:firstLine="640"/>
        <w:rPr>
          <w:rFonts w:ascii="仿宋_GB2312"/>
          <w:color w:val="000000" w:themeColor="text1"/>
          <w:szCs w:val="32"/>
        </w:rPr>
      </w:pPr>
      <w:r>
        <w:rPr>
          <w:rFonts w:hint="eastAsia" w:ascii="仿宋_GB2312"/>
          <w:color w:val="000000" w:themeColor="text1"/>
          <w:szCs w:val="32"/>
        </w:rPr>
        <w:t>2021年度财政拨款支出321.85万元，占本年支出合计的100.00%。与2020年相比，财政拨款支出减少22.58万元，下降6.56%。主要原因是上年档案馆建设项目支出261.15万元、本年档案馆数字化建设等项目支出241.02万元、较上年减少20.13万元等。其中，政府性基金预算支出0万元，占比0%。</w:t>
      </w:r>
    </w:p>
    <w:p>
      <w:pPr>
        <w:spacing w:line="580" w:lineRule="exact"/>
        <w:ind w:firstLine="643"/>
        <w:rPr>
          <w:rFonts w:ascii="仿宋_GB2312"/>
          <w:b/>
          <w:color w:val="000000" w:themeColor="text1"/>
          <w:szCs w:val="32"/>
        </w:rPr>
      </w:pPr>
      <w:r>
        <w:rPr>
          <w:rFonts w:hint="eastAsia" w:ascii="仿宋_GB2312"/>
          <w:b/>
          <w:color w:val="000000" w:themeColor="text1"/>
          <w:szCs w:val="32"/>
        </w:rPr>
        <w:t>（二）财政拨款</w:t>
      </w:r>
      <w:r>
        <w:rPr>
          <w:rFonts w:ascii="仿宋_GB2312"/>
          <w:b/>
          <w:color w:val="000000" w:themeColor="text1"/>
          <w:szCs w:val="32"/>
        </w:rPr>
        <w:t>支出决算结构情况</w:t>
      </w:r>
    </w:p>
    <w:p>
      <w:pPr>
        <w:spacing w:line="580" w:lineRule="exact"/>
        <w:ind w:firstLine="640"/>
        <w:rPr>
          <w:rFonts w:ascii="仿宋_GB2312"/>
          <w:color w:val="000000" w:themeColor="text1"/>
          <w:szCs w:val="32"/>
        </w:rPr>
      </w:pPr>
      <w:r>
        <w:rPr>
          <w:rFonts w:hint="eastAsia" w:ascii="仿宋_GB2312"/>
          <w:color w:val="000000" w:themeColor="text1"/>
          <w:szCs w:val="32"/>
        </w:rPr>
        <w:t>2021年度</w:t>
      </w:r>
      <w:r>
        <w:rPr>
          <w:rFonts w:ascii="仿宋_GB2312"/>
          <w:color w:val="000000" w:themeColor="text1"/>
          <w:szCs w:val="32"/>
        </w:rPr>
        <w:t>财政拨款支出</w:t>
      </w:r>
      <w:r>
        <w:rPr>
          <w:rFonts w:hint="eastAsia" w:ascii="仿宋_GB2312"/>
          <w:color w:val="000000" w:themeColor="text1"/>
          <w:szCs w:val="32"/>
        </w:rPr>
        <w:t>321.85万元</w:t>
      </w:r>
      <w:r>
        <w:rPr>
          <w:rFonts w:ascii="仿宋_GB2312"/>
          <w:color w:val="000000" w:themeColor="text1"/>
          <w:szCs w:val="32"/>
        </w:rPr>
        <w:t>，主要用于以下方面：</w:t>
      </w:r>
      <w:r>
        <w:rPr>
          <w:rFonts w:ascii="仿宋_GB2312"/>
          <w:b/>
          <w:color w:val="000000" w:themeColor="text1"/>
          <w:szCs w:val="32"/>
        </w:rPr>
        <w:t>一般公共服务（</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支出321.85万元</w:t>
      </w:r>
      <w:r>
        <w:rPr>
          <w:rFonts w:ascii="仿宋_GB2312"/>
          <w:color w:val="000000" w:themeColor="text1"/>
          <w:szCs w:val="32"/>
        </w:rPr>
        <w:t>，占</w:t>
      </w:r>
      <w:r>
        <w:rPr>
          <w:rFonts w:hint="eastAsia" w:ascii="仿宋_GB2312"/>
          <w:color w:val="000000" w:themeColor="text1"/>
          <w:szCs w:val="32"/>
        </w:rPr>
        <w:t>100.00</w:t>
      </w:r>
      <w:r>
        <w:rPr>
          <w:rFonts w:ascii="仿宋_GB2312"/>
          <w:color w:val="000000" w:themeColor="text1"/>
          <w:szCs w:val="32"/>
        </w:rPr>
        <w:t>%</w:t>
      </w:r>
      <w:r>
        <w:rPr>
          <w:rFonts w:hint="eastAsia" w:ascii="仿宋_GB2312"/>
          <w:color w:val="000000" w:themeColor="text1"/>
          <w:szCs w:val="32"/>
        </w:rPr>
        <w:t>。</w:t>
      </w:r>
    </w:p>
    <w:p>
      <w:pPr>
        <w:spacing w:line="580" w:lineRule="exact"/>
        <w:ind w:firstLine="643"/>
        <w:rPr>
          <w:rFonts w:ascii="仿宋_GB2312"/>
          <w:b/>
          <w:color w:val="000000" w:themeColor="text1"/>
          <w:szCs w:val="32"/>
        </w:rPr>
      </w:pPr>
      <w:r>
        <w:rPr>
          <w:rFonts w:hint="eastAsia" w:ascii="仿宋_GB2312"/>
          <w:b/>
          <w:color w:val="000000" w:themeColor="text1"/>
          <w:szCs w:val="32"/>
        </w:rPr>
        <w:t>（三）财政拨款支出决算具体情况</w:t>
      </w:r>
    </w:p>
    <w:p>
      <w:pPr>
        <w:spacing w:line="580" w:lineRule="exact"/>
        <w:ind w:firstLine="640"/>
        <w:rPr>
          <w:rFonts w:ascii="仿宋" w:hAnsi="仿宋" w:eastAsia="仿宋" w:cs="仿宋"/>
          <w:color w:val="000000" w:themeColor="text1"/>
          <w:szCs w:val="32"/>
        </w:rPr>
      </w:pPr>
      <w:r>
        <w:rPr>
          <w:rFonts w:hint="eastAsia"/>
          <w:color w:val="000000" w:themeColor="text1"/>
          <w:szCs w:val="32"/>
        </w:rPr>
        <w:t>2</w:t>
      </w:r>
      <w:r>
        <w:rPr>
          <w:color w:val="000000" w:themeColor="text1"/>
          <w:szCs w:val="32"/>
        </w:rPr>
        <w:t>02</w:t>
      </w:r>
      <w:r>
        <w:rPr>
          <w:rFonts w:hint="eastAsia"/>
          <w:color w:val="000000" w:themeColor="text1"/>
          <w:szCs w:val="32"/>
        </w:rPr>
        <w:t>1年度财政拨款支出年初预算402.38万元，支出决算321.85万元，完成年初预算的80.00</w:t>
      </w:r>
      <w:r>
        <w:rPr>
          <w:color w:val="000000" w:themeColor="text1"/>
          <w:szCs w:val="32"/>
        </w:rPr>
        <w:t>%</w:t>
      </w:r>
      <w:r>
        <w:rPr>
          <w:rFonts w:hint="eastAsia"/>
          <w:color w:val="000000" w:themeColor="text1"/>
          <w:szCs w:val="32"/>
        </w:rPr>
        <w:t>。其中：</w:t>
      </w:r>
    </w:p>
    <w:p>
      <w:p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（1）按功能科目分类对比如下：</w:t>
      </w:r>
    </w:p>
    <w:p>
      <w:pPr>
        <w:ind w:firstLine="640"/>
        <w:jc w:val="left"/>
        <w:rPr>
          <w:rFonts w:ascii="仿宋_GB2312"/>
          <w:color w:val="000000" w:themeColor="text1"/>
          <w:szCs w:val="32"/>
        </w:rPr>
      </w:pPr>
      <w:r>
        <w:rPr>
          <w:rFonts w:hint="eastAsia" w:ascii="仿宋_GB2312"/>
          <w:color w:val="000000" w:themeColor="text1"/>
          <w:szCs w:val="32"/>
        </w:rPr>
        <w:t xml:space="preserve"> </w:t>
      </w:r>
    </w:p>
    <w:p>
      <w:pPr>
        <w:ind w:firstLine="602"/>
        <w:jc w:val="left"/>
        <w:rPr>
          <w:rFonts w:ascii="宋体" w:hAnsi="宋体" w:cs="Arial"/>
          <w:b/>
          <w:color w:val="000000" w:themeColor="text1"/>
          <w:kern w:val="0"/>
          <w:sz w:val="30"/>
          <w:szCs w:val="30"/>
        </w:rPr>
      </w:pPr>
      <w:r>
        <w:rPr>
          <w:rFonts w:ascii="宋体" w:hAnsi="宋体" w:cs="Arial"/>
          <w:b/>
          <w:color w:val="000000" w:themeColor="text1"/>
          <w:kern w:val="0"/>
          <w:sz w:val="30"/>
          <w:szCs w:val="30"/>
        </w:rPr>
        <w:t>2</w:t>
      </w:r>
      <w:r>
        <w:rPr>
          <w:rFonts w:hint="eastAsia" w:ascii="宋体" w:hAnsi="宋体" w:cs="Arial"/>
          <w:b/>
          <w:color w:val="000000" w:themeColor="text1"/>
          <w:kern w:val="0"/>
          <w:sz w:val="30"/>
          <w:szCs w:val="30"/>
        </w:rPr>
        <w:t>021年度支出功能科目分类对比表    单位：万元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widowControl/>
              <w:ind w:firstLine="0" w:firstLineChars="0"/>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科目代码</w:t>
            </w:r>
          </w:p>
        </w:tc>
        <w:tc>
          <w:tcPr>
            <w:tcW w:w="2479" w:type="dxa"/>
          </w:tcPr>
          <w:p>
            <w:pPr>
              <w:widowControl/>
              <w:ind w:firstLine="482"/>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科目名称</w:t>
            </w:r>
          </w:p>
        </w:tc>
        <w:tc>
          <w:tcPr>
            <w:tcW w:w="1876" w:type="dxa"/>
          </w:tcPr>
          <w:p>
            <w:pPr>
              <w:widowControl/>
              <w:ind w:firstLine="482"/>
              <w:jc w:val="left"/>
              <w:rPr>
                <w:rFonts w:ascii="宋体" w:hAnsi="宋体" w:eastAsia="宋体" w:cs="Arial"/>
                <w:b/>
                <w:color w:val="000000" w:themeColor="text1"/>
                <w:kern w:val="0"/>
                <w:sz w:val="24"/>
                <w:szCs w:val="24"/>
              </w:rPr>
            </w:pPr>
            <w:r>
              <w:rPr>
                <w:rFonts w:hint="eastAsia" w:ascii="宋体" w:hAnsi="宋体" w:cs="Arial"/>
                <w:b/>
                <w:color w:val="000000" w:themeColor="text1"/>
                <w:kern w:val="0"/>
                <w:sz w:val="24"/>
                <w:szCs w:val="24"/>
              </w:rPr>
              <w:t>2020年</w:t>
            </w:r>
          </w:p>
        </w:tc>
        <w:tc>
          <w:tcPr>
            <w:tcW w:w="1684" w:type="dxa"/>
          </w:tcPr>
          <w:p>
            <w:pPr>
              <w:widowControl/>
              <w:ind w:firstLine="482"/>
              <w:jc w:val="left"/>
              <w:rPr>
                <w:rFonts w:ascii="宋体" w:hAnsi="宋体" w:eastAsia="宋体" w:cs="Arial"/>
                <w:b/>
                <w:color w:val="000000" w:themeColor="text1"/>
                <w:kern w:val="0"/>
                <w:sz w:val="24"/>
                <w:szCs w:val="24"/>
              </w:rPr>
            </w:pPr>
            <w:r>
              <w:rPr>
                <w:rFonts w:hint="eastAsia" w:ascii="宋体" w:hAnsi="宋体" w:eastAsia="宋体" w:cs="Arial"/>
                <w:b/>
                <w:color w:val="000000" w:themeColor="text1"/>
                <w:kern w:val="0"/>
                <w:sz w:val="24"/>
                <w:szCs w:val="24"/>
              </w:rPr>
              <w:t>2021年</w:t>
            </w:r>
          </w:p>
        </w:tc>
        <w:tc>
          <w:tcPr>
            <w:tcW w:w="1393" w:type="dxa"/>
          </w:tcPr>
          <w:p>
            <w:pPr>
              <w:widowControl/>
              <w:ind w:firstLine="0" w:firstLineChars="0"/>
              <w:jc w:val="left"/>
              <w:rPr>
                <w:rFonts w:ascii="宋体" w:hAnsi="宋体" w:eastAsia="宋体" w:cs="Arial"/>
                <w:b/>
                <w:color w:val="000000" w:themeColor="text1"/>
                <w:kern w:val="0"/>
                <w:sz w:val="24"/>
                <w:szCs w:val="24"/>
              </w:rPr>
            </w:pPr>
            <w:r>
              <w:rPr>
                <w:rFonts w:hint="eastAsia" w:ascii="宋体" w:hAnsi="宋体" w:cs="Arial"/>
                <w:b/>
                <w:color w:val="000000" w:themeColor="text1"/>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201</w:t>
            </w:r>
          </w:p>
        </w:tc>
        <w:tc>
          <w:tcPr>
            <w:tcW w:w="2479" w:type="dxa"/>
          </w:tcPr>
          <w:p>
            <w:pPr>
              <w:ind w:firstLine="0" w:firstLineChars="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一般公共服务支出</w:t>
            </w:r>
          </w:p>
        </w:tc>
        <w:tc>
          <w:tcPr>
            <w:tcW w:w="1876" w:type="dxa"/>
            <w:vAlign w:val="center"/>
          </w:tcPr>
          <w:p>
            <w:pPr>
              <w:widowControl/>
              <w:ind w:firstLine="480"/>
              <w:jc w:val="right"/>
              <w:textAlignment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344.43</w:t>
            </w:r>
          </w:p>
        </w:tc>
        <w:tc>
          <w:tcPr>
            <w:tcW w:w="1684" w:type="dxa"/>
            <w:vAlign w:val="center"/>
          </w:tcPr>
          <w:p>
            <w:pPr>
              <w:widowControl/>
              <w:ind w:firstLine="0" w:firstLineChars="0"/>
              <w:jc w:val="right"/>
              <w:textAlignment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321.85</w:t>
            </w:r>
          </w:p>
        </w:tc>
        <w:tc>
          <w:tcPr>
            <w:tcW w:w="1393" w:type="dxa"/>
          </w:tcPr>
          <w:p>
            <w:pPr>
              <w:ind w:firstLine="0" w:firstLineChars="0"/>
              <w:jc w:val="righ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20126</w:t>
            </w:r>
          </w:p>
        </w:tc>
        <w:tc>
          <w:tcPr>
            <w:tcW w:w="2479"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档案事务</w:t>
            </w:r>
          </w:p>
        </w:tc>
        <w:tc>
          <w:tcPr>
            <w:tcW w:w="1876" w:type="dxa"/>
            <w:vAlign w:val="center"/>
          </w:tcPr>
          <w:p>
            <w:pPr>
              <w:widowControl/>
              <w:ind w:firstLine="480"/>
              <w:jc w:val="right"/>
              <w:textAlignment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344.43</w:t>
            </w:r>
          </w:p>
        </w:tc>
        <w:tc>
          <w:tcPr>
            <w:tcW w:w="1684" w:type="dxa"/>
            <w:vAlign w:val="center"/>
          </w:tcPr>
          <w:p>
            <w:pPr>
              <w:widowControl/>
              <w:ind w:firstLine="0" w:firstLineChars="0"/>
              <w:jc w:val="right"/>
              <w:textAlignment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321.85</w:t>
            </w:r>
          </w:p>
        </w:tc>
        <w:tc>
          <w:tcPr>
            <w:tcW w:w="1393" w:type="dxa"/>
          </w:tcPr>
          <w:p>
            <w:pPr>
              <w:ind w:firstLine="0" w:firstLineChars="0"/>
              <w:jc w:val="righ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2012601</w:t>
            </w:r>
          </w:p>
        </w:tc>
        <w:tc>
          <w:tcPr>
            <w:tcW w:w="2479"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 xml:space="preserve">  行政运行</w:t>
            </w:r>
          </w:p>
        </w:tc>
        <w:tc>
          <w:tcPr>
            <w:tcW w:w="1876" w:type="dxa"/>
            <w:vAlign w:val="center"/>
          </w:tcPr>
          <w:p>
            <w:pPr>
              <w:widowControl/>
              <w:ind w:firstLine="480"/>
              <w:jc w:val="right"/>
              <w:textAlignment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70.28</w:t>
            </w:r>
          </w:p>
        </w:tc>
        <w:tc>
          <w:tcPr>
            <w:tcW w:w="1684" w:type="dxa"/>
            <w:vAlign w:val="center"/>
          </w:tcPr>
          <w:p>
            <w:pPr>
              <w:widowControl/>
              <w:ind w:firstLine="0" w:firstLineChars="0"/>
              <w:jc w:val="right"/>
              <w:textAlignment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80.83</w:t>
            </w:r>
          </w:p>
        </w:tc>
        <w:tc>
          <w:tcPr>
            <w:tcW w:w="1393" w:type="dxa"/>
          </w:tcPr>
          <w:p>
            <w:pPr>
              <w:ind w:firstLine="0" w:firstLineChars="0"/>
              <w:jc w:val="righ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2012604</w:t>
            </w:r>
          </w:p>
        </w:tc>
        <w:tc>
          <w:tcPr>
            <w:tcW w:w="2479" w:type="dxa"/>
          </w:tcPr>
          <w:p>
            <w:pPr>
              <w:ind w:firstLine="0" w:firstLineChars="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 xml:space="preserve">      档案馆</w:t>
            </w:r>
          </w:p>
        </w:tc>
        <w:tc>
          <w:tcPr>
            <w:tcW w:w="1876" w:type="dxa"/>
          </w:tcPr>
          <w:p>
            <w:pPr>
              <w:ind w:firstLine="960" w:firstLineChars="40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13.00</w:t>
            </w:r>
          </w:p>
        </w:tc>
        <w:tc>
          <w:tcPr>
            <w:tcW w:w="1684" w:type="dxa"/>
          </w:tcPr>
          <w:p>
            <w:pPr>
              <w:ind w:firstLine="0" w:firstLineChars="0"/>
              <w:jc w:val="righ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241.02</w:t>
            </w:r>
          </w:p>
        </w:tc>
        <w:tc>
          <w:tcPr>
            <w:tcW w:w="1393" w:type="dxa"/>
          </w:tcPr>
          <w:p>
            <w:pPr>
              <w:ind w:firstLine="0" w:firstLineChars="0"/>
              <w:jc w:val="righ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1754.00%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2012699</w:t>
            </w:r>
          </w:p>
        </w:tc>
        <w:tc>
          <w:tcPr>
            <w:tcW w:w="2479" w:type="dxa"/>
          </w:tcPr>
          <w:p>
            <w:pPr>
              <w:ind w:firstLine="240" w:firstLineChars="10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其他档案事务支出</w:t>
            </w:r>
          </w:p>
        </w:tc>
        <w:tc>
          <w:tcPr>
            <w:tcW w:w="1876" w:type="dxa"/>
            <w:vAlign w:val="center"/>
          </w:tcPr>
          <w:p>
            <w:pPr>
              <w:widowControl/>
              <w:ind w:firstLine="440"/>
              <w:jc w:val="right"/>
              <w:textAlignment w:val="center"/>
              <w:rPr>
                <w:rFonts w:ascii="仿宋" w:hAnsi="仿宋" w:eastAsia="仿宋" w:cs="仿宋"/>
                <w:color w:val="000000" w:themeColor="text1"/>
                <w:kern w:val="0"/>
                <w:sz w:val="22"/>
              </w:rPr>
            </w:pPr>
            <w:r>
              <w:rPr>
                <w:rFonts w:hint="eastAsia" w:ascii="仿宋" w:hAnsi="仿宋" w:eastAsia="仿宋" w:cs="仿宋"/>
                <w:color w:val="000000" w:themeColor="text1"/>
                <w:kern w:val="0"/>
                <w:sz w:val="22"/>
              </w:rPr>
              <w:t>261.15</w:t>
            </w:r>
          </w:p>
        </w:tc>
        <w:tc>
          <w:tcPr>
            <w:tcW w:w="1684" w:type="dxa"/>
            <w:vAlign w:val="center"/>
          </w:tcPr>
          <w:p>
            <w:pPr>
              <w:widowControl/>
              <w:ind w:firstLine="480"/>
              <w:jc w:val="left"/>
              <w:textAlignment w:val="center"/>
              <w:rPr>
                <w:rFonts w:ascii="仿宋" w:hAnsi="仿宋" w:eastAsia="仿宋" w:cs="仿宋"/>
                <w:color w:val="000000" w:themeColor="text1"/>
                <w:sz w:val="24"/>
                <w:szCs w:val="24"/>
              </w:rPr>
            </w:pPr>
          </w:p>
        </w:tc>
        <w:tc>
          <w:tcPr>
            <w:tcW w:w="1393" w:type="dxa"/>
          </w:tcPr>
          <w:p>
            <w:pPr>
              <w:ind w:firstLine="0" w:firstLineChars="0"/>
              <w:jc w:val="righ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-100.00%</w:t>
            </w:r>
          </w:p>
        </w:tc>
      </w:tr>
    </w:tbl>
    <w:p>
      <w:pPr>
        <w:numPr>
          <w:ilvl w:val="0"/>
          <w:numId w:val="1"/>
        </w:num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按经济科目分类对比如下：</w:t>
      </w:r>
    </w:p>
    <w:p>
      <w:pPr>
        <w:ind w:firstLine="602"/>
        <w:jc w:val="left"/>
        <w:rPr>
          <w:rFonts w:ascii="仿宋" w:hAnsi="仿宋" w:eastAsia="仿宋" w:cs="仿宋"/>
          <w:color w:val="000000" w:themeColor="text1"/>
          <w:sz w:val="30"/>
          <w:szCs w:val="30"/>
        </w:rPr>
      </w:pPr>
      <w:r>
        <w:rPr>
          <w:rFonts w:hint="eastAsia" w:ascii="仿宋" w:hAnsi="仿宋" w:eastAsia="仿宋" w:cs="Arial"/>
          <w:b/>
          <w:color w:val="000000" w:themeColor="text1"/>
          <w:kern w:val="0"/>
          <w:sz w:val="30"/>
          <w:szCs w:val="30"/>
        </w:rPr>
        <w:t>2020年度支出经济科目分类决算对比表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8"/>
                <w:szCs w:val="28"/>
              </w:rPr>
              <w:t>科目名称</w:t>
            </w:r>
          </w:p>
        </w:tc>
        <w:tc>
          <w:tcPr>
            <w:tcW w:w="1837"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2020年</w:t>
            </w:r>
          </w:p>
        </w:tc>
        <w:tc>
          <w:tcPr>
            <w:tcW w:w="2071"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2021年</w:t>
            </w:r>
          </w:p>
        </w:tc>
        <w:tc>
          <w:tcPr>
            <w:tcW w:w="1956"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合  计</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344.43</w:t>
            </w:r>
          </w:p>
        </w:tc>
        <w:tc>
          <w:tcPr>
            <w:tcW w:w="2071" w:type="dxa"/>
            <w:vAlign w:val="center"/>
          </w:tcPr>
          <w:p>
            <w:pPr>
              <w:widowControl/>
              <w:ind w:firstLine="0" w:firstLineChars="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321.85</w:t>
            </w:r>
          </w:p>
        </w:tc>
        <w:tc>
          <w:tcPr>
            <w:tcW w:w="1956" w:type="dxa"/>
            <w:vAlign w:val="center"/>
          </w:tcPr>
          <w:p>
            <w:pPr>
              <w:widowControl/>
              <w:ind w:firstLine="0" w:firstLineChars="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工资福利支出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61.84</w:t>
            </w:r>
          </w:p>
        </w:tc>
        <w:tc>
          <w:tcPr>
            <w:tcW w:w="2071" w:type="dxa"/>
            <w:vAlign w:val="center"/>
          </w:tcPr>
          <w:p>
            <w:pPr>
              <w:widowControl/>
              <w:ind w:firstLine="0" w:firstLineChars="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71.08</w:t>
            </w:r>
          </w:p>
        </w:tc>
        <w:tc>
          <w:tcPr>
            <w:tcW w:w="1956" w:type="dxa"/>
            <w:vAlign w:val="center"/>
          </w:tcPr>
          <w:p>
            <w:pPr>
              <w:widowControl/>
              <w:ind w:firstLine="0" w:firstLineChars="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商品服务支出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17.18</w:t>
            </w:r>
          </w:p>
        </w:tc>
        <w:tc>
          <w:tcPr>
            <w:tcW w:w="2071" w:type="dxa"/>
            <w:vAlign w:val="center"/>
          </w:tcPr>
          <w:p>
            <w:pPr>
              <w:widowControl/>
              <w:ind w:firstLine="0" w:firstLineChars="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29.76</w:t>
            </w:r>
          </w:p>
        </w:tc>
        <w:tc>
          <w:tcPr>
            <w:tcW w:w="1956" w:type="dxa"/>
            <w:vAlign w:val="center"/>
          </w:tcPr>
          <w:p>
            <w:pPr>
              <w:widowControl/>
              <w:ind w:firstLine="0" w:firstLineChars="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73.33%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2876" w:type="dxa"/>
            <w:vAlign w:val="center"/>
          </w:tcPr>
          <w:p>
            <w:pPr>
              <w:widowControl/>
              <w:ind w:firstLine="0" w:firstLineChars="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对个人和家庭的补助</w:t>
            </w:r>
          </w:p>
        </w:tc>
        <w:tc>
          <w:tcPr>
            <w:tcW w:w="1837" w:type="dxa"/>
            <w:vAlign w:val="center"/>
          </w:tcPr>
          <w:p>
            <w:pPr>
              <w:widowControl/>
              <w:ind w:firstLine="560"/>
              <w:jc w:val="right"/>
              <w:rPr>
                <w:rFonts w:ascii="仿宋" w:hAnsi="仿宋" w:eastAsia="仿宋" w:cs="仿宋"/>
                <w:color w:val="000000" w:themeColor="text1"/>
                <w:kern w:val="0"/>
                <w:sz w:val="28"/>
                <w:szCs w:val="28"/>
              </w:rPr>
            </w:pPr>
          </w:p>
        </w:tc>
        <w:tc>
          <w:tcPr>
            <w:tcW w:w="2071" w:type="dxa"/>
            <w:vAlign w:val="center"/>
          </w:tcPr>
          <w:p>
            <w:pPr>
              <w:widowControl/>
              <w:ind w:firstLine="560"/>
              <w:jc w:val="right"/>
              <w:rPr>
                <w:rFonts w:ascii="仿宋" w:hAnsi="仿宋" w:eastAsia="仿宋" w:cs="仿宋"/>
                <w:color w:val="000000" w:themeColor="text1"/>
                <w:kern w:val="0"/>
                <w:sz w:val="28"/>
                <w:szCs w:val="28"/>
              </w:rPr>
            </w:pPr>
          </w:p>
        </w:tc>
        <w:tc>
          <w:tcPr>
            <w:tcW w:w="1956" w:type="dxa"/>
            <w:vAlign w:val="center"/>
          </w:tcPr>
          <w:p>
            <w:pPr>
              <w:widowControl/>
              <w:ind w:firstLine="560"/>
              <w:jc w:val="right"/>
              <w:rPr>
                <w:rFonts w:ascii="仿宋" w:hAnsi="仿宋" w:eastAsia="仿宋" w:cs="仿宋"/>
                <w:color w:val="000000" w:themeColor="text1"/>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color w:val="000000" w:themeColor="text1"/>
                <w:kern w:val="0"/>
                <w:sz w:val="28"/>
                <w:szCs w:val="28"/>
              </w:rPr>
            </w:pPr>
            <w:r>
              <w:rPr>
                <w:rFonts w:hint="eastAsia" w:ascii="仿宋" w:hAnsi="仿宋" w:eastAsia="仿宋" w:cs="仿宋"/>
                <w:color w:val="000000" w:themeColor="text1"/>
                <w:kern w:val="0"/>
                <w:sz w:val="28"/>
                <w:szCs w:val="28"/>
              </w:rPr>
              <w:t>资本性支出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265.42</w:t>
            </w:r>
          </w:p>
        </w:tc>
        <w:tc>
          <w:tcPr>
            <w:tcW w:w="2071" w:type="dxa"/>
            <w:vAlign w:val="center"/>
          </w:tcPr>
          <w:p>
            <w:pPr>
              <w:widowControl/>
              <w:ind w:firstLine="0" w:firstLineChars="0"/>
              <w:jc w:val="right"/>
              <w:textAlignment w:val="center"/>
              <w:rPr>
                <w:rFonts w:ascii="仿宋" w:hAnsi="仿宋" w:eastAsia="仿宋" w:cs="仿宋"/>
                <w:color w:val="000000" w:themeColor="text1"/>
              </w:rPr>
            </w:pPr>
            <w:r>
              <w:rPr>
                <w:rFonts w:hint="eastAsia" w:ascii="仿宋" w:hAnsi="仿宋" w:eastAsia="仿宋" w:cs="仿宋"/>
                <w:color w:val="000000" w:themeColor="text1"/>
              </w:rPr>
              <w:t>221.01</w:t>
            </w:r>
          </w:p>
        </w:tc>
        <w:tc>
          <w:tcPr>
            <w:tcW w:w="1956" w:type="dxa"/>
            <w:vAlign w:val="center"/>
          </w:tcPr>
          <w:p>
            <w:pPr>
              <w:widowControl/>
              <w:ind w:firstLine="0" w:firstLineChars="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color w:val="000000" w:themeColor="text1"/>
                <w:kern w:val="0"/>
                <w:sz w:val="28"/>
                <w:szCs w:val="28"/>
              </w:rPr>
            </w:pPr>
          </w:p>
        </w:tc>
        <w:tc>
          <w:tcPr>
            <w:tcW w:w="1837" w:type="dxa"/>
            <w:vAlign w:val="center"/>
          </w:tcPr>
          <w:p>
            <w:pPr>
              <w:widowControl/>
              <w:ind w:firstLine="560"/>
              <w:jc w:val="right"/>
              <w:rPr>
                <w:rFonts w:ascii="仿宋" w:hAnsi="仿宋" w:eastAsia="仿宋" w:cs="仿宋"/>
                <w:color w:val="000000" w:themeColor="text1"/>
                <w:kern w:val="0"/>
                <w:sz w:val="28"/>
                <w:szCs w:val="28"/>
              </w:rPr>
            </w:pPr>
          </w:p>
        </w:tc>
        <w:tc>
          <w:tcPr>
            <w:tcW w:w="2071" w:type="dxa"/>
            <w:vAlign w:val="center"/>
          </w:tcPr>
          <w:p>
            <w:pPr>
              <w:widowControl/>
              <w:ind w:firstLine="640"/>
              <w:jc w:val="left"/>
              <w:textAlignment w:val="center"/>
              <w:rPr>
                <w:rFonts w:ascii="仿宋" w:hAnsi="仿宋" w:eastAsia="仿宋" w:cs="仿宋"/>
                <w:color w:val="000000" w:themeColor="text1"/>
              </w:rPr>
            </w:pPr>
          </w:p>
        </w:tc>
        <w:tc>
          <w:tcPr>
            <w:tcW w:w="1956" w:type="dxa"/>
            <w:vAlign w:val="center"/>
          </w:tcPr>
          <w:p>
            <w:pPr>
              <w:widowControl/>
              <w:ind w:firstLine="560"/>
              <w:jc w:val="left"/>
              <w:rPr>
                <w:rFonts w:ascii="仿宋" w:hAnsi="仿宋" w:eastAsia="仿宋" w:cs="仿宋"/>
                <w:color w:val="000000" w:themeColor="text1"/>
                <w:kern w:val="0"/>
                <w:sz w:val="28"/>
                <w:szCs w:val="28"/>
              </w:rPr>
            </w:pPr>
          </w:p>
        </w:tc>
      </w:tr>
    </w:tbl>
    <w:p>
      <w:pPr>
        <w:spacing w:line="580" w:lineRule="exact"/>
        <w:ind w:firstLine="0" w:firstLineChars="0"/>
        <w:rPr>
          <w:color w:val="000000" w:themeColor="text1"/>
          <w:szCs w:val="32"/>
        </w:rPr>
      </w:pPr>
    </w:p>
    <w:p>
      <w:pPr>
        <w:pStyle w:val="3"/>
        <w:ind w:firstLine="643"/>
        <w:rPr>
          <w:rFonts w:ascii="仿宋" w:hAnsi="仿宋" w:eastAsia="仿宋" w:cs="仿宋"/>
          <w:color w:val="000000" w:themeColor="text1"/>
        </w:rPr>
      </w:pPr>
      <w:bookmarkStart w:id="21" w:name="_Toc17728"/>
      <w:bookmarkStart w:id="22" w:name="_Toc841"/>
      <w:r>
        <w:rPr>
          <w:rFonts w:hint="eastAsia" w:ascii="仿宋" w:hAnsi="仿宋" w:eastAsia="仿宋" w:cs="仿宋"/>
          <w:color w:val="000000" w:themeColor="text1"/>
        </w:rPr>
        <w:t>六、一般公共预算财政拨款基本支出决算情况说明</w:t>
      </w:r>
      <w:bookmarkEnd w:id="21"/>
      <w:bookmarkEnd w:id="22"/>
    </w:p>
    <w:p>
      <w:pPr>
        <w:spacing w:line="580" w:lineRule="exact"/>
        <w:ind w:firstLine="640"/>
        <w:rPr>
          <w:rFonts w:ascii="仿宋_GB2312"/>
          <w:color w:val="000000" w:themeColor="text1"/>
          <w:szCs w:val="32"/>
        </w:rPr>
      </w:pP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基本</w:t>
      </w:r>
      <w:r>
        <w:rPr>
          <w:rFonts w:ascii="仿宋_GB2312"/>
          <w:color w:val="000000" w:themeColor="text1"/>
          <w:szCs w:val="32"/>
        </w:rPr>
        <w:t>支出</w:t>
      </w:r>
      <w:r>
        <w:rPr>
          <w:rFonts w:hint="eastAsia" w:ascii="仿宋_GB2312"/>
          <w:color w:val="000000" w:themeColor="text1"/>
          <w:szCs w:val="32"/>
        </w:rPr>
        <w:t>80.83万元</w:t>
      </w:r>
      <w:r>
        <w:rPr>
          <w:rFonts w:ascii="仿宋_GB2312"/>
          <w:color w:val="000000" w:themeColor="text1"/>
          <w:szCs w:val="32"/>
        </w:rPr>
        <w:t>，其中</w:t>
      </w:r>
      <w:r>
        <w:rPr>
          <w:rFonts w:hint="eastAsia" w:ascii="仿宋_GB2312"/>
          <w:color w:val="000000" w:themeColor="text1"/>
          <w:szCs w:val="32"/>
        </w:rPr>
        <w:t>：人员</w:t>
      </w:r>
      <w:r>
        <w:rPr>
          <w:rFonts w:ascii="仿宋_GB2312"/>
          <w:color w:val="000000" w:themeColor="text1"/>
          <w:szCs w:val="32"/>
        </w:rPr>
        <w:t>经费</w:t>
      </w:r>
      <w:r>
        <w:rPr>
          <w:rFonts w:hint="eastAsia" w:ascii="仿宋_GB2312"/>
          <w:color w:val="000000" w:themeColor="text1"/>
          <w:szCs w:val="32"/>
        </w:rPr>
        <w:t>71.08万元</w:t>
      </w:r>
      <w:r>
        <w:rPr>
          <w:rFonts w:ascii="仿宋_GB2312"/>
          <w:color w:val="000000" w:themeColor="text1"/>
          <w:szCs w:val="32"/>
        </w:rPr>
        <w:t>，</w:t>
      </w:r>
      <w:r>
        <w:rPr>
          <w:rFonts w:hint="eastAsia" w:ascii="仿宋_GB2312"/>
          <w:color w:val="000000" w:themeColor="text1"/>
          <w:szCs w:val="32"/>
        </w:rPr>
        <w:t>主要包括：基本工资29.33万元、津贴补贴22.30万元、奖金2.25万元、机关事业单位养老保险费8.07万元、住房公积金5.12万元、职工医疗保险费3.36万元等</w:t>
      </w:r>
      <w:r>
        <w:rPr>
          <w:rFonts w:ascii="仿宋_GB2312"/>
          <w:color w:val="000000" w:themeColor="text1"/>
          <w:szCs w:val="32"/>
        </w:rPr>
        <w:t>；</w:t>
      </w:r>
      <w:r>
        <w:rPr>
          <w:rFonts w:hint="eastAsia" w:ascii="仿宋_GB2312"/>
          <w:color w:val="000000" w:themeColor="text1"/>
          <w:szCs w:val="32"/>
        </w:rPr>
        <w:t>公用</w:t>
      </w:r>
      <w:r>
        <w:rPr>
          <w:rFonts w:ascii="仿宋_GB2312"/>
          <w:color w:val="000000" w:themeColor="text1"/>
          <w:szCs w:val="32"/>
        </w:rPr>
        <w:t>经费</w:t>
      </w:r>
      <w:r>
        <w:rPr>
          <w:rFonts w:hint="eastAsia" w:ascii="仿宋_GB2312"/>
          <w:color w:val="000000" w:themeColor="text1"/>
          <w:szCs w:val="32"/>
        </w:rPr>
        <w:t>250.77万元</w:t>
      </w:r>
      <w:r>
        <w:rPr>
          <w:rFonts w:ascii="仿宋_GB2312"/>
          <w:color w:val="000000" w:themeColor="text1"/>
          <w:szCs w:val="32"/>
        </w:rPr>
        <w:t>，主要</w:t>
      </w:r>
      <w:r>
        <w:rPr>
          <w:rFonts w:hint="eastAsia" w:ascii="仿宋_GB2312"/>
          <w:color w:val="000000" w:themeColor="text1"/>
          <w:szCs w:val="32"/>
        </w:rPr>
        <w:t>包括：信息网络购建220.00万元、办公费8.70万元、印刷费2.99万元、维修（护）费3.79万元、委托业务费7.28万元、其他交通费4.37万元等</w:t>
      </w:r>
      <w:r>
        <w:rPr>
          <w:rFonts w:ascii="仿宋_GB2312"/>
          <w:color w:val="000000" w:themeColor="text1"/>
          <w:szCs w:val="32"/>
        </w:rPr>
        <w:t>。</w:t>
      </w: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项目</w:t>
      </w:r>
      <w:r>
        <w:rPr>
          <w:rFonts w:ascii="仿宋_GB2312"/>
          <w:color w:val="000000" w:themeColor="text1"/>
          <w:szCs w:val="32"/>
        </w:rPr>
        <w:t>支出</w:t>
      </w:r>
      <w:r>
        <w:rPr>
          <w:rFonts w:hint="eastAsia" w:ascii="仿宋_GB2312"/>
          <w:color w:val="000000" w:themeColor="text1"/>
          <w:szCs w:val="32"/>
        </w:rPr>
        <w:t>241.02万元。</w:t>
      </w:r>
    </w:p>
    <w:p>
      <w:pPr>
        <w:pStyle w:val="3"/>
        <w:ind w:firstLine="643"/>
        <w:rPr>
          <w:rFonts w:ascii="仿宋" w:hAnsi="仿宋" w:eastAsia="仿宋" w:cs="仿宋"/>
          <w:color w:val="000000" w:themeColor="text1"/>
        </w:rPr>
      </w:pPr>
      <w:bookmarkStart w:id="23" w:name="_Toc26508"/>
      <w:bookmarkStart w:id="24" w:name="_Toc2304"/>
      <w:r>
        <w:rPr>
          <w:rFonts w:hint="eastAsia" w:ascii="仿宋" w:hAnsi="仿宋" w:eastAsia="仿宋" w:cs="仿宋"/>
          <w:color w:val="000000" w:themeColor="text1"/>
        </w:rPr>
        <w:t>七、一般公共预算财政拨款“三公”经费支出决算情况说明</w:t>
      </w:r>
      <w:bookmarkEnd w:id="23"/>
      <w:bookmarkEnd w:id="24"/>
    </w:p>
    <w:p>
      <w:pPr>
        <w:spacing w:line="580" w:lineRule="exact"/>
        <w:ind w:firstLine="640"/>
        <w:rPr>
          <w:b/>
          <w:color w:val="000000" w:themeColor="text1"/>
          <w:szCs w:val="32"/>
        </w:rPr>
      </w:pPr>
      <w:r>
        <w:rPr>
          <w:rFonts w:hint="eastAsia" w:ascii="仿宋_GB2312"/>
          <w:color w:val="000000" w:themeColor="text1"/>
          <w:szCs w:val="32"/>
        </w:rPr>
        <w:t>2021年度，“三公”经费财政拨款支出决算为0万元。其中：因公出国（境）费支出决算0万元，占比0%，比上年减少（增加）0万元，下降（增长）0%；公务用车购置及运行费支出决算0万元，占比0%，比上年减少（增加）0万元，减少（增长）0%；公务接待费支出决算0万元，占比0%，比上年减少（增加）0万元，减少（增长）0%。</w:t>
      </w:r>
    </w:p>
    <w:p>
      <w:pPr>
        <w:spacing w:line="580" w:lineRule="exact"/>
        <w:ind w:firstLine="643"/>
        <w:rPr>
          <w:b/>
          <w:color w:val="000000" w:themeColor="text1"/>
          <w:szCs w:val="32"/>
        </w:rPr>
      </w:pPr>
      <w:r>
        <w:rPr>
          <w:rFonts w:hint="eastAsia"/>
          <w:b/>
          <w:color w:val="000000" w:themeColor="text1"/>
          <w:szCs w:val="32"/>
        </w:rPr>
        <w:t>本单位无“三公”经费预算和支出。</w:t>
      </w:r>
    </w:p>
    <w:p>
      <w:pPr>
        <w:pStyle w:val="8"/>
        <w:tabs>
          <w:tab w:val="left" w:pos="5760"/>
        </w:tabs>
        <w:spacing w:before="0" w:beforeAutospacing="0" w:after="0" w:afterAutospacing="0"/>
        <w:ind w:firstLine="640"/>
        <w:rPr>
          <w:rFonts w:ascii="仿宋_GB2312"/>
          <w:color w:val="000000" w:themeColor="text1"/>
          <w:sz w:val="32"/>
          <w:szCs w:val="32"/>
        </w:rPr>
      </w:pPr>
      <w:r>
        <w:rPr>
          <w:rFonts w:hint="eastAsia" w:ascii="仿宋_GB2312"/>
          <w:color w:val="000000" w:themeColor="text1"/>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themeColor="text1"/>
                <w:sz w:val="21"/>
                <w:szCs w:val="21"/>
              </w:rPr>
            </w:pPr>
            <w:r>
              <w:rPr>
                <w:rFonts w:hint="eastAsia"/>
                <w:b/>
                <w:color w:val="000000" w:themeColor="text1"/>
                <w:sz w:val="21"/>
                <w:szCs w:val="21"/>
              </w:rPr>
              <w:t>年度</w:t>
            </w:r>
          </w:p>
          <w:p>
            <w:pPr>
              <w:pStyle w:val="8"/>
              <w:spacing w:before="0" w:beforeAutospacing="0" w:after="0" w:afterAutospacing="0" w:line="300" w:lineRule="exact"/>
              <w:ind w:firstLine="310" w:firstLineChars="147"/>
              <w:rPr>
                <w:b/>
                <w:color w:val="000000" w:themeColor="text1"/>
                <w:sz w:val="28"/>
                <w:szCs w:val="28"/>
              </w:rPr>
            </w:pPr>
            <w:r>
              <w:rPr>
                <w:rFonts w:hint="eastAsia"/>
                <w:b/>
                <w:color w:val="000000" w:themeColor="text1"/>
                <w:sz w:val="21"/>
                <w:szCs w:val="21"/>
              </w:rPr>
              <w:t>项目</w:t>
            </w:r>
          </w:p>
        </w:tc>
        <w:tc>
          <w:tcPr>
            <w:tcW w:w="1701" w:type="dxa"/>
          </w:tcPr>
          <w:p>
            <w:pPr>
              <w:pStyle w:val="8"/>
              <w:ind w:firstLine="562"/>
              <w:jc w:val="center"/>
              <w:rPr>
                <w:b/>
                <w:color w:val="000000" w:themeColor="text1"/>
                <w:sz w:val="28"/>
                <w:szCs w:val="28"/>
              </w:rPr>
            </w:pPr>
            <w:r>
              <w:rPr>
                <w:rFonts w:hint="eastAsia"/>
                <w:b/>
                <w:color w:val="000000" w:themeColor="text1"/>
                <w:sz w:val="28"/>
                <w:szCs w:val="28"/>
              </w:rPr>
              <w:t>2020年</w:t>
            </w:r>
          </w:p>
        </w:tc>
        <w:tc>
          <w:tcPr>
            <w:tcW w:w="1701" w:type="dxa"/>
          </w:tcPr>
          <w:p>
            <w:pPr>
              <w:pStyle w:val="8"/>
              <w:ind w:firstLine="562"/>
              <w:jc w:val="center"/>
              <w:rPr>
                <w:b/>
                <w:color w:val="000000" w:themeColor="text1"/>
                <w:sz w:val="28"/>
                <w:szCs w:val="28"/>
              </w:rPr>
            </w:pPr>
            <w:r>
              <w:rPr>
                <w:rFonts w:hint="eastAsia"/>
                <w:b/>
                <w:color w:val="000000" w:themeColor="text1"/>
                <w:sz w:val="28"/>
                <w:szCs w:val="28"/>
              </w:rPr>
              <w:t>2021年</w:t>
            </w:r>
          </w:p>
        </w:tc>
        <w:tc>
          <w:tcPr>
            <w:tcW w:w="1418" w:type="dxa"/>
          </w:tcPr>
          <w:p>
            <w:pPr>
              <w:pStyle w:val="8"/>
              <w:ind w:firstLine="0" w:firstLineChars="0"/>
              <w:jc w:val="both"/>
              <w:rPr>
                <w:b/>
                <w:color w:val="000000" w:themeColor="text1"/>
                <w:sz w:val="28"/>
                <w:szCs w:val="28"/>
              </w:rPr>
            </w:pPr>
            <w:r>
              <w:rPr>
                <w:rFonts w:hint="eastAsia"/>
                <w:b/>
                <w:color w:val="000000" w:themeColor="text1"/>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themeColor="text1"/>
                <w:sz w:val="28"/>
                <w:szCs w:val="28"/>
              </w:rPr>
            </w:pPr>
            <w:r>
              <w:rPr>
                <w:rFonts w:hint="eastAsia"/>
                <w:color w:val="000000" w:themeColor="text1"/>
                <w:sz w:val="28"/>
                <w:szCs w:val="28"/>
              </w:rPr>
              <w:t>因公出国（境）费</w:t>
            </w:r>
          </w:p>
        </w:tc>
        <w:tc>
          <w:tcPr>
            <w:tcW w:w="1701" w:type="dxa"/>
          </w:tcPr>
          <w:p>
            <w:pPr>
              <w:pStyle w:val="8"/>
              <w:ind w:firstLine="560"/>
              <w:jc w:val="right"/>
              <w:rPr>
                <w:color w:val="000000" w:themeColor="text1"/>
                <w:sz w:val="28"/>
                <w:szCs w:val="28"/>
              </w:rPr>
            </w:pPr>
          </w:p>
        </w:tc>
        <w:tc>
          <w:tcPr>
            <w:tcW w:w="1701" w:type="dxa"/>
          </w:tcPr>
          <w:p>
            <w:pPr>
              <w:pStyle w:val="8"/>
              <w:ind w:firstLine="560"/>
              <w:jc w:val="right"/>
              <w:rPr>
                <w:color w:val="000000" w:themeColor="text1"/>
                <w:sz w:val="28"/>
                <w:szCs w:val="28"/>
              </w:rPr>
            </w:pPr>
          </w:p>
        </w:tc>
        <w:tc>
          <w:tcPr>
            <w:tcW w:w="1418" w:type="dxa"/>
          </w:tcPr>
          <w:p>
            <w:pPr>
              <w:pStyle w:val="8"/>
              <w:ind w:firstLine="560"/>
              <w:jc w:val="right"/>
              <w:rPr>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themeColor="text1"/>
                <w:sz w:val="28"/>
                <w:szCs w:val="28"/>
              </w:rPr>
            </w:pPr>
            <w:r>
              <w:rPr>
                <w:rFonts w:hint="eastAsia"/>
                <w:color w:val="000000" w:themeColor="text1"/>
                <w:sz w:val="28"/>
                <w:szCs w:val="28"/>
              </w:rPr>
              <w:t>公务接待费</w:t>
            </w:r>
          </w:p>
        </w:tc>
        <w:tc>
          <w:tcPr>
            <w:tcW w:w="1701" w:type="dxa"/>
          </w:tcPr>
          <w:p>
            <w:pPr>
              <w:pStyle w:val="8"/>
              <w:ind w:firstLine="560"/>
              <w:jc w:val="right"/>
              <w:rPr>
                <w:color w:val="000000" w:themeColor="text1"/>
                <w:sz w:val="28"/>
                <w:szCs w:val="28"/>
              </w:rPr>
            </w:pPr>
          </w:p>
        </w:tc>
        <w:tc>
          <w:tcPr>
            <w:tcW w:w="1701" w:type="dxa"/>
          </w:tcPr>
          <w:p>
            <w:pPr>
              <w:pStyle w:val="8"/>
              <w:ind w:firstLine="560"/>
              <w:jc w:val="right"/>
              <w:rPr>
                <w:color w:val="000000" w:themeColor="text1"/>
                <w:sz w:val="28"/>
                <w:szCs w:val="28"/>
              </w:rPr>
            </w:pPr>
          </w:p>
        </w:tc>
        <w:tc>
          <w:tcPr>
            <w:tcW w:w="1418" w:type="dxa"/>
          </w:tcPr>
          <w:p>
            <w:pPr>
              <w:pStyle w:val="8"/>
              <w:ind w:firstLine="560"/>
              <w:jc w:val="right"/>
              <w:rPr>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themeColor="text1"/>
                <w:sz w:val="28"/>
                <w:szCs w:val="28"/>
              </w:rPr>
            </w:pPr>
            <w:r>
              <w:rPr>
                <w:rFonts w:hint="eastAsia"/>
                <w:color w:val="000000" w:themeColor="text1"/>
                <w:sz w:val="28"/>
                <w:szCs w:val="28"/>
              </w:rPr>
              <w:t>公务用车购置及运行维护费</w:t>
            </w:r>
          </w:p>
        </w:tc>
        <w:tc>
          <w:tcPr>
            <w:tcW w:w="1701" w:type="dxa"/>
          </w:tcPr>
          <w:p>
            <w:pPr>
              <w:pStyle w:val="8"/>
              <w:ind w:firstLine="560"/>
              <w:jc w:val="right"/>
              <w:rPr>
                <w:rFonts w:eastAsia="宋体"/>
                <w:color w:val="000000" w:themeColor="text1"/>
                <w:sz w:val="28"/>
                <w:szCs w:val="28"/>
              </w:rPr>
            </w:pPr>
          </w:p>
        </w:tc>
        <w:tc>
          <w:tcPr>
            <w:tcW w:w="1701" w:type="dxa"/>
          </w:tcPr>
          <w:p>
            <w:pPr>
              <w:pStyle w:val="8"/>
              <w:ind w:firstLine="560"/>
              <w:jc w:val="right"/>
              <w:rPr>
                <w:color w:val="000000" w:themeColor="text1"/>
                <w:sz w:val="28"/>
                <w:szCs w:val="28"/>
              </w:rPr>
            </w:pPr>
          </w:p>
        </w:tc>
        <w:tc>
          <w:tcPr>
            <w:tcW w:w="1418" w:type="dxa"/>
          </w:tcPr>
          <w:p>
            <w:pPr>
              <w:pStyle w:val="8"/>
              <w:ind w:firstLine="560"/>
              <w:jc w:val="right"/>
              <w:rPr>
                <w:rFonts w:eastAsia="宋体"/>
                <w:color w:val="000000" w:themeColor="text1"/>
                <w:sz w:val="28"/>
                <w:szCs w:val="28"/>
              </w:rPr>
            </w:pPr>
          </w:p>
        </w:tc>
      </w:tr>
    </w:tbl>
    <w:p>
      <w:pPr>
        <w:pStyle w:val="8"/>
        <w:spacing w:before="0" w:beforeAutospacing="0" w:after="0" w:afterAutospacing="0"/>
        <w:ind w:firstLine="482"/>
        <w:rPr>
          <w:b/>
          <w:color w:val="000000" w:themeColor="text1"/>
          <w:szCs w:val="32"/>
        </w:rPr>
      </w:pPr>
    </w:p>
    <w:p>
      <w:pPr>
        <w:pStyle w:val="3"/>
        <w:ind w:firstLine="643"/>
        <w:rPr>
          <w:rFonts w:ascii="仿宋" w:hAnsi="仿宋" w:eastAsia="仿宋" w:cs="仿宋"/>
          <w:color w:val="000000" w:themeColor="text1"/>
        </w:rPr>
      </w:pPr>
      <w:bookmarkStart w:id="25" w:name="_Toc1792"/>
      <w:bookmarkStart w:id="26" w:name="_Toc9078"/>
      <w:r>
        <w:rPr>
          <w:rFonts w:hint="eastAsia" w:ascii="仿宋" w:hAnsi="仿宋" w:eastAsia="仿宋" w:cs="仿宋"/>
          <w:color w:val="000000" w:themeColor="text1"/>
        </w:rPr>
        <w:t>八、其他重要事项情况说明</w:t>
      </w:r>
      <w:bookmarkEnd w:id="25"/>
      <w:bookmarkEnd w:id="26"/>
    </w:p>
    <w:p>
      <w:pPr>
        <w:ind w:firstLine="643"/>
        <w:rPr>
          <w:b/>
          <w:bCs/>
          <w:color w:val="000000" w:themeColor="text1"/>
        </w:rPr>
      </w:pPr>
      <w:bookmarkStart w:id="27" w:name="_Toc23407"/>
      <w:r>
        <w:rPr>
          <w:rFonts w:hint="eastAsia"/>
          <w:b/>
          <w:bCs/>
          <w:color w:val="000000" w:themeColor="text1"/>
        </w:rPr>
        <w:t>（一）机关运行经费支出情况说明</w:t>
      </w:r>
      <w:bookmarkEnd w:id="27"/>
    </w:p>
    <w:p>
      <w:pPr>
        <w:spacing w:line="580" w:lineRule="exact"/>
        <w:ind w:firstLine="640"/>
        <w:rPr>
          <w:b/>
          <w:color w:val="000000" w:themeColor="text1"/>
          <w:szCs w:val="32"/>
        </w:rPr>
      </w:pPr>
      <w:r>
        <w:rPr>
          <w:rFonts w:hint="eastAsia" w:ascii="仿宋_GB2312" w:hAnsi="宋体"/>
          <w:color w:val="000000" w:themeColor="text1"/>
          <w:szCs w:val="32"/>
        </w:rPr>
        <w:t>2021年本单位机关运行经费支出9.75万元，比2020年减少11.70万元，降低54.45%。主要原因是：邮电费减少1.90万元、专用材料费减少1.00万元、其他交通费较少1.60万元、办公设备购置减少3.70万元等</w:t>
      </w:r>
      <w:r>
        <w:rPr>
          <w:rFonts w:hint="eastAsia" w:ascii="仿宋_GB2312" w:hAnsi="宋体"/>
          <w:color w:val="000000" w:themeColor="text1"/>
          <w:szCs w:val="32"/>
          <w:lang w:eastAsia="zh-CN"/>
        </w:rPr>
        <w:t>。</w:t>
      </w:r>
    </w:p>
    <w:p>
      <w:pPr>
        <w:ind w:firstLine="643"/>
        <w:rPr>
          <w:b/>
          <w:bCs/>
          <w:color w:val="000000" w:themeColor="text1"/>
        </w:rPr>
      </w:pPr>
      <w:bookmarkStart w:id="28" w:name="_Toc16103"/>
      <w:r>
        <w:rPr>
          <w:rFonts w:hint="eastAsia"/>
          <w:b/>
          <w:bCs/>
          <w:color w:val="000000" w:themeColor="text1"/>
        </w:rPr>
        <w:t>（二）政府采购情况说明</w:t>
      </w:r>
      <w:bookmarkEnd w:id="28"/>
    </w:p>
    <w:p>
      <w:pPr>
        <w:spacing w:line="580" w:lineRule="exact"/>
        <w:ind w:firstLine="640"/>
        <w:rPr>
          <w:rFonts w:ascii="仿宋_GB2312"/>
          <w:color w:val="000000" w:themeColor="text1"/>
          <w:szCs w:val="32"/>
        </w:rPr>
      </w:pPr>
      <w:r>
        <w:rPr>
          <w:rFonts w:hint="eastAsia" w:ascii="仿宋_GB2312"/>
          <w:color w:val="000000" w:themeColor="text1"/>
          <w:szCs w:val="32"/>
        </w:rPr>
        <w:t>2021年度，政府采购支出总额12.48万元，其中：政府采购货物支出11.60万元、政府采购工程支出0万元、政府采购服务支出0.88万元。政府采购授予中小企业合同金额12.48万元，占政府采购支出总额的100.00</w:t>
      </w:r>
      <w:r>
        <w:rPr>
          <w:rFonts w:ascii="仿宋_GB2312"/>
          <w:color w:val="000000" w:themeColor="text1"/>
          <w:szCs w:val="32"/>
        </w:rPr>
        <w:t>%</w:t>
      </w:r>
      <w:r>
        <w:rPr>
          <w:rFonts w:hint="eastAsia" w:ascii="仿宋_GB2312"/>
          <w:color w:val="000000" w:themeColor="text1"/>
          <w:szCs w:val="32"/>
        </w:rPr>
        <w:t>。其中：授予小微企业合同金额0万元，占政府采购支出总额的0</w:t>
      </w:r>
      <w:r>
        <w:rPr>
          <w:rFonts w:ascii="仿宋_GB2312"/>
          <w:color w:val="000000" w:themeColor="text1"/>
          <w:szCs w:val="32"/>
        </w:rPr>
        <w:t>%</w:t>
      </w:r>
      <w:r>
        <w:rPr>
          <w:rFonts w:hint="eastAsia" w:ascii="仿宋_GB2312"/>
          <w:color w:val="000000" w:themeColor="text1"/>
          <w:szCs w:val="32"/>
        </w:rPr>
        <w:t>。</w:t>
      </w:r>
    </w:p>
    <w:p>
      <w:pPr>
        <w:ind w:firstLine="643"/>
        <w:rPr>
          <w:b/>
          <w:bCs/>
          <w:color w:val="000000" w:themeColor="text1"/>
        </w:rPr>
      </w:pPr>
      <w:bookmarkStart w:id="29" w:name="_Toc19975"/>
      <w:r>
        <w:rPr>
          <w:rFonts w:hint="eastAsia"/>
          <w:b/>
          <w:bCs/>
          <w:color w:val="000000" w:themeColor="text1"/>
        </w:rPr>
        <w:t>（三）国有资产占用情况说明</w:t>
      </w:r>
      <w:bookmarkEnd w:id="29"/>
    </w:p>
    <w:p>
      <w:pPr>
        <w:spacing w:line="580" w:lineRule="exact"/>
        <w:ind w:firstLine="640"/>
        <w:rPr>
          <w:rFonts w:ascii="仿宋_GB2312"/>
          <w:color w:val="000000" w:themeColor="text1"/>
          <w:szCs w:val="32"/>
        </w:rPr>
      </w:pPr>
      <w:r>
        <w:rPr>
          <w:rFonts w:hint="eastAsia" w:ascii="仿宋_GB2312"/>
          <w:color w:val="000000" w:themeColor="text1"/>
          <w:szCs w:val="32"/>
        </w:rPr>
        <w:t>截至2021年12月31日，本部门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专用设备0台（套）。</w:t>
      </w:r>
    </w:p>
    <w:p>
      <w:pPr>
        <w:ind w:firstLine="643"/>
        <w:rPr>
          <w:b/>
          <w:bCs/>
          <w:color w:val="000000" w:themeColor="text1"/>
        </w:rPr>
      </w:pPr>
      <w:r>
        <w:rPr>
          <w:rFonts w:hint="eastAsia"/>
          <w:b/>
          <w:bCs/>
          <w:color w:val="000000" w:themeColor="text1"/>
        </w:rPr>
        <w:t>（四）重点项目预算的绩效目标情况说明：</w:t>
      </w:r>
    </w:p>
    <w:p>
      <w:pPr>
        <w:ind w:firstLine="643"/>
        <w:rPr>
          <w:rFonts w:ascii="仿宋_GB2312" w:hAnsi="仿宋_GB2312" w:cs="仿宋_GB2312"/>
          <w:color w:val="000000" w:themeColor="text1"/>
          <w:szCs w:val="32"/>
        </w:rPr>
      </w:pPr>
      <w:r>
        <w:rPr>
          <w:rFonts w:hint="eastAsia" w:ascii="仿宋_GB2312" w:hAnsi="仿宋_GB2312" w:cs="仿宋_GB2312"/>
          <w:b/>
          <w:bCs/>
          <w:color w:val="000000" w:themeColor="text1"/>
          <w:szCs w:val="32"/>
        </w:rPr>
        <w:t>（1）预算绩效管理工作开展情况。</w:t>
      </w:r>
      <w:r>
        <w:rPr>
          <w:rFonts w:hint="eastAsia" w:ascii="仿宋_GB2312" w:hAnsi="仿宋_GB2312" w:cs="仿宋_GB2312"/>
          <w:color w:val="000000" w:themeColor="text1"/>
          <w:szCs w:val="32"/>
        </w:rPr>
        <w:t>应当按照如下格式说明：根据预算绩效管理要求，我部门组织对2021年度县级财政预算安排的</w:t>
      </w:r>
      <w:r>
        <w:rPr>
          <w:rFonts w:hint="eastAsia" w:ascii="仿宋_GB2312" w:hAnsi="仿宋_GB2312" w:cs="仿宋_GB2312"/>
          <w:color w:val="000000" w:themeColor="text1"/>
          <w:szCs w:val="32"/>
          <w:highlight w:val="none"/>
        </w:rPr>
        <w:t>专项资金类</w:t>
      </w:r>
      <w:r>
        <w:rPr>
          <w:rFonts w:hint="eastAsia" w:ascii="仿宋_GB2312" w:hAnsi="仿宋_GB2312" w:cs="仿宋_GB2312"/>
          <w:color w:val="000000" w:themeColor="text1"/>
          <w:szCs w:val="32"/>
        </w:rPr>
        <w:t>和200万元以上的经费补助类6个项目支出全面开展绩效自评，涉及预算资金241.02万元，占一般公共预算项目支出总额的74.89%。组织对2021年度等0个政府性基金预算项目支出开展绩效自评，共涉及预算资金0万元，占政府性基金预算项目支出总额的0%。</w:t>
      </w:r>
    </w:p>
    <w:p>
      <w:pPr>
        <w:ind w:firstLine="643"/>
        <w:rPr>
          <w:rFonts w:hint="eastAsia" w:ascii="仿宋_GB2312" w:hAnsi="仿宋_GB2312" w:cs="仿宋_GB2312"/>
          <w:b/>
          <w:bCs/>
          <w:color w:val="000000" w:themeColor="text1"/>
          <w:szCs w:val="32"/>
        </w:rPr>
      </w:pPr>
      <w:r>
        <w:rPr>
          <w:rFonts w:hint="eastAsia" w:ascii="仿宋_GB2312" w:hAnsi="仿宋_GB2312" w:cs="仿宋_GB2312"/>
          <w:b/>
          <w:bCs/>
          <w:color w:val="000000" w:themeColor="text1"/>
          <w:szCs w:val="32"/>
        </w:rPr>
        <w:t>（2）部门决算中项目绩效自评结果。</w:t>
      </w:r>
    </w:p>
    <w:p>
      <w:pPr>
        <w:ind w:firstLine="643"/>
        <w:rPr>
          <w:rFonts w:ascii="仿宋_GB2312" w:hAnsi="仿宋_GB2312" w:cs="仿宋_GB2312"/>
          <w:color w:val="000000" w:themeColor="text1"/>
          <w:szCs w:val="32"/>
        </w:rPr>
      </w:pPr>
      <w:r>
        <w:rPr>
          <w:rFonts w:hint="eastAsia" w:ascii="仿宋_GB2312" w:hAnsi="仿宋_GB2312" w:cs="仿宋_GB2312"/>
          <w:b/>
          <w:bCs/>
          <w:color w:val="000000" w:themeColor="text1"/>
          <w:szCs w:val="32"/>
        </w:rPr>
        <w:t xml:space="preserve">  本单位项目绩效超过200万元的1个，其他均为运转类项目。</w:t>
      </w:r>
    </w:p>
    <w:p>
      <w:pPr>
        <w:pStyle w:val="11"/>
        <w:ind w:firstLine="969" w:firstLineChars="303"/>
        <w:rPr>
          <w:rFonts w:hint="eastAsia" w:ascii="仿宋_GB2312" w:hAnsi="仿宋_GB2312" w:eastAsia="仿宋_GB2312" w:cs="仿宋_GB2312"/>
          <w:color w:val="000000" w:themeColor="text1"/>
          <w:kern w:val="2"/>
          <w:sz w:val="32"/>
          <w:szCs w:val="32"/>
          <w:lang w:val="en-US" w:eastAsia="zh-CN" w:bidi="ar-SA"/>
        </w:rPr>
      </w:pPr>
      <w:r>
        <w:rPr>
          <w:rFonts w:hint="eastAsia" w:ascii="仿宋_GB2312" w:hAnsi="仿宋_GB2312" w:eastAsia="仿宋_GB2312" w:cs="仿宋_GB2312"/>
          <w:color w:val="000000" w:themeColor="text1"/>
          <w:kern w:val="2"/>
          <w:sz w:val="32"/>
          <w:szCs w:val="32"/>
          <w:lang w:val="en-US" w:eastAsia="zh-CN" w:bidi="ar-SA"/>
        </w:rPr>
        <w:t>数字化档案建设项目绩效自评综述：根据年初设定的绩效目标，项目自评得分为94.38分。全年预算数为310.00万元，执行数为227.31万元，完成预算的73.33%。项目绩效目标完成情况：一是档案数据存储集约化，档案信息开放智能化、档案信息服务移动等特点的数字档案馆系统；二是综合考虑预算执行情况、产出、效益、服务对象满意度各方面因素，通过数据采集及分析，最终评分结果：数字化档案建设项目绩效自评价结果为:总得分94.38分，属于"优秀"。发现的主要问题及原因：档案数字化存在的问题是企业档案是一项复杂工程，重视不够，管理模式落后。下一步改进措施：档案工作的数字化建设是顺应潮流、适应时代发展的新举措，新要求。</w:t>
      </w:r>
    </w:p>
    <w:p>
      <w:pPr>
        <w:numPr>
          <w:ilvl w:val="0"/>
          <w:numId w:val="1"/>
        </w:numPr>
        <w:ind w:left="0" w:leftChars="0" w:firstLine="643" w:firstLineChars="200"/>
        <w:rPr>
          <w:rFonts w:hint="eastAsia" w:ascii="仿宋_GB2312" w:hAnsi="仿宋_GB2312" w:cs="仿宋_GB2312"/>
          <w:color w:val="000000" w:themeColor="text1"/>
          <w:szCs w:val="32"/>
        </w:rPr>
      </w:pPr>
      <w:r>
        <w:rPr>
          <w:rFonts w:hint="eastAsia" w:ascii="仿宋_GB2312" w:hAnsi="仿宋_GB2312" w:cs="仿宋_GB2312"/>
          <w:b/>
          <w:bCs/>
          <w:color w:val="000000" w:themeColor="text1"/>
          <w:szCs w:val="32"/>
        </w:rPr>
        <w:t>部门评价项目绩效评价结果。</w:t>
      </w:r>
      <w:r>
        <w:rPr>
          <w:rFonts w:hint="eastAsia" w:ascii="仿宋_GB2312" w:hAnsi="仿宋_GB2312" w:cs="仿宋_GB2312"/>
          <w:color w:val="000000" w:themeColor="text1"/>
          <w:szCs w:val="32"/>
        </w:rPr>
        <w:t>本单位重点项目评价报告向社会公开。</w:t>
      </w:r>
    </w:p>
    <w:p>
      <w:pPr>
        <w:numPr>
          <w:ilvl w:val="0"/>
          <w:numId w:val="0"/>
        </w:numPr>
        <w:ind w:firstLine="640" w:firstLineChars="200"/>
        <w:rPr>
          <w:rFonts w:hint="eastAsia" w:ascii="仿宋_GB2312" w:hAnsi="仿宋_GB2312" w:cs="仿宋_GB2312"/>
          <w:color w:val="000000" w:themeColor="text1"/>
          <w:szCs w:val="32"/>
        </w:rPr>
      </w:pPr>
      <w:r>
        <w:rPr>
          <w:rFonts w:hint="eastAsia" w:ascii="仿宋_GB2312" w:hAnsi="仿宋_GB2312" w:cs="仿宋_GB2312"/>
          <w:color w:val="000000" w:themeColor="text1"/>
          <w:sz w:val="32"/>
          <w:szCs w:val="32"/>
          <w:highlight w:val="none"/>
          <w:lang w:val="en-US" w:eastAsia="zh-CN"/>
        </w:rPr>
        <w:t>（</w:t>
      </w:r>
      <w:r>
        <w:rPr>
          <w:rFonts w:hint="eastAsia" w:ascii="仿宋_GB2312" w:hAnsi="仿宋_GB2312" w:eastAsia="仿宋_GB2312" w:cs="仿宋_GB2312"/>
          <w:color w:val="000000" w:themeColor="text1"/>
          <w:sz w:val="32"/>
          <w:szCs w:val="32"/>
          <w:highlight w:val="none"/>
          <w:lang w:val="en-US" w:eastAsia="zh-CN"/>
        </w:rPr>
        <w:t>绩效评价报告</w:t>
      </w:r>
      <w:r>
        <w:rPr>
          <w:rFonts w:hint="eastAsia" w:ascii="仿宋_GB2312" w:hAnsi="仿宋_GB2312" w:cs="仿宋_GB2312"/>
          <w:color w:val="000000" w:themeColor="text1"/>
          <w:sz w:val="32"/>
          <w:szCs w:val="32"/>
          <w:highlight w:val="none"/>
          <w:lang w:val="en-US" w:eastAsia="zh-CN"/>
        </w:rPr>
        <w:t>见</w:t>
      </w:r>
      <w:r>
        <w:rPr>
          <w:rFonts w:hint="eastAsia" w:ascii="仿宋_GB2312" w:hAnsi="仿宋_GB2312" w:eastAsia="仿宋_GB2312" w:cs="仿宋_GB2312"/>
          <w:color w:val="000000" w:themeColor="text1"/>
          <w:sz w:val="32"/>
          <w:szCs w:val="32"/>
          <w:highlight w:val="none"/>
          <w:lang w:val="en-US" w:eastAsia="zh-CN"/>
        </w:rPr>
        <w:t>附件</w:t>
      </w:r>
      <w:r>
        <w:rPr>
          <w:rFonts w:hint="eastAsia" w:ascii="仿宋_GB2312" w:hAnsi="仿宋_GB2312" w:cs="仿宋_GB2312"/>
          <w:color w:val="000000" w:themeColor="text1"/>
          <w:sz w:val="32"/>
          <w:szCs w:val="32"/>
          <w:highlight w:val="none"/>
          <w:lang w:val="en-US" w:eastAsia="zh-CN"/>
        </w:rPr>
        <w:t>）</w:t>
      </w:r>
    </w:p>
    <w:p>
      <w:pPr>
        <w:numPr>
          <w:ilvl w:val="0"/>
          <w:numId w:val="2"/>
        </w:numPr>
        <w:spacing w:line="580" w:lineRule="exact"/>
        <w:ind w:firstLine="643"/>
        <w:outlineLvl w:val="0"/>
        <w:rPr>
          <w:rFonts w:ascii="仿宋_GB2312"/>
          <w:b/>
          <w:color w:val="000000" w:themeColor="text1"/>
          <w:szCs w:val="32"/>
        </w:rPr>
      </w:pPr>
      <w:bookmarkStart w:id="30" w:name="_Toc8450"/>
      <w:bookmarkStart w:id="31" w:name="_Toc28108"/>
      <w:r>
        <w:rPr>
          <w:rFonts w:hint="eastAsia" w:ascii="仿宋_GB2312"/>
          <w:b/>
          <w:color w:val="000000" w:themeColor="text1"/>
          <w:szCs w:val="32"/>
        </w:rPr>
        <w:t>其他需要说明的事项</w:t>
      </w:r>
      <w:bookmarkEnd w:id="30"/>
      <w:bookmarkEnd w:id="31"/>
    </w:p>
    <w:p>
      <w:pPr>
        <w:pStyle w:val="2"/>
        <w:ind w:firstLine="0" w:firstLineChars="0"/>
        <w:jc w:val="center"/>
        <w:rPr>
          <w:rFonts w:hint="eastAsia"/>
          <w:color w:val="000000" w:themeColor="text1"/>
          <w:sz w:val="36"/>
          <w:szCs w:val="36"/>
        </w:rPr>
      </w:pPr>
      <w:bookmarkStart w:id="32" w:name="_Toc8545"/>
    </w:p>
    <w:p>
      <w:pPr>
        <w:pStyle w:val="2"/>
        <w:ind w:firstLine="0" w:firstLineChars="0"/>
        <w:jc w:val="center"/>
        <w:rPr>
          <w:color w:val="000000" w:themeColor="text1"/>
          <w:sz w:val="36"/>
          <w:szCs w:val="36"/>
        </w:rPr>
      </w:pPr>
      <w:r>
        <w:rPr>
          <w:rFonts w:hint="eastAsia"/>
          <w:color w:val="000000" w:themeColor="text1"/>
          <w:sz w:val="36"/>
          <w:szCs w:val="36"/>
        </w:rPr>
        <w:t>第四部分  名词解释</w:t>
      </w:r>
      <w:bookmarkEnd w:id="32"/>
    </w:p>
    <w:p>
      <w:pPr>
        <w:spacing w:line="580" w:lineRule="exact"/>
        <w:ind w:firstLine="640"/>
        <w:rPr>
          <w:color w:val="000000" w:themeColor="text1"/>
          <w:szCs w:val="32"/>
        </w:rPr>
      </w:pPr>
      <w:r>
        <w:rPr>
          <w:rFonts w:hint="eastAsia"/>
          <w:color w:val="000000" w:themeColor="text1"/>
          <w:szCs w:val="32"/>
        </w:rPr>
        <w:t>部门应当按照部门预算管理要求，对本部门涉及的专业名词进行解释。（以下模板仅供参考，以单位实际为准）</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一、财政拨款收入：</w:t>
      </w:r>
      <w:r>
        <w:rPr>
          <w:rFonts w:hint="eastAsia" w:ascii="仿宋_GB2312"/>
          <w:color w:val="000000" w:themeColor="text1"/>
          <w:szCs w:val="32"/>
        </w:rPr>
        <w:t>指单位从同级财政部门取得的财政预算资金。</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二、事业收入：</w:t>
      </w:r>
      <w:r>
        <w:rPr>
          <w:rFonts w:hint="eastAsia" w:ascii="仿宋_GB2312"/>
          <w:color w:val="000000" w:themeColor="text1"/>
          <w:szCs w:val="32"/>
        </w:rPr>
        <w:t>指事业单位开展专业业务活动及辅助活动取得的收入。</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三、经营收入：</w:t>
      </w:r>
      <w:r>
        <w:rPr>
          <w:rFonts w:hint="eastAsia" w:ascii="仿宋_GB2312"/>
          <w:color w:val="000000" w:themeColor="text1"/>
          <w:szCs w:val="32"/>
        </w:rPr>
        <w:t>指事业单位在专业业务活动及其辅助活动之外开展非独立核算经营活动取得的收入。</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四、其他收入：</w:t>
      </w:r>
      <w:r>
        <w:rPr>
          <w:rFonts w:hint="eastAsia" w:ascii="仿宋_GB2312"/>
          <w:color w:val="000000" w:themeColor="text1"/>
          <w:szCs w:val="32"/>
        </w:rPr>
        <w:t>指单位取得的除上述收入以外的各项收</w:t>
      </w:r>
    </w:p>
    <w:p>
      <w:pPr>
        <w:spacing w:line="580" w:lineRule="exact"/>
        <w:ind w:firstLineChars="0"/>
        <w:rPr>
          <w:rFonts w:ascii="仿宋_GB2312"/>
          <w:color w:val="000000" w:themeColor="text1"/>
          <w:szCs w:val="32"/>
        </w:rPr>
      </w:pPr>
      <w:r>
        <w:rPr>
          <w:rFonts w:hint="eastAsia" w:ascii="仿宋_GB2312"/>
          <w:color w:val="000000" w:themeColor="text1"/>
          <w:szCs w:val="32"/>
        </w:rPr>
        <w:t>入。主要是按规定动用的售房收入、存款利息收入等。</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五、年初结转和结余：</w:t>
      </w:r>
      <w:r>
        <w:rPr>
          <w:rFonts w:hint="eastAsia" w:ascii="仿宋_GB2312"/>
          <w:color w:val="000000" w:themeColor="text1"/>
          <w:szCs w:val="32"/>
        </w:rPr>
        <w:t>指单位以前年度尚未完成、结转到本年按有关规定继续使用的资金。</w:t>
      </w:r>
    </w:p>
    <w:p>
      <w:pPr>
        <w:spacing w:line="580" w:lineRule="exact"/>
        <w:ind w:firstLine="520" w:firstLineChars="162"/>
        <w:rPr>
          <w:rFonts w:ascii="仿宋_GB2312"/>
          <w:b/>
          <w:color w:val="000000" w:themeColor="text1"/>
          <w:szCs w:val="32"/>
        </w:rPr>
      </w:pPr>
      <w:r>
        <w:rPr>
          <w:rFonts w:hint="eastAsia" w:ascii="仿宋_GB2312"/>
          <w:b/>
          <w:color w:val="000000" w:themeColor="text1"/>
          <w:szCs w:val="32"/>
        </w:rPr>
        <w:t>六、基本支出：</w:t>
      </w:r>
      <w:r>
        <w:rPr>
          <w:rFonts w:hint="eastAsia" w:ascii="仿宋_GB2312"/>
          <w:color w:val="000000" w:themeColor="text1"/>
          <w:szCs w:val="32"/>
        </w:rPr>
        <w:t>指为保障机构正常运转、完成日常工作任务而发生的人员支出和公用支出。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七、项目支出：</w:t>
      </w:r>
      <w:r>
        <w:rPr>
          <w:rFonts w:hint="eastAsia" w:ascii="仿宋_GB2312"/>
          <w:color w:val="000000" w:themeColor="text1"/>
          <w:szCs w:val="32"/>
        </w:rPr>
        <w:t>指在基本支出之外为完成特定行政任务和事业发展目标所发生的支出。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八、“三公”经费：</w:t>
      </w:r>
      <w:r>
        <w:rPr>
          <w:rFonts w:hint="eastAsia" w:ascii="仿宋_GB2312"/>
          <w:color w:val="000000" w:themeColor="text1"/>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九、机关运行经费：</w:t>
      </w:r>
      <w:r>
        <w:rPr>
          <w:rFonts w:hint="eastAsia" w:ascii="仿宋_GB2312"/>
          <w:color w:val="000000" w:themeColor="text1"/>
          <w:szCs w:val="32"/>
        </w:rPr>
        <w:t>指行政单位和参照公务员法管理的事业单位使用一般公共预算安排的基本支出中的日常公用经费支出。</w:t>
      </w:r>
    </w:p>
    <w:p>
      <w:pPr>
        <w:spacing w:line="580" w:lineRule="exact"/>
        <w:ind w:firstLine="518" w:firstLineChars="162"/>
        <w:rPr>
          <w:rFonts w:ascii="仿宋_GB2312"/>
          <w:color w:val="000000" w:themeColor="text1"/>
          <w:szCs w:val="32"/>
        </w:rPr>
      </w:pPr>
    </w:p>
    <w:p>
      <w:pPr>
        <w:spacing w:line="580" w:lineRule="exact"/>
        <w:ind w:firstLine="518" w:firstLineChars="162"/>
        <w:rPr>
          <w:rFonts w:ascii="仿宋_GB2312"/>
          <w:color w:val="000000" w:themeColor="text1"/>
          <w:szCs w:val="32"/>
        </w:rPr>
      </w:pPr>
    </w:p>
    <w:p>
      <w:pPr>
        <w:spacing w:line="580" w:lineRule="exact"/>
        <w:ind w:firstLine="518" w:firstLineChars="162"/>
        <w:rPr>
          <w:rFonts w:ascii="仿宋_GB2312"/>
          <w:color w:val="000000" w:themeColor="text1"/>
          <w:szCs w:val="32"/>
        </w:rPr>
      </w:pPr>
    </w:p>
    <w:p>
      <w:pPr>
        <w:spacing w:line="580" w:lineRule="exact"/>
        <w:ind w:firstLine="518" w:firstLineChars="162"/>
        <w:rPr>
          <w:rFonts w:ascii="仿宋_GB2312"/>
          <w:color w:val="000000" w:themeColor="text1"/>
          <w:szCs w:val="32"/>
        </w:rPr>
      </w:pPr>
    </w:p>
    <w:p>
      <w:pPr>
        <w:spacing w:line="580" w:lineRule="exact"/>
        <w:ind w:firstLine="640"/>
        <w:rPr>
          <w:rFonts w:ascii="仿宋_GB2312"/>
          <w:color w:val="000000" w:themeColor="text1"/>
          <w:szCs w:val="32"/>
        </w:rPr>
      </w:pPr>
      <w:r>
        <w:rPr>
          <w:rFonts w:hint="eastAsia" w:ascii="仿宋_GB2312"/>
          <w:color w:val="000000" w:themeColor="text1"/>
          <w:szCs w:val="32"/>
        </w:rPr>
        <w:t xml:space="preserve">                     单位名称：静乐县档案馆</w:t>
      </w:r>
    </w:p>
    <w:p>
      <w:pPr>
        <w:ind w:firstLine="4800" w:firstLineChars="1500"/>
        <w:rPr>
          <w:color w:val="000000" w:themeColor="text1"/>
        </w:rPr>
      </w:pPr>
      <w:r>
        <w:rPr>
          <w:rFonts w:hint="eastAsia"/>
          <w:color w:val="000000" w:themeColor="text1"/>
        </w:rPr>
        <w:t>二〇二二年六月</w:t>
      </w:r>
      <w:r>
        <w:rPr>
          <w:rFonts w:hint="eastAsia"/>
          <w:color w:val="000000" w:themeColor="text1"/>
          <w:lang w:eastAsia="zh-CN"/>
        </w:rPr>
        <w:t>六</w:t>
      </w:r>
      <w:r>
        <w:rPr>
          <w:rFonts w:hint="eastAsia"/>
          <w:color w:val="000000" w:themeColor="text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ZjOTY3MWIyNDAxYzU4MjkxMTEyYzhiYmQ0MjA1ZGIifQ=="/>
  </w:docVars>
  <w:rsids>
    <w:rsidRoot w:val="495520D0"/>
    <w:rsid w:val="00101B43"/>
    <w:rsid w:val="00132EFD"/>
    <w:rsid w:val="00215839"/>
    <w:rsid w:val="00301812"/>
    <w:rsid w:val="003839F0"/>
    <w:rsid w:val="003E6B6F"/>
    <w:rsid w:val="00557F76"/>
    <w:rsid w:val="005F422D"/>
    <w:rsid w:val="008B3A6D"/>
    <w:rsid w:val="009F241D"/>
    <w:rsid w:val="00BA4949"/>
    <w:rsid w:val="00EA5F8B"/>
    <w:rsid w:val="00F150E6"/>
    <w:rsid w:val="00F86F59"/>
    <w:rsid w:val="03696819"/>
    <w:rsid w:val="0876716E"/>
    <w:rsid w:val="13294BDB"/>
    <w:rsid w:val="16654CDD"/>
    <w:rsid w:val="1A4A5C33"/>
    <w:rsid w:val="2701594C"/>
    <w:rsid w:val="27426717"/>
    <w:rsid w:val="37943B50"/>
    <w:rsid w:val="3821117E"/>
    <w:rsid w:val="42C12CEC"/>
    <w:rsid w:val="43EE0FF3"/>
    <w:rsid w:val="44401A62"/>
    <w:rsid w:val="495520D0"/>
    <w:rsid w:val="4A012068"/>
    <w:rsid w:val="5196484B"/>
    <w:rsid w:val="53A30631"/>
    <w:rsid w:val="5CF87799"/>
    <w:rsid w:val="5EC01F6A"/>
    <w:rsid w:val="5F6D3F46"/>
    <w:rsid w:val="63AB51DF"/>
    <w:rsid w:val="649C6DC9"/>
    <w:rsid w:val="68F267BF"/>
    <w:rsid w:val="6CF96170"/>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link w:val="12"/>
    <w:qFormat/>
    <w:uiPriority w:val="3"/>
    <w:pPr>
      <w:spacing w:line="500" w:lineRule="exact"/>
    </w:pPr>
    <w:rPr>
      <w:rFonts w:cs="Times New Roman"/>
      <w:kern w:val="0"/>
      <w:sz w:val="28"/>
      <w:szCs w:val="28"/>
      <w:lang w:val="zh-CN"/>
    </w:rPr>
  </w:style>
  <w:style w:type="character" w:customStyle="1" w:styleId="12">
    <w:name w:val="闻政-正文段落文字 Char"/>
    <w:link w:val="11"/>
    <w:qFormat/>
    <w:uiPriority w:val="3"/>
    <w:rPr>
      <w:rFonts w:ascii="Times New Roman" w:hAnsi="Times New Roman" w:eastAsia="仿宋_GB2312" w:cs="Times New Roman"/>
      <w:sz w:val="28"/>
      <w:szCs w:val="28"/>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3832</Words>
  <Characters>4437</Characters>
  <Lines>38</Lines>
  <Paragraphs>10</Paragraphs>
  <ScaleCrop>false</ScaleCrop>
  <LinksUpToDate>false</LinksUpToDate>
  <CharactersWithSpaces>4543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2022-09-15T02:36:23Z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72081C9C4DF242619D07C139B573CC98</vt:lpwstr>
  </property>
</Properties>
</file>