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21118"/>
      <w:bookmarkStart w:id="1" w:name="_Toc3204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 xml:space="preserve">静乐县市场监督管理局                  </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11</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13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13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14</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15</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静乐县市场监督管理局贯彻落实党中央、省委、市委、县委关于市场监督管理工作的方针政策和决策部署，在履行职责过程中坚持和加强党对市场监督管理工作的集中统一领导。主要职责是：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（一）负责全县市场综合监督管理。贯彻执行国家和省、 </w:t>
      </w:r>
    </w:p>
    <w:p>
      <w:pPr>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市有关市场监督管理的法律法规规章，起草有关规范性文件,制定有关政策、标准，组织实施质量强县战略、食品安全战略和标准化战略，拟订并组织实施有关规划，履行市场监管职责，规范和维护市场秩序，营造诚实守信、公平竞争的市场环境。负责相关法律、法规和规章的行政执法检查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（二）负责建立市场主体信息公示和共享机制，依法公示和共享有关信息，加强信用监管，推动全县市场主体信用体系建设。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（三）负责组织和指导全县市场监管综合执法工作。组织指导全县市场监管综合执法队伍整合和建设，推动实行统一的市场监管。组织查处各类违法案件。规范全县市场监管行政执法行为。</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（四）协助省、市市场监督管理局开展全县反垄断统一执法工作。统筹推进竞争政策实施，组织指导实施公平竞争审查制度。依法对经营者集中行为进行反垄断审查, 负责垄断协议、滥用市场支配地位和滥用行政权力排除、限制竞争等反垄断执法工作。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（五）负责监督管理市场秩序。依法监督管理市场交易、 </w:t>
      </w:r>
    </w:p>
    <w:p>
      <w:pPr>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网络商品交易及有关服务的行为，组织指导全县市场监督管理系统查处价格收费违法违规、不正当竞争、违法直销、传销、侵犯商标专利知识产权和制售假冒伪劣行为。指导全县广告业发展，监督管理广告活动。负责事业单位广告发布备案登记。组织指导查处无照生产经营和相关无证生产经营行为。负责消费者权益保护工作，建立消费者权益保护体系，指导县消费者协会开展消费维权工作，调解消费纠纷。负责涉及市场监管领域（工商、质量、食品、药品、盐务、物价、专利、酒类）的 投诉举报工作。 负责依法监督管理经纪人、经纪机构及经纪活动。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六）负责全县宏观质量管理。组织实施国家质量振兴纲要和全县“质量强县、名牌兴县”发展战略，负责拟定相关政策、规划、措施和考核办法，开展全县质量状况统计分析，建立和完善全县质量诚信体系，实施政府质量奖励制度。负责全县工业产品生产许可证管理工作。协调建立重大工程设备质量监理制度。负责组织各类产品质量事故的调查。组织落实缺陷产品召回制度。监督管理产品防伪工作。负责地理标志产品保护工作。</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七）负责全县产品质量安全监督管理。管理全县产品质量安全风险监控、强制检验和县级监督抽查工作。建立并组织实施质量分级制度、质量安全追溯制度。负责全县纤维质量监督工作。承担全县机动车安全技术检验机构日常监督检查工作。组织、指导开展质量技术监督行政执法工作。组织开展全县打击假冒伪劣工作，查处违反质量技术监督法律法规的行为。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八）负责全县特种设备安全监督管理。综合管理全县特种设备安全监察、监督工作，监督检查高耗能特种设备节能标准和锅炉环境保护标准的执行情况。负责特种设备使用的行政许可与监督管理及检验检测机构的监督管理。建立和完善特种设备应急机制和救援队伍，组织并参与特种设备事故的调查处理。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九）负责全县食品安全监督管理综合协调。负责食品安全应急体系建设，组织指导重大食品安全事件应急处置和调查处理工作。落实食品安全重要信息直报制度。承担县食品安全委员会日常工作。负责推动健全食品安全协调联动机制。督促检查乡镇人民政府履行食品安全监督管理责任并负责考核价。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（十）负责全县食品安全监督管理。建立覆盖食品生产、 </w:t>
      </w:r>
    </w:p>
    <w:p>
      <w:pPr>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流通、消费全过程的监督检查制度和隐患排查治理机制并组织实施，防范区域性、系统性食品安全风险。推动建立食品生产经营者落实主体责任的机制，健全食品安全追溯体系。组织开展全县食品安全监督抽检、风险监测、核查处置和风险预警、风险交流工作。组织实施全县特殊食品监督管理。负责酒类商品监督管理工作。贯彻落实食品安全信息统一公布制度，按照有关规定和程序公布食品安全信息。负责食品安全监督管理。组织实施全县食盐安全管理与监督工作，监督食盐生产经营企业落实食盐安全主体责任，打击食盐违法犯罪行为。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（十一）负责统一管理全县计量工作。组织推行法定计量单位和国家计量制度</w:t>
      </w:r>
      <w:r>
        <w:rPr>
          <w:rFonts w:hint="default" w:ascii="仿宋_GB2312"/>
          <w:color w:val="000000" w:themeColor="text1"/>
          <w:szCs w:val="32"/>
          <w:lang w:val="en-US" w:eastAsia="zh-CN"/>
          <w14:textFill>
            <w14:solidFill>
              <w14:schemeClr w14:val="tx1"/>
            </w14:solidFill>
          </w14:textFill>
        </w:rPr>
        <w:t xml:space="preserve">; </w:t>
      </w:r>
      <w:r>
        <w:rPr>
          <w:rFonts w:hint="eastAsia" w:ascii="仿宋_GB2312"/>
          <w:color w:val="000000" w:themeColor="text1"/>
          <w:szCs w:val="32"/>
          <w:lang w:val="en-US" w:eastAsia="zh-CN"/>
          <w14:textFill>
            <w14:solidFill>
              <w14:schemeClr w14:val="tx1"/>
            </w14:solidFill>
          </w14:textFill>
        </w:rPr>
        <w:t xml:space="preserve">管理全县计量器具及量值传递和比对及溯源工作。负责规范、监督全县商品计量和市场计量行为。负责执行地方计量检定规程和计量技术规范。承担计量标准器具核准和计量检定员资格核准。承担国家法定计量检定机构任务的授权。组织实施计量器具强制检定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（十二）负责统一管理全县标准化工作。推动全县新型标准体系建设。组织制定县级地方标准</w:t>
      </w:r>
      <w:r>
        <w:rPr>
          <w:rFonts w:hint="default"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负责县级地方标准的立项、审查、批准、编号、发布和复审工作。监督国家标准、行业标准和地方标准的贯彻实施。依法监督管理团体标准和企业标准工作。推动对标达标相关工作。组织实施各级标准化示范试点工作。管理全县商品条码工作。推动采用国际标准和国外先进标准。管理企业产品备案工作。</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十三）负责统一管理、监督和协调全县认证认可、检验检测工作。组织实施国家统一的认证认可和合格评定监督管理制度。推进检验检测机构改革，规范检验检测市场，完善检验检测体系。指导协调全县检验检测行业发展。监督管理自愿性认证和强制性产品认证工作。负责全县实 验室、检查机构的监督管理工作。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default"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十四</w:t>
      </w:r>
      <w:r>
        <w:rPr>
          <w:rFonts w:hint="default"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 xml:space="preserve">负责全县知识产权之专利、商标工作。拟订并组织实施加强专利和商标强县建设、强化专利和商标创造、保护和运用的发展规划和制度措施。推动全县专利和商标保护体系建设。指导和监督全县专利和商标保护工作。促进专利和商标运用。负责处理专利纠纷案件，查处假冒专利行为。查处商标侵权行为。保护特殊标志、认证标志。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（十五）负责市场监督管理科技和信息化建设、新闻宣传。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（十六）指导、协调全县市场监督管理系统开展非公经济组织党建工作。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十七）负责药品（含中药、民族药，下同）、医疗器械和化妆品安全监督管理。监督实施药品、医疗器械和化妆品监督管理的法律法规和规章，起草规范性文件并监督实施。建立落实药品重大信息直报制度，并组织实施和监督检查，着力防范区域性、系统性药品安全风险。</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（十八）负责监督实施国家药典等药品和医疗器械标准、 </w:t>
      </w:r>
    </w:p>
    <w:p>
      <w:pPr>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分类管理制度。负责药品零售企业经营质量管理规范认证并监督检查。建立药品不良反应、医疗器械不良事件监测体系，并开展监测和处置工作。配合实施国家基本药物制度。承接市局做好第一类医疗器械产品备案、第一类医疗器械生产备案、第二类医疗器械经营备案和第三类医疗器械经营许可、第二类精神药品零售许可、医疗用毒性药品零售经营资格许可、麻醉药品和第一类精神药品运输证明核发、麻醉药品和精神药品邮寄证明核发的相关事宜。监督实施国家化妆品监督管理办法。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（十九）承接市局药品和医疗器械网络销售备案工作的相关事宜。</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依法承担药品、医疗器械和化妆品安全应急管理工作。组织和指导药品、医疗器械和化妆品安全事故应急处置和调查处理工作，监督事故查处落实情况。依职责组织开展药品不良反应、医疗器械不良事件和化妆品不良反应的监测、评价、上市后风险管理和处置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（二十一）监督实施药品、医疗器械经营质量管理规范。 </w:t>
      </w:r>
    </w:p>
    <w:p>
      <w:pPr>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组织实施药品、医疗器械和化妆品监督检查，依法查处违法行为。监督实施问题产品召回和处置制度。完善行政执法与刑事司法衔接机制。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（二十二）负责制定药品、医疗器械和化妆品安全科技发展规划并组织实施，推动药品、医疗器械和化妆品检验检测体系、电子监管追溯体系和信息化建设。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三）负责开展食品（含保健食品、特殊医学用途配方食品、婴幼儿配方食品等特殊食品以及食盐）、药品、医疗器械、化妆品、特种设备和工业产品质量安全宣传、教育培训、队伍建设，推进信用体系建设。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default"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二十四</w:t>
      </w:r>
      <w:r>
        <w:rPr>
          <w:rFonts w:hint="default"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 xml:space="preserve">依法实施合同行政监督管理。组织实施合同格式条款监督管理（备案）、合同争议行政调解。组织监督管理拍卖行为，负责依法查处合同欺诈等违法行为。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（二十五）负责对已发放列入国家生产许可证目录的危险化学品包装物、容器的生产许可证的产品质量实施监督管理。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（二十六)加强节能减排领域的质量技术监督工作。落实能源效率标识管理制度。对资（能）源计量工作进行监督管理。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（二十七）加强对基层的业务指导，领导和管理直属机构、市场监管执法机构（派出机构）、所属事业单位的工作并指导</w:t>
      </w:r>
      <w:bookmarkStart w:id="31" w:name="_GoBack"/>
      <w:bookmarkEnd w:id="31"/>
      <w:r>
        <w:rPr>
          <w:rFonts w:hint="eastAsia" w:ascii="仿宋_GB2312"/>
          <w:color w:val="000000" w:themeColor="text1"/>
          <w:szCs w:val="32"/>
          <w:lang w:val="en-US" w:eastAsia="zh-CN"/>
          <w14:textFill>
            <w14:solidFill>
              <w14:schemeClr w14:val="tx1"/>
            </w14:solidFill>
          </w14:textFill>
        </w:rPr>
        <w:t xml:space="preserve">与业务相关的社会团体的工作。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（二十八）完成县委、县人民政府交办的其他任务。 </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（二十九）职能转变 </w:t>
      </w:r>
    </w:p>
    <w:p>
      <w:pPr>
        <w:pStyle w:val="3"/>
        <w:rPr>
          <w:rFonts w:hint="eastAsia" w:ascii="仿宋" w:hAnsi="仿宋" w:eastAsia="仿宋" w:cs="仿宋"/>
          <w:b w:val="0"/>
          <w:bCs/>
          <w:lang w:val="en-US" w:eastAsia="zh-CN"/>
        </w:rPr>
      </w:pPr>
      <w:bookmarkStart w:id="7" w:name="_Toc275"/>
      <w:bookmarkStart w:id="8" w:name="_Toc9155"/>
      <w:r>
        <w:rPr>
          <w:rFonts w:hint="eastAsia" w:ascii="仿宋" w:hAnsi="仿宋" w:eastAsia="仿宋" w:cs="仿宋"/>
          <w:b w:val="0"/>
          <w:bCs/>
          <w:lang w:val="en-US" w:eastAsia="zh-CN"/>
        </w:rPr>
        <w:t>二、机构设置情况</w:t>
      </w:r>
      <w:bookmarkEnd w:id="7"/>
      <w:bookmarkEnd w:id="8"/>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我单位设置了13个内设股室，分别为办公室、财务股、执法稽查股、信用监督管理股、市场监督管理股、反垄断和反不正当竞争股、质量监督管理股、特种设备安全监察股、食品综合协调监督管理股、药品综合监督管理股、非公党建工作股、档案室、行政审批服务办公室。</w:t>
      </w:r>
    </w:p>
    <w:p>
      <w:pPr>
        <w:pStyle w:val="2"/>
        <w:rPr>
          <w:rFonts w:hint="eastAsia"/>
          <w:b/>
          <w:sz w:val="36"/>
          <w:szCs w:val="36"/>
          <w:lang w:val="en-US" w:eastAsia="zh-CN"/>
        </w:rPr>
      </w:pPr>
      <w:bookmarkStart w:id="9" w:name="_Toc12749"/>
    </w:p>
    <w:p>
      <w:pPr>
        <w:pStyle w:val="2"/>
        <w:rPr>
          <w:rFonts w:hint="eastAsia"/>
          <w:b/>
          <w:sz w:val="36"/>
          <w:szCs w:val="36"/>
          <w:lang w:val="en-US" w:eastAsia="zh-CN"/>
        </w:rPr>
      </w:pPr>
    </w:p>
    <w:p>
      <w:pPr>
        <w:pStyle w:val="2"/>
        <w:rPr>
          <w:rFonts w:hint="eastAsia"/>
          <w:b/>
          <w:sz w:val="36"/>
          <w:szCs w:val="36"/>
          <w:lang w:val="en-US" w:eastAsia="zh-CN"/>
        </w:rPr>
      </w:pPr>
    </w:p>
    <w:p>
      <w:pPr>
        <w:rPr>
          <w:rFonts w:hint="eastAsia"/>
          <w:lang w:val="en-US" w:eastAsia="zh-CN"/>
        </w:rPr>
      </w:pPr>
    </w:p>
    <w:p>
      <w:pPr>
        <w:pStyle w:val="2"/>
        <w:ind w:left="0" w:leftChars="0" w:firstLine="0" w:firstLineChars="0"/>
        <w:jc w:val="center"/>
        <w:rPr>
          <w:rFonts w:hint="eastAsia"/>
          <w:b/>
          <w:bCs w:val="0"/>
          <w:sz w:val="36"/>
          <w:szCs w:val="36"/>
          <w:lang w:val="en-US" w:eastAsia="zh-CN"/>
        </w:rPr>
      </w:pPr>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ind w:firstLine="640"/>
        <w:rPr>
          <w:rFonts w:hint="eastAsia" w:ascii="仿宋_GB2312" w:hAnsi="楷体"/>
          <w:szCs w:val="32"/>
        </w:rPr>
      </w:pP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本单位2021年的决算总收入为1296.59万元，决算总支出为1296.59万元，2020年决算总收入1344.52元，2020年决算总支出1552.97万元。较2020年决算总收入减少47.93万元，同比降低了3.56%；较2020年决算总支出减少了256.38万元，同比降低了16.51%，决算收入减少主要是因为2020年市场主体统一登记注册职能划转至行政审批局致2021相关经费减少；以及6名公务员、7名事业人员转隶和6名退休人员导致人员经费减少；信息化建设项目及创文创卫项目投入减少等。决算支出减少的主要原因是2020年支出了年初的结转结余资金208.45万元。</w:t>
      </w:r>
    </w:p>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上级补助收入</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事业收入</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经营收入</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附属单位上缴收入</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其他收入</w:t>
      </w:r>
      <w:r>
        <w:rPr>
          <w:rFonts w:hint="eastAsia" w:ascii="仿宋_GB2312"/>
          <w:color w:val="000000" w:themeColor="text1"/>
          <w:szCs w:val="32"/>
          <w:lang w:eastAsia="zh-CN"/>
          <w14:textFill>
            <w14:solidFill>
              <w14:schemeClr w14:val="tx1"/>
            </w14:solidFill>
          </w14:textFill>
        </w:rPr>
        <w:t>等。</w:t>
      </w:r>
    </w:p>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1107.26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85.40</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189.33</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14.60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经营支出</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对附属单位补助支出</w:t>
      </w:r>
      <w:r>
        <w:rPr>
          <w:rFonts w:hint="eastAsia" w:ascii="仿宋_GB2312"/>
          <w:color w:val="000000" w:themeColor="text1"/>
          <w:szCs w:val="32"/>
          <w:lang w:eastAsia="zh-CN"/>
          <w14:textFill>
            <w14:solidFill>
              <w14:schemeClr w14:val="tx1"/>
            </w14:solidFill>
          </w14:textFill>
        </w:rPr>
        <w:t>等。</w:t>
      </w:r>
    </w:p>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47.93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3.56</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256.38</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16.51</w:t>
      </w:r>
      <w:r>
        <w:rPr>
          <w:rFonts w:hint="eastAsia" w:ascii="仿宋_GB2312"/>
          <w:color w:val="000000" w:themeColor="text1"/>
          <w:szCs w:val="32"/>
          <w14:textFill>
            <w14:solidFill>
              <w14:schemeClr w14:val="tx1"/>
            </w14:solidFill>
          </w14:textFill>
        </w:rPr>
        <w:t>%。财政拨款收入</w:t>
      </w:r>
      <w:r>
        <w:rPr>
          <w:rFonts w:hint="eastAsia" w:ascii="仿宋_GB2312"/>
          <w:color w:val="000000" w:themeColor="text1"/>
          <w:szCs w:val="32"/>
          <w:lang w:val="en-US" w:eastAsia="zh-CN"/>
          <w14:textFill>
            <w14:solidFill>
              <w14:schemeClr w14:val="tx1"/>
            </w14:solidFill>
          </w14:textFill>
        </w:rPr>
        <w:t>减少主要是因为2020年市场主体统一登记注册职能划转至行政审批局致2021相关经费减少；以及6名公务员、7名事业人员转隶和6名退休人员导致人员经费减少；信息化建设项目及创文创卫项目投入减少等。</w:t>
      </w:r>
      <w:r>
        <w:rPr>
          <w:rFonts w:hint="eastAsia"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的主要原因是2020年支出了年初的结转结余资金208.45万元。</w:t>
      </w:r>
    </w:p>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pageBreakBefore w:val="0"/>
        <w:widowControl w:val="0"/>
        <w:kinsoku/>
        <w:wordWrap/>
        <w:overflowPunct/>
        <w:topLinePunct w:val="0"/>
        <w:autoSpaceDE/>
        <w:autoSpaceDN/>
        <w:bidi w:val="0"/>
        <w:adjustRightInd/>
        <w:snapToGrid/>
        <w:spacing w:line="580" w:lineRule="exact"/>
        <w:ind w:firstLine="643"/>
        <w:textAlignment w:val="auto"/>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2021年度财政拨款支出1296.59万元，占本年支出合计的100%。与2020年相比，财政拨款支出减少256.38万元，下降16.</w:t>
      </w:r>
      <w:r>
        <w:rPr>
          <w:rFonts w:hint="eastAsia" w:ascii="仿宋_GB2312"/>
          <w:b w:val="0"/>
          <w:bCs w:val="0"/>
          <w:color w:val="000000" w:themeColor="text1"/>
          <w:szCs w:val="32"/>
          <w:lang w:val="en-US" w:eastAsia="zh-CN"/>
          <w14:textFill>
            <w14:solidFill>
              <w14:schemeClr w14:val="tx1"/>
            </w14:solidFill>
          </w14:textFill>
        </w:rPr>
        <w:t>51%。主要原因是2020年支出了年初的结转结余资金208.45万元。其</w:t>
      </w:r>
      <w:r>
        <w:rPr>
          <w:rFonts w:hint="eastAsia" w:ascii="仿宋_GB2312"/>
          <w:color w:val="000000" w:themeColor="text1"/>
          <w:szCs w:val="32"/>
          <w:lang w:val="en-US" w:eastAsia="zh-CN"/>
          <w14:textFill>
            <w14:solidFill>
              <w14:schemeClr w14:val="tx1"/>
            </w14:solidFill>
          </w14:textFill>
        </w:rPr>
        <w:t>中，政府性基金预算支出0万元，占比0%。</w:t>
      </w:r>
    </w:p>
    <w:p>
      <w:pPr>
        <w:pageBreakBefore w:val="0"/>
        <w:widowControl w:val="0"/>
        <w:kinsoku/>
        <w:wordWrap/>
        <w:overflowPunct/>
        <w:topLinePunct w:val="0"/>
        <w:autoSpaceDE/>
        <w:autoSpaceDN/>
        <w:bidi w:val="0"/>
        <w:adjustRightInd/>
        <w:snapToGrid/>
        <w:spacing w:line="580" w:lineRule="exact"/>
        <w:ind w:firstLine="643"/>
        <w:textAlignment w:val="auto"/>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2021年度财政拨款支出1296.59万元，主要用于以下方面：一般公共服务（类）支出1289.99万元，占99.49%；卫生健康（类）支出6.60万元，占0.51%。</w:t>
      </w:r>
    </w:p>
    <w:p>
      <w:pPr>
        <w:pageBreakBefore w:val="0"/>
        <w:widowControl w:val="0"/>
        <w:kinsoku/>
        <w:wordWrap/>
        <w:overflowPunct/>
        <w:topLinePunct w:val="0"/>
        <w:autoSpaceDE/>
        <w:autoSpaceDN/>
        <w:bidi w:val="0"/>
        <w:adjustRightInd/>
        <w:snapToGrid/>
        <w:spacing w:line="580" w:lineRule="exact"/>
        <w:ind w:firstLine="643"/>
        <w:textAlignment w:val="auto"/>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2021年度财政拨款支出年初预算1258.16万元，支出决算1296.59万元，完成本年调整预算的100%。其中：</w:t>
      </w:r>
    </w:p>
    <w:p>
      <w:pPr>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1）</w:t>
      </w:r>
      <w:r>
        <w:rPr>
          <w:rFonts w:hint="eastAsia" w:ascii="仿宋" w:hAnsi="仿宋" w:eastAsia="仿宋" w:cs="仿宋"/>
          <w:b w:val="0"/>
          <w:bCs w:val="0"/>
          <w:color w:val="000000" w:themeColor="text1"/>
          <w:sz w:val="32"/>
          <w:szCs w:val="32"/>
          <w14:textFill>
            <w14:solidFill>
              <w14:schemeClr w14:val="tx1"/>
            </w14:solidFill>
          </w14:textFill>
        </w:rPr>
        <w:t>按功能科目分类</w:t>
      </w:r>
      <w:r>
        <w:rPr>
          <w:rFonts w:hint="eastAsia" w:ascii="仿宋" w:hAnsi="仿宋" w:eastAsia="仿宋" w:cs="仿宋"/>
          <w:b w:val="0"/>
          <w:bCs w:val="0"/>
          <w:color w:val="000000" w:themeColor="text1"/>
          <w:sz w:val="32"/>
          <w:szCs w:val="32"/>
          <w:lang w:val="en-US" w:eastAsia="zh-CN"/>
          <w14:textFill>
            <w14:solidFill>
              <w14:schemeClr w14:val="tx1"/>
            </w14:solidFill>
          </w14:textFill>
        </w:rPr>
        <w:t>对比</w:t>
      </w:r>
      <w:r>
        <w:rPr>
          <w:rFonts w:hint="eastAsia" w:ascii="仿宋" w:hAnsi="仿宋" w:eastAsia="仿宋" w:cs="仿宋"/>
          <w:b w:val="0"/>
          <w:bCs w:val="0"/>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0"/>
        <w:tblW w:w="836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458"/>
        <w:gridCol w:w="1596"/>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458" w:type="dxa"/>
            <w:vAlign w:val="top"/>
          </w:tcPr>
          <w:p>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596"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240" w:type="dxa"/>
            <w:vAlign w:val="top"/>
          </w:tcPr>
          <w:p>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588" w:type="dxa"/>
            <w:vAlign w:val="top"/>
          </w:tcPr>
          <w:p>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p>
        </w:tc>
        <w:tc>
          <w:tcPr>
            <w:tcW w:w="2479" w:type="dxa"/>
            <w:vAlign w:val="bottom"/>
          </w:tcPr>
          <w:p>
            <w:pPr>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1549.97</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1289.99</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tabs>
                <w:tab w:val="center" w:pos="686"/>
              </w:tabs>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14</w:t>
            </w:r>
          </w:p>
        </w:tc>
        <w:tc>
          <w:tcPr>
            <w:tcW w:w="2479" w:type="dxa"/>
            <w:vAlign w:val="bottom"/>
          </w:tcPr>
          <w:p>
            <w:pPr>
              <w:ind w:left="0" w:leftChars="0" w:firstLine="240" w:firstLineChars="10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知识产权事务</w:t>
            </w:r>
          </w:p>
        </w:tc>
        <w:tc>
          <w:tcPr>
            <w:tcW w:w="1458" w:type="dxa"/>
            <w:vAlign w:val="top"/>
          </w:tcPr>
          <w:p>
            <w:pPr>
              <w:keepNext w:val="0"/>
              <w:keepLines w:val="0"/>
              <w:widowControl/>
              <w:suppressLineNumbers w:val="0"/>
              <w:ind w:firstLine="420" w:firstLineChars="200"/>
              <w:jc w:val="right"/>
              <w:textAlignment w:val="center"/>
              <w:rPr>
                <w:rFonts w:hint="default" w:ascii="仿宋" w:hAnsi="仿宋" w:eastAsia="仿宋" w:cs="仿宋"/>
                <w:i w:val="0"/>
                <w:iCs w:val="0"/>
                <w:color w:val="000000" w:themeColor="text1"/>
                <w:kern w:val="0"/>
                <w:sz w:val="21"/>
                <w:szCs w:val="21"/>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0.00</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1.41</w:t>
            </w:r>
          </w:p>
        </w:tc>
        <w:tc>
          <w:tcPr>
            <w:tcW w:w="1240"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1409</w:t>
            </w:r>
          </w:p>
        </w:tc>
        <w:tc>
          <w:tcPr>
            <w:tcW w:w="2479" w:type="dxa"/>
            <w:vAlign w:val="bottom"/>
          </w:tcPr>
          <w:p>
            <w:pPr>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知识产权宏观管理</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0.00</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1.41</w:t>
            </w:r>
          </w:p>
        </w:tc>
        <w:tc>
          <w:tcPr>
            <w:tcW w:w="1240"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38</w:t>
            </w:r>
          </w:p>
        </w:tc>
        <w:tc>
          <w:tcPr>
            <w:tcW w:w="2479" w:type="dxa"/>
            <w:vAlign w:val="bottom"/>
          </w:tcPr>
          <w:p>
            <w:pPr>
              <w:ind w:left="0" w:leftChars="0" w:firstLine="240" w:firstLineChars="10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市场监督管理事务</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1549.97</w:t>
            </w:r>
          </w:p>
        </w:tc>
        <w:tc>
          <w:tcPr>
            <w:tcW w:w="1596"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1288.57</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3801</w:t>
            </w:r>
          </w:p>
        </w:tc>
        <w:tc>
          <w:tcPr>
            <w:tcW w:w="2479" w:type="dxa"/>
            <w:vAlign w:val="bottom"/>
          </w:tcPr>
          <w:p>
            <w:pPr>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行政运行</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1152.32</w:t>
            </w:r>
          </w:p>
        </w:tc>
        <w:tc>
          <w:tcPr>
            <w:tcW w:w="1596" w:type="dxa"/>
            <w:vAlign w:val="top"/>
          </w:tcPr>
          <w:p>
            <w:pPr>
              <w:keepNext w:val="0"/>
              <w:keepLines w:val="0"/>
              <w:widowControl/>
              <w:suppressLineNumbers w:val="0"/>
              <w:jc w:val="right"/>
              <w:textAlignment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1107.26</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2013804</w:t>
            </w:r>
          </w:p>
        </w:tc>
        <w:tc>
          <w:tcPr>
            <w:tcW w:w="2479" w:type="dxa"/>
            <w:vAlign w:val="bottom"/>
          </w:tcPr>
          <w:p>
            <w:pPr>
              <w:jc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市场主体管理</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i w:val="0"/>
                <w:color w:val="000000" w:themeColor="text1"/>
                <w:kern w:val="0"/>
                <w:sz w:val="21"/>
                <w:szCs w:val="21"/>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10.00</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0.00</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3805</w:t>
            </w:r>
          </w:p>
        </w:tc>
        <w:tc>
          <w:tcPr>
            <w:tcW w:w="2479" w:type="dxa"/>
            <w:vAlign w:val="bottom"/>
          </w:tcPr>
          <w:p>
            <w:pPr>
              <w:jc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市场秩序执法</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i w:val="0"/>
                <w:color w:val="000000" w:themeColor="text1"/>
                <w:kern w:val="0"/>
                <w:sz w:val="21"/>
                <w:szCs w:val="21"/>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77.35</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69.10</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3808</w:t>
            </w:r>
          </w:p>
        </w:tc>
        <w:tc>
          <w:tcPr>
            <w:tcW w:w="2479" w:type="dxa"/>
            <w:vAlign w:val="bottom"/>
          </w:tcPr>
          <w:p>
            <w:pPr>
              <w:ind w:left="0" w:leftChars="0" w:firstLine="420" w:firstLineChars="200"/>
              <w:jc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信息化建设</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i w:val="0"/>
                <w:color w:val="000000" w:themeColor="text1"/>
                <w:kern w:val="0"/>
                <w:sz w:val="21"/>
                <w:szCs w:val="21"/>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18.00</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1.17</w:t>
            </w:r>
          </w:p>
        </w:tc>
        <w:tc>
          <w:tcPr>
            <w:tcW w:w="1240" w:type="dxa"/>
            <w:vAlign w:val="top"/>
          </w:tcPr>
          <w:p>
            <w:pPr>
              <w:ind w:left="0" w:leftChars="0" w:firstLine="0" w:firstLineChars="0"/>
              <w:jc w:val="both"/>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2013810</w:t>
            </w:r>
          </w:p>
        </w:tc>
        <w:tc>
          <w:tcPr>
            <w:tcW w:w="2479" w:type="dxa"/>
            <w:vAlign w:val="bottom"/>
          </w:tcPr>
          <w:p>
            <w:pPr>
              <w:jc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质量基础</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86.83</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0.00</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201</w:t>
            </w:r>
            <w:r>
              <w:rPr>
                <w:rFonts w:hint="eastAsia" w:ascii="仿宋" w:hAnsi="仿宋" w:eastAsia="仿宋" w:cs="仿宋"/>
                <w:color w:val="000000" w:themeColor="text1"/>
                <w:sz w:val="24"/>
                <w:szCs w:val="24"/>
                <w:lang w:val="en-US" w:eastAsia="zh-CN"/>
                <w14:textFill>
                  <w14:solidFill>
                    <w14:schemeClr w14:val="tx1"/>
                  </w14:solidFill>
                </w14:textFill>
              </w:rPr>
              <w:t>3816</w:t>
            </w:r>
          </w:p>
        </w:tc>
        <w:tc>
          <w:tcPr>
            <w:tcW w:w="2479" w:type="dxa"/>
            <w:vAlign w:val="bottom"/>
          </w:tcPr>
          <w:p>
            <w:pPr>
              <w:jc w:val="center"/>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食品安全监管</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30.00</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26.04</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2013850</w:t>
            </w:r>
          </w:p>
        </w:tc>
        <w:tc>
          <w:tcPr>
            <w:tcW w:w="2479" w:type="dxa"/>
            <w:vAlign w:val="bottom"/>
          </w:tcPr>
          <w:p>
            <w:pPr>
              <w:jc w:val="center"/>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事业运行</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51.21</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0.00</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13899</w:t>
            </w:r>
          </w:p>
        </w:tc>
        <w:tc>
          <w:tcPr>
            <w:tcW w:w="2479" w:type="dxa"/>
            <w:vAlign w:val="bottom"/>
          </w:tcPr>
          <w:p>
            <w:pPr>
              <w:jc w:val="center"/>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其他市场监督管理事务</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124.26</w:t>
            </w:r>
          </w:p>
        </w:tc>
        <w:tc>
          <w:tcPr>
            <w:tcW w:w="1596" w:type="dxa"/>
            <w:vAlign w:val="top"/>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85.00</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w:t>
            </w:r>
          </w:p>
        </w:tc>
        <w:tc>
          <w:tcPr>
            <w:tcW w:w="2479" w:type="dxa"/>
            <w:vAlign w:val="bottom"/>
          </w:tcPr>
          <w:p>
            <w:pPr>
              <w:ind w:left="0" w:leftChars="0" w:firstLine="0" w:firstLineChars="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卫生健康支出</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3.00</w:t>
            </w:r>
          </w:p>
        </w:tc>
        <w:tc>
          <w:tcPr>
            <w:tcW w:w="1596"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6.61</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w:t>
            </w:r>
          </w:p>
        </w:tc>
        <w:tc>
          <w:tcPr>
            <w:tcW w:w="2479" w:type="dxa"/>
            <w:vAlign w:val="bottom"/>
          </w:tcPr>
          <w:p>
            <w:pPr>
              <w:ind w:left="0" w:leftChars="0" w:firstLine="0" w:firstLineChars="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公共卫生</w:t>
            </w:r>
          </w:p>
        </w:tc>
        <w:tc>
          <w:tcPr>
            <w:tcW w:w="1458" w:type="dxa"/>
            <w:vAlign w:val="top"/>
          </w:tcPr>
          <w:p>
            <w:pPr>
              <w:keepNext w:val="0"/>
              <w:keepLines w:val="0"/>
              <w:widowControl/>
              <w:suppressLineNumbers w:val="0"/>
              <w:ind w:firstLine="420" w:firstLineChars="200"/>
              <w:jc w:val="right"/>
              <w:textAlignment w:val="center"/>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3.00</w:t>
            </w:r>
          </w:p>
        </w:tc>
        <w:tc>
          <w:tcPr>
            <w:tcW w:w="1596"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6.61</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2100410</w:t>
            </w:r>
          </w:p>
        </w:tc>
        <w:tc>
          <w:tcPr>
            <w:tcW w:w="2479" w:type="dxa"/>
            <w:vAlign w:val="bottom"/>
          </w:tcPr>
          <w:p>
            <w:pPr>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突发公共卫生事件应急处理</w:t>
            </w:r>
          </w:p>
        </w:tc>
        <w:tc>
          <w:tcPr>
            <w:tcW w:w="1458"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3.00</w:t>
            </w:r>
          </w:p>
        </w:tc>
        <w:tc>
          <w:tcPr>
            <w:tcW w:w="1596" w:type="dxa"/>
            <w:vAlign w:val="top"/>
          </w:tcPr>
          <w:p>
            <w:pPr>
              <w:jc w:val="right"/>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6.61</w:t>
            </w:r>
          </w:p>
        </w:tc>
        <w:tc>
          <w:tcPr>
            <w:tcW w:w="1240" w:type="dxa"/>
            <w:vAlign w:val="top"/>
          </w:tcPr>
          <w:p>
            <w:pPr>
              <w:ind w:left="0" w:leftChars="0" w:firstLine="0" w:firstLineChars="0"/>
              <w:jc w:val="both"/>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110.33%</w:t>
            </w:r>
          </w:p>
        </w:tc>
      </w:tr>
    </w:tbl>
    <w:p>
      <w:pPr>
        <w:numPr>
          <w:ilvl w:val="0"/>
          <w:numId w:val="1"/>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center"/>
              <w:rPr>
                <w:rFonts w:hint="eastAsia" w:ascii="仿宋" w:hAnsi="仿宋" w:eastAsia="仿宋" w:cs="仿宋"/>
                <w:b/>
                <w:color w:val="000000" w:themeColor="text1"/>
                <w:kern w:val="0"/>
                <w:sz w:val="21"/>
                <w:szCs w:val="21"/>
                <w14:textFill>
                  <w14:solidFill>
                    <w14:schemeClr w14:val="tx1"/>
                  </w14:solidFill>
                </w14:textFill>
              </w:rPr>
            </w:pPr>
            <w:r>
              <w:rPr>
                <w:rFonts w:hint="eastAsia" w:ascii="仿宋" w:hAnsi="仿宋" w:eastAsia="仿宋" w:cs="仿宋"/>
                <w:b/>
                <w:color w:val="000000" w:themeColor="text1"/>
                <w:kern w:val="0"/>
                <w:sz w:val="21"/>
                <w:szCs w:val="21"/>
                <w:lang w:val="en-US" w:eastAsia="zh-CN"/>
                <w14:textFill>
                  <w14:solidFill>
                    <w14:schemeClr w14:val="tx1"/>
                  </w14:solidFill>
                </w14:textFill>
              </w:rPr>
              <w:t>科目</w:t>
            </w:r>
            <w:r>
              <w:rPr>
                <w:rFonts w:hint="eastAsia" w:ascii="仿宋" w:hAnsi="仿宋" w:eastAsia="仿宋" w:cs="仿宋"/>
                <w:b/>
                <w:color w:val="000000" w:themeColor="text1"/>
                <w:kern w:val="0"/>
                <w:sz w:val="21"/>
                <w:szCs w:val="21"/>
                <w14:textFill>
                  <w14:solidFill>
                    <w14:schemeClr w14:val="tx1"/>
                  </w14:solidFill>
                </w14:textFill>
              </w:rPr>
              <w:t>名称</w:t>
            </w:r>
          </w:p>
        </w:tc>
        <w:tc>
          <w:tcPr>
            <w:tcW w:w="1837" w:type="dxa"/>
            <w:vAlign w:val="center"/>
          </w:tcPr>
          <w:p>
            <w:pPr>
              <w:widowControl/>
              <w:jc w:val="center"/>
              <w:rPr>
                <w:rFonts w:hint="eastAsia" w:ascii="仿宋" w:hAnsi="仿宋" w:eastAsia="仿宋" w:cs="仿宋"/>
                <w:b/>
                <w:color w:val="000000" w:themeColor="text1"/>
                <w:kern w:val="0"/>
                <w:sz w:val="21"/>
                <w:szCs w:val="21"/>
                <w14:textFill>
                  <w14:solidFill>
                    <w14:schemeClr w14:val="tx1"/>
                  </w14:solidFill>
                </w14:textFill>
              </w:rPr>
            </w:pPr>
            <w:r>
              <w:rPr>
                <w:rFonts w:hint="eastAsia" w:ascii="仿宋" w:hAnsi="仿宋" w:eastAsia="仿宋" w:cs="仿宋"/>
                <w:b/>
                <w:color w:val="000000" w:themeColor="text1"/>
                <w:kern w:val="0"/>
                <w:sz w:val="21"/>
                <w:szCs w:val="21"/>
                <w:lang w:val="en-US" w:eastAsia="zh-CN"/>
                <w14:textFill>
                  <w14:solidFill>
                    <w14:schemeClr w14:val="tx1"/>
                  </w14:solidFill>
                </w14:textFill>
              </w:rPr>
              <w:t>2020年</w:t>
            </w:r>
          </w:p>
        </w:tc>
        <w:tc>
          <w:tcPr>
            <w:tcW w:w="2071" w:type="dxa"/>
            <w:vAlign w:val="center"/>
          </w:tcPr>
          <w:p>
            <w:pPr>
              <w:widowControl/>
              <w:jc w:val="center"/>
              <w:rPr>
                <w:rFonts w:hint="eastAsia" w:ascii="仿宋" w:hAnsi="仿宋" w:eastAsia="仿宋" w:cs="仿宋"/>
                <w:b/>
                <w:color w:val="000000" w:themeColor="text1"/>
                <w:kern w:val="0"/>
                <w:sz w:val="21"/>
                <w:szCs w:val="21"/>
                <w14:textFill>
                  <w14:solidFill>
                    <w14:schemeClr w14:val="tx1"/>
                  </w14:solidFill>
                </w14:textFill>
              </w:rPr>
            </w:pPr>
            <w:r>
              <w:rPr>
                <w:rFonts w:hint="eastAsia" w:ascii="仿宋" w:hAnsi="仿宋" w:eastAsia="仿宋" w:cs="仿宋"/>
                <w:b/>
                <w:color w:val="000000" w:themeColor="text1"/>
                <w:kern w:val="0"/>
                <w:sz w:val="21"/>
                <w:szCs w:val="21"/>
                <w:lang w:val="en-US" w:eastAsia="zh-CN"/>
                <w14:textFill>
                  <w14:solidFill>
                    <w14:schemeClr w14:val="tx1"/>
                  </w14:solidFill>
                </w14:textFill>
              </w:rPr>
              <w:t>2021年</w:t>
            </w:r>
          </w:p>
        </w:tc>
        <w:tc>
          <w:tcPr>
            <w:tcW w:w="1956" w:type="dxa"/>
            <w:vAlign w:val="center"/>
          </w:tcPr>
          <w:p>
            <w:pPr>
              <w:widowControl/>
              <w:jc w:val="center"/>
              <w:rPr>
                <w:rFonts w:hint="eastAsia" w:ascii="仿宋" w:hAnsi="仿宋" w:eastAsia="仿宋" w:cs="仿宋"/>
                <w:b/>
                <w:color w:val="000000" w:themeColor="text1"/>
                <w:kern w:val="0"/>
                <w:sz w:val="21"/>
                <w:szCs w:val="21"/>
                <w:lang w:val="en-US"/>
                <w14:textFill>
                  <w14:solidFill>
                    <w14:schemeClr w14:val="tx1"/>
                  </w14:solidFill>
                </w14:textFill>
              </w:rPr>
            </w:pPr>
            <w:r>
              <w:rPr>
                <w:rFonts w:hint="eastAsia" w:ascii="仿宋" w:hAnsi="仿宋" w:eastAsia="仿宋" w:cs="仿宋"/>
                <w:b/>
                <w:color w:val="000000" w:themeColor="text1"/>
                <w:kern w:val="0"/>
                <w:sz w:val="21"/>
                <w:szCs w:val="21"/>
                <w:lang w:eastAsia="zh-CN"/>
                <w14:textFill>
                  <w14:solidFill>
                    <w14:schemeClr w14:val="tx1"/>
                  </w14:solidFill>
                </w14:textFill>
              </w:rPr>
              <w:t>增减变化</w:t>
            </w:r>
            <w:r>
              <w:rPr>
                <w:rFonts w:hint="eastAsia" w:ascii="仿宋" w:hAnsi="仿宋" w:eastAsia="仿宋" w:cs="仿宋"/>
                <w:b/>
                <w:color w:val="000000" w:themeColor="text1"/>
                <w:kern w:val="0"/>
                <w:sz w:val="21"/>
                <w:szCs w:val="2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2876" w:type="dxa"/>
            <w:vAlign w:val="center"/>
          </w:tcPr>
          <w:p>
            <w:pPr>
              <w:widowControl/>
              <w:jc w:val="center"/>
              <w:rPr>
                <w:rFonts w:hint="eastAsia"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合  计</w:t>
            </w:r>
          </w:p>
        </w:tc>
        <w:tc>
          <w:tcPr>
            <w:tcW w:w="1837" w:type="dxa"/>
            <w:vAlign w:val="center"/>
          </w:tcPr>
          <w:p>
            <w:pPr>
              <w:widowControl/>
              <w:ind w:firstLine="840" w:firstLineChars="400"/>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1552.97</w:t>
            </w:r>
          </w:p>
        </w:tc>
        <w:tc>
          <w:tcPr>
            <w:tcW w:w="2071" w:type="dxa"/>
            <w:vAlign w:val="bottom"/>
          </w:tcPr>
          <w:p>
            <w:pPr>
              <w:keepNext w:val="0"/>
              <w:keepLines w:val="0"/>
              <w:widowControl/>
              <w:suppressLineNumbers w:val="0"/>
              <w:jc w:val="right"/>
              <w:textAlignment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1296.59</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876" w:type="dxa"/>
            <w:vAlign w:val="center"/>
          </w:tcPr>
          <w:p>
            <w:pPr>
              <w:widowControl/>
              <w:jc w:val="center"/>
              <w:rPr>
                <w:rFonts w:hint="eastAsia"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工资福利支出</w:t>
            </w:r>
          </w:p>
        </w:tc>
        <w:tc>
          <w:tcPr>
            <w:tcW w:w="1837" w:type="dxa"/>
            <w:vAlign w:val="center"/>
          </w:tcPr>
          <w:p>
            <w:pPr>
              <w:widowControl/>
              <w:jc w:val="center"/>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 xml:space="preserve">    1032.92</w:t>
            </w:r>
          </w:p>
        </w:tc>
        <w:tc>
          <w:tcPr>
            <w:tcW w:w="2071" w:type="dxa"/>
            <w:vAlign w:val="bottom"/>
          </w:tcPr>
          <w:p>
            <w:pPr>
              <w:keepNext w:val="0"/>
              <w:keepLines w:val="0"/>
              <w:widowControl/>
              <w:suppressLineNumbers w:val="0"/>
              <w:jc w:val="right"/>
              <w:textAlignment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1000.66</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2876" w:type="dxa"/>
            <w:vAlign w:val="center"/>
          </w:tcPr>
          <w:p>
            <w:pPr>
              <w:widowControl/>
              <w:jc w:val="center"/>
              <w:rPr>
                <w:rFonts w:hint="eastAsia"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商品服务支出</w:t>
            </w:r>
          </w:p>
        </w:tc>
        <w:tc>
          <w:tcPr>
            <w:tcW w:w="1837" w:type="dxa"/>
            <w:vAlign w:val="center"/>
          </w:tcPr>
          <w:p>
            <w:pPr>
              <w:widowControl/>
              <w:jc w:val="center"/>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 xml:space="preserve">     373.98</w:t>
            </w:r>
          </w:p>
        </w:tc>
        <w:tc>
          <w:tcPr>
            <w:tcW w:w="2071" w:type="dxa"/>
            <w:vAlign w:val="bottom"/>
          </w:tcPr>
          <w:p>
            <w:pPr>
              <w:keepNext w:val="0"/>
              <w:keepLines w:val="0"/>
              <w:widowControl/>
              <w:suppressLineNumbers w:val="0"/>
              <w:jc w:val="right"/>
              <w:textAlignment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236.35</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-36.80%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对个人和家庭的补助</w:t>
            </w:r>
          </w:p>
        </w:tc>
        <w:tc>
          <w:tcPr>
            <w:tcW w:w="1837" w:type="dxa"/>
            <w:vAlign w:val="center"/>
          </w:tcPr>
          <w:p>
            <w:pPr>
              <w:widowControl/>
              <w:jc w:val="center"/>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 xml:space="preserve">       1.68</w:t>
            </w:r>
          </w:p>
        </w:tc>
        <w:tc>
          <w:tcPr>
            <w:tcW w:w="2071" w:type="dxa"/>
            <w:vAlign w:val="bottom"/>
          </w:tcPr>
          <w:p>
            <w:pPr>
              <w:widowControl/>
              <w:jc w:val="right"/>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0.74</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-55.95%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2876" w:type="dxa"/>
            <w:vAlign w:val="center"/>
          </w:tcPr>
          <w:p>
            <w:pPr>
              <w:widowControl/>
              <w:jc w:val="center"/>
              <w:rPr>
                <w:rFonts w:hint="eastAsia" w:ascii="仿宋" w:hAnsi="仿宋" w:eastAsia="仿宋" w:cs="仿宋"/>
                <w:b/>
                <w:bCs/>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资本性支出</w:t>
            </w:r>
          </w:p>
        </w:tc>
        <w:tc>
          <w:tcPr>
            <w:tcW w:w="1837" w:type="dxa"/>
            <w:vAlign w:val="center"/>
          </w:tcPr>
          <w:p>
            <w:pPr>
              <w:widowControl/>
              <w:jc w:val="center"/>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 xml:space="preserve">     104.39</w:t>
            </w:r>
          </w:p>
        </w:tc>
        <w:tc>
          <w:tcPr>
            <w:tcW w:w="2071" w:type="dxa"/>
            <w:vAlign w:val="bottom"/>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3.84</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-96.32%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422" w:firstLineChars="200"/>
              <w:jc w:val="center"/>
              <w:rPr>
                <w:rFonts w:hint="eastAsia" w:ascii="仿宋" w:hAnsi="仿宋" w:eastAsia="仿宋" w:cs="仿宋"/>
                <w:b/>
                <w:bCs/>
                <w:color w:val="000000" w:themeColor="text1"/>
                <w:kern w:val="0"/>
                <w:sz w:val="21"/>
                <w:szCs w:val="21"/>
                <w:lang w:val="en-US" w:eastAsia="zh-CN"/>
                <w14:textFill>
                  <w14:solidFill>
                    <w14:schemeClr w14:val="tx1"/>
                  </w14:solidFill>
                </w14:textFill>
              </w:rPr>
            </w:pPr>
            <w:r>
              <w:rPr>
                <w:rFonts w:hint="eastAsia" w:ascii="仿宋" w:hAnsi="仿宋" w:eastAsia="仿宋" w:cs="仿宋"/>
                <w:b/>
                <w:bCs/>
                <w:color w:val="000000" w:themeColor="text1"/>
                <w:kern w:val="0"/>
                <w:sz w:val="21"/>
                <w:szCs w:val="21"/>
                <w:lang w:val="en-US" w:eastAsia="zh-CN"/>
                <w14:textFill>
                  <w14:solidFill>
                    <w14:schemeClr w14:val="tx1"/>
                  </w14:solidFill>
                </w14:textFill>
              </w:rPr>
              <w:t>对企业补助</w:t>
            </w:r>
          </w:p>
        </w:tc>
        <w:tc>
          <w:tcPr>
            <w:tcW w:w="1837" w:type="dxa"/>
            <w:vAlign w:val="center"/>
          </w:tcPr>
          <w:p>
            <w:pPr>
              <w:widowControl/>
              <w:jc w:val="center"/>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i w:val="0"/>
                <w:iCs w:val="0"/>
                <w:color w:val="000000" w:themeColor="text1"/>
                <w:kern w:val="0"/>
                <w:sz w:val="21"/>
                <w:szCs w:val="21"/>
                <w:u w:val="none"/>
                <w:lang w:val="en-US" w:eastAsia="zh-CN" w:bidi="ar"/>
                <w14:textFill>
                  <w14:solidFill>
                    <w14:schemeClr w14:val="tx1"/>
                  </w14:solidFill>
                </w14:textFill>
              </w:rPr>
              <w:t xml:space="preserve">      40.00</w:t>
            </w:r>
          </w:p>
        </w:tc>
        <w:tc>
          <w:tcPr>
            <w:tcW w:w="2071" w:type="dxa"/>
            <w:vAlign w:val="bottom"/>
          </w:tcPr>
          <w:p>
            <w:pPr>
              <w:keepNext w:val="0"/>
              <w:keepLines w:val="0"/>
              <w:widowControl/>
              <w:suppressLineNumbers w:val="0"/>
              <w:jc w:val="right"/>
              <w:textAlignment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55.00</w:t>
            </w:r>
          </w:p>
        </w:tc>
        <w:tc>
          <w:tcPr>
            <w:tcW w:w="1956" w:type="dxa"/>
            <w:vAlign w:val="center"/>
          </w:tcPr>
          <w:p>
            <w:pPr>
              <w:widowControl/>
              <w:jc w:val="center"/>
              <w:rPr>
                <w:rFonts w:hint="default" w:ascii="仿宋" w:hAnsi="仿宋" w:eastAsia="仿宋" w:cs="仿宋"/>
                <w:color w:val="000000" w:themeColor="text1"/>
                <w:kern w:val="0"/>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37.5%</w:t>
            </w:r>
          </w:p>
        </w:tc>
      </w:tr>
    </w:tbl>
    <w:p>
      <w:pPr>
        <w:pStyle w:val="3"/>
        <w:pageBreakBefore w:val="0"/>
        <w:widowControl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1296.59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1001.40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eastAsia="zh-CN"/>
          <w14:textFill>
            <w14:solidFill>
              <w14:schemeClr w14:val="tx1"/>
            </w14:solidFill>
          </w14:textFill>
        </w:rPr>
        <w:t>工资福利费</w:t>
      </w:r>
      <w:r>
        <w:rPr>
          <w:rFonts w:hint="eastAsia" w:ascii="仿宋_GB2312"/>
          <w:color w:val="000000" w:themeColor="text1"/>
          <w:szCs w:val="32"/>
          <w:lang w:val="en-US" w:eastAsia="zh-CN"/>
          <w14:textFill>
            <w14:solidFill>
              <w14:schemeClr w14:val="tx1"/>
            </w14:solidFill>
          </w14:textFill>
        </w:rPr>
        <w:t>1000.66万元和对个人和家庭补助的奖励金0.74万元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105.86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eastAsia="zh-CN"/>
          <w14:textFill>
            <w14:solidFill>
              <w14:schemeClr w14:val="tx1"/>
            </w14:solidFill>
          </w14:textFill>
        </w:rPr>
        <w:t>行政运行科目下的商品和服务支出</w:t>
      </w:r>
      <w:r>
        <w:rPr>
          <w:rFonts w:hint="eastAsia" w:ascii="仿宋_GB2312"/>
          <w:color w:val="000000" w:themeColor="text1"/>
          <w:szCs w:val="32"/>
          <w:lang w:val="en-US" w:eastAsia="zh-CN"/>
          <w14:textFill>
            <w14:solidFill>
              <w14:schemeClr w14:val="tx1"/>
            </w14:solidFill>
          </w14:textFill>
        </w:rPr>
        <w:t>105.86万元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189.33</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pageBreakBefore w:val="0"/>
        <w:kinsoku/>
        <w:wordWrap/>
        <w:overflowPunct/>
        <w:topLinePunct w:val="0"/>
        <w:autoSpaceDE/>
        <w:autoSpaceDN/>
        <w:bidi w:val="0"/>
        <w:adjustRightInd/>
        <w:snapToGrid/>
        <w:spacing w:before="0" w:beforeLines="0" w:beforeAutospacing="0" w:after="0" w:afterLines="0" w:afterAutospacing="0"/>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pageBreakBefore w:val="0"/>
        <w:kinsoku/>
        <w:wordWrap/>
        <w:overflowPunct/>
        <w:topLinePunct w:val="0"/>
        <w:autoSpaceDE/>
        <w:autoSpaceDN/>
        <w:bidi w:val="0"/>
        <w:adjustRightInd/>
        <w:snapToGrid/>
        <w:spacing w:beforeAutospacing="0" w:afterAutospacing="0" w:line="580" w:lineRule="exact"/>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9.41</w:t>
      </w:r>
      <w:r>
        <w:rPr>
          <w:rFonts w:hint="eastAsia" w:ascii="仿宋_GB2312"/>
          <w:color w:val="000000" w:themeColor="text1"/>
          <w:szCs w:val="32"/>
          <w14:textFill>
            <w14:solidFill>
              <w14:schemeClr w14:val="tx1"/>
            </w14:solidFill>
          </w14:textFill>
        </w:rPr>
        <w:t>万元，比上年增加</w:t>
      </w:r>
      <w:r>
        <w:rPr>
          <w:rFonts w:hint="eastAsia" w:ascii="仿宋_GB2312"/>
          <w:color w:val="000000" w:themeColor="text1"/>
          <w:szCs w:val="32"/>
          <w:lang w:val="en-US" w:eastAsia="zh-CN"/>
          <w14:textFill>
            <w14:solidFill>
              <w14:schemeClr w14:val="tx1"/>
            </w14:solidFill>
          </w14:textFill>
        </w:rPr>
        <w:t>1.07</w:t>
      </w:r>
      <w:r>
        <w:rPr>
          <w:rFonts w:hint="eastAsia" w:ascii="仿宋_GB2312"/>
          <w:color w:val="000000" w:themeColor="text1"/>
          <w:szCs w:val="32"/>
          <w14:textFill>
            <w14:solidFill>
              <w14:schemeClr w14:val="tx1"/>
            </w14:solidFill>
          </w14:textFill>
        </w:rPr>
        <w:t>万元，增长</w:t>
      </w:r>
      <w:r>
        <w:rPr>
          <w:rFonts w:hint="eastAsia" w:ascii="仿宋_GB2312"/>
          <w:color w:val="000000" w:themeColor="text1"/>
          <w:szCs w:val="32"/>
          <w:lang w:val="en-US" w:eastAsia="zh-CN"/>
          <w14:textFill>
            <w14:solidFill>
              <w14:schemeClr w14:val="tx1"/>
            </w14:solidFill>
          </w14:textFill>
        </w:rPr>
        <w:t>12.83</w:t>
      </w:r>
      <w:r>
        <w:rPr>
          <w:rFonts w:hint="eastAsia" w:ascii="仿宋_GB2312"/>
          <w:color w:val="000000" w:themeColor="text1"/>
          <w:szCs w:val="32"/>
          <w14:textFill>
            <w14:solidFill>
              <w14:schemeClr w14:val="tx1"/>
            </w14:solidFill>
          </w14:textFill>
        </w:rPr>
        <w:t>%，原因是</w:t>
      </w:r>
      <w:r>
        <w:rPr>
          <w:rFonts w:hint="eastAsia" w:ascii="仿宋_GB2312"/>
          <w:color w:val="000000" w:themeColor="text1"/>
          <w:szCs w:val="32"/>
          <w:lang w:eastAsia="zh-CN"/>
          <w14:textFill>
            <w14:solidFill>
              <w14:schemeClr w14:val="tx1"/>
            </w14:solidFill>
          </w14:textFill>
        </w:rPr>
        <w:t>本年度检查任务多，还有创文、创卫复查、验收致公车燃油费增多</w:t>
      </w:r>
      <w:r>
        <w:rPr>
          <w:rFonts w:hint="eastAsia" w:ascii="仿宋_GB2312"/>
          <w:color w:val="000000" w:themeColor="text1"/>
          <w:szCs w:val="32"/>
          <w14:textFill>
            <w14:solidFill>
              <w14:schemeClr w14:val="tx1"/>
            </w14:solidFill>
          </w14:textFill>
        </w:rPr>
        <w:t>。其中：因公出国（境）费支出决算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与上年比较没变化；</w:t>
      </w:r>
      <w:r>
        <w:rPr>
          <w:rFonts w:hint="eastAsia" w:ascii="仿宋_GB2312"/>
          <w:color w:val="000000" w:themeColor="text1"/>
          <w:szCs w:val="32"/>
          <w14:textFill>
            <w14:solidFill>
              <w14:schemeClr w14:val="tx1"/>
            </w14:solidFill>
          </w14:textFill>
        </w:rPr>
        <w:t>公务用车购置及运行费支出决算</w:t>
      </w:r>
      <w:r>
        <w:rPr>
          <w:rFonts w:hint="eastAsia" w:ascii="仿宋_GB2312"/>
          <w:color w:val="000000" w:themeColor="text1"/>
          <w:szCs w:val="32"/>
          <w:lang w:val="en-US" w:eastAsia="zh-CN"/>
          <w14:textFill>
            <w14:solidFill>
              <w14:schemeClr w14:val="tx1"/>
            </w14:solidFill>
          </w14:textFill>
        </w:rPr>
        <w:t>9.41</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%，比上年增加</w:t>
      </w:r>
      <w:r>
        <w:rPr>
          <w:rFonts w:hint="eastAsia" w:ascii="仿宋_GB2312"/>
          <w:color w:val="000000" w:themeColor="text1"/>
          <w:szCs w:val="32"/>
          <w:lang w:val="en-US" w:eastAsia="zh-CN"/>
          <w14:textFill>
            <w14:solidFill>
              <w14:schemeClr w14:val="tx1"/>
            </w14:solidFill>
          </w14:textFill>
        </w:rPr>
        <w:t>1.07</w:t>
      </w:r>
      <w:r>
        <w:rPr>
          <w:rFonts w:hint="eastAsia" w:ascii="仿宋_GB2312"/>
          <w:color w:val="000000" w:themeColor="text1"/>
          <w:szCs w:val="32"/>
          <w14:textFill>
            <w14:solidFill>
              <w14:schemeClr w14:val="tx1"/>
            </w14:solidFill>
          </w14:textFill>
        </w:rPr>
        <w:t>万元，增长</w:t>
      </w:r>
      <w:r>
        <w:rPr>
          <w:rFonts w:hint="eastAsia" w:ascii="仿宋_GB2312"/>
          <w:color w:val="000000" w:themeColor="text1"/>
          <w:szCs w:val="32"/>
          <w:lang w:val="en-US" w:eastAsia="zh-CN"/>
          <w14:textFill>
            <w14:solidFill>
              <w14:schemeClr w14:val="tx1"/>
            </w14:solidFill>
          </w14:textFill>
        </w:rPr>
        <w:t>12.83</w:t>
      </w:r>
      <w:r>
        <w:rPr>
          <w:rFonts w:hint="eastAsia" w:ascii="仿宋_GB2312"/>
          <w:color w:val="000000" w:themeColor="text1"/>
          <w:szCs w:val="32"/>
          <w14:textFill>
            <w14:solidFill>
              <w14:schemeClr w14:val="tx1"/>
            </w14:solidFill>
          </w14:textFill>
        </w:rPr>
        <w:t>%；公务接待费支出决算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与</w:t>
      </w:r>
      <w:r>
        <w:rPr>
          <w:rFonts w:hint="eastAsia" w:ascii="仿宋_GB2312"/>
          <w:color w:val="000000" w:themeColor="text1"/>
          <w:szCs w:val="32"/>
          <w14:textFill>
            <w14:solidFill>
              <w14:schemeClr w14:val="tx1"/>
            </w14:solidFill>
          </w14:textFill>
        </w:rPr>
        <w:t>上年</w:t>
      </w:r>
      <w:r>
        <w:rPr>
          <w:rFonts w:hint="eastAsia" w:ascii="仿宋_GB2312"/>
          <w:color w:val="000000" w:themeColor="text1"/>
          <w:szCs w:val="32"/>
          <w:lang w:eastAsia="zh-CN"/>
          <w14:textFill>
            <w14:solidFill>
              <w14:schemeClr w14:val="tx1"/>
            </w14:solidFill>
          </w14:textFill>
        </w:rPr>
        <w:t>比较没变化</w:t>
      </w:r>
      <w:r>
        <w:rPr>
          <w:rFonts w:hint="eastAsia" w:ascii="仿宋_GB2312"/>
          <w:color w:val="000000" w:themeColor="text1"/>
          <w:szCs w:val="32"/>
          <w14:textFill>
            <w14:solidFill>
              <w14:schemeClr w14:val="tx1"/>
            </w14:solidFill>
          </w14:textFill>
        </w:rPr>
        <w:t>。具体情况如下：</w:t>
      </w:r>
    </w:p>
    <w:p>
      <w:pPr>
        <w:pStyle w:val="8"/>
        <w:pageBreakBefore w:val="0"/>
        <w:tabs>
          <w:tab w:val="left" w:pos="5760"/>
        </w:tabs>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pageBreakBefore w:val="0"/>
              <w:kinsoku/>
              <w:wordWrap/>
              <w:overflowPunct/>
              <w:topLinePunct w:val="0"/>
              <w:autoSpaceDE/>
              <w:autoSpaceDN/>
              <w:bidi w:val="0"/>
              <w:adjustRightInd/>
              <w:snapToGrid/>
              <w:spacing w:before="0" w:beforeAutospacing="0" w:after="0" w:afterAutospacing="0" w:line="300" w:lineRule="exact"/>
              <w:ind w:firstLine="2368" w:firstLineChars="1123"/>
              <w:textAlignment w:val="auto"/>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8"/>
              <w:pageBreakBefore w:val="0"/>
              <w:kinsoku/>
              <w:wordWrap/>
              <w:overflowPunct/>
              <w:topLinePunct w:val="0"/>
              <w:autoSpaceDE/>
              <w:autoSpaceDN/>
              <w:bidi w:val="0"/>
              <w:adjustRightInd/>
              <w:snapToGrid/>
              <w:spacing w:before="0" w:beforeAutospacing="0" w:after="0" w:afterAutospacing="0" w:line="300" w:lineRule="exact"/>
              <w:ind w:firstLine="310" w:firstLineChars="147"/>
              <w:textAlignment w:val="auto"/>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center"/>
              <w:textAlignment w:val="auto"/>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center"/>
              <w:textAlignment w:val="auto"/>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8"/>
              <w:pageBreakBefore w:val="0"/>
              <w:kinsoku/>
              <w:wordWrap/>
              <w:overflowPunct/>
              <w:topLinePunct w:val="0"/>
              <w:autoSpaceDE/>
              <w:autoSpaceDN/>
              <w:bidi w:val="0"/>
              <w:adjustRightInd/>
              <w:snapToGrid/>
              <w:spacing w:before="0" w:beforeAutospacing="0" w:after="0" w:afterAutospacing="0"/>
              <w:ind w:left="0" w:leftChars="0" w:firstLine="0" w:firstLineChars="0"/>
              <w:jc w:val="both"/>
              <w:textAlignment w:val="auto"/>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4111" w:type="dxa"/>
            <w:vAlign w:val="top"/>
          </w:tcPr>
          <w:p>
            <w:pPr>
              <w:pStyle w:val="8"/>
              <w:pageBreakBefore w:val="0"/>
              <w:kinsoku/>
              <w:wordWrap/>
              <w:overflowPunct/>
              <w:topLinePunct w:val="0"/>
              <w:autoSpaceDE/>
              <w:autoSpaceDN/>
              <w:bidi w:val="0"/>
              <w:adjustRightInd/>
              <w:snapToGrid/>
              <w:spacing w:before="0" w:beforeAutospacing="0" w:after="0" w:afterAutospacing="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0.00</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0.00</w:t>
            </w:r>
          </w:p>
        </w:tc>
        <w:tc>
          <w:tcPr>
            <w:tcW w:w="1418"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pageBreakBefore w:val="0"/>
              <w:kinsoku/>
              <w:wordWrap/>
              <w:overflowPunct/>
              <w:topLinePunct w:val="0"/>
              <w:autoSpaceDE/>
              <w:autoSpaceDN/>
              <w:bidi w:val="0"/>
              <w:adjustRightInd/>
              <w:snapToGrid/>
              <w:spacing w:before="0" w:beforeAutospacing="0" w:after="0" w:afterAutospacing="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0.00</w:t>
            </w:r>
          </w:p>
        </w:tc>
        <w:tc>
          <w:tcPr>
            <w:tcW w:w="1701"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0.00</w:t>
            </w:r>
          </w:p>
        </w:tc>
        <w:tc>
          <w:tcPr>
            <w:tcW w:w="1418" w:type="dxa"/>
            <w:vAlign w:val="top"/>
          </w:tcPr>
          <w:p>
            <w:pPr>
              <w:pStyle w:val="8"/>
              <w:pageBreakBefore w:val="0"/>
              <w:kinsoku/>
              <w:wordWrap/>
              <w:overflowPunct/>
              <w:topLinePunct w:val="0"/>
              <w:autoSpaceDE/>
              <w:autoSpaceDN/>
              <w:bidi w:val="0"/>
              <w:adjustRightInd/>
              <w:snapToGrid/>
              <w:spacing w:before="0" w:beforeAutospacing="0" w:after="0" w:afterAutospacing="0"/>
              <w:jc w:val="right"/>
              <w:textAlignment w:val="auto"/>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4"/>
                <w:szCs w:val="24"/>
                <w:lang w:val="en-US" w:eastAsia="zh-CN"/>
                <w14:textFill>
                  <w14:solidFill>
                    <w14:schemeClr w14:val="tx1"/>
                  </w14:solidFill>
                </w14:textFill>
              </w:rPr>
            </w:pPr>
            <w:r>
              <w:rPr>
                <w:rFonts w:hint="eastAsia" w:eastAsia="宋体"/>
                <w:color w:val="000000" w:themeColor="text1"/>
                <w:sz w:val="24"/>
                <w:szCs w:val="24"/>
                <w:lang w:val="en-US" w:eastAsia="zh-CN"/>
                <w14:textFill>
                  <w14:solidFill>
                    <w14:schemeClr w14:val="tx1"/>
                  </w14:solidFill>
                </w14:textFill>
              </w:rPr>
              <w:t>8.34</w:t>
            </w:r>
          </w:p>
        </w:tc>
        <w:tc>
          <w:tcPr>
            <w:tcW w:w="1701" w:type="dxa"/>
            <w:vAlign w:val="top"/>
          </w:tcPr>
          <w:p>
            <w:pPr>
              <w:pStyle w:val="8"/>
              <w:jc w:val="right"/>
              <w:rPr>
                <w:rFonts w:hint="default" w:eastAsia="仿宋_GB2312"/>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9.41</w:t>
            </w:r>
          </w:p>
        </w:tc>
        <w:tc>
          <w:tcPr>
            <w:tcW w:w="1418" w:type="dxa"/>
            <w:vAlign w:val="top"/>
          </w:tcPr>
          <w:p>
            <w:pPr>
              <w:pStyle w:val="8"/>
              <w:ind w:left="0" w:leftChars="0" w:firstLine="240" w:firstLineChars="100"/>
              <w:jc w:val="both"/>
              <w:rPr>
                <w:rFonts w:hint="default" w:eastAsia="宋体"/>
                <w:color w:val="000000" w:themeColor="text1"/>
                <w:sz w:val="24"/>
                <w:szCs w:val="24"/>
                <w:lang w:val="en-US" w:eastAsia="zh-CN"/>
                <w14:textFill>
                  <w14:solidFill>
                    <w14:schemeClr w14:val="tx1"/>
                  </w14:solidFill>
                </w14:textFill>
              </w:rPr>
            </w:pPr>
            <w:r>
              <w:rPr>
                <w:rFonts w:hint="eastAsia" w:eastAsia="宋体"/>
                <w:color w:val="000000" w:themeColor="text1"/>
                <w:sz w:val="24"/>
                <w:szCs w:val="24"/>
                <w:lang w:val="en-US" w:eastAsia="zh-CN"/>
                <w14:textFill>
                  <w14:solidFill>
                    <w14:schemeClr w14:val="tx1"/>
                  </w14:solidFill>
                </w14:textFill>
              </w:rPr>
              <w:t>12.83%</w:t>
            </w:r>
          </w:p>
        </w:tc>
      </w:tr>
    </w:tbl>
    <w:p>
      <w:pPr>
        <w:pStyle w:val="3"/>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eastAsia" w:ascii="仿宋" w:hAnsi="仿宋" w:eastAsia="仿宋" w:cs="仿宋"/>
          <w:b/>
          <w:bCs w:val="0"/>
          <w:color w:val="000000" w:themeColor="text1"/>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pageBreakBefore w:val="0"/>
        <w:widowControl w:val="0"/>
        <w:kinsoku/>
        <w:wordWrap/>
        <w:overflowPunct/>
        <w:topLinePunct w:val="0"/>
        <w:autoSpaceDE/>
        <w:autoSpaceDN/>
        <w:bidi w:val="0"/>
        <w:adjustRightInd/>
        <w:snapToGrid/>
        <w:spacing w:line="240" w:lineRule="auto"/>
        <w:textAlignment w:val="auto"/>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pageBreakBefore w:val="0"/>
        <w:widowControl w:val="0"/>
        <w:kinsoku/>
        <w:wordWrap/>
        <w:overflowPunct/>
        <w:topLinePunct w:val="0"/>
        <w:autoSpaceDE/>
        <w:autoSpaceDN/>
        <w:bidi w:val="0"/>
        <w:adjustRightInd/>
        <w:snapToGrid/>
        <w:spacing w:line="240" w:lineRule="auto"/>
        <w:ind w:firstLine="640"/>
        <w:textAlignment w:val="auto"/>
        <w:rPr>
          <w:rFonts w:hint="default" w:eastAsia="仿宋_GB2312"/>
          <w:b/>
          <w:color w:val="000000" w:themeColor="text1"/>
          <w:szCs w:val="32"/>
          <w:lang w:val="en-US" w:eastAsia="zh-CN"/>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105.86</w:t>
      </w:r>
      <w:r>
        <w:rPr>
          <w:rFonts w:hint="eastAsia" w:ascii="仿宋_GB2312" w:hAnsi="宋体"/>
          <w:color w:val="000000" w:themeColor="text1"/>
          <w:szCs w:val="32"/>
          <w14:textFill>
            <w14:solidFill>
              <w14:schemeClr w14:val="tx1"/>
            </w14:solidFill>
          </w14:textFill>
        </w:rPr>
        <w:t>万元</w:t>
      </w:r>
      <w:r>
        <w:rPr>
          <w:rFonts w:hint="eastAsia" w:ascii="仿宋_GB2312" w:hAnsi="宋体"/>
          <w:color w:val="000000" w:themeColor="text1"/>
          <w:szCs w:val="32"/>
          <w:lang w:eastAsia="zh-CN"/>
          <w14:textFill>
            <w14:solidFill>
              <w14:schemeClr w14:val="tx1"/>
            </w14:solidFill>
          </w14:textFill>
        </w:rPr>
        <w:t>，</w:t>
      </w:r>
      <w:r>
        <w:rPr>
          <w:rFonts w:hint="eastAsia" w:ascii="仿宋_GB2312" w:hAnsi="宋体"/>
          <w:color w:val="000000" w:themeColor="text1"/>
          <w:szCs w:val="32"/>
          <w14:textFill>
            <w14:solidFill>
              <w14:schemeClr w14:val="tx1"/>
            </w14:solidFill>
          </w14:textFill>
        </w:rPr>
        <w:t>比20</w:t>
      </w:r>
      <w:r>
        <w:rPr>
          <w:rFonts w:hint="eastAsia" w:ascii="仿宋_GB2312" w:hAnsi="宋体"/>
          <w:color w:val="000000" w:themeColor="text1"/>
          <w:szCs w:val="32"/>
          <w:lang w:val="en-US" w:eastAsia="zh-CN"/>
          <w14:textFill>
            <w14:solidFill>
              <w14:schemeClr w14:val="tx1"/>
            </w14:solidFill>
          </w14:textFill>
        </w:rPr>
        <w:t>20</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11.86</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10.08</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2021年为了节约开支，严格执行年初预算数，致年机关运行经费比上年支出数和预算数都有减少。</w:t>
      </w:r>
    </w:p>
    <w:p>
      <w:pPr>
        <w:pageBreakBefore w:val="0"/>
        <w:widowControl w:val="0"/>
        <w:kinsoku/>
        <w:wordWrap/>
        <w:overflowPunct/>
        <w:topLinePunct w:val="0"/>
        <w:autoSpaceDE/>
        <w:autoSpaceDN/>
        <w:bidi w:val="0"/>
        <w:adjustRightInd/>
        <w:snapToGrid/>
        <w:spacing w:line="240" w:lineRule="auto"/>
        <w:textAlignment w:val="auto"/>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pageBreakBefore w:val="0"/>
        <w:widowControl w:val="0"/>
        <w:kinsoku/>
        <w:wordWrap/>
        <w:overflowPunct/>
        <w:topLinePunct w:val="0"/>
        <w:autoSpaceDE/>
        <w:autoSpaceDN/>
        <w:bidi w:val="0"/>
        <w:adjustRightInd/>
        <w:snapToGrid/>
        <w:spacing w:line="240" w:lineRule="auto"/>
        <w:ind w:firstLine="640"/>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33.65</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33.65</w:t>
      </w:r>
      <w:r>
        <w:rPr>
          <w:rFonts w:hint="eastAsia" w:ascii="仿宋_GB2312"/>
          <w:color w:val="000000" w:themeColor="text1"/>
          <w:szCs w:val="32"/>
          <w14:textFill>
            <w14:solidFill>
              <w14:schemeClr w14:val="tx1"/>
            </w14:solidFill>
          </w14:textFill>
        </w:rPr>
        <w:t>万元、政府采购工程支出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万元、政府采购服务支出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p>
      <w:pPr>
        <w:pageBreakBefore w:val="0"/>
        <w:widowControl w:val="0"/>
        <w:kinsoku/>
        <w:wordWrap/>
        <w:overflowPunct/>
        <w:topLinePunct w:val="0"/>
        <w:autoSpaceDE/>
        <w:autoSpaceDN/>
        <w:bidi w:val="0"/>
        <w:adjustRightInd/>
        <w:snapToGrid/>
        <w:spacing w:line="240" w:lineRule="auto"/>
        <w:textAlignment w:val="auto"/>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pageBreakBefore w:val="0"/>
        <w:widowControl w:val="0"/>
        <w:kinsoku/>
        <w:wordWrap/>
        <w:overflowPunct/>
        <w:topLinePunct w:val="0"/>
        <w:autoSpaceDE/>
        <w:autoSpaceDN/>
        <w:bidi w:val="0"/>
        <w:adjustRightInd/>
        <w:snapToGrid/>
        <w:spacing w:line="240" w:lineRule="auto"/>
        <w:ind w:firstLine="640"/>
        <w:textAlignment w:val="auto"/>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w:t>
      </w:r>
      <w:r>
        <w:rPr>
          <w:rFonts w:hint="eastAsia" w:ascii="仿宋_GB2312"/>
          <w:color w:val="000000" w:themeColor="text1"/>
          <w:szCs w:val="32"/>
          <w:lang w:eastAsia="zh-CN"/>
          <w14:textFill>
            <w14:solidFill>
              <w14:schemeClr w14:val="tx1"/>
            </w14:solidFill>
          </w14:textFill>
        </w:rPr>
        <w:t>实有在用</w:t>
      </w:r>
      <w:r>
        <w:rPr>
          <w:rFonts w:hint="eastAsia" w:ascii="仿宋_GB2312"/>
          <w:color w:val="000000" w:themeColor="text1"/>
          <w:szCs w:val="32"/>
          <w14:textFill>
            <w14:solidFill>
              <w14:schemeClr w14:val="tx1"/>
            </w14:solidFill>
          </w14:textFill>
        </w:rPr>
        <w:t>车辆</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辆。其中，执法执勤用车</w:t>
      </w:r>
      <w:r>
        <w:rPr>
          <w:rFonts w:hint="eastAsia" w:ascii="仿宋_GB2312"/>
          <w:color w:val="000000" w:themeColor="text1"/>
          <w:szCs w:val="32"/>
          <w:lang w:val="en-US" w:eastAsia="zh-CN"/>
          <w14:textFill>
            <w14:solidFill>
              <w14:schemeClr w14:val="tx1"/>
            </w14:solidFill>
          </w14:textFill>
        </w:rPr>
        <w:t>15</w:t>
      </w:r>
      <w:r>
        <w:rPr>
          <w:rFonts w:hint="eastAsia" w:ascii="仿宋_GB2312"/>
          <w:color w:val="000000" w:themeColor="text1"/>
          <w:szCs w:val="32"/>
          <w14:textFill>
            <w14:solidFill>
              <w14:schemeClr w14:val="tx1"/>
            </w14:solidFill>
          </w14:textFill>
        </w:rPr>
        <w:t>辆</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单价50万元（含）以上的通用设备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台（套），单价100万元（含）以上专用设备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w:t>
      </w:r>
    </w:p>
    <w:p>
      <w:pPr>
        <w:pageBreakBefore w:val="0"/>
        <w:widowControl w:val="0"/>
        <w:kinsoku/>
        <w:wordWrap/>
        <w:overflowPunct/>
        <w:topLinePunct w:val="0"/>
        <w:autoSpaceDE/>
        <w:autoSpaceDN/>
        <w:bidi w:val="0"/>
        <w:adjustRightInd/>
        <w:snapToGrid/>
        <w:spacing w:line="240" w:lineRule="auto"/>
        <w:textAlignment w:val="auto"/>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2021年本单位无县级财政预算安排的专项资金类和200万元以上的经费补助类重点项目。</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其他需要说明的事项</w:t>
      </w:r>
      <w:bookmarkStart w:id="30" w:name="_Toc854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p>
    <w:p>
      <w:pPr>
        <w:pStyle w:val="2"/>
        <w:pageBreakBefore w:val="0"/>
        <w:widowControl w:val="0"/>
        <w:kinsoku/>
        <w:wordWrap/>
        <w:overflowPunct/>
        <w:topLinePunct w:val="0"/>
        <w:autoSpaceDE/>
        <w:autoSpaceDN/>
        <w:bidi w:val="0"/>
        <w:adjustRightInd/>
        <w:snapToGrid/>
        <w:spacing w:before="0" w:beforeLines="0" w:after="0" w:afterLines="0"/>
        <w:ind w:left="0" w:leftChars="0" w:firstLine="0" w:firstLineChars="0"/>
        <w:jc w:val="center"/>
        <w:textAlignment w:val="auto"/>
        <w:rPr>
          <w:rFonts w:hint="eastAsia"/>
          <w:b/>
          <w:color w:val="000000" w:themeColor="text1"/>
          <w:sz w:val="36"/>
          <w:szCs w:val="36"/>
          <w:lang w:val="en-US" w:eastAsia="zh-CN"/>
          <w14:textFill>
            <w14:solidFill>
              <w14:schemeClr w14:val="tx1"/>
            </w14:solidFill>
          </w14:textFill>
        </w:rPr>
      </w:pPr>
      <w:r>
        <w:rPr>
          <w:rFonts w:hint="eastAsia"/>
          <w:b/>
          <w:color w:val="000000" w:themeColor="text1"/>
          <w:sz w:val="36"/>
          <w:szCs w:val="36"/>
          <w:lang w:val="en-US" w:eastAsia="zh-CN"/>
          <w14:textFill>
            <w14:solidFill>
              <w14:schemeClr w14:val="tx1"/>
            </w14:solidFill>
          </w14:textFill>
        </w:rPr>
        <w:t>第四部分  名词解释</w:t>
      </w:r>
      <w:bookmarkEnd w:id="30"/>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单位名称：静乐县市场监督管理局</w:t>
      </w:r>
    </w:p>
    <w:p>
      <w:pPr>
        <w:ind w:firstLine="4160" w:firstLineChars="13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A98A0"/>
    <w:multiLevelType w:val="singleLevel"/>
    <w:tmpl w:val="D26A98A0"/>
    <w:lvl w:ilvl="0" w:tentative="0">
      <w:start w:val="5"/>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B8F270F"/>
    <w:rsid w:val="11FD0F95"/>
    <w:rsid w:val="16654CDD"/>
    <w:rsid w:val="175E682B"/>
    <w:rsid w:val="194F6D87"/>
    <w:rsid w:val="1A4A5C33"/>
    <w:rsid w:val="1B5E2D62"/>
    <w:rsid w:val="1E145097"/>
    <w:rsid w:val="20E50F35"/>
    <w:rsid w:val="232A34A7"/>
    <w:rsid w:val="25947DA9"/>
    <w:rsid w:val="26B42EC9"/>
    <w:rsid w:val="2701594C"/>
    <w:rsid w:val="27426717"/>
    <w:rsid w:val="28F87D69"/>
    <w:rsid w:val="31807BE9"/>
    <w:rsid w:val="36892F51"/>
    <w:rsid w:val="37943B50"/>
    <w:rsid w:val="3821117E"/>
    <w:rsid w:val="3F087256"/>
    <w:rsid w:val="42C12CEC"/>
    <w:rsid w:val="44401A62"/>
    <w:rsid w:val="4825562B"/>
    <w:rsid w:val="495520D0"/>
    <w:rsid w:val="49C6751B"/>
    <w:rsid w:val="4A012068"/>
    <w:rsid w:val="4EBC7D13"/>
    <w:rsid w:val="4F343705"/>
    <w:rsid w:val="50A32DA2"/>
    <w:rsid w:val="53A30631"/>
    <w:rsid w:val="5EC01F6A"/>
    <w:rsid w:val="5F970B5B"/>
    <w:rsid w:val="63AB51DF"/>
    <w:rsid w:val="649C6DC9"/>
    <w:rsid w:val="667477DB"/>
    <w:rsid w:val="66C075FC"/>
    <w:rsid w:val="715A78E4"/>
    <w:rsid w:val="7229187A"/>
    <w:rsid w:val="746914D4"/>
    <w:rsid w:val="74B2596A"/>
    <w:rsid w:val="74B7104F"/>
    <w:rsid w:val="7761744D"/>
    <w:rsid w:val="78A41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6348</Words>
  <Characters>7145</Characters>
  <Lines>0</Lines>
  <Paragraphs>0</Paragraphs>
  <TotalTime>0</TotalTime>
  <ScaleCrop>false</ScaleCrop>
  <LinksUpToDate>false</LinksUpToDate>
  <CharactersWithSpaces>7287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2022-08-22T10:22:22Z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8C68851AACD0455C98D80A8955B578ED</vt:lpwstr>
  </property>
</Properties>
</file>