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199" w:firstLineChars="45"/>
        <w:jc w:val="center"/>
        <w:rPr>
          <w:rFonts w:hint="eastAsia" w:ascii="华文中宋" w:hAnsi="华文中宋" w:eastAsia="华文中宋"/>
          <w:color w:val="000000" w:themeColor="text1"/>
          <w:szCs w:val="44"/>
        </w:rPr>
      </w:pPr>
      <w:bookmarkStart w:id="0" w:name="_Toc21118"/>
      <w:bookmarkStart w:id="1" w:name="_Toc32048"/>
      <w:bookmarkStart w:id="2" w:name="_Toc31071"/>
      <w:r>
        <w:rPr>
          <w:rFonts w:hint="eastAsia" w:ascii="华文中宋" w:hAnsi="华文中宋" w:eastAsia="华文中宋"/>
          <w:color w:val="000000" w:themeColor="text1"/>
          <w:szCs w:val="44"/>
        </w:rPr>
        <w:t>中国共产党静乐县委员会老干部局</w:t>
      </w:r>
    </w:p>
    <w:p>
      <w:pPr>
        <w:pStyle w:val="2"/>
        <w:ind w:firstLine="199" w:firstLineChars="45"/>
        <w:jc w:val="center"/>
        <w:rPr>
          <w:rFonts w:ascii="华文中宋" w:hAnsi="华文中宋" w:eastAsia="华文中宋"/>
          <w:color w:val="000000" w:themeColor="text1"/>
          <w:szCs w:val="44"/>
        </w:rPr>
      </w:pPr>
      <w:r>
        <w:rPr>
          <w:rFonts w:hint="eastAsia" w:ascii="华文中宋" w:hAnsi="华文中宋" w:eastAsia="华文中宋"/>
          <w:color w:val="000000" w:themeColor="text1"/>
          <w:szCs w:val="44"/>
        </w:rPr>
        <w:t>2021年度部门决算公开说明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9</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9</w:t>
      </w:r>
      <w:r>
        <w:fldChar w:fldCharType="end"/>
      </w:r>
      <w: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rFonts w:hint="eastAsia"/>
          <w:sz w:val="36"/>
          <w:szCs w:val="36"/>
        </w:rPr>
      </w:pPr>
      <w:bookmarkStart w:id="3" w:name="_Toc23288"/>
      <w:bookmarkStart w:id="4" w:name="_Toc31140"/>
    </w:p>
    <w:p>
      <w:pPr>
        <w:pStyle w:val="2"/>
        <w:ind w:firstLine="0" w:firstLineChars="0"/>
        <w:jc w:val="center"/>
        <w:rPr>
          <w:szCs w:val="36"/>
        </w:rPr>
      </w:pPr>
      <w:r>
        <w:rPr>
          <w:rFonts w:hint="eastAsia"/>
          <w:sz w:val="36"/>
          <w:szCs w:val="36"/>
        </w:rPr>
        <w:t>第一部分  概况</w:t>
      </w:r>
      <w:bookmarkEnd w:id="3"/>
      <w:bookmarkEnd w:id="4"/>
    </w:p>
    <w:p>
      <w:pPr>
        <w:pStyle w:val="3"/>
        <w:ind w:firstLine="640"/>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pStyle w:val="8"/>
        <w:spacing w:beforeAutospacing="0" w:afterAutospacing="0"/>
        <w:ind w:firstLine="300" w:firstLineChars="100"/>
        <w:jc w:val="both"/>
        <w:rPr>
          <w:rFonts w:ascii="仿宋_GB2312" w:hAnsi="仿宋_GB2312" w:cs="仿宋_GB2312"/>
          <w:color w:val="000000"/>
          <w:sz w:val="30"/>
          <w:szCs w:val="30"/>
        </w:rPr>
      </w:pPr>
      <w:r>
        <w:rPr>
          <w:rFonts w:hint="eastAsia" w:ascii="仿宋_GB2312" w:hAnsi="仿宋_GB2312" w:cs="仿宋_GB2312"/>
          <w:color w:val="000000"/>
          <w:sz w:val="30"/>
          <w:szCs w:val="30"/>
        </w:rPr>
        <w:t>（1）贯彻中央、省、市以及县委、县政府关于离退休干部工作的方针、政策，制定实施办法和细则，开展调查研究，为县委、县政府和有关部门制定离退休干部工作的政策规定提供情况和依据；</w:t>
      </w:r>
    </w:p>
    <w:p>
      <w:pPr>
        <w:pStyle w:val="8"/>
        <w:spacing w:beforeAutospacing="0" w:afterAutospacing="0"/>
        <w:ind w:firstLine="300" w:firstLineChars="100"/>
        <w:jc w:val="both"/>
        <w:rPr>
          <w:rFonts w:ascii="仿宋_GB2312" w:hAnsi="仿宋_GB2312" w:cs="仿宋_GB2312"/>
          <w:color w:val="000000"/>
          <w:sz w:val="30"/>
          <w:szCs w:val="30"/>
        </w:rPr>
      </w:pPr>
      <w:r>
        <w:rPr>
          <w:rFonts w:hint="eastAsia" w:ascii="仿宋_GB2312" w:hAnsi="仿宋_GB2312" w:cs="仿宋_GB2312"/>
          <w:color w:val="000000"/>
          <w:sz w:val="30"/>
          <w:szCs w:val="30"/>
        </w:rPr>
        <w:t>（2）负责对离退休干部工作的监督、检查、指导和协调；督促离退休干部的政治待遇和生活待遇的落实；</w:t>
      </w:r>
    </w:p>
    <w:p>
      <w:pPr>
        <w:pStyle w:val="8"/>
        <w:spacing w:beforeAutospacing="0" w:afterAutospacing="0"/>
        <w:ind w:firstLine="300" w:firstLineChars="100"/>
        <w:jc w:val="both"/>
        <w:rPr>
          <w:rFonts w:ascii="仿宋_GB2312" w:hAnsi="仿宋_GB2312" w:cs="仿宋_GB2312"/>
          <w:color w:val="000000"/>
          <w:sz w:val="30"/>
          <w:szCs w:val="30"/>
        </w:rPr>
      </w:pPr>
      <w:r>
        <w:rPr>
          <w:rFonts w:hint="eastAsia" w:ascii="仿宋_GB2312" w:hAnsi="仿宋_GB2312" w:cs="仿宋_GB2312"/>
          <w:color w:val="000000"/>
          <w:sz w:val="30"/>
          <w:szCs w:val="30"/>
        </w:rPr>
        <w:t>（3）检查、督促、指导离退休干部的党组织建设，加强离退休干部的学习教育，做好思想政治工作；组织指导离退休干部在两个文明建设中发挥作用；</w:t>
      </w:r>
    </w:p>
    <w:p>
      <w:pPr>
        <w:pStyle w:val="8"/>
        <w:spacing w:beforeAutospacing="0" w:afterAutospacing="0"/>
        <w:ind w:firstLine="300" w:firstLineChars="100"/>
        <w:jc w:val="both"/>
        <w:rPr>
          <w:rFonts w:ascii="仿宋_GB2312" w:hAnsi="仿宋_GB2312" w:cs="仿宋_GB2312"/>
          <w:color w:val="000000"/>
          <w:sz w:val="30"/>
          <w:szCs w:val="30"/>
        </w:rPr>
      </w:pPr>
      <w:r>
        <w:rPr>
          <w:rFonts w:hint="eastAsia" w:ascii="仿宋_GB2312" w:hAnsi="仿宋_GB2312" w:cs="仿宋_GB2312"/>
          <w:color w:val="000000"/>
          <w:sz w:val="30"/>
          <w:szCs w:val="30"/>
        </w:rPr>
        <w:t>（4）负责组织指导离退休干部的文体健身活动及医疗保健工作；</w:t>
      </w:r>
    </w:p>
    <w:p>
      <w:pPr>
        <w:pStyle w:val="8"/>
        <w:spacing w:beforeAutospacing="0" w:afterAutospacing="0"/>
        <w:ind w:firstLine="300" w:firstLineChars="100"/>
        <w:jc w:val="both"/>
        <w:rPr>
          <w:rFonts w:ascii="仿宋_GB2312"/>
          <w:color w:val="000000"/>
          <w:sz w:val="30"/>
          <w:szCs w:val="30"/>
        </w:rPr>
      </w:pPr>
      <w:r>
        <w:rPr>
          <w:rFonts w:hint="eastAsia" w:ascii="仿宋_GB2312" w:hAnsi="仿宋_GB2312" w:cs="仿宋_GB2312"/>
          <w:color w:val="000000"/>
          <w:sz w:val="30"/>
          <w:szCs w:val="30"/>
        </w:rPr>
        <w:t>（5）完成县委交办的其他工作。</w:t>
      </w:r>
    </w:p>
    <w:p>
      <w:pPr>
        <w:pStyle w:val="3"/>
        <w:ind w:firstLine="640"/>
        <w:rPr>
          <w:rFonts w:hint="eastAsia"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pStyle w:val="8"/>
        <w:spacing w:beforeAutospacing="0" w:afterAutospacing="0"/>
        <w:ind w:firstLine="600"/>
        <w:rPr>
          <w:rFonts w:hint="eastAsia" w:ascii="仿宋_GB2312" w:hAnsi="楷体"/>
          <w:sz w:val="30"/>
          <w:szCs w:val="30"/>
        </w:rPr>
      </w:pPr>
      <w:r>
        <w:rPr>
          <w:rFonts w:hint="eastAsia" w:ascii="仿宋_GB2312"/>
          <w:color w:val="000000"/>
          <w:sz w:val="30"/>
          <w:szCs w:val="30"/>
        </w:rPr>
        <w:t>中国共产党静乐县委员会老干部局共有干部职工9人，其中：公务员2人、机关工勤人员0人、全额财政拨款事业人员7人。下设办公室、财务股、老干部医疗费办公室、老干部活动中心。</w:t>
      </w:r>
    </w:p>
    <w:p>
      <w:pPr>
        <w:ind w:firstLine="640"/>
      </w:pPr>
    </w:p>
    <w:p>
      <w:pPr>
        <w:pStyle w:val="2"/>
        <w:ind w:firstLine="723"/>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rFonts w:hint="eastAsia"/>
          <w:sz w:val="36"/>
          <w:szCs w:val="36"/>
        </w:rPr>
      </w:pPr>
      <w:bookmarkStart w:id="10" w:name="_Toc29325"/>
    </w:p>
    <w:p>
      <w:pPr>
        <w:pStyle w:val="2"/>
        <w:ind w:firstLine="0" w:firstLineChars="0"/>
        <w:jc w:val="center"/>
        <w:rPr>
          <w:rFonts w:hint="eastAsia"/>
          <w:sz w:val="36"/>
          <w:szCs w:val="36"/>
        </w:rPr>
      </w:pPr>
    </w:p>
    <w:p>
      <w:pPr>
        <w:pStyle w:val="2"/>
        <w:ind w:firstLine="0" w:firstLineChars="0"/>
        <w:jc w:val="center"/>
        <w:rPr>
          <w:sz w:val="36"/>
          <w:szCs w:val="36"/>
        </w:rPr>
      </w:pPr>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8717"/>
      <w:bookmarkStart w:id="12" w:name="_Toc437"/>
      <w:r>
        <w:rPr>
          <w:rFonts w:hint="eastAsia" w:ascii="仿宋" w:hAnsi="仿宋" w:eastAsia="仿宋" w:cs="仿宋"/>
        </w:rPr>
        <w:t>一、收入支出决算总体情况说明</w:t>
      </w:r>
      <w:bookmarkEnd w:id="11"/>
      <w:bookmarkEnd w:id="12"/>
    </w:p>
    <w:p>
      <w:pPr>
        <w:ind w:firstLine="640"/>
        <w:rPr>
          <w:rFonts w:ascii="仿宋_GB2312"/>
          <w:color w:val="auto"/>
          <w:szCs w:val="32"/>
        </w:rPr>
      </w:pPr>
      <w:r>
        <w:rPr>
          <w:rFonts w:hint="eastAsia" w:ascii="仿宋_GB2312"/>
          <w:szCs w:val="32"/>
        </w:rPr>
        <w:t>2021年度收入</w:t>
      </w:r>
      <w:r>
        <w:rPr>
          <w:rFonts w:ascii="仿宋_GB2312"/>
          <w:szCs w:val="32"/>
        </w:rPr>
        <w:t>总计</w:t>
      </w:r>
      <w:r>
        <w:rPr>
          <w:rFonts w:hint="eastAsia" w:ascii="仿宋_GB2312"/>
          <w:color w:val="auto"/>
          <w:szCs w:val="32"/>
        </w:rPr>
        <w:t>364.32万元、支出总计485.82万元。与2020年相比，收入总计增长57.35万元，增长18.68%，</w:t>
      </w:r>
      <w:r>
        <w:rPr>
          <w:rFonts w:ascii="仿宋_GB2312"/>
          <w:color w:val="auto"/>
          <w:szCs w:val="32"/>
        </w:rPr>
        <w:t>支出总计</w:t>
      </w:r>
      <w:r>
        <w:rPr>
          <w:rFonts w:hint="eastAsia" w:ascii="仿宋_GB2312"/>
          <w:color w:val="auto"/>
          <w:szCs w:val="32"/>
        </w:rPr>
        <w:t>增长285.21万元</w:t>
      </w:r>
      <w:r>
        <w:rPr>
          <w:rFonts w:ascii="仿宋_GB2312"/>
          <w:color w:val="auto"/>
          <w:szCs w:val="32"/>
        </w:rPr>
        <w:t>，</w:t>
      </w:r>
      <w:r>
        <w:rPr>
          <w:rFonts w:hint="eastAsia" w:ascii="仿宋_GB2312"/>
          <w:color w:val="auto"/>
          <w:szCs w:val="32"/>
        </w:rPr>
        <w:t>增长142.17</w:t>
      </w:r>
      <w:r>
        <w:rPr>
          <w:rFonts w:ascii="仿宋_GB2312"/>
          <w:color w:val="auto"/>
          <w:szCs w:val="32"/>
        </w:rPr>
        <w:t>%</w:t>
      </w:r>
      <w:r>
        <w:rPr>
          <w:rFonts w:hint="eastAsia" w:ascii="仿宋_GB2312"/>
          <w:color w:val="auto"/>
          <w:szCs w:val="32"/>
        </w:rPr>
        <w:t>。主要原因是2021年老年大学建设工程费增加。</w:t>
      </w:r>
    </w:p>
    <w:p>
      <w:pPr>
        <w:pStyle w:val="3"/>
        <w:ind w:firstLine="643"/>
        <w:rPr>
          <w:rFonts w:ascii="仿宋" w:hAnsi="仿宋" w:eastAsia="仿宋" w:cs="仿宋"/>
          <w:color w:val="auto"/>
        </w:rPr>
      </w:pPr>
      <w:bookmarkStart w:id="13" w:name="_Toc16754"/>
      <w:bookmarkStart w:id="14" w:name="_Toc17404"/>
      <w:r>
        <w:rPr>
          <w:rFonts w:hint="eastAsia" w:ascii="仿宋" w:hAnsi="仿宋" w:eastAsia="仿宋" w:cs="仿宋"/>
          <w:color w:val="auto"/>
        </w:rPr>
        <w:t>二、收入决算情况说明</w:t>
      </w:r>
      <w:bookmarkEnd w:id="13"/>
      <w:bookmarkEnd w:id="14"/>
    </w:p>
    <w:p>
      <w:pPr>
        <w:spacing w:line="580" w:lineRule="exact"/>
        <w:ind w:firstLine="640"/>
        <w:rPr>
          <w:rFonts w:ascii="仿宋_GB2312"/>
          <w:color w:val="auto"/>
          <w:szCs w:val="32"/>
        </w:rPr>
      </w:pPr>
      <w:r>
        <w:rPr>
          <w:rFonts w:hint="eastAsia" w:ascii="仿宋_GB2312"/>
          <w:color w:val="auto"/>
          <w:szCs w:val="32"/>
        </w:rPr>
        <w:t>本年收入合计364.32万元，其中：财政拨款收入364.32万元，占比100.00%；上级补助收入0万元，占比0%；事业收入0万元，占比0%；经营收入0万元，占比0%。附属单位上缴收入0万元，占比0%；其他收入0万元，占比0%。</w:t>
      </w:r>
    </w:p>
    <w:p>
      <w:pPr>
        <w:pStyle w:val="3"/>
        <w:ind w:firstLine="643"/>
        <w:rPr>
          <w:rFonts w:ascii="仿宋" w:hAnsi="仿宋" w:eastAsia="仿宋" w:cs="仿宋"/>
          <w:color w:val="auto"/>
        </w:rPr>
      </w:pPr>
      <w:bookmarkStart w:id="15" w:name="_Toc22098"/>
      <w:bookmarkStart w:id="16" w:name="_Toc9596"/>
      <w:r>
        <w:rPr>
          <w:rFonts w:hint="eastAsia" w:ascii="仿宋" w:hAnsi="仿宋" w:eastAsia="仿宋" w:cs="仿宋"/>
          <w:color w:val="auto"/>
        </w:rPr>
        <w:t>三、支出决算情况说明</w:t>
      </w:r>
      <w:bookmarkEnd w:id="15"/>
      <w:bookmarkEnd w:id="16"/>
    </w:p>
    <w:p>
      <w:pPr>
        <w:spacing w:line="580" w:lineRule="exact"/>
        <w:ind w:firstLine="640"/>
        <w:rPr>
          <w:rFonts w:ascii="仿宋_GB2312"/>
          <w:color w:val="auto"/>
          <w:szCs w:val="32"/>
        </w:rPr>
      </w:pPr>
      <w:r>
        <w:rPr>
          <w:rFonts w:hint="eastAsia" w:ascii="仿宋_GB2312"/>
          <w:color w:val="auto"/>
          <w:szCs w:val="32"/>
        </w:rPr>
        <w:t>本年支出合计485.82万元，其中：基本支出85.88万元，占比17.68%；项目支出399.94万元，占比82.32%，上缴上级支出0万元，占比0%，经营支出0万元，占比0%,对附属单位补助支出0万元，占比0%。</w:t>
      </w:r>
    </w:p>
    <w:p>
      <w:pPr>
        <w:pStyle w:val="3"/>
        <w:ind w:firstLine="643"/>
        <w:rPr>
          <w:rFonts w:ascii="仿宋" w:hAnsi="仿宋" w:eastAsia="仿宋" w:cs="仿宋"/>
          <w:color w:val="auto"/>
        </w:rPr>
      </w:pPr>
      <w:bookmarkStart w:id="17" w:name="_Toc4614"/>
      <w:bookmarkStart w:id="18" w:name="_Toc2142"/>
      <w:r>
        <w:rPr>
          <w:rFonts w:hint="eastAsia" w:ascii="仿宋" w:hAnsi="仿宋" w:eastAsia="仿宋" w:cs="仿宋"/>
          <w:color w:val="auto"/>
        </w:rPr>
        <w:t>四、财政拨款收入支出决算总体情况说明</w:t>
      </w:r>
      <w:bookmarkEnd w:id="17"/>
      <w:bookmarkEnd w:id="18"/>
    </w:p>
    <w:p>
      <w:pPr>
        <w:ind w:firstLine="640"/>
        <w:rPr>
          <w:rFonts w:ascii="仿宋_GB2312"/>
          <w:color w:val="auto"/>
          <w:szCs w:val="32"/>
        </w:rPr>
      </w:pPr>
      <w:r>
        <w:rPr>
          <w:rFonts w:hint="eastAsia" w:ascii="仿宋_GB2312"/>
          <w:color w:val="auto"/>
          <w:szCs w:val="32"/>
        </w:rPr>
        <w:t>2021年度财政拨款收入</w:t>
      </w:r>
      <w:r>
        <w:rPr>
          <w:rFonts w:ascii="仿宋_GB2312"/>
          <w:color w:val="auto"/>
          <w:szCs w:val="32"/>
        </w:rPr>
        <w:t>总计</w:t>
      </w:r>
      <w:r>
        <w:rPr>
          <w:rFonts w:hint="eastAsia" w:ascii="仿宋_GB2312"/>
          <w:color w:val="auto"/>
          <w:szCs w:val="32"/>
        </w:rPr>
        <w:t>364.32万元、支出总计485.82万元。与2020年相比，财政拨款收入总计增加57.35万元，增长18.68%，财政拨款支出总计增长285.21万元，</w:t>
      </w:r>
      <w:bookmarkStart w:id="19" w:name="_Toc9341"/>
      <w:bookmarkStart w:id="20" w:name="_Toc6501"/>
      <w:r>
        <w:rPr>
          <w:rFonts w:hint="eastAsia" w:ascii="仿宋_GB2312"/>
          <w:color w:val="auto"/>
          <w:szCs w:val="32"/>
        </w:rPr>
        <w:t>增长142.17</w:t>
      </w:r>
      <w:r>
        <w:rPr>
          <w:rFonts w:ascii="仿宋_GB2312"/>
          <w:color w:val="auto"/>
          <w:szCs w:val="32"/>
        </w:rPr>
        <w:t>%</w:t>
      </w:r>
      <w:r>
        <w:rPr>
          <w:rFonts w:hint="eastAsia" w:ascii="仿宋_GB2312"/>
          <w:color w:val="auto"/>
          <w:szCs w:val="32"/>
        </w:rPr>
        <w:t>。主要原因是2021年老年大学建设工程费增加。</w:t>
      </w:r>
    </w:p>
    <w:p>
      <w:pPr>
        <w:spacing w:line="580" w:lineRule="exact"/>
        <w:ind w:firstLine="643"/>
        <w:rPr>
          <w:rFonts w:ascii="仿宋" w:hAnsi="仿宋" w:eastAsia="仿宋" w:cs="仿宋"/>
          <w:color w:val="auto"/>
        </w:rPr>
      </w:pPr>
      <w:r>
        <w:rPr>
          <w:rFonts w:hint="eastAsia" w:ascii="仿宋" w:hAnsi="仿宋" w:eastAsia="仿宋" w:cs="仿宋"/>
          <w:b/>
          <w:color w:val="auto"/>
        </w:rPr>
        <w:t>五、一般公共预算财政拨款支出决算情况说明</w:t>
      </w:r>
      <w:bookmarkEnd w:id="19"/>
      <w:bookmarkEnd w:id="20"/>
    </w:p>
    <w:p>
      <w:pPr>
        <w:spacing w:line="580" w:lineRule="exact"/>
        <w:ind w:firstLine="643"/>
        <w:rPr>
          <w:rFonts w:ascii="仿宋_GB2312"/>
          <w:b/>
          <w:color w:val="auto"/>
          <w:szCs w:val="32"/>
        </w:rPr>
      </w:pPr>
      <w:r>
        <w:rPr>
          <w:rFonts w:hint="eastAsia" w:ascii="仿宋_GB2312"/>
          <w:b/>
          <w:color w:val="auto"/>
          <w:szCs w:val="32"/>
        </w:rPr>
        <w:t>（一）财政拨款支出决算总体情况</w:t>
      </w:r>
    </w:p>
    <w:p>
      <w:pPr>
        <w:spacing w:line="580" w:lineRule="exact"/>
        <w:ind w:firstLine="640"/>
        <w:rPr>
          <w:rFonts w:ascii="仿宋_GB2312"/>
          <w:color w:val="auto"/>
          <w:szCs w:val="32"/>
        </w:rPr>
      </w:pPr>
      <w:r>
        <w:rPr>
          <w:rFonts w:hint="eastAsia" w:ascii="仿宋_GB2312"/>
          <w:color w:val="auto"/>
          <w:szCs w:val="32"/>
        </w:rPr>
        <w:t>2021年度财政拨款支出485.82万元，占本年支出合计的100.00%。与2020年相比，财政拨款支出增加285.21万元，增长142.17%。主要原因是021年老年大学建设工程费增加。其中，政府性基金预算支出0万元，占比0%。</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ascii="仿宋_GB2312"/>
          <w:color w:val="auto"/>
          <w:szCs w:val="32"/>
        </w:rPr>
      </w:pPr>
      <w:r>
        <w:rPr>
          <w:rFonts w:hint="eastAsia" w:ascii="仿宋_GB2312"/>
          <w:color w:val="auto"/>
          <w:szCs w:val="32"/>
        </w:rPr>
        <w:t>2021年度</w:t>
      </w:r>
      <w:r>
        <w:rPr>
          <w:rFonts w:ascii="仿宋_GB2312"/>
          <w:color w:val="auto"/>
          <w:szCs w:val="32"/>
        </w:rPr>
        <w:t>财政拨款支出</w:t>
      </w:r>
      <w:r>
        <w:rPr>
          <w:rFonts w:hint="eastAsia" w:ascii="仿宋_GB2312"/>
          <w:color w:val="auto"/>
          <w:szCs w:val="32"/>
        </w:rPr>
        <w:t>485.82万元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支出85.88万元</w:t>
      </w:r>
      <w:r>
        <w:rPr>
          <w:rFonts w:ascii="仿宋_GB2312"/>
          <w:color w:val="auto"/>
          <w:szCs w:val="32"/>
        </w:rPr>
        <w:t>，占</w:t>
      </w:r>
      <w:r>
        <w:rPr>
          <w:rFonts w:hint="eastAsia" w:ascii="仿宋_GB2312"/>
          <w:color w:val="auto"/>
          <w:szCs w:val="32"/>
        </w:rPr>
        <w:t>17.68</w:t>
      </w:r>
      <w:r>
        <w:rPr>
          <w:rFonts w:ascii="仿宋_GB2312"/>
          <w:color w:val="auto"/>
          <w:szCs w:val="32"/>
        </w:rPr>
        <w:t>%；</w:t>
      </w:r>
      <w:r>
        <w:rPr>
          <w:rFonts w:hint="eastAsia" w:ascii="仿宋_GB2312"/>
          <w:b/>
          <w:color w:val="auto"/>
          <w:szCs w:val="32"/>
        </w:rPr>
        <w:t>社会</w:t>
      </w:r>
      <w:r>
        <w:rPr>
          <w:rFonts w:ascii="仿宋_GB2312"/>
          <w:b/>
          <w:color w:val="auto"/>
          <w:szCs w:val="32"/>
        </w:rPr>
        <w:t>保障和就业（</w:t>
      </w:r>
      <w:r>
        <w:rPr>
          <w:rFonts w:hint="eastAsia" w:ascii="仿宋_GB2312"/>
          <w:b/>
          <w:color w:val="auto"/>
          <w:szCs w:val="32"/>
        </w:rPr>
        <w:t>类</w:t>
      </w:r>
      <w:r>
        <w:rPr>
          <w:rFonts w:ascii="仿宋_GB2312"/>
          <w:b/>
          <w:color w:val="auto"/>
          <w:szCs w:val="32"/>
        </w:rPr>
        <w:t>）</w:t>
      </w:r>
      <w:r>
        <w:rPr>
          <w:rFonts w:hint="eastAsia" w:ascii="仿宋_GB2312"/>
          <w:color w:val="auto"/>
          <w:szCs w:val="32"/>
        </w:rPr>
        <w:t>支出397.35万元</w:t>
      </w:r>
      <w:r>
        <w:rPr>
          <w:rFonts w:ascii="仿宋_GB2312"/>
          <w:color w:val="auto"/>
          <w:szCs w:val="32"/>
        </w:rPr>
        <w:t>，占</w:t>
      </w:r>
      <w:r>
        <w:rPr>
          <w:rFonts w:hint="eastAsia" w:ascii="仿宋_GB2312"/>
          <w:color w:val="auto"/>
          <w:szCs w:val="32"/>
        </w:rPr>
        <w:t>81.79</w:t>
      </w:r>
      <w:r>
        <w:rPr>
          <w:rFonts w:ascii="仿宋_GB2312"/>
          <w:color w:val="auto"/>
          <w:szCs w:val="32"/>
        </w:rPr>
        <w:t>%；</w:t>
      </w:r>
      <w:r>
        <w:rPr>
          <w:rFonts w:hint="eastAsia" w:ascii="仿宋_GB2312"/>
          <w:b/>
          <w:color w:val="auto"/>
          <w:szCs w:val="32"/>
        </w:rPr>
        <w:t>卫生</w:t>
      </w:r>
      <w:r>
        <w:rPr>
          <w:rFonts w:ascii="仿宋_GB2312"/>
          <w:b/>
          <w:color w:val="auto"/>
          <w:szCs w:val="32"/>
        </w:rPr>
        <w:t>健康（</w:t>
      </w:r>
      <w:r>
        <w:rPr>
          <w:rFonts w:hint="eastAsia" w:ascii="仿宋_GB2312"/>
          <w:b/>
          <w:color w:val="auto"/>
          <w:szCs w:val="32"/>
        </w:rPr>
        <w:t>类</w:t>
      </w:r>
      <w:r>
        <w:rPr>
          <w:rFonts w:ascii="仿宋_GB2312"/>
          <w:b/>
          <w:color w:val="auto"/>
          <w:szCs w:val="32"/>
        </w:rPr>
        <w:t>）</w:t>
      </w:r>
      <w:r>
        <w:rPr>
          <w:rFonts w:hint="eastAsia" w:ascii="仿宋_GB2312"/>
          <w:color w:val="auto"/>
          <w:szCs w:val="32"/>
        </w:rPr>
        <w:t>支出2.59万元</w:t>
      </w:r>
      <w:r>
        <w:rPr>
          <w:rFonts w:ascii="仿宋_GB2312"/>
          <w:color w:val="auto"/>
          <w:szCs w:val="32"/>
        </w:rPr>
        <w:t>，占</w:t>
      </w:r>
      <w:r>
        <w:rPr>
          <w:rFonts w:hint="eastAsia" w:ascii="仿宋_GB2312"/>
          <w:color w:val="auto"/>
          <w:szCs w:val="32"/>
        </w:rPr>
        <w:t>0.53</w:t>
      </w:r>
      <w:r>
        <w:rPr>
          <w:rFonts w:ascii="仿宋_GB2312"/>
          <w:color w:val="auto"/>
          <w:szCs w:val="32"/>
        </w:rPr>
        <w:t>%</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（三）财政拨款支出决算具体情况</w:t>
      </w:r>
    </w:p>
    <w:p>
      <w:pPr>
        <w:spacing w:line="580" w:lineRule="exact"/>
        <w:ind w:firstLine="640"/>
        <w:rPr>
          <w:rFonts w:ascii="仿宋" w:hAnsi="仿宋" w:eastAsia="仿宋" w:cs="仿宋"/>
          <w:color w:val="auto"/>
          <w:szCs w:val="32"/>
        </w:rPr>
      </w:pPr>
      <w:r>
        <w:rPr>
          <w:rFonts w:hint="eastAsia"/>
          <w:color w:val="auto"/>
          <w:szCs w:val="32"/>
        </w:rPr>
        <w:t>2</w:t>
      </w:r>
      <w:r>
        <w:rPr>
          <w:color w:val="auto"/>
          <w:szCs w:val="32"/>
        </w:rPr>
        <w:t>02</w:t>
      </w:r>
      <w:r>
        <w:rPr>
          <w:rFonts w:hint="eastAsia"/>
          <w:color w:val="auto"/>
          <w:szCs w:val="32"/>
        </w:rPr>
        <w:t>1年度财政拨款支出年初预算415.72万元，支出决算485.82万元，完成年初预算的116.86</w:t>
      </w:r>
      <w:r>
        <w:rPr>
          <w:color w:val="auto"/>
          <w:szCs w:val="32"/>
        </w:rPr>
        <w:t>%</w:t>
      </w:r>
      <w:r>
        <w:rPr>
          <w:rFonts w:hint="eastAsia"/>
          <w:color w:val="auto"/>
          <w:szCs w:val="32"/>
        </w:rPr>
        <w:t>。其中：</w:t>
      </w:r>
    </w:p>
    <w:p>
      <w:pPr>
        <w:ind w:firstLine="640"/>
        <w:jc w:val="left"/>
        <w:rPr>
          <w:rFonts w:ascii="仿宋" w:hAnsi="仿宋" w:eastAsia="仿宋" w:cs="仿宋"/>
          <w:color w:val="auto"/>
          <w:szCs w:val="32"/>
        </w:rPr>
      </w:pPr>
      <w:r>
        <w:rPr>
          <w:rFonts w:hint="eastAsia" w:ascii="仿宋" w:hAnsi="仿宋" w:eastAsia="仿宋" w:cs="仿宋"/>
          <w:color w:val="auto"/>
          <w:szCs w:val="32"/>
        </w:rPr>
        <w:t>（1）按功能科目分类对比如下：</w:t>
      </w:r>
    </w:p>
    <w:p>
      <w:pPr>
        <w:ind w:firstLine="640"/>
        <w:jc w:val="left"/>
        <w:rPr>
          <w:rFonts w:ascii="仿宋_GB2312"/>
          <w:color w:val="auto"/>
          <w:szCs w:val="32"/>
        </w:rPr>
      </w:pPr>
      <w:r>
        <w:rPr>
          <w:rFonts w:hint="eastAsia" w:ascii="仿宋_GB2312"/>
          <w:color w:val="auto"/>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021年度支出功能科目分类对比表    单位：万元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1"/>
        <w:gridCol w:w="3969"/>
        <w:gridCol w:w="1276"/>
        <w:gridCol w:w="1276"/>
        <w:gridCol w:w="1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tcPr>
          <w:p>
            <w:pPr>
              <w:widowControl/>
              <w:ind w:firstLine="0" w:firstLineChars="0"/>
              <w:jc w:val="center"/>
              <w:rPr>
                <w:rFonts w:ascii="宋体" w:hAnsi="宋体" w:cs="Arial"/>
                <w:b/>
                <w:color w:val="auto"/>
                <w:kern w:val="0"/>
                <w:sz w:val="24"/>
                <w:szCs w:val="24"/>
              </w:rPr>
            </w:pPr>
            <w:r>
              <w:rPr>
                <w:rFonts w:hint="eastAsia" w:ascii="宋体" w:hAnsi="宋体" w:cs="Arial"/>
                <w:b/>
                <w:color w:val="auto"/>
                <w:kern w:val="0"/>
                <w:sz w:val="24"/>
                <w:szCs w:val="24"/>
              </w:rPr>
              <w:t>科目代码</w:t>
            </w:r>
          </w:p>
        </w:tc>
        <w:tc>
          <w:tcPr>
            <w:tcW w:w="3969" w:type="dxa"/>
          </w:tcPr>
          <w:p>
            <w:pPr>
              <w:widowControl/>
              <w:ind w:firstLine="482"/>
              <w:jc w:val="center"/>
              <w:rPr>
                <w:rFonts w:ascii="宋体" w:hAnsi="宋体" w:cs="Arial"/>
                <w:b/>
                <w:color w:val="auto"/>
                <w:kern w:val="0"/>
                <w:sz w:val="24"/>
                <w:szCs w:val="24"/>
              </w:rPr>
            </w:pPr>
            <w:r>
              <w:rPr>
                <w:rFonts w:hint="eastAsia" w:ascii="宋体" w:hAnsi="宋体" w:cs="Arial"/>
                <w:b/>
                <w:color w:val="auto"/>
                <w:kern w:val="0"/>
                <w:sz w:val="24"/>
                <w:szCs w:val="24"/>
              </w:rPr>
              <w:t>科目名称</w:t>
            </w:r>
          </w:p>
        </w:tc>
        <w:tc>
          <w:tcPr>
            <w:tcW w:w="1276" w:type="dxa"/>
          </w:tcPr>
          <w:p>
            <w:pPr>
              <w:widowControl/>
              <w:ind w:firstLine="0" w:firstLineChars="0"/>
              <w:jc w:val="center"/>
              <w:rPr>
                <w:rFonts w:ascii="宋体" w:hAnsi="宋体" w:eastAsia="宋体" w:cs="Arial"/>
                <w:b/>
                <w:color w:val="auto"/>
                <w:kern w:val="0"/>
                <w:sz w:val="24"/>
                <w:szCs w:val="24"/>
              </w:rPr>
            </w:pPr>
            <w:r>
              <w:rPr>
                <w:rFonts w:hint="eastAsia" w:ascii="宋体" w:hAnsi="宋体" w:cs="Arial"/>
                <w:b/>
                <w:color w:val="auto"/>
                <w:kern w:val="0"/>
                <w:sz w:val="24"/>
                <w:szCs w:val="24"/>
              </w:rPr>
              <w:t>2020年</w:t>
            </w:r>
          </w:p>
        </w:tc>
        <w:tc>
          <w:tcPr>
            <w:tcW w:w="1276" w:type="dxa"/>
          </w:tcPr>
          <w:p>
            <w:pPr>
              <w:widowControl/>
              <w:ind w:firstLine="0" w:firstLineChars="0"/>
              <w:jc w:val="center"/>
              <w:rPr>
                <w:rFonts w:ascii="宋体" w:hAnsi="宋体" w:eastAsia="宋体" w:cs="Arial"/>
                <w:b/>
                <w:color w:val="auto"/>
                <w:kern w:val="0"/>
                <w:sz w:val="24"/>
                <w:szCs w:val="24"/>
              </w:rPr>
            </w:pPr>
            <w:r>
              <w:rPr>
                <w:rFonts w:hint="eastAsia" w:ascii="宋体" w:hAnsi="宋体" w:eastAsia="宋体" w:cs="Arial"/>
                <w:b/>
                <w:color w:val="auto"/>
                <w:kern w:val="0"/>
                <w:sz w:val="24"/>
                <w:szCs w:val="24"/>
              </w:rPr>
              <w:t>2021年</w:t>
            </w:r>
          </w:p>
        </w:tc>
        <w:tc>
          <w:tcPr>
            <w:tcW w:w="1208" w:type="dxa"/>
          </w:tcPr>
          <w:p>
            <w:pPr>
              <w:widowControl/>
              <w:ind w:firstLine="0" w:firstLineChars="0"/>
              <w:jc w:val="center"/>
              <w:rPr>
                <w:rFonts w:ascii="宋体" w:hAnsi="宋体" w:eastAsia="宋体" w:cs="Arial"/>
                <w:b/>
                <w:color w:val="auto"/>
                <w:kern w:val="0"/>
                <w:sz w:val="24"/>
                <w:szCs w:val="24"/>
              </w:rPr>
            </w:pPr>
            <w:r>
              <w:rPr>
                <w:rFonts w:hint="eastAsia" w:ascii="宋体" w:hAnsi="宋体" w:cs="Arial"/>
                <w:b/>
                <w:color w:val="auto"/>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1291" w:type="dxa"/>
            <w:vAlign w:val="center"/>
          </w:tcPr>
          <w:p>
            <w:pPr>
              <w:ind w:firstLine="0" w:firstLineChars="0"/>
              <w:rPr>
                <w:rFonts w:hint="eastAsia" w:cs="Arial" w:asciiTheme="minorEastAsia" w:hAnsiTheme="minorEastAsia" w:eastAsiaTheme="minorEastAsia"/>
                <w:color w:val="auto"/>
                <w:sz w:val="22"/>
              </w:rPr>
            </w:pPr>
            <w:r>
              <w:rPr>
                <w:rFonts w:hint="eastAsia" w:cs="Arial" w:asciiTheme="minorEastAsia" w:hAnsiTheme="minorEastAsia" w:eastAsiaTheme="minorEastAsia"/>
                <w:color w:val="auto"/>
                <w:sz w:val="22"/>
              </w:rPr>
              <w:t xml:space="preserve">   合计</w:t>
            </w:r>
          </w:p>
        </w:tc>
        <w:tc>
          <w:tcPr>
            <w:tcW w:w="3969" w:type="dxa"/>
            <w:vAlign w:val="center"/>
          </w:tcPr>
          <w:p>
            <w:pPr>
              <w:ind w:firstLine="0" w:firstLineChars="0"/>
              <w:rPr>
                <w:rFonts w:hint="eastAsia" w:cs="Arial" w:asciiTheme="minorEastAsia" w:hAnsiTheme="minorEastAsia" w:eastAsiaTheme="minorEastAsia"/>
                <w:color w:val="auto"/>
                <w:sz w:val="22"/>
              </w:rPr>
            </w:pPr>
          </w:p>
        </w:tc>
        <w:tc>
          <w:tcPr>
            <w:tcW w:w="1276" w:type="dxa"/>
            <w:vAlign w:val="bottom"/>
          </w:tcPr>
          <w:p>
            <w:pPr>
              <w:widowControl/>
              <w:ind w:firstLine="0" w:firstLineChars="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200.61</w:t>
            </w:r>
          </w:p>
        </w:tc>
        <w:tc>
          <w:tcPr>
            <w:tcW w:w="1276" w:type="dxa"/>
            <w:vAlign w:val="bottom"/>
          </w:tcPr>
          <w:p>
            <w:pPr>
              <w:widowControl/>
              <w:ind w:firstLine="240" w:firstLineChars="10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485.82</w:t>
            </w:r>
          </w:p>
        </w:tc>
        <w:tc>
          <w:tcPr>
            <w:tcW w:w="1208" w:type="dxa"/>
            <w:vAlign w:val="bottom"/>
          </w:tcPr>
          <w:p>
            <w:pPr>
              <w:ind w:firstLine="0" w:firstLineChars="0"/>
              <w:jc w:val="right"/>
              <w:rPr>
                <w:rFonts w:ascii="仿宋" w:hAnsi="仿宋" w:eastAsia="仿宋" w:cs="仿宋"/>
                <w:color w:val="auto"/>
                <w:sz w:val="24"/>
                <w:szCs w:val="24"/>
              </w:rPr>
            </w:pPr>
            <w:r>
              <w:rPr>
                <w:rFonts w:hint="eastAsia" w:ascii="仿宋" w:hAnsi="仿宋" w:eastAsia="仿宋" w:cs="仿宋"/>
                <w:color w:val="auto"/>
                <w:sz w:val="24"/>
                <w:szCs w:val="24"/>
              </w:rPr>
              <w:t>142.17%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291" w:type="dxa"/>
            <w:vAlign w:val="center"/>
          </w:tcPr>
          <w:p>
            <w:pPr>
              <w:ind w:firstLine="0" w:firstLineChars="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201</w:t>
            </w:r>
          </w:p>
        </w:tc>
        <w:tc>
          <w:tcPr>
            <w:tcW w:w="3969" w:type="dxa"/>
            <w:vAlign w:val="center"/>
          </w:tcPr>
          <w:p>
            <w:pPr>
              <w:ind w:firstLine="0" w:firstLineChars="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一般公共服务支出</w:t>
            </w:r>
          </w:p>
        </w:tc>
        <w:tc>
          <w:tcPr>
            <w:tcW w:w="1276" w:type="dxa"/>
            <w:vAlign w:val="bottom"/>
          </w:tcPr>
          <w:p>
            <w:pPr>
              <w:widowControl/>
              <w:ind w:firstLine="0" w:firstLineChars="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86.57</w:t>
            </w:r>
          </w:p>
        </w:tc>
        <w:tc>
          <w:tcPr>
            <w:tcW w:w="1276" w:type="dxa"/>
            <w:vAlign w:val="bottom"/>
          </w:tcPr>
          <w:p>
            <w:pPr>
              <w:widowControl/>
              <w:ind w:firstLine="199" w:firstLineChars="83"/>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85.88</w:t>
            </w:r>
          </w:p>
        </w:tc>
        <w:tc>
          <w:tcPr>
            <w:tcW w:w="1208" w:type="dxa"/>
            <w:vAlign w:val="bottom"/>
          </w:tcPr>
          <w:p>
            <w:pPr>
              <w:ind w:firstLine="0" w:firstLineChars="0"/>
              <w:jc w:val="right"/>
              <w:rPr>
                <w:rFonts w:ascii="仿宋" w:hAnsi="仿宋" w:eastAsia="仿宋" w:cs="仿宋"/>
                <w:color w:val="auto"/>
                <w:sz w:val="24"/>
                <w:szCs w:val="24"/>
              </w:rPr>
            </w:pPr>
            <w:r>
              <w:rPr>
                <w:rFonts w:hint="eastAsia" w:ascii="仿宋" w:hAnsi="仿宋" w:eastAsia="仿宋" w:cs="仿宋"/>
                <w:color w:val="auto"/>
                <w:sz w:val="24"/>
                <w:szCs w:val="24"/>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vAlign w:val="center"/>
          </w:tcPr>
          <w:p>
            <w:pPr>
              <w:ind w:firstLine="110" w:firstLineChars="5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20131</w:t>
            </w:r>
          </w:p>
        </w:tc>
        <w:tc>
          <w:tcPr>
            <w:tcW w:w="3969" w:type="dxa"/>
            <w:vAlign w:val="center"/>
          </w:tcPr>
          <w:p>
            <w:pPr>
              <w:ind w:firstLine="198" w:firstLineChars="9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党委办公厅（室）及相关机构事务</w:t>
            </w:r>
          </w:p>
        </w:tc>
        <w:tc>
          <w:tcPr>
            <w:tcW w:w="1276" w:type="dxa"/>
            <w:vAlign w:val="bottom"/>
          </w:tcPr>
          <w:p>
            <w:pPr>
              <w:widowControl/>
              <w:ind w:firstLine="0" w:firstLineChars="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86.57</w:t>
            </w:r>
          </w:p>
        </w:tc>
        <w:tc>
          <w:tcPr>
            <w:tcW w:w="1276" w:type="dxa"/>
            <w:vAlign w:val="bottom"/>
          </w:tcPr>
          <w:p>
            <w:pPr>
              <w:widowControl/>
              <w:ind w:firstLine="199" w:firstLineChars="83"/>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85.88</w:t>
            </w:r>
          </w:p>
        </w:tc>
        <w:tc>
          <w:tcPr>
            <w:tcW w:w="1208" w:type="dxa"/>
            <w:vAlign w:val="bottom"/>
          </w:tcPr>
          <w:p>
            <w:pPr>
              <w:ind w:firstLine="0" w:firstLineChars="0"/>
              <w:jc w:val="right"/>
              <w:rPr>
                <w:rFonts w:ascii="仿宋" w:hAnsi="仿宋" w:eastAsia="仿宋" w:cs="仿宋"/>
                <w:color w:val="auto"/>
                <w:sz w:val="24"/>
                <w:szCs w:val="24"/>
              </w:rPr>
            </w:pPr>
            <w:r>
              <w:rPr>
                <w:rFonts w:hint="eastAsia" w:ascii="仿宋" w:hAnsi="仿宋" w:eastAsia="仿宋" w:cs="仿宋"/>
                <w:color w:val="auto"/>
                <w:sz w:val="24"/>
                <w:szCs w:val="24"/>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vAlign w:val="center"/>
          </w:tcPr>
          <w:p>
            <w:pPr>
              <w:ind w:firstLine="220" w:firstLineChars="10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2013101</w:t>
            </w:r>
          </w:p>
        </w:tc>
        <w:tc>
          <w:tcPr>
            <w:tcW w:w="3969" w:type="dxa"/>
            <w:vAlign w:val="center"/>
          </w:tcPr>
          <w:p>
            <w:pPr>
              <w:ind w:firstLine="44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行政运行</w:t>
            </w:r>
          </w:p>
        </w:tc>
        <w:tc>
          <w:tcPr>
            <w:tcW w:w="1276" w:type="dxa"/>
            <w:vAlign w:val="bottom"/>
          </w:tcPr>
          <w:p>
            <w:pPr>
              <w:widowControl/>
              <w:ind w:firstLine="0" w:firstLineChars="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86.57</w:t>
            </w:r>
          </w:p>
        </w:tc>
        <w:tc>
          <w:tcPr>
            <w:tcW w:w="1276" w:type="dxa"/>
            <w:vAlign w:val="bottom"/>
          </w:tcPr>
          <w:p>
            <w:pPr>
              <w:widowControl/>
              <w:ind w:firstLine="120" w:firstLineChars="5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85.88</w:t>
            </w:r>
          </w:p>
        </w:tc>
        <w:tc>
          <w:tcPr>
            <w:tcW w:w="1208" w:type="dxa"/>
            <w:vAlign w:val="bottom"/>
          </w:tcPr>
          <w:p>
            <w:pPr>
              <w:ind w:firstLine="0" w:firstLineChars="0"/>
              <w:jc w:val="right"/>
              <w:rPr>
                <w:rFonts w:ascii="仿宋" w:hAnsi="仿宋" w:eastAsia="仿宋" w:cs="仿宋"/>
                <w:color w:val="auto"/>
                <w:sz w:val="24"/>
                <w:szCs w:val="24"/>
              </w:rPr>
            </w:pPr>
            <w:r>
              <w:rPr>
                <w:rFonts w:hint="eastAsia" w:ascii="仿宋" w:hAnsi="仿宋" w:eastAsia="仿宋" w:cs="仿宋"/>
                <w:color w:val="auto"/>
                <w:sz w:val="24"/>
                <w:szCs w:val="24"/>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vAlign w:val="center"/>
          </w:tcPr>
          <w:p>
            <w:pPr>
              <w:ind w:firstLine="0" w:firstLineChars="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208</w:t>
            </w:r>
          </w:p>
        </w:tc>
        <w:tc>
          <w:tcPr>
            <w:tcW w:w="3969" w:type="dxa"/>
            <w:vAlign w:val="center"/>
          </w:tcPr>
          <w:p>
            <w:pPr>
              <w:ind w:firstLine="0" w:firstLineChars="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社会保障和就业支出</w:t>
            </w:r>
          </w:p>
        </w:tc>
        <w:tc>
          <w:tcPr>
            <w:tcW w:w="1276" w:type="dxa"/>
            <w:vAlign w:val="bottom"/>
          </w:tcPr>
          <w:p>
            <w:pPr>
              <w:ind w:firstLine="0" w:firstLineChars="0"/>
              <w:jc w:val="right"/>
              <w:rPr>
                <w:rFonts w:ascii="仿宋" w:hAnsi="仿宋" w:eastAsia="仿宋" w:cs="仿宋"/>
                <w:color w:val="auto"/>
                <w:sz w:val="24"/>
                <w:szCs w:val="24"/>
              </w:rPr>
            </w:pPr>
            <w:r>
              <w:rPr>
                <w:rFonts w:hint="eastAsia" w:ascii="仿宋" w:hAnsi="仿宋" w:eastAsia="仿宋" w:cs="仿宋"/>
                <w:color w:val="auto"/>
                <w:sz w:val="24"/>
                <w:szCs w:val="24"/>
              </w:rPr>
              <w:t>114.04</w:t>
            </w:r>
          </w:p>
        </w:tc>
        <w:tc>
          <w:tcPr>
            <w:tcW w:w="1276" w:type="dxa"/>
            <w:vAlign w:val="bottom"/>
          </w:tcPr>
          <w:p>
            <w:pPr>
              <w:ind w:firstLine="0" w:firstLineChars="0"/>
              <w:jc w:val="right"/>
              <w:rPr>
                <w:rFonts w:ascii="仿宋" w:hAnsi="仿宋" w:eastAsia="仿宋" w:cs="仿宋"/>
                <w:color w:val="auto"/>
                <w:sz w:val="24"/>
                <w:szCs w:val="24"/>
              </w:rPr>
            </w:pPr>
            <w:r>
              <w:rPr>
                <w:rFonts w:hint="eastAsia" w:ascii="仿宋" w:hAnsi="仿宋" w:eastAsia="仿宋" w:cs="仿宋"/>
                <w:color w:val="auto"/>
                <w:sz w:val="24"/>
                <w:szCs w:val="24"/>
              </w:rPr>
              <w:t>397.35</w:t>
            </w:r>
          </w:p>
        </w:tc>
        <w:tc>
          <w:tcPr>
            <w:tcW w:w="1208" w:type="dxa"/>
            <w:vAlign w:val="bottom"/>
          </w:tcPr>
          <w:p>
            <w:pPr>
              <w:ind w:firstLine="0" w:firstLineChars="0"/>
              <w:jc w:val="right"/>
              <w:rPr>
                <w:rFonts w:ascii="仿宋" w:hAnsi="仿宋" w:eastAsia="仿宋" w:cs="仿宋"/>
                <w:color w:val="auto"/>
                <w:sz w:val="24"/>
                <w:szCs w:val="24"/>
              </w:rPr>
            </w:pPr>
            <w:r>
              <w:rPr>
                <w:rFonts w:hint="eastAsia" w:ascii="仿宋" w:hAnsi="仿宋" w:eastAsia="仿宋" w:cs="仿宋"/>
                <w:color w:val="auto"/>
                <w:sz w:val="24"/>
                <w:szCs w:val="24"/>
              </w:rPr>
              <w:t>248.43%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vAlign w:val="center"/>
          </w:tcPr>
          <w:p>
            <w:pPr>
              <w:ind w:firstLine="110" w:firstLineChars="5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20805</w:t>
            </w:r>
          </w:p>
        </w:tc>
        <w:tc>
          <w:tcPr>
            <w:tcW w:w="3969" w:type="dxa"/>
            <w:vAlign w:val="center"/>
          </w:tcPr>
          <w:p>
            <w:pPr>
              <w:ind w:firstLine="198" w:firstLineChars="9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行政事业单位养老支出</w:t>
            </w:r>
          </w:p>
        </w:tc>
        <w:tc>
          <w:tcPr>
            <w:tcW w:w="1276" w:type="dxa"/>
            <w:vAlign w:val="bottom"/>
          </w:tcPr>
          <w:p>
            <w:pPr>
              <w:widowControl/>
              <w:ind w:firstLine="0" w:firstLineChars="0"/>
              <w:jc w:val="right"/>
              <w:textAlignment w:val="center"/>
              <w:rPr>
                <w:rFonts w:ascii="仿宋" w:hAnsi="仿宋" w:eastAsia="仿宋" w:cs="仿宋"/>
                <w:color w:val="auto"/>
                <w:kern w:val="0"/>
                <w:sz w:val="22"/>
              </w:rPr>
            </w:pPr>
            <w:r>
              <w:rPr>
                <w:rFonts w:hint="eastAsia" w:ascii="仿宋" w:hAnsi="仿宋" w:eastAsia="仿宋" w:cs="仿宋"/>
                <w:color w:val="auto"/>
                <w:kern w:val="0"/>
                <w:sz w:val="22"/>
              </w:rPr>
              <w:t>114.04</w:t>
            </w:r>
          </w:p>
        </w:tc>
        <w:tc>
          <w:tcPr>
            <w:tcW w:w="1276" w:type="dxa"/>
            <w:vAlign w:val="bottom"/>
          </w:tcPr>
          <w:p>
            <w:pPr>
              <w:widowControl/>
              <w:ind w:firstLine="0" w:firstLineChars="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397.35</w:t>
            </w:r>
          </w:p>
        </w:tc>
        <w:tc>
          <w:tcPr>
            <w:tcW w:w="1208" w:type="dxa"/>
            <w:vAlign w:val="bottom"/>
          </w:tcPr>
          <w:p>
            <w:pPr>
              <w:ind w:firstLine="0" w:firstLineChars="0"/>
              <w:jc w:val="right"/>
              <w:rPr>
                <w:rFonts w:ascii="仿宋" w:hAnsi="仿宋" w:eastAsia="仿宋" w:cs="仿宋"/>
                <w:color w:val="auto"/>
                <w:sz w:val="24"/>
                <w:szCs w:val="24"/>
              </w:rPr>
            </w:pPr>
            <w:r>
              <w:rPr>
                <w:rFonts w:hint="eastAsia" w:ascii="仿宋" w:hAnsi="仿宋" w:eastAsia="仿宋" w:cs="仿宋"/>
                <w:color w:val="auto"/>
                <w:sz w:val="24"/>
                <w:szCs w:val="24"/>
              </w:rPr>
              <w:t>248.43%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vAlign w:val="center"/>
          </w:tcPr>
          <w:p>
            <w:pPr>
              <w:ind w:firstLine="220" w:firstLineChars="10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2080599</w:t>
            </w:r>
          </w:p>
        </w:tc>
        <w:tc>
          <w:tcPr>
            <w:tcW w:w="3969" w:type="dxa"/>
            <w:vAlign w:val="center"/>
          </w:tcPr>
          <w:p>
            <w:pPr>
              <w:ind w:firstLine="44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 xml:space="preserve"> 其他行政事业单位养老支出</w:t>
            </w:r>
          </w:p>
        </w:tc>
        <w:tc>
          <w:tcPr>
            <w:tcW w:w="1276" w:type="dxa"/>
            <w:vAlign w:val="bottom"/>
          </w:tcPr>
          <w:p>
            <w:pPr>
              <w:widowControl/>
              <w:ind w:firstLine="0" w:firstLineChars="0"/>
              <w:jc w:val="right"/>
              <w:textAlignment w:val="center"/>
              <w:rPr>
                <w:rFonts w:ascii="仿宋" w:hAnsi="仿宋" w:eastAsia="仿宋" w:cs="仿宋"/>
                <w:color w:val="auto"/>
                <w:kern w:val="0"/>
                <w:sz w:val="22"/>
              </w:rPr>
            </w:pPr>
            <w:r>
              <w:rPr>
                <w:rFonts w:hint="eastAsia" w:ascii="仿宋" w:hAnsi="仿宋" w:eastAsia="仿宋" w:cs="仿宋"/>
                <w:color w:val="auto"/>
                <w:kern w:val="0"/>
                <w:sz w:val="22"/>
              </w:rPr>
              <w:t>114.04</w:t>
            </w:r>
          </w:p>
        </w:tc>
        <w:tc>
          <w:tcPr>
            <w:tcW w:w="1276" w:type="dxa"/>
            <w:vAlign w:val="bottom"/>
          </w:tcPr>
          <w:p>
            <w:pPr>
              <w:widowControl/>
              <w:ind w:firstLine="0" w:firstLineChars="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397.35</w:t>
            </w:r>
          </w:p>
        </w:tc>
        <w:tc>
          <w:tcPr>
            <w:tcW w:w="1208" w:type="dxa"/>
            <w:vAlign w:val="bottom"/>
          </w:tcPr>
          <w:p>
            <w:pPr>
              <w:ind w:firstLine="0" w:firstLineChars="0"/>
              <w:jc w:val="right"/>
              <w:rPr>
                <w:rFonts w:ascii="仿宋" w:hAnsi="仿宋" w:eastAsia="仿宋" w:cs="仿宋"/>
                <w:color w:val="auto"/>
                <w:sz w:val="24"/>
                <w:szCs w:val="24"/>
              </w:rPr>
            </w:pPr>
            <w:r>
              <w:rPr>
                <w:rFonts w:hint="eastAsia" w:ascii="仿宋" w:hAnsi="仿宋" w:eastAsia="仿宋" w:cs="仿宋"/>
                <w:color w:val="auto"/>
                <w:sz w:val="24"/>
                <w:szCs w:val="24"/>
              </w:rPr>
              <w:t>248.43%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vAlign w:val="center"/>
          </w:tcPr>
          <w:p>
            <w:pPr>
              <w:ind w:firstLine="0" w:firstLineChars="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210</w:t>
            </w:r>
          </w:p>
        </w:tc>
        <w:tc>
          <w:tcPr>
            <w:tcW w:w="3969" w:type="dxa"/>
            <w:vAlign w:val="center"/>
          </w:tcPr>
          <w:p>
            <w:pPr>
              <w:ind w:firstLine="0" w:firstLineChars="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卫生健康支出</w:t>
            </w:r>
          </w:p>
        </w:tc>
        <w:tc>
          <w:tcPr>
            <w:tcW w:w="1276" w:type="dxa"/>
            <w:vAlign w:val="bottom"/>
          </w:tcPr>
          <w:p>
            <w:pPr>
              <w:widowControl/>
              <w:ind w:firstLine="440"/>
              <w:jc w:val="right"/>
              <w:textAlignment w:val="center"/>
              <w:rPr>
                <w:rFonts w:ascii="仿宋" w:hAnsi="仿宋" w:eastAsia="仿宋" w:cs="仿宋"/>
                <w:color w:val="auto"/>
                <w:kern w:val="0"/>
                <w:sz w:val="22"/>
              </w:rPr>
            </w:pPr>
          </w:p>
        </w:tc>
        <w:tc>
          <w:tcPr>
            <w:tcW w:w="1276" w:type="dxa"/>
            <w:vAlign w:val="bottom"/>
          </w:tcPr>
          <w:p>
            <w:pPr>
              <w:widowControl/>
              <w:ind w:firstLine="0" w:firstLineChars="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2.59</w:t>
            </w:r>
          </w:p>
        </w:tc>
        <w:tc>
          <w:tcPr>
            <w:tcW w:w="1208" w:type="dxa"/>
            <w:vAlign w:val="bottom"/>
          </w:tcPr>
          <w:p>
            <w:pPr>
              <w:ind w:firstLine="480"/>
              <w:jc w:val="right"/>
              <w:rPr>
                <w:rFonts w:ascii="仿宋" w:hAnsi="仿宋" w:eastAsia="仿宋" w:cs="仿宋"/>
                <w:color w:val="auto"/>
                <w:sz w:val="24"/>
                <w:szCs w:val="24"/>
              </w:rPr>
            </w:pPr>
            <w:r>
              <w:rPr>
                <w:rFonts w:hint="eastAsia" w:ascii="仿宋" w:hAnsi="仿宋" w:eastAsia="仿宋" w:cs="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vAlign w:val="center"/>
          </w:tcPr>
          <w:p>
            <w:pPr>
              <w:ind w:firstLine="110" w:firstLineChars="5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21011</w:t>
            </w:r>
          </w:p>
        </w:tc>
        <w:tc>
          <w:tcPr>
            <w:tcW w:w="3969" w:type="dxa"/>
            <w:vAlign w:val="center"/>
          </w:tcPr>
          <w:p>
            <w:pPr>
              <w:ind w:firstLine="198" w:firstLineChars="9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行政事业单位医疗</w:t>
            </w:r>
          </w:p>
        </w:tc>
        <w:tc>
          <w:tcPr>
            <w:tcW w:w="1276" w:type="dxa"/>
            <w:vAlign w:val="bottom"/>
          </w:tcPr>
          <w:p>
            <w:pPr>
              <w:widowControl/>
              <w:ind w:firstLine="480"/>
              <w:jc w:val="right"/>
              <w:textAlignment w:val="center"/>
              <w:rPr>
                <w:rFonts w:ascii="仿宋" w:hAnsi="仿宋" w:eastAsia="仿宋" w:cs="仿宋"/>
                <w:color w:val="auto"/>
                <w:sz w:val="24"/>
                <w:szCs w:val="24"/>
              </w:rPr>
            </w:pPr>
          </w:p>
        </w:tc>
        <w:tc>
          <w:tcPr>
            <w:tcW w:w="1276" w:type="dxa"/>
            <w:vAlign w:val="bottom"/>
          </w:tcPr>
          <w:p>
            <w:pPr>
              <w:widowControl/>
              <w:ind w:firstLine="0" w:firstLineChars="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2.59</w:t>
            </w:r>
          </w:p>
        </w:tc>
        <w:tc>
          <w:tcPr>
            <w:tcW w:w="1208" w:type="dxa"/>
          </w:tcPr>
          <w:p>
            <w:pPr>
              <w:ind w:firstLine="480"/>
              <w:jc w:val="right"/>
              <w:rPr>
                <w:color w:val="auto"/>
              </w:rPr>
            </w:pPr>
            <w:r>
              <w:rPr>
                <w:rFonts w:hint="eastAsia" w:ascii="仿宋" w:hAnsi="仿宋" w:eastAsia="仿宋" w:cs="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vAlign w:val="center"/>
          </w:tcPr>
          <w:p>
            <w:pPr>
              <w:ind w:firstLine="220" w:firstLineChars="10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2101101</w:t>
            </w:r>
          </w:p>
        </w:tc>
        <w:tc>
          <w:tcPr>
            <w:tcW w:w="3969" w:type="dxa"/>
            <w:vAlign w:val="center"/>
          </w:tcPr>
          <w:p>
            <w:pPr>
              <w:ind w:firstLine="440"/>
              <w:rPr>
                <w:rFonts w:cs="Arial" w:asciiTheme="minorEastAsia" w:hAnsiTheme="minorEastAsia" w:eastAsiaTheme="minorEastAsia"/>
                <w:color w:val="auto"/>
                <w:sz w:val="22"/>
              </w:rPr>
            </w:pPr>
            <w:r>
              <w:rPr>
                <w:rFonts w:hint="eastAsia" w:cs="Arial" w:asciiTheme="minorEastAsia" w:hAnsiTheme="minorEastAsia" w:eastAsiaTheme="minorEastAsia"/>
                <w:color w:val="auto"/>
                <w:sz w:val="22"/>
              </w:rPr>
              <w:t xml:space="preserve"> 行政单位医疗</w:t>
            </w:r>
          </w:p>
        </w:tc>
        <w:tc>
          <w:tcPr>
            <w:tcW w:w="1276" w:type="dxa"/>
            <w:vAlign w:val="bottom"/>
          </w:tcPr>
          <w:p>
            <w:pPr>
              <w:widowControl/>
              <w:ind w:firstLine="480"/>
              <w:jc w:val="right"/>
              <w:textAlignment w:val="center"/>
              <w:rPr>
                <w:rFonts w:ascii="仿宋" w:hAnsi="仿宋" w:eastAsia="仿宋" w:cs="仿宋"/>
                <w:color w:val="auto"/>
                <w:sz w:val="24"/>
                <w:szCs w:val="24"/>
              </w:rPr>
            </w:pPr>
          </w:p>
        </w:tc>
        <w:tc>
          <w:tcPr>
            <w:tcW w:w="1276" w:type="dxa"/>
            <w:vAlign w:val="bottom"/>
          </w:tcPr>
          <w:p>
            <w:pPr>
              <w:widowControl/>
              <w:ind w:firstLine="0" w:firstLineChars="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2.59</w:t>
            </w:r>
          </w:p>
        </w:tc>
        <w:tc>
          <w:tcPr>
            <w:tcW w:w="1208" w:type="dxa"/>
          </w:tcPr>
          <w:p>
            <w:pPr>
              <w:ind w:firstLine="480"/>
              <w:jc w:val="right"/>
              <w:rPr>
                <w:color w:val="auto"/>
              </w:rPr>
            </w:pPr>
            <w:r>
              <w:rPr>
                <w:rFonts w:hint="eastAsia" w:ascii="仿宋" w:hAnsi="仿宋" w:eastAsia="仿宋" w:cs="仿宋"/>
                <w:color w:val="auto"/>
                <w:sz w:val="24"/>
                <w:szCs w:val="24"/>
              </w:rPr>
              <w:t>——</w:t>
            </w:r>
          </w:p>
        </w:tc>
      </w:tr>
    </w:tbl>
    <w:p>
      <w:pPr>
        <w:numPr>
          <w:ilvl w:val="0"/>
          <w:numId w:val="1"/>
        </w:numPr>
        <w:ind w:firstLine="640"/>
        <w:jc w:val="left"/>
        <w:rPr>
          <w:rFonts w:ascii="仿宋" w:hAnsi="仿宋" w:eastAsia="仿宋" w:cs="仿宋"/>
          <w:color w:val="auto"/>
          <w:szCs w:val="32"/>
        </w:rPr>
      </w:pPr>
      <w:r>
        <w:rPr>
          <w:rFonts w:hint="eastAsia" w:ascii="仿宋" w:hAnsi="仿宋" w:eastAsia="仿宋" w:cs="仿宋"/>
          <w:color w:val="auto"/>
          <w:szCs w:val="32"/>
        </w:rPr>
        <w:t>按经济科目分类对比如下：</w:t>
      </w:r>
    </w:p>
    <w:p>
      <w:pPr>
        <w:ind w:firstLine="602"/>
        <w:jc w:val="left"/>
        <w:rPr>
          <w:rFonts w:ascii="仿宋" w:hAnsi="仿宋" w:eastAsia="仿宋" w:cs="仿宋"/>
          <w:color w:val="auto"/>
          <w:sz w:val="30"/>
          <w:szCs w:val="30"/>
        </w:rPr>
      </w:pPr>
      <w:r>
        <w:rPr>
          <w:rFonts w:hint="eastAsia" w:ascii="仿宋" w:hAnsi="仿宋" w:eastAsia="仿宋" w:cs="Arial"/>
          <w:b/>
          <w:color w:val="auto"/>
          <w:kern w:val="0"/>
          <w:sz w:val="30"/>
          <w:szCs w:val="30"/>
        </w:rPr>
        <w:t>2020年度支出经济科目分类决算对比表      单位：万元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color w:val="auto"/>
                <w:kern w:val="0"/>
                <w:sz w:val="28"/>
                <w:szCs w:val="28"/>
              </w:rPr>
            </w:pPr>
            <w:r>
              <w:rPr>
                <w:rFonts w:hint="eastAsia" w:ascii="仿宋" w:hAnsi="仿宋" w:eastAsia="仿宋" w:cs="仿宋"/>
                <w:b/>
                <w:color w:val="auto"/>
                <w:kern w:val="0"/>
                <w:sz w:val="28"/>
                <w:szCs w:val="28"/>
              </w:rPr>
              <w:t>科目名称</w:t>
            </w:r>
          </w:p>
        </w:tc>
        <w:tc>
          <w:tcPr>
            <w:tcW w:w="1837" w:type="dxa"/>
          </w:tcPr>
          <w:p>
            <w:pPr>
              <w:widowControl/>
              <w:ind w:firstLine="482"/>
              <w:jc w:val="left"/>
              <w:rPr>
                <w:rFonts w:ascii="仿宋" w:hAnsi="仿宋" w:eastAsia="仿宋" w:cs="仿宋"/>
                <w:b/>
                <w:color w:val="auto"/>
                <w:kern w:val="0"/>
                <w:sz w:val="28"/>
                <w:szCs w:val="28"/>
              </w:rPr>
            </w:pPr>
            <w:r>
              <w:rPr>
                <w:rFonts w:hint="eastAsia" w:ascii="仿宋" w:hAnsi="仿宋" w:eastAsia="仿宋" w:cs="仿宋"/>
                <w:b/>
                <w:color w:val="auto"/>
                <w:kern w:val="0"/>
                <w:sz w:val="24"/>
                <w:szCs w:val="24"/>
              </w:rPr>
              <w:t>2020年</w:t>
            </w:r>
          </w:p>
        </w:tc>
        <w:tc>
          <w:tcPr>
            <w:tcW w:w="2071" w:type="dxa"/>
          </w:tcPr>
          <w:p>
            <w:pPr>
              <w:widowControl/>
              <w:ind w:firstLine="482"/>
              <w:jc w:val="left"/>
              <w:rPr>
                <w:rFonts w:ascii="仿宋" w:hAnsi="仿宋" w:eastAsia="仿宋" w:cs="仿宋"/>
                <w:b/>
                <w:color w:val="auto"/>
                <w:kern w:val="0"/>
                <w:sz w:val="28"/>
                <w:szCs w:val="28"/>
              </w:rPr>
            </w:pPr>
            <w:r>
              <w:rPr>
                <w:rFonts w:hint="eastAsia" w:ascii="仿宋" w:hAnsi="仿宋" w:eastAsia="仿宋" w:cs="仿宋"/>
                <w:b/>
                <w:color w:val="auto"/>
                <w:kern w:val="0"/>
                <w:sz w:val="24"/>
                <w:szCs w:val="24"/>
              </w:rPr>
              <w:t>2021年</w:t>
            </w:r>
          </w:p>
        </w:tc>
        <w:tc>
          <w:tcPr>
            <w:tcW w:w="1956" w:type="dxa"/>
          </w:tcPr>
          <w:p>
            <w:pPr>
              <w:widowControl/>
              <w:ind w:firstLine="482"/>
              <w:jc w:val="left"/>
              <w:rPr>
                <w:rFonts w:ascii="仿宋" w:hAnsi="仿宋" w:eastAsia="仿宋" w:cs="仿宋"/>
                <w:b/>
                <w:color w:val="auto"/>
                <w:kern w:val="0"/>
                <w:sz w:val="28"/>
                <w:szCs w:val="28"/>
              </w:rPr>
            </w:pPr>
            <w:r>
              <w:rPr>
                <w:rFonts w:hint="eastAsia" w:ascii="仿宋" w:hAnsi="仿宋" w:eastAsia="仿宋" w:cs="仿宋"/>
                <w:b/>
                <w:color w:val="auto"/>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2876" w:type="dxa"/>
            <w:vAlign w:val="center"/>
          </w:tcPr>
          <w:p>
            <w:pPr>
              <w:widowControl/>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合  计</w:t>
            </w:r>
          </w:p>
        </w:tc>
        <w:tc>
          <w:tcPr>
            <w:tcW w:w="1837" w:type="dxa"/>
            <w:vAlign w:val="bottom"/>
          </w:tcPr>
          <w:p>
            <w:pPr>
              <w:widowControl/>
              <w:ind w:firstLine="480"/>
              <w:jc w:val="right"/>
              <w:rPr>
                <w:rFonts w:ascii="仿宋" w:hAnsi="仿宋" w:eastAsia="仿宋" w:cs="仿宋"/>
                <w:color w:val="auto"/>
                <w:kern w:val="0"/>
                <w:sz w:val="24"/>
                <w:szCs w:val="24"/>
              </w:rPr>
            </w:pPr>
            <w:r>
              <w:rPr>
                <w:rFonts w:hint="eastAsia" w:ascii="仿宋" w:hAnsi="仿宋" w:eastAsia="仿宋" w:cs="仿宋"/>
                <w:color w:val="auto"/>
                <w:kern w:val="0"/>
                <w:sz w:val="24"/>
                <w:szCs w:val="24"/>
              </w:rPr>
              <w:t>200.61</w:t>
            </w:r>
          </w:p>
        </w:tc>
        <w:tc>
          <w:tcPr>
            <w:tcW w:w="2071" w:type="dxa"/>
            <w:vAlign w:val="bottom"/>
          </w:tcPr>
          <w:p>
            <w:pPr>
              <w:widowControl/>
              <w:ind w:firstLine="480"/>
              <w:jc w:val="right"/>
              <w:textAlignment w:val="center"/>
              <w:rPr>
                <w:rFonts w:ascii="仿宋" w:hAnsi="仿宋" w:eastAsia="仿宋" w:cs="仿宋"/>
                <w:color w:val="auto"/>
                <w:kern w:val="0"/>
                <w:sz w:val="24"/>
                <w:szCs w:val="24"/>
              </w:rPr>
            </w:pPr>
            <w:r>
              <w:rPr>
                <w:rFonts w:hint="eastAsia" w:ascii="仿宋" w:hAnsi="仿宋" w:eastAsia="仿宋" w:cs="仿宋"/>
                <w:color w:val="auto"/>
                <w:kern w:val="0"/>
                <w:sz w:val="24"/>
                <w:szCs w:val="24"/>
              </w:rPr>
              <w:t>485.82</w:t>
            </w:r>
          </w:p>
        </w:tc>
        <w:tc>
          <w:tcPr>
            <w:tcW w:w="1956" w:type="dxa"/>
            <w:vAlign w:val="bottom"/>
          </w:tcPr>
          <w:p>
            <w:pPr>
              <w:widowControl/>
              <w:ind w:right="80" w:firstLine="240" w:firstLineChars="100"/>
              <w:jc w:val="right"/>
              <w:rPr>
                <w:rFonts w:ascii="仿宋" w:hAnsi="仿宋" w:eastAsia="仿宋" w:cs="仿宋"/>
                <w:color w:val="auto"/>
                <w:kern w:val="0"/>
                <w:sz w:val="24"/>
                <w:szCs w:val="24"/>
              </w:rPr>
            </w:pPr>
            <w:r>
              <w:rPr>
                <w:rFonts w:hint="eastAsia" w:ascii="仿宋" w:hAnsi="仿宋" w:eastAsia="仿宋" w:cs="仿宋"/>
                <w:color w:val="auto"/>
                <w:sz w:val="24"/>
                <w:szCs w:val="24"/>
              </w:rPr>
              <w:t>142.17%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trPr>
        <w:tc>
          <w:tcPr>
            <w:tcW w:w="2876" w:type="dxa"/>
            <w:vAlign w:val="center"/>
          </w:tcPr>
          <w:p>
            <w:pPr>
              <w:widowControl/>
              <w:ind w:firstLine="56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工资福利支出</w:t>
            </w:r>
          </w:p>
        </w:tc>
        <w:tc>
          <w:tcPr>
            <w:tcW w:w="1837" w:type="dxa"/>
            <w:vAlign w:val="bottom"/>
          </w:tcPr>
          <w:p>
            <w:pPr>
              <w:widowControl/>
              <w:ind w:firstLine="480"/>
              <w:jc w:val="right"/>
              <w:rPr>
                <w:rFonts w:ascii="仿宋" w:hAnsi="仿宋" w:eastAsia="仿宋" w:cs="仿宋"/>
                <w:color w:val="auto"/>
                <w:kern w:val="0"/>
                <w:sz w:val="24"/>
                <w:szCs w:val="24"/>
              </w:rPr>
            </w:pPr>
            <w:r>
              <w:rPr>
                <w:rFonts w:hint="eastAsia" w:ascii="仿宋" w:hAnsi="仿宋" w:eastAsia="仿宋" w:cs="仿宋"/>
                <w:color w:val="auto"/>
                <w:kern w:val="0"/>
                <w:sz w:val="24"/>
                <w:szCs w:val="24"/>
              </w:rPr>
              <w:t>79.41</w:t>
            </w:r>
          </w:p>
        </w:tc>
        <w:tc>
          <w:tcPr>
            <w:tcW w:w="2071" w:type="dxa"/>
            <w:vAlign w:val="bottom"/>
          </w:tcPr>
          <w:p>
            <w:pPr>
              <w:widowControl/>
              <w:ind w:firstLine="480"/>
              <w:jc w:val="right"/>
              <w:textAlignment w:val="center"/>
              <w:rPr>
                <w:rFonts w:ascii="仿宋" w:hAnsi="仿宋" w:eastAsia="仿宋" w:cs="仿宋"/>
                <w:color w:val="auto"/>
                <w:kern w:val="0"/>
                <w:sz w:val="24"/>
                <w:szCs w:val="24"/>
              </w:rPr>
            </w:pPr>
            <w:r>
              <w:rPr>
                <w:rFonts w:hint="eastAsia" w:ascii="仿宋" w:hAnsi="仿宋" w:eastAsia="仿宋" w:cs="仿宋"/>
                <w:color w:val="auto"/>
                <w:kern w:val="0"/>
                <w:sz w:val="24"/>
                <w:szCs w:val="24"/>
              </w:rPr>
              <w:t>77.34</w:t>
            </w:r>
          </w:p>
        </w:tc>
        <w:tc>
          <w:tcPr>
            <w:tcW w:w="1956" w:type="dxa"/>
            <w:vAlign w:val="bottom"/>
          </w:tcPr>
          <w:p>
            <w:pPr>
              <w:widowControl/>
              <w:ind w:firstLine="480"/>
              <w:jc w:val="right"/>
              <w:rPr>
                <w:rFonts w:ascii="仿宋" w:hAnsi="仿宋" w:eastAsia="仿宋" w:cs="仿宋"/>
                <w:color w:val="auto"/>
                <w:kern w:val="0"/>
                <w:sz w:val="24"/>
                <w:szCs w:val="24"/>
              </w:rPr>
            </w:pPr>
            <w:r>
              <w:rPr>
                <w:rFonts w:hint="eastAsia" w:ascii="仿宋" w:hAnsi="仿宋" w:eastAsia="仿宋" w:cs="仿宋"/>
                <w:color w:val="auto"/>
                <w:kern w:val="0"/>
                <w:sz w:val="24"/>
                <w:szCs w:val="24"/>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2876" w:type="dxa"/>
            <w:vAlign w:val="center"/>
          </w:tcPr>
          <w:p>
            <w:pPr>
              <w:widowControl/>
              <w:ind w:firstLine="56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商品服务支出</w:t>
            </w:r>
          </w:p>
        </w:tc>
        <w:tc>
          <w:tcPr>
            <w:tcW w:w="1837" w:type="dxa"/>
            <w:vAlign w:val="bottom"/>
          </w:tcPr>
          <w:p>
            <w:pPr>
              <w:widowControl/>
              <w:ind w:firstLine="480"/>
              <w:jc w:val="right"/>
              <w:rPr>
                <w:rFonts w:ascii="仿宋" w:hAnsi="仿宋" w:eastAsia="仿宋" w:cs="仿宋"/>
                <w:color w:val="auto"/>
                <w:kern w:val="0"/>
                <w:sz w:val="24"/>
                <w:szCs w:val="24"/>
              </w:rPr>
            </w:pPr>
            <w:r>
              <w:rPr>
                <w:rFonts w:hint="eastAsia" w:ascii="仿宋" w:hAnsi="仿宋" w:eastAsia="仿宋" w:cs="仿宋"/>
                <w:color w:val="auto"/>
                <w:kern w:val="0"/>
                <w:sz w:val="24"/>
                <w:szCs w:val="24"/>
              </w:rPr>
              <w:t>101.39</w:t>
            </w:r>
          </w:p>
        </w:tc>
        <w:tc>
          <w:tcPr>
            <w:tcW w:w="2071" w:type="dxa"/>
            <w:vAlign w:val="bottom"/>
          </w:tcPr>
          <w:p>
            <w:pPr>
              <w:widowControl/>
              <w:ind w:firstLine="480"/>
              <w:jc w:val="right"/>
              <w:textAlignment w:val="center"/>
              <w:rPr>
                <w:rFonts w:ascii="仿宋" w:hAnsi="仿宋" w:eastAsia="仿宋" w:cs="仿宋"/>
                <w:color w:val="auto"/>
                <w:kern w:val="0"/>
                <w:sz w:val="24"/>
                <w:szCs w:val="24"/>
              </w:rPr>
            </w:pPr>
            <w:r>
              <w:rPr>
                <w:rFonts w:hint="eastAsia" w:ascii="仿宋" w:hAnsi="仿宋" w:eastAsia="仿宋" w:cs="仿宋"/>
                <w:color w:val="auto"/>
                <w:kern w:val="0"/>
                <w:sz w:val="24"/>
                <w:szCs w:val="24"/>
              </w:rPr>
              <w:t>37.41</w:t>
            </w:r>
          </w:p>
        </w:tc>
        <w:tc>
          <w:tcPr>
            <w:tcW w:w="1956" w:type="dxa"/>
            <w:vAlign w:val="bottom"/>
          </w:tcPr>
          <w:p>
            <w:pPr>
              <w:widowControl/>
              <w:ind w:firstLine="480"/>
              <w:jc w:val="right"/>
              <w:rPr>
                <w:rFonts w:ascii="仿宋" w:hAnsi="仿宋" w:eastAsia="仿宋" w:cs="仿宋"/>
                <w:color w:val="auto"/>
                <w:kern w:val="0"/>
                <w:sz w:val="24"/>
                <w:szCs w:val="24"/>
              </w:rPr>
            </w:pPr>
            <w:r>
              <w:rPr>
                <w:rFonts w:hint="eastAsia" w:ascii="仿宋" w:hAnsi="仿宋" w:eastAsia="仿宋" w:cs="仿宋"/>
                <w:color w:val="auto"/>
                <w:kern w:val="0"/>
                <w:sz w:val="24"/>
                <w:szCs w:val="24"/>
              </w:rPr>
              <w:t>-63.10%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2876" w:type="dxa"/>
            <w:vAlign w:val="center"/>
          </w:tcPr>
          <w:p>
            <w:pPr>
              <w:widowControl/>
              <w:ind w:firstLine="0" w:firstLineChars="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对个人和家庭的补助</w:t>
            </w:r>
          </w:p>
        </w:tc>
        <w:tc>
          <w:tcPr>
            <w:tcW w:w="1837" w:type="dxa"/>
            <w:vAlign w:val="bottom"/>
          </w:tcPr>
          <w:p>
            <w:pPr>
              <w:widowControl/>
              <w:ind w:firstLine="480"/>
              <w:jc w:val="right"/>
              <w:rPr>
                <w:rFonts w:ascii="仿宋" w:hAnsi="仿宋" w:eastAsia="仿宋" w:cs="仿宋"/>
                <w:color w:val="auto"/>
                <w:kern w:val="0"/>
                <w:sz w:val="24"/>
                <w:szCs w:val="24"/>
              </w:rPr>
            </w:pPr>
            <w:r>
              <w:rPr>
                <w:rFonts w:hint="eastAsia" w:ascii="仿宋" w:hAnsi="仿宋" w:eastAsia="仿宋" w:cs="仿宋"/>
                <w:color w:val="auto"/>
                <w:kern w:val="0"/>
                <w:sz w:val="24"/>
                <w:szCs w:val="24"/>
              </w:rPr>
              <w:t>19.80</w:t>
            </w:r>
          </w:p>
        </w:tc>
        <w:tc>
          <w:tcPr>
            <w:tcW w:w="2071" w:type="dxa"/>
            <w:vAlign w:val="bottom"/>
          </w:tcPr>
          <w:p>
            <w:pPr>
              <w:widowControl/>
              <w:ind w:firstLine="480"/>
              <w:jc w:val="right"/>
              <w:rPr>
                <w:rFonts w:ascii="仿宋" w:hAnsi="仿宋" w:eastAsia="仿宋" w:cs="仿宋"/>
                <w:color w:val="auto"/>
                <w:kern w:val="0"/>
                <w:sz w:val="24"/>
                <w:szCs w:val="24"/>
              </w:rPr>
            </w:pPr>
            <w:r>
              <w:rPr>
                <w:rFonts w:hint="eastAsia" w:ascii="仿宋" w:hAnsi="仿宋" w:eastAsia="仿宋" w:cs="仿宋"/>
                <w:color w:val="auto"/>
                <w:kern w:val="0"/>
                <w:sz w:val="24"/>
                <w:szCs w:val="24"/>
              </w:rPr>
              <w:t>49.57</w:t>
            </w:r>
          </w:p>
        </w:tc>
        <w:tc>
          <w:tcPr>
            <w:tcW w:w="1956" w:type="dxa"/>
            <w:vAlign w:val="bottom"/>
          </w:tcPr>
          <w:p>
            <w:pPr>
              <w:widowControl/>
              <w:ind w:firstLine="480"/>
              <w:jc w:val="right"/>
              <w:rPr>
                <w:rFonts w:ascii="仿宋" w:hAnsi="仿宋" w:eastAsia="仿宋" w:cs="仿宋"/>
                <w:color w:val="auto"/>
                <w:kern w:val="0"/>
                <w:sz w:val="24"/>
                <w:szCs w:val="24"/>
              </w:rPr>
            </w:pPr>
            <w:r>
              <w:rPr>
                <w:rFonts w:hint="eastAsia" w:ascii="仿宋" w:hAnsi="仿宋" w:eastAsia="仿宋" w:cs="仿宋"/>
                <w:color w:val="auto"/>
                <w:kern w:val="0"/>
                <w:sz w:val="24"/>
                <w:szCs w:val="24"/>
              </w:rPr>
              <w:t>150.35%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color w:val="auto"/>
                <w:kern w:val="0"/>
                <w:sz w:val="28"/>
                <w:szCs w:val="28"/>
              </w:rPr>
            </w:pPr>
            <w:r>
              <w:rPr>
                <w:rFonts w:hint="eastAsia" w:ascii="仿宋" w:hAnsi="仿宋" w:eastAsia="仿宋" w:cs="仿宋"/>
                <w:color w:val="auto"/>
                <w:kern w:val="0"/>
                <w:sz w:val="28"/>
                <w:szCs w:val="28"/>
              </w:rPr>
              <w:t>资本性支出</w:t>
            </w:r>
          </w:p>
        </w:tc>
        <w:tc>
          <w:tcPr>
            <w:tcW w:w="1837" w:type="dxa"/>
            <w:vAlign w:val="bottom"/>
          </w:tcPr>
          <w:p>
            <w:pPr>
              <w:widowControl/>
              <w:ind w:firstLine="480"/>
              <w:jc w:val="right"/>
              <w:rPr>
                <w:rFonts w:ascii="仿宋" w:hAnsi="仿宋" w:eastAsia="仿宋" w:cs="仿宋"/>
                <w:color w:val="auto"/>
                <w:kern w:val="0"/>
                <w:sz w:val="24"/>
                <w:szCs w:val="24"/>
              </w:rPr>
            </w:pPr>
          </w:p>
        </w:tc>
        <w:tc>
          <w:tcPr>
            <w:tcW w:w="2071" w:type="dxa"/>
            <w:vAlign w:val="bottom"/>
          </w:tcPr>
          <w:p>
            <w:pPr>
              <w:widowControl/>
              <w:ind w:firstLine="48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321.50</w:t>
            </w:r>
          </w:p>
        </w:tc>
        <w:tc>
          <w:tcPr>
            <w:tcW w:w="1956" w:type="dxa"/>
            <w:vAlign w:val="bottom"/>
          </w:tcPr>
          <w:p>
            <w:pPr>
              <w:widowControl/>
              <w:ind w:firstLine="480"/>
              <w:jc w:val="right"/>
              <w:rPr>
                <w:rFonts w:ascii="仿宋" w:hAnsi="仿宋" w:eastAsia="仿宋" w:cs="仿宋"/>
                <w:color w:val="auto"/>
                <w:kern w:val="0"/>
                <w:sz w:val="24"/>
                <w:szCs w:val="24"/>
              </w:rPr>
            </w:pPr>
            <w:r>
              <w:rPr>
                <w:rFonts w:hint="eastAsia" w:ascii="仿宋" w:hAnsi="仿宋" w:eastAsia="仿宋" w:cs="仿宋"/>
                <w:color w:val="auto"/>
                <w:sz w:val="24"/>
                <w:szCs w:val="24"/>
              </w:rPr>
              <w:t>——</w:t>
            </w:r>
          </w:p>
        </w:tc>
      </w:tr>
    </w:tbl>
    <w:p>
      <w:pPr>
        <w:spacing w:line="580" w:lineRule="exact"/>
        <w:ind w:firstLine="0" w:firstLineChars="0"/>
        <w:rPr>
          <w:color w:val="auto"/>
          <w:szCs w:val="32"/>
        </w:rPr>
      </w:pPr>
    </w:p>
    <w:p>
      <w:pPr>
        <w:pStyle w:val="3"/>
        <w:ind w:firstLine="643"/>
        <w:rPr>
          <w:rFonts w:ascii="仿宋" w:hAnsi="仿宋" w:eastAsia="仿宋" w:cs="仿宋"/>
          <w:color w:val="auto"/>
        </w:rPr>
      </w:pPr>
      <w:bookmarkStart w:id="21" w:name="_Toc841"/>
      <w:bookmarkStart w:id="22" w:name="_Toc17728"/>
      <w:r>
        <w:rPr>
          <w:rFonts w:hint="eastAsia" w:ascii="仿宋" w:hAnsi="仿宋" w:eastAsia="仿宋" w:cs="仿宋"/>
          <w:color w:val="auto"/>
        </w:rPr>
        <w:t>六、一般公共预算财政拨款基本支出决算情况说明</w:t>
      </w:r>
      <w:bookmarkEnd w:id="21"/>
      <w:bookmarkEnd w:id="22"/>
    </w:p>
    <w:p>
      <w:pPr>
        <w:spacing w:line="580" w:lineRule="exact"/>
        <w:ind w:firstLine="640"/>
        <w:rPr>
          <w:rFonts w:ascii="仿宋_GB2312"/>
          <w:color w:val="auto"/>
          <w:szCs w:val="32"/>
        </w:rPr>
      </w:pPr>
      <w:r>
        <w:rPr>
          <w:rFonts w:hint="eastAsia" w:ascii="仿宋_GB2312"/>
          <w:color w:val="auto"/>
          <w:szCs w:val="32"/>
        </w:rPr>
        <w:t>2021年度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rPr>
        <w:t>185.82万元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rPr>
        <w:t>77.34万元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rPr>
        <w:t>基本工资31.99万元、津贴补贴15.42万元、绩效工资10.41万元、机关事业单位养老保险费6.66万元等</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rPr>
        <w:t>37.41万元</w:t>
      </w:r>
      <w:r>
        <w:rPr>
          <w:rFonts w:ascii="仿宋_GB2312"/>
          <w:color w:val="auto"/>
          <w:szCs w:val="32"/>
        </w:rPr>
        <w:t>，主要</w:t>
      </w:r>
      <w:r>
        <w:rPr>
          <w:rFonts w:hint="eastAsia" w:ascii="仿宋_GB2312"/>
          <w:color w:val="auto"/>
          <w:szCs w:val="32"/>
        </w:rPr>
        <w:t>包括订阅《老年报》等办公费25.82万元、印刷费2.10万元、维修费1.32万元、公务用车运行维护费1.74万元、其他交通费2.28万元等</w:t>
      </w:r>
      <w:r>
        <w:rPr>
          <w:rFonts w:ascii="仿宋_GB2312"/>
          <w:color w:val="auto"/>
          <w:szCs w:val="32"/>
        </w:rPr>
        <w:t>。</w:t>
      </w:r>
      <w:r>
        <w:rPr>
          <w:rFonts w:hint="eastAsia" w:ascii="仿宋_GB2312"/>
          <w:color w:val="auto"/>
          <w:szCs w:val="32"/>
        </w:rPr>
        <w:t>2021年度</w:t>
      </w:r>
      <w:r>
        <w:rPr>
          <w:rFonts w:ascii="仿宋_GB2312"/>
          <w:color w:val="auto"/>
          <w:szCs w:val="32"/>
        </w:rPr>
        <w:t>财政拨款</w:t>
      </w:r>
      <w:r>
        <w:rPr>
          <w:rFonts w:hint="eastAsia" w:ascii="仿宋_GB2312"/>
          <w:color w:val="auto"/>
          <w:szCs w:val="32"/>
        </w:rPr>
        <w:t>项目</w:t>
      </w:r>
      <w:r>
        <w:rPr>
          <w:rFonts w:ascii="仿宋_GB2312"/>
          <w:color w:val="auto"/>
          <w:szCs w:val="32"/>
        </w:rPr>
        <w:t>支出</w:t>
      </w:r>
      <w:r>
        <w:rPr>
          <w:rFonts w:hint="eastAsia" w:ascii="仿宋_GB2312"/>
          <w:color w:val="auto"/>
          <w:szCs w:val="32"/>
        </w:rPr>
        <w:t>399.94万元。</w:t>
      </w:r>
    </w:p>
    <w:p>
      <w:pPr>
        <w:pStyle w:val="3"/>
        <w:ind w:firstLine="643"/>
        <w:rPr>
          <w:rFonts w:ascii="仿宋" w:hAnsi="仿宋" w:eastAsia="仿宋" w:cs="仿宋"/>
          <w:color w:val="auto"/>
        </w:rPr>
      </w:pPr>
      <w:bookmarkStart w:id="23" w:name="_Toc2304"/>
      <w:bookmarkStart w:id="24" w:name="_Toc26508"/>
      <w:r>
        <w:rPr>
          <w:rFonts w:hint="eastAsia" w:ascii="仿宋" w:hAnsi="仿宋" w:eastAsia="仿宋" w:cs="仿宋"/>
          <w:color w:val="auto"/>
        </w:rPr>
        <w:t>七、一般公共预算财政拨款“三公”经费支出决算情况说明</w:t>
      </w:r>
      <w:bookmarkEnd w:id="23"/>
      <w:bookmarkEnd w:id="24"/>
    </w:p>
    <w:p>
      <w:pPr>
        <w:spacing w:line="580" w:lineRule="exact"/>
        <w:ind w:firstLine="640"/>
        <w:rPr>
          <w:rFonts w:ascii="仿宋_GB2312"/>
          <w:color w:val="auto"/>
          <w:szCs w:val="32"/>
        </w:rPr>
      </w:pPr>
      <w:r>
        <w:rPr>
          <w:rFonts w:hint="eastAsia" w:ascii="仿宋_GB2312"/>
          <w:color w:val="auto"/>
          <w:szCs w:val="32"/>
        </w:rPr>
        <w:t>2021年度，“三公”经费财政拨款支出决算为1.74万元，，比上年增加1.39万元，增长297.14%，原因是：本年公务用车运行费增加。其中：因公出国（境）费支出决算0万元，占比0%，比上年减少（增加）0万元，下降（增长）0%；公务用车购置及运行费支出决算1.74万元，占比100.00%，比上年增加1.74万元，增长%；公务接待费支出决算0万元，占比0%，比上年减少0.35万元，减少%。具体情况如下：</w:t>
      </w:r>
    </w:p>
    <w:p>
      <w:pPr>
        <w:spacing w:line="580" w:lineRule="exact"/>
        <w:ind w:firstLine="640"/>
        <w:rPr>
          <w:b/>
          <w:color w:val="auto"/>
          <w:szCs w:val="32"/>
        </w:rPr>
      </w:pPr>
      <w:r>
        <w:rPr>
          <w:rFonts w:hint="eastAsia" w:ascii="仿宋_GB2312"/>
          <w:color w:val="auto"/>
          <w:szCs w:val="32"/>
        </w:rPr>
        <w:t>2021年本部门有离退休老干部公务用车2辆，本年运行维护费支出1.74万元；本年本部门无公务接待活动，比上年减少支出0.35万元。</w:t>
      </w:r>
    </w:p>
    <w:p>
      <w:pPr>
        <w:pStyle w:val="8"/>
        <w:tabs>
          <w:tab w:val="left" w:pos="5760"/>
        </w:tabs>
        <w:spacing w:before="0" w:beforeAutospacing="0" w:after="0" w:afterAutospacing="0"/>
        <w:ind w:firstLine="640"/>
        <w:rPr>
          <w:rFonts w:ascii="仿宋_GB2312"/>
          <w:color w:val="auto"/>
          <w:sz w:val="32"/>
          <w:szCs w:val="32"/>
        </w:rPr>
      </w:pPr>
      <w:r>
        <w:rPr>
          <w:rFonts w:hint="eastAsia" w:ascii="仿宋_GB2312"/>
          <w:color w:val="auto"/>
          <w:sz w:val="32"/>
          <w:szCs w:val="32"/>
        </w:rPr>
        <w:t>2021年“三公”经费支出情况，分三项和2020年相比。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b/>
                <w:color w:val="auto"/>
                <w:sz w:val="28"/>
                <w:szCs w:val="28"/>
              </w:rPr>
            </w:pPr>
            <w:r>
              <w:rPr>
                <w:rFonts w:hint="eastAsia"/>
                <w:b/>
                <w:color w:val="auto"/>
                <w:sz w:val="21"/>
                <w:szCs w:val="21"/>
              </w:rPr>
              <w:t>项目</w:t>
            </w:r>
          </w:p>
        </w:tc>
        <w:tc>
          <w:tcPr>
            <w:tcW w:w="1701" w:type="dxa"/>
          </w:tcPr>
          <w:p>
            <w:pPr>
              <w:pStyle w:val="8"/>
              <w:ind w:firstLine="562"/>
              <w:jc w:val="center"/>
              <w:rPr>
                <w:b/>
                <w:color w:val="auto"/>
                <w:sz w:val="28"/>
                <w:szCs w:val="28"/>
              </w:rPr>
            </w:pPr>
            <w:r>
              <w:rPr>
                <w:rFonts w:hint="eastAsia"/>
                <w:b/>
                <w:color w:val="auto"/>
                <w:sz w:val="28"/>
                <w:szCs w:val="28"/>
              </w:rPr>
              <w:t>2020年</w:t>
            </w:r>
          </w:p>
        </w:tc>
        <w:tc>
          <w:tcPr>
            <w:tcW w:w="1701" w:type="dxa"/>
          </w:tcPr>
          <w:p>
            <w:pPr>
              <w:pStyle w:val="8"/>
              <w:ind w:firstLine="562"/>
              <w:jc w:val="center"/>
              <w:rPr>
                <w:b/>
                <w:color w:val="auto"/>
                <w:sz w:val="28"/>
                <w:szCs w:val="28"/>
              </w:rPr>
            </w:pPr>
            <w:r>
              <w:rPr>
                <w:rFonts w:hint="eastAsia"/>
                <w:b/>
                <w:color w:val="auto"/>
                <w:sz w:val="28"/>
                <w:szCs w:val="28"/>
              </w:rPr>
              <w:t>2021年</w:t>
            </w:r>
          </w:p>
        </w:tc>
        <w:tc>
          <w:tcPr>
            <w:tcW w:w="1418" w:type="dxa"/>
          </w:tcPr>
          <w:p>
            <w:pPr>
              <w:pStyle w:val="8"/>
              <w:ind w:firstLine="0" w:firstLineChars="0"/>
              <w:jc w:val="both"/>
              <w:rPr>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auto"/>
                <w:sz w:val="28"/>
                <w:szCs w:val="28"/>
              </w:rPr>
            </w:pPr>
            <w:r>
              <w:rPr>
                <w:rFonts w:hint="eastAsia"/>
                <w:color w:val="auto"/>
                <w:sz w:val="28"/>
                <w:szCs w:val="28"/>
              </w:rPr>
              <w:t>因公出国（境）费</w:t>
            </w:r>
          </w:p>
        </w:tc>
        <w:tc>
          <w:tcPr>
            <w:tcW w:w="1701" w:type="dxa"/>
          </w:tcPr>
          <w:p>
            <w:pPr>
              <w:pStyle w:val="8"/>
              <w:ind w:firstLine="560"/>
              <w:jc w:val="right"/>
              <w:rPr>
                <w:color w:val="auto"/>
                <w:sz w:val="28"/>
                <w:szCs w:val="28"/>
              </w:rPr>
            </w:pPr>
          </w:p>
        </w:tc>
        <w:tc>
          <w:tcPr>
            <w:tcW w:w="1701" w:type="dxa"/>
          </w:tcPr>
          <w:p>
            <w:pPr>
              <w:pStyle w:val="8"/>
              <w:ind w:firstLine="560"/>
              <w:jc w:val="right"/>
              <w:rPr>
                <w:color w:val="auto"/>
                <w:sz w:val="28"/>
                <w:szCs w:val="28"/>
              </w:rPr>
            </w:pPr>
          </w:p>
        </w:tc>
        <w:tc>
          <w:tcPr>
            <w:tcW w:w="1418" w:type="dxa"/>
          </w:tcPr>
          <w:p>
            <w:pPr>
              <w:pStyle w:val="8"/>
              <w:ind w:firstLine="560"/>
              <w:jc w:val="right"/>
              <w:rPr>
                <w:color w:val="auto"/>
                <w:sz w:val="28"/>
                <w:szCs w:val="28"/>
              </w:rPr>
            </w:pPr>
            <w:r>
              <w:rPr>
                <w:rFonts w:hint="eastAsia"/>
                <w:color w:val="auto"/>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auto"/>
                <w:sz w:val="28"/>
                <w:szCs w:val="28"/>
              </w:rPr>
            </w:pPr>
            <w:r>
              <w:rPr>
                <w:rFonts w:hint="eastAsia"/>
                <w:color w:val="auto"/>
                <w:sz w:val="28"/>
                <w:szCs w:val="28"/>
              </w:rPr>
              <w:t>公务接待费</w:t>
            </w:r>
          </w:p>
        </w:tc>
        <w:tc>
          <w:tcPr>
            <w:tcW w:w="1701" w:type="dxa"/>
          </w:tcPr>
          <w:p>
            <w:pPr>
              <w:pStyle w:val="8"/>
              <w:ind w:firstLine="560"/>
              <w:jc w:val="right"/>
              <w:rPr>
                <w:color w:val="auto"/>
                <w:sz w:val="28"/>
                <w:szCs w:val="28"/>
              </w:rPr>
            </w:pPr>
            <w:r>
              <w:rPr>
                <w:rFonts w:hint="eastAsia"/>
                <w:color w:val="auto"/>
                <w:sz w:val="28"/>
                <w:szCs w:val="28"/>
              </w:rPr>
              <w:t>0.35</w:t>
            </w:r>
          </w:p>
        </w:tc>
        <w:tc>
          <w:tcPr>
            <w:tcW w:w="1701" w:type="dxa"/>
          </w:tcPr>
          <w:p>
            <w:pPr>
              <w:pStyle w:val="8"/>
              <w:ind w:firstLine="560"/>
              <w:jc w:val="right"/>
              <w:rPr>
                <w:color w:val="auto"/>
                <w:sz w:val="28"/>
                <w:szCs w:val="28"/>
              </w:rPr>
            </w:pPr>
          </w:p>
        </w:tc>
        <w:tc>
          <w:tcPr>
            <w:tcW w:w="1418" w:type="dxa"/>
          </w:tcPr>
          <w:p>
            <w:pPr>
              <w:pStyle w:val="8"/>
              <w:ind w:firstLine="560"/>
              <w:jc w:val="right"/>
              <w:rPr>
                <w:color w:val="auto"/>
                <w:sz w:val="28"/>
                <w:szCs w:val="28"/>
              </w:rPr>
            </w:pPr>
            <w:r>
              <w:rPr>
                <w:rFonts w:hint="eastAsia"/>
                <w:color w:val="auto"/>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color w:val="auto"/>
                <w:sz w:val="28"/>
                <w:szCs w:val="28"/>
              </w:rPr>
            </w:pPr>
            <w:r>
              <w:rPr>
                <w:rFonts w:hint="eastAsia"/>
                <w:color w:val="auto"/>
                <w:sz w:val="28"/>
                <w:szCs w:val="28"/>
              </w:rPr>
              <w:t>公务用车购置及运行维护费</w:t>
            </w:r>
          </w:p>
        </w:tc>
        <w:tc>
          <w:tcPr>
            <w:tcW w:w="1701" w:type="dxa"/>
          </w:tcPr>
          <w:p>
            <w:pPr>
              <w:pStyle w:val="8"/>
              <w:ind w:firstLine="560"/>
              <w:jc w:val="right"/>
              <w:rPr>
                <w:rFonts w:eastAsia="宋体"/>
                <w:color w:val="auto"/>
                <w:sz w:val="28"/>
                <w:szCs w:val="28"/>
              </w:rPr>
            </w:pPr>
          </w:p>
        </w:tc>
        <w:tc>
          <w:tcPr>
            <w:tcW w:w="1701" w:type="dxa"/>
          </w:tcPr>
          <w:p>
            <w:pPr>
              <w:pStyle w:val="8"/>
              <w:ind w:firstLine="560"/>
              <w:jc w:val="right"/>
              <w:rPr>
                <w:color w:val="auto"/>
                <w:sz w:val="28"/>
                <w:szCs w:val="28"/>
              </w:rPr>
            </w:pPr>
            <w:r>
              <w:rPr>
                <w:rFonts w:hint="eastAsia"/>
                <w:color w:val="auto"/>
                <w:sz w:val="28"/>
                <w:szCs w:val="28"/>
              </w:rPr>
              <w:t>1.74</w:t>
            </w:r>
          </w:p>
        </w:tc>
        <w:tc>
          <w:tcPr>
            <w:tcW w:w="1418" w:type="dxa"/>
          </w:tcPr>
          <w:p>
            <w:pPr>
              <w:pStyle w:val="8"/>
              <w:ind w:firstLine="560"/>
              <w:jc w:val="right"/>
              <w:rPr>
                <w:rFonts w:eastAsia="宋体"/>
                <w:color w:val="auto"/>
                <w:sz w:val="28"/>
                <w:szCs w:val="28"/>
              </w:rPr>
            </w:pPr>
            <w:r>
              <w:rPr>
                <w:rFonts w:hint="eastAsia" w:eastAsia="宋体"/>
                <w:color w:val="auto"/>
                <w:sz w:val="28"/>
                <w:szCs w:val="28"/>
              </w:rPr>
              <w:t>——</w:t>
            </w:r>
          </w:p>
        </w:tc>
      </w:tr>
    </w:tbl>
    <w:p>
      <w:pPr>
        <w:pStyle w:val="8"/>
        <w:spacing w:before="0" w:beforeAutospacing="0" w:after="0" w:afterAutospacing="0"/>
        <w:ind w:firstLine="482"/>
        <w:rPr>
          <w:b/>
          <w:color w:val="auto"/>
          <w:szCs w:val="32"/>
        </w:rPr>
      </w:pPr>
    </w:p>
    <w:p>
      <w:pPr>
        <w:pStyle w:val="3"/>
        <w:ind w:firstLine="643"/>
        <w:rPr>
          <w:rFonts w:ascii="仿宋" w:hAnsi="仿宋" w:eastAsia="仿宋" w:cs="仿宋"/>
          <w:color w:val="auto"/>
        </w:rPr>
      </w:pPr>
      <w:bookmarkStart w:id="25" w:name="_Toc9078"/>
      <w:bookmarkStart w:id="26" w:name="_Toc1792"/>
      <w:r>
        <w:rPr>
          <w:rFonts w:hint="eastAsia" w:ascii="仿宋" w:hAnsi="仿宋" w:eastAsia="仿宋" w:cs="仿宋"/>
          <w:color w:val="auto"/>
        </w:rPr>
        <w:t>八、其他重要事项情况说明</w:t>
      </w:r>
      <w:bookmarkEnd w:id="25"/>
      <w:bookmarkEnd w:id="26"/>
    </w:p>
    <w:p>
      <w:pPr>
        <w:ind w:firstLine="643"/>
        <w:rPr>
          <w:b/>
          <w:bCs/>
          <w:color w:val="auto"/>
        </w:rPr>
      </w:pPr>
      <w:bookmarkStart w:id="27" w:name="_Toc23407"/>
      <w:r>
        <w:rPr>
          <w:rFonts w:hint="eastAsia"/>
          <w:b/>
          <w:bCs/>
          <w:color w:val="auto"/>
        </w:rPr>
        <w:t>（一）机关运行经费支出情况说明</w:t>
      </w:r>
      <w:bookmarkEnd w:id="27"/>
    </w:p>
    <w:p>
      <w:pPr>
        <w:spacing w:line="580" w:lineRule="exact"/>
        <w:ind w:firstLine="640"/>
        <w:rPr>
          <w:b/>
          <w:color w:val="auto"/>
          <w:szCs w:val="32"/>
        </w:rPr>
      </w:pPr>
      <w:r>
        <w:rPr>
          <w:rFonts w:hint="eastAsia" w:ascii="仿宋_GB2312" w:hAnsi="宋体"/>
          <w:color w:val="auto"/>
          <w:szCs w:val="32"/>
        </w:rPr>
        <w:t>2021年本单位机关运行经费支出8.54万元，比2020年增加3.62万元，增长73.58%%。主要原因是：本年公务用车运行费和其他交通费等增加。</w:t>
      </w:r>
    </w:p>
    <w:p>
      <w:pPr>
        <w:ind w:firstLine="643"/>
        <w:rPr>
          <w:b/>
          <w:bCs/>
          <w:color w:val="auto"/>
        </w:rPr>
      </w:pPr>
      <w:bookmarkStart w:id="28" w:name="_Toc16103"/>
      <w:r>
        <w:rPr>
          <w:rFonts w:hint="eastAsia"/>
          <w:b/>
          <w:bCs/>
          <w:color w:val="auto"/>
        </w:rPr>
        <w:t>（二）政府采购情况说明</w:t>
      </w:r>
      <w:bookmarkEnd w:id="28"/>
    </w:p>
    <w:p>
      <w:pPr>
        <w:spacing w:line="580" w:lineRule="exact"/>
        <w:ind w:firstLine="640"/>
        <w:rPr>
          <w:rFonts w:ascii="仿宋_GB2312"/>
          <w:color w:val="auto"/>
          <w:szCs w:val="32"/>
        </w:rPr>
      </w:pPr>
      <w:r>
        <w:rPr>
          <w:rFonts w:hint="eastAsia" w:ascii="仿宋_GB2312"/>
          <w:color w:val="auto"/>
          <w:szCs w:val="32"/>
        </w:rPr>
        <w:t>2021年度，政府采购支出总额1.63万元，其中：政府采购货物支出1.18万元、政府采购工程支出0万元、政府采购服务支出0.45万元。政府采购授予中小企业合同金额1.63万元，占政府采购支出总额的100.00</w:t>
      </w:r>
      <w:r>
        <w:rPr>
          <w:rFonts w:ascii="仿宋_GB2312"/>
          <w:color w:val="auto"/>
          <w:szCs w:val="32"/>
        </w:rPr>
        <w:t>%</w:t>
      </w:r>
      <w:r>
        <w:rPr>
          <w:rFonts w:hint="eastAsia" w:ascii="仿宋_GB2312"/>
          <w:color w:val="auto"/>
          <w:szCs w:val="32"/>
        </w:rPr>
        <w:t>。其中：授予小微企业合同金额1.63万元，占政府采购支出总额的100.00</w:t>
      </w:r>
      <w:r>
        <w:rPr>
          <w:rFonts w:ascii="仿宋_GB2312"/>
          <w:color w:val="auto"/>
          <w:szCs w:val="32"/>
        </w:rPr>
        <w:t>%</w:t>
      </w:r>
      <w:r>
        <w:rPr>
          <w:rFonts w:hint="eastAsia" w:ascii="仿宋_GB2312"/>
          <w:color w:val="auto"/>
          <w:szCs w:val="32"/>
        </w:rPr>
        <w:t>。</w:t>
      </w:r>
    </w:p>
    <w:p>
      <w:pPr>
        <w:ind w:firstLine="643"/>
        <w:rPr>
          <w:b/>
          <w:bCs/>
          <w:color w:val="auto"/>
        </w:rPr>
      </w:pPr>
      <w:bookmarkStart w:id="29" w:name="_Toc19975"/>
      <w:r>
        <w:rPr>
          <w:rFonts w:hint="eastAsia"/>
          <w:b/>
          <w:bCs/>
          <w:color w:val="auto"/>
        </w:rPr>
        <w:t>（三）国有资产占用情况说明</w:t>
      </w:r>
      <w:bookmarkEnd w:id="29"/>
    </w:p>
    <w:p>
      <w:pPr>
        <w:spacing w:line="580" w:lineRule="exact"/>
        <w:ind w:firstLine="640"/>
        <w:rPr>
          <w:rFonts w:ascii="仿宋_GB2312"/>
          <w:color w:val="auto"/>
          <w:szCs w:val="32"/>
        </w:rPr>
      </w:pPr>
      <w:r>
        <w:rPr>
          <w:rFonts w:hint="eastAsia" w:ascii="仿宋_GB2312"/>
          <w:color w:val="auto"/>
          <w:szCs w:val="32"/>
        </w:rPr>
        <w:t>截至2021年12月31日，本部门共有车辆2辆。其中，副部（省）级及以上领导用车0辆、主要领导干部用车0辆、机要通信用车0辆、应急保障用车0辆、执法执勤用车0辆、特种专业技术用车0辆、离退休干部用车2辆、其他用车0辆；单价50万元（含）以上的通用设备0台（套），单价100万元（含）以上专用设备0台（套）。</w:t>
      </w:r>
    </w:p>
    <w:p>
      <w:pPr>
        <w:ind w:firstLine="643"/>
        <w:rPr>
          <w:b/>
          <w:bCs/>
          <w:color w:val="auto"/>
        </w:rPr>
      </w:pPr>
      <w:r>
        <w:rPr>
          <w:rFonts w:hint="eastAsia"/>
          <w:b/>
          <w:bCs/>
          <w:color w:val="auto"/>
        </w:rPr>
        <w:t>（四）重点项目预算的绩效目标情况说明：</w:t>
      </w:r>
    </w:p>
    <w:p>
      <w:pPr>
        <w:ind w:firstLine="643"/>
        <w:rPr>
          <w:rFonts w:hint="eastAsia" w:ascii="仿宋_GB2312" w:hAnsi="仿宋_GB2312" w:cs="仿宋_GB2312"/>
          <w:color w:val="auto"/>
          <w:szCs w:val="32"/>
        </w:rPr>
      </w:pPr>
      <w:r>
        <w:rPr>
          <w:rFonts w:hint="eastAsia" w:ascii="仿宋_GB2312" w:hAnsi="仿宋_GB2312" w:cs="仿宋_GB2312"/>
          <w:b/>
          <w:bCs/>
          <w:color w:val="auto"/>
          <w:szCs w:val="32"/>
        </w:rPr>
        <w:t>（1）预算绩效管理工作开展情况。</w:t>
      </w:r>
    </w:p>
    <w:p>
      <w:pPr>
        <w:ind w:firstLine="640"/>
        <w:rPr>
          <w:rFonts w:ascii="仿宋_GB2312" w:hAnsi="仿宋_GB2312" w:cs="仿宋_GB2312"/>
          <w:color w:val="auto"/>
          <w:szCs w:val="32"/>
        </w:rPr>
      </w:pPr>
      <w:r>
        <w:rPr>
          <w:rFonts w:hint="eastAsia" w:ascii="仿宋_GB2312" w:hAnsi="仿宋_GB2312" w:cs="仿宋_GB2312"/>
          <w:color w:val="auto"/>
          <w:szCs w:val="32"/>
        </w:rPr>
        <w:t>根据预算绩效管理要求，我部门组织对2021年度县级财政预算安排的</w:t>
      </w:r>
      <w:r>
        <w:rPr>
          <w:rFonts w:hint="eastAsia" w:ascii="仿宋_GB2312" w:hAnsi="仿宋_GB2312" w:cs="仿宋_GB2312"/>
          <w:color w:val="auto"/>
          <w:szCs w:val="32"/>
          <w:highlight w:val="none"/>
        </w:rPr>
        <w:t>专项资金类</w:t>
      </w:r>
      <w:r>
        <w:rPr>
          <w:rFonts w:hint="eastAsia" w:ascii="仿宋_GB2312" w:hAnsi="仿宋_GB2312" w:cs="仿宋_GB2312"/>
          <w:color w:val="auto"/>
          <w:szCs w:val="32"/>
        </w:rPr>
        <w:t>和200万元以上的经费补助类1个，即：老年大学建设工程项目，项目支出全面开展绩效自评，涉及预算资金200.00万元，占一般公共预算项目支出总额的41.17%。组织对2021年度X等0个政府性基金预算项目支出开展绩效自评，共涉及预算资金0万元，占政府性基金预算项目支出总额的0%。</w:t>
      </w:r>
    </w:p>
    <w:p>
      <w:pPr>
        <w:ind w:firstLine="643"/>
        <w:rPr>
          <w:rFonts w:ascii="仿宋_GB2312" w:hAnsi="仿宋_GB2312" w:cs="仿宋_GB2312"/>
          <w:color w:val="auto"/>
          <w:szCs w:val="32"/>
        </w:rPr>
      </w:pPr>
      <w:r>
        <w:rPr>
          <w:rFonts w:hint="eastAsia" w:ascii="仿宋_GB2312" w:hAnsi="仿宋_GB2312" w:cs="仿宋_GB2312"/>
          <w:b/>
          <w:bCs/>
          <w:color w:val="auto"/>
          <w:szCs w:val="32"/>
        </w:rPr>
        <w:t>（2）部门决算中项目绩效自评结果。</w:t>
      </w:r>
    </w:p>
    <w:p>
      <w:pPr>
        <w:ind w:firstLine="0" w:firstLineChars="0"/>
        <w:rPr>
          <w:rFonts w:ascii="仿宋_GB2312" w:hAnsi="仿宋_GB2312" w:cs="仿宋_GB2312"/>
          <w:color w:val="auto"/>
          <w:szCs w:val="32"/>
        </w:rPr>
      </w:pPr>
      <w:r>
        <w:rPr>
          <w:rFonts w:hint="eastAsia" w:ascii="仿宋_GB2312" w:hAnsi="仿宋_GB2312" w:cs="仿宋_GB2312"/>
          <w:color w:val="auto"/>
          <w:szCs w:val="32"/>
        </w:rPr>
        <w:t xml:space="preserve">     静乐县老年大学建设工程项目绩效自评综述：根据年初设定的绩效目标，项目自评得分为100分。全年预算数为200.00万元，执行数为200.00万元，完成预算的100.00%。项目绩效目标完成情况：一是按预算支出全部完成；二是绩效目标全部实现，自评得分100分。发现的主要问题及原因：无。下一步改进措施：完善后续建设。</w:t>
      </w:r>
    </w:p>
    <w:p>
      <w:pPr>
        <w:ind w:firstLine="640"/>
        <w:rPr>
          <w:rFonts w:hint="eastAsia" w:ascii="仿宋_GB2312" w:hAnsi="仿宋_GB2312" w:cs="仿宋_GB2312"/>
          <w:b/>
          <w:bCs/>
          <w:color w:val="auto"/>
          <w:szCs w:val="32"/>
        </w:rPr>
      </w:pPr>
      <w:r>
        <w:rPr>
          <w:rFonts w:hint="eastAsia" w:ascii="仿宋_GB2312" w:hAnsi="仿宋_GB2312" w:cs="仿宋_GB2312"/>
          <w:color w:val="auto"/>
          <w:szCs w:val="32"/>
        </w:rPr>
        <w:t>（3）</w:t>
      </w:r>
      <w:r>
        <w:rPr>
          <w:rFonts w:hint="eastAsia" w:ascii="仿宋_GB2312" w:hAnsi="仿宋_GB2312" w:cs="仿宋_GB2312"/>
          <w:b/>
          <w:bCs/>
          <w:color w:val="auto"/>
          <w:szCs w:val="32"/>
        </w:rPr>
        <w:t>部门评价项目绩效评价结果。</w:t>
      </w:r>
    </w:p>
    <w:p>
      <w:pPr>
        <w:ind w:firstLine="640"/>
        <w:rPr>
          <w:rFonts w:ascii="仿宋_GB2312" w:hAnsi="仿宋_GB2312" w:cs="仿宋_GB2312"/>
          <w:color w:val="auto"/>
          <w:szCs w:val="32"/>
        </w:rPr>
      </w:pPr>
      <w:r>
        <w:rPr>
          <w:rFonts w:hint="eastAsia" w:ascii="仿宋_GB2312" w:hAnsi="仿宋_GB2312" w:cs="仿宋_GB2312"/>
          <w:color w:val="auto"/>
          <w:szCs w:val="32"/>
        </w:rPr>
        <w:t>本单位重点项目评价报告向社会公开。</w:t>
      </w:r>
    </w:p>
    <w:p>
      <w:pPr>
        <w:numPr>
          <w:ilvl w:val="0"/>
          <w:numId w:val="2"/>
        </w:numPr>
        <w:spacing w:line="580" w:lineRule="exact"/>
        <w:ind w:firstLine="643"/>
        <w:outlineLvl w:val="0"/>
        <w:rPr>
          <w:rFonts w:hint="eastAsia" w:ascii="仿宋_GB2312"/>
          <w:b/>
          <w:color w:val="auto"/>
          <w:szCs w:val="32"/>
        </w:rPr>
      </w:pPr>
      <w:bookmarkStart w:id="30" w:name="_Toc28108"/>
      <w:bookmarkStart w:id="31" w:name="_Toc8450"/>
      <w:r>
        <w:rPr>
          <w:rFonts w:hint="eastAsia" w:ascii="仿宋_GB2312"/>
          <w:b/>
          <w:color w:val="auto"/>
          <w:szCs w:val="32"/>
        </w:rPr>
        <w:t>其他需要说明的事项</w:t>
      </w:r>
      <w:bookmarkEnd w:id="30"/>
      <w:bookmarkEnd w:id="31"/>
    </w:p>
    <w:p>
      <w:pPr>
        <w:spacing w:line="580" w:lineRule="exact"/>
        <w:ind w:left="643" w:firstLine="0" w:firstLineChars="0"/>
        <w:outlineLvl w:val="0"/>
        <w:rPr>
          <w:rFonts w:ascii="仿宋_GB2312"/>
          <w:b/>
          <w:color w:val="auto"/>
          <w:szCs w:val="32"/>
        </w:rPr>
      </w:pPr>
      <w:r>
        <w:rPr>
          <w:rFonts w:hint="eastAsia" w:ascii="仿宋_GB2312"/>
          <w:b/>
          <w:color w:val="auto"/>
          <w:szCs w:val="32"/>
        </w:rPr>
        <w:t xml:space="preserve">   无</w:t>
      </w:r>
    </w:p>
    <w:p>
      <w:pPr>
        <w:pStyle w:val="2"/>
        <w:ind w:firstLine="0" w:firstLineChars="0"/>
        <w:jc w:val="center"/>
        <w:rPr>
          <w:color w:val="auto"/>
          <w:sz w:val="36"/>
          <w:szCs w:val="36"/>
        </w:rPr>
      </w:pPr>
      <w:bookmarkStart w:id="32" w:name="_Toc8545"/>
      <w:r>
        <w:rPr>
          <w:rFonts w:hint="eastAsia"/>
          <w:color w:val="auto"/>
          <w:sz w:val="36"/>
          <w:szCs w:val="36"/>
        </w:rPr>
        <w:t>第四部分  名词解释</w:t>
      </w:r>
      <w:bookmarkEnd w:id="32"/>
    </w:p>
    <w:p>
      <w:pPr>
        <w:spacing w:line="580" w:lineRule="exact"/>
        <w:ind w:firstLine="640"/>
        <w:rPr>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ascii="仿宋_GB2312"/>
          <w:color w:val="auto"/>
          <w:szCs w:val="32"/>
        </w:rPr>
      </w:pPr>
      <w:r>
        <w:rPr>
          <w:rFonts w:hint="eastAsia" w:ascii="仿宋_GB2312"/>
          <w:b/>
          <w:color w:val="auto"/>
          <w:szCs w:val="32"/>
        </w:rPr>
        <w:t>一、财政拨款收入：</w:t>
      </w:r>
      <w:r>
        <w:rPr>
          <w:rFonts w:hint="eastAsia" w:ascii="仿宋_GB2312"/>
          <w:color w:val="auto"/>
          <w:szCs w:val="32"/>
        </w:rPr>
        <w:t>指单位从同级财政部门取得的财政预算资金。</w:t>
      </w:r>
    </w:p>
    <w:p>
      <w:pPr>
        <w:spacing w:line="580" w:lineRule="exact"/>
        <w:ind w:firstLine="520" w:firstLineChars="162"/>
        <w:rPr>
          <w:rFonts w:ascii="仿宋_GB2312"/>
          <w:color w:val="auto"/>
          <w:szCs w:val="32"/>
        </w:rPr>
      </w:pPr>
      <w:r>
        <w:rPr>
          <w:rFonts w:hint="eastAsia" w:ascii="仿宋_GB2312"/>
          <w:b/>
          <w:color w:val="auto"/>
          <w:szCs w:val="32"/>
        </w:rPr>
        <w:t>二、事业收入：</w:t>
      </w:r>
      <w:r>
        <w:rPr>
          <w:rFonts w:hint="eastAsia" w:ascii="仿宋_GB2312"/>
          <w:color w:val="auto"/>
          <w:szCs w:val="32"/>
        </w:rPr>
        <w:t>指事业单位开展专业业务活动及辅助活动取得的收入。</w:t>
      </w:r>
    </w:p>
    <w:p>
      <w:pPr>
        <w:spacing w:line="580" w:lineRule="exact"/>
        <w:ind w:firstLine="520" w:firstLineChars="162"/>
        <w:rPr>
          <w:rFonts w:ascii="仿宋_GB2312"/>
          <w:color w:val="auto"/>
          <w:szCs w:val="32"/>
        </w:rPr>
      </w:pPr>
      <w:r>
        <w:rPr>
          <w:rFonts w:hint="eastAsia" w:ascii="仿宋_GB2312"/>
          <w:b/>
          <w:color w:val="auto"/>
          <w:szCs w:val="32"/>
        </w:rPr>
        <w:t>三、经营收入：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ascii="仿宋_GB2312"/>
          <w:color w:val="auto"/>
          <w:szCs w:val="32"/>
        </w:rPr>
      </w:pPr>
      <w:r>
        <w:rPr>
          <w:rFonts w:hint="eastAsia" w:ascii="仿宋_GB2312"/>
          <w:b/>
          <w:color w:val="auto"/>
          <w:szCs w:val="32"/>
        </w:rPr>
        <w:t>四、其他收入：</w:t>
      </w:r>
      <w:r>
        <w:rPr>
          <w:rFonts w:hint="eastAsia" w:ascii="仿宋_GB2312"/>
          <w:color w:val="auto"/>
          <w:szCs w:val="32"/>
        </w:rPr>
        <w:t>指单位取得的除上述收入以外的各项收</w:t>
      </w:r>
    </w:p>
    <w:p>
      <w:pPr>
        <w:spacing w:line="580" w:lineRule="exact"/>
        <w:ind w:firstLineChars="0"/>
        <w:rPr>
          <w:rFonts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ascii="仿宋_GB2312"/>
          <w:color w:val="auto"/>
          <w:szCs w:val="32"/>
        </w:rPr>
      </w:pPr>
      <w:r>
        <w:rPr>
          <w:rFonts w:hint="eastAsia" w:ascii="仿宋_GB2312"/>
          <w:b/>
          <w:color w:val="auto"/>
          <w:szCs w:val="32"/>
        </w:rPr>
        <w:t>五、年初结转和结余：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rPr>
        <w:t>六、基本支出：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ascii="仿宋_GB2312"/>
          <w:color w:val="auto"/>
          <w:szCs w:val="32"/>
        </w:rPr>
      </w:pPr>
    </w:p>
    <w:p>
      <w:pPr>
        <w:spacing w:line="580" w:lineRule="exact"/>
        <w:ind w:firstLine="518" w:firstLineChars="162"/>
        <w:rPr>
          <w:rFonts w:ascii="仿宋_GB2312"/>
          <w:color w:val="auto"/>
          <w:szCs w:val="32"/>
        </w:rPr>
      </w:pPr>
    </w:p>
    <w:p>
      <w:pPr>
        <w:spacing w:line="580" w:lineRule="exact"/>
        <w:ind w:firstLine="518" w:firstLineChars="162"/>
        <w:rPr>
          <w:rFonts w:ascii="仿宋_GB2312"/>
          <w:color w:val="auto"/>
          <w:szCs w:val="32"/>
        </w:rPr>
      </w:pPr>
    </w:p>
    <w:p>
      <w:pPr>
        <w:spacing w:line="580" w:lineRule="exact"/>
        <w:ind w:firstLine="518" w:firstLineChars="162"/>
        <w:rPr>
          <w:rFonts w:ascii="仿宋_GB2312"/>
          <w:color w:val="auto"/>
          <w:szCs w:val="32"/>
        </w:rPr>
      </w:pPr>
    </w:p>
    <w:p>
      <w:pPr>
        <w:spacing w:line="580" w:lineRule="exact"/>
        <w:ind w:firstLine="640"/>
        <w:rPr>
          <w:rFonts w:ascii="仿宋_GB2312"/>
          <w:color w:val="auto"/>
          <w:szCs w:val="32"/>
        </w:rPr>
      </w:pPr>
      <w:r>
        <w:rPr>
          <w:rFonts w:hint="eastAsia" w:ascii="仿宋_GB2312"/>
          <w:color w:val="auto"/>
          <w:szCs w:val="32"/>
        </w:rPr>
        <w:t xml:space="preserve">        单位名称：</w:t>
      </w:r>
      <w:r>
        <w:rPr>
          <w:rFonts w:hint="eastAsia" w:ascii="仿宋_GB2312"/>
          <w:color w:val="auto"/>
          <w:szCs w:val="32"/>
          <w:lang w:eastAsia="zh-CN"/>
        </w:rPr>
        <w:t>中国共产党静乐县委员会老干部局</w:t>
      </w:r>
    </w:p>
    <w:p>
      <w:pPr>
        <w:ind w:left="0" w:leftChars="0" w:firstLine="3520" w:firstLineChars="1100"/>
      </w:pPr>
      <w:bookmarkStart w:id="33" w:name="_GoBack"/>
      <w:bookmarkEnd w:id="33"/>
      <w:r>
        <w:rPr>
          <w:rFonts w:hint="eastAsia"/>
          <w:color w:val="auto"/>
        </w:rPr>
        <w:t>二〇二二年六月</w:t>
      </w:r>
      <w:r>
        <w:rPr>
          <w:rFonts w:hint="eastAsia"/>
          <w:color w:val="auto"/>
          <w:lang w:eastAsia="zh-CN"/>
        </w:rPr>
        <w:t>六</w:t>
      </w:r>
      <w:r>
        <w:rPr>
          <w:rFonts w:hint="eastAsia"/>
          <w:color w:val="auto"/>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中宋">
    <w:altName w:val="宋体"/>
    <w:panose1 w:val="00000000000000000000"/>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95520D0"/>
    <w:rsid w:val="0007775E"/>
    <w:rsid w:val="0026357E"/>
    <w:rsid w:val="002F020A"/>
    <w:rsid w:val="00535780"/>
    <w:rsid w:val="00671115"/>
    <w:rsid w:val="00695895"/>
    <w:rsid w:val="006D069E"/>
    <w:rsid w:val="00853324"/>
    <w:rsid w:val="00981FA8"/>
    <w:rsid w:val="00B70710"/>
    <w:rsid w:val="00D74C37"/>
    <w:rsid w:val="00E53576"/>
    <w:rsid w:val="03696819"/>
    <w:rsid w:val="16654CDD"/>
    <w:rsid w:val="1A4A5C33"/>
    <w:rsid w:val="2701594C"/>
    <w:rsid w:val="27426717"/>
    <w:rsid w:val="37943B50"/>
    <w:rsid w:val="3821117E"/>
    <w:rsid w:val="42C12CEC"/>
    <w:rsid w:val="44401A62"/>
    <w:rsid w:val="495520D0"/>
    <w:rsid w:val="4A012068"/>
    <w:rsid w:val="4FF26F6B"/>
    <w:rsid w:val="53A30631"/>
    <w:rsid w:val="5EC01F6A"/>
    <w:rsid w:val="63AB51DF"/>
    <w:rsid w:val="649C6DC9"/>
    <w:rsid w:val="715A78E4"/>
    <w:rsid w:val="7761744D"/>
    <w:rsid w:val="7FAA4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uiPriority w:val="0"/>
    <w:pPr>
      <w:tabs>
        <w:tab w:val="center" w:pos="4153"/>
        <w:tab w:val="right" w:pos="8306"/>
      </w:tabs>
      <w:snapToGrid w:val="0"/>
      <w:spacing w:line="240" w:lineRule="atLeast"/>
      <w:jc w:val="center"/>
    </w:pPr>
    <w:rPr>
      <w:sz w:val="18"/>
      <w:szCs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785</Words>
  <Characters>4475</Characters>
  <Lines>37</Lines>
  <Paragraphs>10</Paragraphs>
  <ScaleCrop>false</ScaleCrop>
  <LinksUpToDate>false</LinksUpToDate>
  <CharactersWithSpaces>5250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2022-07-26T02:09:35Z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