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jc w:val="center"/>
        <w:rPr>
          <w:rFonts w:ascii="华文中宋" w:hAnsi="华文中宋" w:eastAsia="华文中宋"/>
          <w:color w:val="auto"/>
          <w:szCs w:val="44"/>
        </w:rPr>
      </w:pPr>
      <w:bookmarkStart w:id="0" w:name="_Toc21118"/>
      <w:bookmarkStart w:id="1" w:name="_Toc32048"/>
      <w:bookmarkStart w:id="2" w:name="_Toc31071"/>
      <w:r>
        <w:rPr>
          <w:rFonts w:hint="eastAsia" w:ascii="华文中宋" w:hAnsi="华文中宋" w:eastAsia="华文中宋"/>
          <w:color w:val="auto"/>
          <w:szCs w:val="44"/>
          <w:lang w:val="en-US" w:eastAsia="zh-CN"/>
        </w:rPr>
        <w:t xml:space="preserve"> </w:t>
      </w:r>
      <w:r>
        <w:rPr>
          <w:rFonts w:hint="eastAsia" w:ascii="华文中宋" w:hAnsi="华文中宋" w:eastAsia="华文中宋"/>
          <w:color w:val="auto"/>
          <w:szCs w:val="44"/>
        </w:rPr>
        <w:t xml:space="preserve"> 静乐县康家会镇人民政府2021年度部门决算公开说明</w:t>
      </w:r>
      <w:bookmarkEnd w:id="0"/>
      <w:bookmarkEnd w:id="1"/>
      <w:bookmarkEnd w:id="2"/>
    </w:p>
    <w:p>
      <w:pPr>
        <w:pStyle w:val="6"/>
        <w:tabs>
          <w:tab w:val="right" w:leader="dot" w:pos="8306"/>
        </w:tabs>
        <w:ind w:firstLine="640"/>
      </w:pPr>
      <w:r>
        <w:rPr>
          <w:rFonts w:hint="eastAsia" w:ascii="仿宋" w:hAnsi="仿宋" w:eastAsia="仿宋" w:cs="仿宋"/>
          <w:color w:val="000000"/>
          <w:szCs w:val="32"/>
        </w:rPr>
        <w:fldChar w:fldCharType="begin"/>
      </w:r>
      <w:r>
        <w:rPr>
          <w:rFonts w:hint="eastAsia" w:ascii="仿宋" w:hAnsi="仿宋" w:eastAsia="仿宋" w:cs="仿宋"/>
          <w:color w:val="000000"/>
          <w:szCs w:val="32"/>
        </w:rPr>
        <w:instrText xml:space="preserve">TOC \o "1-3" \h \u </w:instrText>
      </w:r>
      <w:r>
        <w:rPr>
          <w:rFonts w:hint="eastAsia" w:ascii="仿宋" w:hAnsi="仿宋" w:eastAsia="仿宋" w:cs="仿宋"/>
          <w:color w:val="000000"/>
          <w:szCs w:val="32"/>
        </w:rPr>
        <w:fldChar w:fldCharType="separate"/>
      </w:r>
      <w:r>
        <w:fldChar w:fldCharType="begin"/>
      </w:r>
      <w:r>
        <w:instrText xml:space="preserve"> HYPERLINK \l "_Toc31140" </w:instrText>
      </w:r>
      <w: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"_Toc4461" </w:instrText>
      </w:r>
      <w: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"_Toc275" </w:instrText>
      </w:r>
      <w: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4</w:t>
      </w:r>
      <w:r>
        <w:fldChar w:fldCharType="end"/>
      </w:r>
      <w:r>
        <w:fldChar w:fldCharType="end"/>
      </w:r>
    </w:p>
    <w:p>
      <w:pPr>
        <w:pStyle w:val="6"/>
        <w:tabs>
          <w:tab w:val="right" w:leader="dot" w:pos="8306"/>
        </w:tabs>
        <w:ind w:firstLine="640"/>
      </w:pPr>
      <w:r>
        <w:fldChar w:fldCharType="begin"/>
      </w:r>
      <w:r>
        <w:instrText xml:space="preserve"> HYPERLINK \l "_Toc12749" </w:instrText>
      </w:r>
      <w:r>
        <w:fldChar w:fldCharType="separate"/>
      </w:r>
      <w:r>
        <w:rPr>
          <w:rFonts w:hint="eastAsia"/>
          <w:szCs w:val="36"/>
        </w:rPr>
        <w:t>第二部分  2021年度部门决算报表（附表）</w:t>
      </w:r>
      <w:r>
        <w:tab/>
      </w:r>
      <w:r>
        <w:fldChar w:fldCharType="begin"/>
      </w:r>
      <w:r>
        <w:instrText xml:space="preserve"> PAGEREF _Toc12749 </w:instrText>
      </w:r>
      <w:r>
        <w:fldChar w:fldCharType="separate"/>
      </w:r>
      <w:r>
        <w:t>7</w:t>
      </w:r>
      <w:r>
        <w:fldChar w:fldCharType="end"/>
      </w:r>
      <w:r>
        <w:fldChar w:fldCharType="end"/>
      </w:r>
    </w:p>
    <w:p>
      <w:pPr>
        <w:pStyle w:val="6"/>
        <w:tabs>
          <w:tab w:val="right" w:leader="dot" w:pos="8306"/>
        </w:tabs>
        <w:ind w:firstLine="640"/>
      </w:pPr>
      <w:r>
        <w:fldChar w:fldCharType="begin"/>
      </w:r>
      <w:r>
        <w:instrText xml:space="preserve"> HYPERLINK \l "_Toc29325" </w:instrText>
      </w:r>
      <w:r>
        <w:fldChar w:fldCharType="separate"/>
      </w:r>
      <w:r>
        <w:rPr>
          <w:rFonts w:hint="eastAsia"/>
          <w:szCs w:val="36"/>
        </w:rPr>
        <w:t>第三部分  2021年度部门决算情况说明</w:t>
      </w:r>
      <w:r>
        <w:tab/>
      </w:r>
      <w:r>
        <w:fldChar w:fldCharType="begin"/>
      </w:r>
      <w:r>
        <w:instrText xml:space="preserve"> PAGEREF _Toc29325 </w:instrText>
      </w:r>
      <w:r>
        <w:fldChar w:fldCharType="separate"/>
      </w:r>
      <w:r>
        <w:t>7</w:t>
      </w:r>
      <w:r>
        <w:fldChar w:fldCharType="end"/>
      </w:r>
      <w:r>
        <w:fldChar w:fldCharType="end"/>
      </w:r>
    </w:p>
    <w:p>
      <w:pPr>
        <w:pStyle w:val="7"/>
        <w:tabs>
          <w:tab w:val="right" w:leader="dot" w:pos="8306"/>
        </w:tabs>
        <w:ind w:left="640" w:firstLine="640"/>
      </w:pPr>
      <w:r>
        <w:fldChar w:fldCharType="begin"/>
      </w:r>
      <w:r>
        <w:instrText xml:space="preserve"> HYPERLINK \l "_Toc437" </w:instrText>
      </w:r>
      <w:r>
        <w:fldChar w:fldCharType="separate"/>
      </w:r>
      <w:r>
        <w:rPr>
          <w:rFonts w:hint="eastAsia" w:ascii="仿宋" w:hAnsi="仿宋" w:eastAsia="仿宋" w:cs="仿宋"/>
        </w:rPr>
        <w:t>一、收入支出决算总体情况说明</w:t>
      </w:r>
      <w:r>
        <w:tab/>
      </w:r>
      <w:r>
        <w:fldChar w:fldCharType="begin"/>
      </w:r>
      <w:r>
        <w:instrText xml:space="preserve"> PAGEREF _Toc437 </w:instrText>
      </w:r>
      <w:r>
        <w:fldChar w:fldCharType="separate"/>
      </w:r>
      <w:r>
        <w:t>7</w:t>
      </w:r>
      <w:r>
        <w:fldChar w:fldCharType="end"/>
      </w:r>
      <w:r>
        <w:fldChar w:fldCharType="end"/>
      </w:r>
    </w:p>
    <w:p>
      <w:pPr>
        <w:pStyle w:val="7"/>
        <w:tabs>
          <w:tab w:val="right" w:leader="dot" w:pos="8306"/>
        </w:tabs>
        <w:ind w:left="640" w:firstLine="640"/>
      </w:pPr>
      <w:r>
        <w:fldChar w:fldCharType="begin"/>
      </w:r>
      <w:r>
        <w:instrText xml:space="preserve"> HYPERLINK \l "_Toc16754" </w:instrText>
      </w:r>
      <w:r>
        <w:fldChar w:fldCharType="separate"/>
      </w:r>
      <w:r>
        <w:rPr>
          <w:rFonts w:hint="eastAsia" w:ascii="仿宋" w:hAnsi="仿宋" w:eastAsia="仿宋" w:cs="仿宋"/>
        </w:rPr>
        <w:t>二、收入决算情况说明</w:t>
      </w:r>
      <w:r>
        <w:tab/>
      </w:r>
      <w:r>
        <w:fldChar w:fldCharType="begin"/>
      </w:r>
      <w:r>
        <w:instrText xml:space="preserve"> PAGEREF _Toc16754 </w:instrText>
      </w:r>
      <w:r>
        <w:fldChar w:fldCharType="separate"/>
      </w:r>
      <w:r>
        <w:t>7</w:t>
      </w:r>
      <w:r>
        <w:fldChar w:fldCharType="end"/>
      </w:r>
      <w:r>
        <w:fldChar w:fldCharType="end"/>
      </w:r>
    </w:p>
    <w:p>
      <w:pPr>
        <w:pStyle w:val="7"/>
        <w:tabs>
          <w:tab w:val="right" w:leader="dot" w:pos="8306"/>
        </w:tabs>
        <w:ind w:left="640" w:firstLine="640"/>
      </w:pPr>
      <w:r>
        <w:fldChar w:fldCharType="begin"/>
      </w:r>
      <w:r>
        <w:instrText xml:space="preserve"> HYPERLINK \l "_Toc22098" </w:instrText>
      </w:r>
      <w:r>
        <w:fldChar w:fldCharType="separate"/>
      </w:r>
      <w:r>
        <w:rPr>
          <w:rFonts w:hint="eastAsia" w:ascii="仿宋" w:hAnsi="仿宋" w:eastAsia="仿宋" w:cs="仿宋"/>
        </w:rPr>
        <w:t>三、支出决算情况说明</w:t>
      </w:r>
      <w:r>
        <w:tab/>
      </w:r>
      <w:r>
        <w:fldChar w:fldCharType="begin"/>
      </w:r>
      <w:r>
        <w:instrText xml:space="preserve"> PAGEREF _Toc22098 </w:instrText>
      </w:r>
      <w:r>
        <w:fldChar w:fldCharType="separate"/>
      </w:r>
      <w:r>
        <w:t>8</w:t>
      </w:r>
      <w:r>
        <w:fldChar w:fldCharType="end"/>
      </w:r>
      <w:r>
        <w:fldChar w:fldCharType="end"/>
      </w:r>
    </w:p>
    <w:p>
      <w:pPr>
        <w:pStyle w:val="7"/>
        <w:tabs>
          <w:tab w:val="right" w:leader="dot" w:pos="8306"/>
        </w:tabs>
        <w:ind w:left="640" w:firstLine="640"/>
      </w:pPr>
      <w:r>
        <w:fldChar w:fldCharType="begin"/>
      </w:r>
      <w:r>
        <w:instrText xml:space="preserve"> HYPERLINK \l "_Toc2142" </w:instrText>
      </w:r>
      <w:r>
        <w:fldChar w:fldCharType="separate"/>
      </w:r>
      <w:r>
        <w:rPr>
          <w:rFonts w:hint="eastAsia" w:ascii="仿宋" w:hAnsi="仿宋" w:eastAsia="仿宋" w:cs="仿宋"/>
        </w:rPr>
        <w:t>四、财政拨款收入支出决算总体情况说明</w:t>
      </w:r>
      <w:r>
        <w:tab/>
      </w:r>
      <w:r>
        <w:fldChar w:fldCharType="begin"/>
      </w:r>
      <w:r>
        <w:instrText xml:space="preserve"> PAGEREF _Toc2142 </w:instrText>
      </w:r>
      <w:r>
        <w:fldChar w:fldCharType="separate"/>
      </w:r>
      <w:r>
        <w:t>8</w:t>
      </w:r>
      <w:r>
        <w:fldChar w:fldCharType="end"/>
      </w:r>
      <w:r>
        <w:fldChar w:fldCharType="end"/>
      </w:r>
    </w:p>
    <w:p>
      <w:pPr>
        <w:pStyle w:val="7"/>
        <w:tabs>
          <w:tab w:val="right" w:leader="dot" w:pos="8306"/>
        </w:tabs>
        <w:ind w:left="640" w:firstLine="640"/>
      </w:pPr>
      <w:r>
        <w:fldChar w:fldCharType="begin"/>
      </w:r>
      <w:r>
        <w:instrText xml:space="preserve"> HYPERLINK \l "_Toc6501" </w:instrText>
      </w:r>
      <w:r>
        <w:fldChar w:fldCharType="separate"/>
      </w:r>
      <w:r>
        <w:rPr>
          <w:rFonts w:hint="eastAsia" w:ascii="仿宋" w:hAnsi="仿宋" w:eastAsia="仿宋" w:cs="仿宋"/>
        </w:rPr>
        <w:t>五、一般公共预算财政拨款支出决算情况说明</w:t>
      </w:r>
      <w:r>
        <w:tab/>
      </w:r>
      <w:r>
        <w:fldChar w:fldCharType="begin"/>
      </w:r>
      <w:r>
        <w:instrText xml:space="preserve"> PAGEREF _Toc6501 </w:instrText>
      </w:r>
      <w:r>
        <w:fldChar w:fldCharType="separate"/>
      </w:r>
      <w:r>
        <w:t>8</w:t>
      </w:r>
      <w:r>
        <w:fldChar w:fldCharType="end"/>
      </w:r>
      <w:r>
        <w:fldChar w:fldCharType="end"/>
      </w:r>
    </w:p>
    <w:p>
      <w:pPr>
        <w:pStyle w:val="7"/>
        <w:tabs>
          <w:tab w:val="right" w:leader="dot" w:pos="8306"/>
        </w:tabs>
        <w:ind w:left="640" w:firstLine="640"/>
      </w:pPr>
      <w:r>
        <w:fldChar w:fldCharType="begin"/>
      </w:r>
      <w:r>
        <w:instrText xml:space="preserve"> HYPERLINK \l "_Toc17728" </w:instrText>
      </w:r>
      <w:r>
        <w:fldChar w:fldCharType="separate"/>
      </w:r>
      <w:r>
        <w:rPr>
          <w:rFonts w:hint="eastAsia" w:ascii="仿宋" w:hAnsi="仿宋" w:eastAsia="仿宋" w:cs="仿宋"/>
        </w:rPr>
        <w:t>六、一般公共预算财政拨款基本支出决算情况说明</w:t>
      </w:r>
      <w:r>
        <w:tab/>
      </w:r>
      <w:r>
        <w:fldChar w:fldCharType="begin"/>
      </w:r>
      <w:r>
        <w:instrText xml:space="preserve"> PAGEREF _Toc17728 </w:instrText>
      </w:r>
      <w:r>
        <w:fldChar w:fldCharType="separate"/>
      </w:r>
      <w:r>
        <w:t>11</w:t>
      </w:r>
      <w:r>
        <w:fldChar w:fldCharType="end"/>
      </w:r>
      <w:r>
        <w:fldChar w:fldCharType="end"/>
      </w:r>
    </w:p>
    <w:p>
      <w:pPr>
        <w:pStyle w:val="7"/>
        <w:tabs>
          <w:tab w:val="right" w:leader="dot" w:pos="8306"/>
        </w:tabs>
        <w:ind w:left="640" w:firstLine="640"/>
      </w:pPr>
      <w:r>
        <w:fldChar w:fldCharType="begin"/>
      </w:r>
      <w:r>
        <w:instrText xml:space="preserve"> HYPERLINK \l "_Toc26508" </w:instrText>
      </w:r>
      <w:r>
        <w:fldChar w:fldCharType="separate"/>
      </w:r>
      <w:r>
        <w:rPr>
          <w:rFonts w:hint="eastAsia" w:ascii="仿宋" w:hAnsi="仿宋" w:eastAsia="仿宋" w:cs="仿宋"/>
        </w:rPr>
        <w:t>七、一般公共预算财政拨款“三公”经费支出决算情况说明</w:t>
      </w:r>
      <w:r>
        <w:tab/>
      </w:r>
      <w:r>
        <w:fldChar w:fldCharType="begin"/>
      </w:r>
      <w:r>
        <w:instrText xml:space="preserve"> PAGEREF _Toc26508 </w:instrText>
      </w:r>
      <w:r>
        <w:fldChar w:fldCharType="separate"/>
      </w:r>
      <w:r>
        <w:t>12</w:t>
      </w:r>
      <w:r>
        <w:fldChar w:fldCharType="end"/>
      </w:r>
      <w:r>
        <w:fldChar w:fldCharType="end"/>
      </w:r>
    </w:p>
    <w:p>
      <w:pPr>
        <w:pStyle w:val="7"/>
        <w:tabs>
          <w:tab w:val="right" w:leader="dot" w:pos="8306"/>
        </w:tabs>
        <w:ind w:left="640" w:firstLine="640"/>
      </w:pPr>
      <w:r>
        <w:fldChar w:fldCharType="begin"/>
      </w:r>
      <w:r>
        <w:instrText xml:space="preserve"> HYPERLINK \l "_Toc1792" </w:instrText>
      </w:r>
      <w:r>
        <w:fldChar w:fldCharType="separate"/>
      </w:r>
      <w:r>
        <w:rPr>
          <w:rFonts w:hint="eastAsia" w:ascii="仿宋" w:hAnsi="仿宋" w:eastAsia="仿宋" w:cs="仿宋"/>
        </w:rPr>
        <w:t>八、其他重要事项情况说明</w:t>
      </w:r>
      <w:r>
        <w:tab/>
      </w:r>
      <w:r>
        <w:fldChar w:fldCharType="begin"/>
      </w:r>
      <w:r>
        <w:instrText xml:space="preserve"> PAGEREF _Toc1792 </w:instrText>
      </w:r>
      <w:r>
        <w:fldChar w:fldCharType="separate"/>
      </w:r>
      <w:r>
        <w:t>12</w:t>
      </w:r>
      <w:r>
        <w:fldChar w:fldCharType="end"/>
      </w:r>
      <w:r>
        <w:fldChar w:fldCharType="end"/>
      </w:r>
    </w:p>
    <w:p>
      <w:pPr>
        <w:pStyle w:val="6"/>
        <w:tabs>
          <w:tab w:val="right" w:leader="dot" w:pos="8306"/>
        </w:tabs>
        <w:ind w:firstLine="640"/>
      </w:pPr>
      <w:r>
        <w:fldChar w:fldCharType="begin"/>
      </w:r>
      <w:r>
        <w:instrText xml:space="preserve"> HYPERLINK \l "_Toc28108" </w:instrText>
      </w:r>
      <w:r>
        <w:fldChar w:fldCharType="separate"/>
      </w:r>
      <w:r>
        <w:rPr>
          <w:rFonts w:hint="eastAsia" w:ascii="仿宋_GB2312"/>
          <w:szCs w:val="32"/>
        </w:rPr>
        <w:t>（四） 其他需要说明的事项</w:t>
      </w:r>
      <w:r>
        <w:tab/>
      </w:r>
      <w:r>
        <w:fldChar w:fldCharType="begin"/>
      </w:r>
      <w:r>
        <w:instrText xml:space="preserve"> PAGEREF _Toc28108 </w:instrText>
      </w:r>
      <w:r>
        <w:fldChar w:fldCharType="separate"/>
      </w:r>
      <w:r>
        <w:t>13</w:t>
      </w:r>
      <w:r>
        <w:fldChar w:fldCharType="end"/>
      </w:r>
      <w:r>
        <w:fldChar w:fldCharType="end"/>
      </w:r>
    </w:p>
    <w:p>
      <w:pPr>
        <w:pStyle w:val="6"/>
        <w:tabs>
          <w:tab w:val="right" w:leader="dot" w:pos="8306"/>
        </w:tabs>
        <w:ind w:firstLine="640"/>
      </w:pPr>
      <w:r>
        <w:fldChar w:fldCharType="begin"/>
      </w:r>
      <w:r>
        <w:instrText xml:space="preserve"> HYPERLINK \l "_Toc8545" </w:instrText>
      </w:r>
      <w:r>
        <w:fldChar w:fldCharType="separate"/>
      </w:r>
      <w:r>
        <w:rPr>
          <w:rFonts w:hint="eastAsia"/>
          <w:szCs w:val="36"/>
        </w:rPr>
        <w:t>第四部分  名词解释</w:t>
      </w:r>
      <w:r>
        <w:tab/>
      </w:r>
      <w:r>
        <w:fldChar w:fldCharType="begin"/>
      </w:r>
      <w:r>
        <w:instrText xml:space="preserve"> PAGEREF _Toc8545 </w:instrText>
      </w:r>
      <w:r>
        <w:fldChar w:fldCharType="separate"/>
      </w:r>
      <w:r>
        <w:t>14</w:t>
      </w:r>
      <w:r>
        <w:fldChar w:fldCharType="end"/>
      </w:r>
      <w:r>
        <w:fldChar w:fldCharType="end"/>
      </w:r>
    </w:p>
    <w:p>
      <w:pPr>
        <w:ind w:firstLine="640"/>
        <w:jc w:val="center"/>
        <w:rPr>
          <w:rFonts w:ascii="仿宋" w:hAnsi="仿宋" w:eastAsia="仿宋" w:cs="仿宋"/>
          <w:color w:val="000000"/>
          <w:szCs w:val="32"/>
        </w:rPr>
      </w:pPr>
      <w:r>
        <w:rPr>
          <w:rFonts w:hint="eastAsia" w:ascii="仿宋" w:hAnsi="仿宋" w:eastAsia="仿宋" w:cs="仿宋"/>
          <w:color w:val="000000"/>
          <w:szCs w:val="32"/>
        </w:rPr>
        <w:fldChar w:fldCharType="end"/>
      </w:r>
    </w:p>
    <w:p>
      <w:pPr>
        <w:pStyle w:val="2"/>
        <w:ind w:firstLine="0" w:firstLineChars="0"/>
        <w:jc w:val="center"/>
        <w:rPr>
          <w:szCs w:val="36"/>
        </w:rPr>
      </w:pPr>
      <w:bookmarkStart w:id="3" w:name="_Toc23288"/>
      <w:bookmarkStart w:id="4" w:name="_Toc31140"/>
      <w:r>
        <w:rPr>
          <w:rFonts w:hint="eastAsia"/>
          <w:sz w:val="36"/>
          <w:szCs w:val="36"/>
        </w:rPr>
        <w:t>第一部分  概况</w:t>
      </w:r>
      <w:bookmarkEnd w:id="3"/>
      <w:bookmarkEnd w:id="4"/>
    </w:p>
    <w:p>
      <w:pPr>
        <w:pStyle w:val="3"/>
        <w:ind w:firstLine="640"/>
        <w:rPr>
          <w:rFonts w:hint="eastAsia" w:ascii="仿宋" w:hAnsi="仿宋" w:eastAsia="仿宋" w:cs="仿宋"/>
          <w:b w:val="0"/>
          <w:bCs/>
        </w:rPr>
      </w:pPr>
      <w:bookmarkStart w:id="5" w:name="_Toc4461"/>
      <w:bookmarkStart w:id="6" w:name="_Toc24066"/>
      <w:r>
        <w:rPr>
          <w:rFonts w:hint="eastAsia" w:ascii="仿宋" w:hAnsi="仿宋" w:eastAsia="仿宋" w:cs="仿宋"/>
          <w:b w:val="0"/>
          <w:bCs/>
        </w:rPr>
        <w:t>一、本部门职责</w:t>
      </w:r>
      <w:bookmarkEnd w:id="5"/>
      <w:bookmarkEnd w:id="6"/>
    </w:p>
    <w:p>
      <w:pPr>
        <w:ind w:firstLine="640"/>
        <w:rPr>
          <w:rFonts w:ascii="仿宋" w:hAnsi="仿宋" w:eastAsia="仿宋" w:cs="仿宋"/>
          <w:szCs w:val="32"/>
        </w:rPr>
      </w:pPr>
      <w:r>
        <w:rPr>
          <w:rFonts w:hint="eastAsia" w:ascii="仿宋" w:hAnsi="仿宋" w:eastAsia="仿宋" w:cs="仿宋"/>
          <w:sz w:val="32"/>
          <w:szCs w:val="32"/>
        </w:rPr>
        <w:t>静乐县康家会镇人民政府坚持以巩固党在基层执政基础、满足人民群众美好生活需要为目标，以强化镇党委统筹协调功能为核心，以构建简约高效的管理体制为重点，突出党建引领，强化经济社会发展，提升管理服务水平，在履行职责过程中坚持和加强党对镇工作的集中统一领导。主要职责是：</w:t>
      </w:r>
    </w:p>
    <w:p>
      <w:pPr>
        <w:numPr>
          <w:ilvl w:val="0"/>
          <w:numId w:val="1"/>
        </w:numPr>
        <w:spacing w:line="600" w:lineRule="exact"/>
        <w:ind w:firstLine="640" w:firstLineChars="200"/>
        <w:rPr>
          <w:rFonts w:ascii="仿宋" w:hAnsi="仿宋" w:eastAsia="仿宋" w:cs="仿宋"/>
          <w:szCs w:val="32"/>
        </w:rPr>
      </w:pPr>
      <w:r>
        <w:rPr>
          <w:rFonts w:hint="eastAsia" w:ascii="仿宋" w:hAnsi="仿宋" w:eastAsia="仿宋" w:cs="仿宋"/>
          <w:sz w:val="32"/>
          <w:szCs w:val="32"/>
        </w:rPr>
        <w:t>宣传贯彻执行党的路线方针政策和国家法律法规，落实上级党委、政府的各项决策部署，执行上级党组织的决议、决定</w:t>
      </w:r>
      <w:r>
        <w:rPr>
          <w:rFonts w:hint="eastAsia" w:ascii="仿宋_GB2312" w:hAnsi="仿宋_GB2312" w:eastAsia="仿宋_GB2312" w:cs="仿宋_GB2312"/>
          <w:kern w:val="0"/>
          <w:sz w:val="32"/>
          <w:szCs w:val="27"/>
        </w:rPr>
        <w:t>和本</w:t>
      </w:r>
      <w:r>
        <w:rPr>
          <w:rFonts w:hint="eastAsia" w:ascii="仿宋_GB2312" w:hAnsi="仿宋_GB2312" w:cs="仿宋_GB2312"/>
          <w:kern w:val="0"/>
          <w:sz w:val="32"/>
          <w:szCs w:val="27"/>
        </w:rPr>
        <w:t>镇</w:t>
      </w:r>
      <w:r>
        <w:rPr>
          <w:rFonts w:hint="eastAsia" w:ascii="仿宋_GB2312" w:hAnsi="仿宋_GB2312" w:eastAsia="仿宋_GB2312" w:cs="仿宋_GB2312"/>
          <w:kern w:val="0"/>
          <w:sz w:val="32"/>
          <w:szCs w:val="27"/>
        </w:rPr>
        <w:t>党员代表大会（党员大会）的决议，</w:t>
      </w:r>
      <w:r>
        <w:rPr>
          <w:rFonts w:hint="eastAsia" w:ascii="仿宋" w:hAnsi="仿宋" w:eastAsia="仿宋" w:cs="仿宋"/>
          <w:sz w:val="32"/>
          <w:szCs w:val="32"/>
        </w:rPr>
        <w:t>保证上级安排的各项任务顺利完成。</w:t>
      </w:r>
    </w:p>
    <w:p>
      <w:pPr>
        <w:rPr>
          <w:rFonts w:ascii="仿宋" w:hAnsi="仿宋" w:eastAsia="仿宋" w:cs="仿宋"/>
          <w:szCs w:val="32"/>
        </w:rPr>
      </w:pPr>
      <w:r>
        <w:rPr>
          <w:rFonts w:hint="eastAsia" w:ascii="仿宋" w:hAnsi="仿宋" w:eastAsia="仿宋" w:cs="仿宋"/>
          <w:sz w:val="32"/>
          <w:szCs w:val="32"/>
        </w:rPr>
        <w:t>（二）讨论和决定本镇经济建设、政治建设、文化建设、社会建设、生态文明建设和党的建设以及乡村振兴中的重大问题。</w:t>
      </w:r>
    </w:p>
    <w:p>
      <w:pPr>
        <w:ind w:firstLine="640"/>
        <w:rPr>
          <w:rFonts w:ascii="仿宋" w:hAnsi="仿宋" w:eastAsia="仿宋" w:cs="仿宋"/>
          <w:szCs w:val="32"/>
        </w:rPr>
      </w:pPr>
      <w:r>
        <w:rPr>
          <w:rFonts w:hint="eastAsia" w:ascii="仿宋" w:hAnsi="仿宋" w:eastAsia="仿宋" w:cs="仿宋"/>
          <w:sz w:val="32"/>
          <w:szCs w:val="32"/>
        </w:rPr>
        <w:t>（三）执行本镇经济和社会发展计划、预算，管理本镇经济、教育、科学、文化、卫生健康、体育事业和财政、统计、民政、司法行政等行政工作。落实本镇经济发展战略总体规划和土地利用、城镇建设、产业发展等专项规划，组织发展区域特色经济，提供符合当地实际和群众需求的公共服务。</w:t>
      </w:r>
    </w:p>
    <w:p>
      <w:pPr>
        <w:ind w:firstLine="640"/>
        <w:rPr>
          <w:rFonts w:ascii="仿宋" w:hAnsi="仿宋" w:eastAsia="仿宋" w:cs="仿宋"/>
          <w:szCs w:val="32"/>
        </w:rPr>
      </w:pPr>
      <w:r>
        <w:rPr>
          <w:rFonts w:hint="eastAsia" w:ascii="仿宋" w:hAnsi="仿宋" w:eastAsia="仿宋" w:cs="仿宋"/>
          <w:sz w:val="32"/>
          <w:szCs w:val="32"/>
        </w:rPr>
        <w:t>（四）镇党委领导镇政权机关、群团组织和其他各类组织，加强指导和规范，支持和保证这些机关和组织依照国家法律法规以及各自章程履行职责。坚持党管武装的根本原则和制度，协调各方力量，对镇人民武装工作实行统一领导。</w:t>
      </w:r>
    </w:p>
    <w:p>
      <w:pPr>
        <w:ind w:firstLine="640"/>
        <w:rPr>
          <w:rFonts w:ascii="仿宋" w:hAnsi="仿宋" w:eastAsia="仿宋" w:cs="仿宋"/>
          <w:szCs w:val="32"/>
        </w:rPr>
      </w:pPr>
      <w:r>
        <w:rPr>
          <w:rFonts w:hint="eastAsia" w:ascii="仿宋" w:hAnsi="仿宋" w:eastAsia="仿宋" w:cs="仿宋"/>
          <w:sz w:val="32"/>
          <w:szCs w:val="32"/>
        </w:rPr>
        <w:t>（五）加强镇党委自身建设和村党组织建设，以及其它隶属镇党委的党组织建设，抓好发展党员工作，加强党员队伍建设。履行党风廉政建设主体责任，维护和执行党的纪律，监督党员干部和其他任何工作人员严格遵守国家法律法规。</w:t>
      </w:r>
    </w:p>
    <w:p>
      <w:pPr>
        <w:ind w:firstLine="640"/>
        <w:rPr>
          <w:rFonts w:ascii="仿宋" w:hAnsi="仿宋" w:eastAsia="仿宋" w:cs="仿宋"/>
          <w:szCs w:val="32"/>
        </w:rPr>
      </w:pPr>
      <w:r>
        <w:rPr>
          <w:rFonts w:hint="eastAsia" w:ascii="仿宋" w:hAnsi="仿宋" w:eastAsia="仿宋" w:cs="仿宋"/>
          <w:sz w:val="32"/>
          <w:szCs w:val="32"/>
        </w:rPr>
        <w:t>（六）按照干部管理权限，负责对干部的教育、培训、选拔、考核和监督工作。协助管理上级有关部门派驻镇单位的干部。做好人才服务和引进工作。</w:t>
      </w:r>
    </w:p>
    <w:p>
      <w:pPr>
        <w:ind w:firstLine="640"/>
        <w:rPr>
          <w:rFonts w:ascii="仿宋" w:hAnsi="仿宋" w:eastAsia="仿宋" w:cs="仿宋"/>
          <w:szCs w:val="32"/>
        </w:rPr>
      </w:pPr>
      <w:r>
        <w:rPr>
          <w:rFonts w:hint="eastAsia" w:ascii="仿宋" w:hAnsi="仿宋" w:eastAsia="仿宋" w:cs="仿宋"/>
          <w:sz w:val="32"/>
          <w:szCs w:val="32"/>
        </w:rPr>
        <w:t>（七）加强平安建设工作，</w:t>
      </w:r>
      <w:r>
        <w:rPr>
          <w:rFonts w:hint="eastAsia" w:ascii="仿宋_GB2312" w:hAnsi="仿宋_GB2312" w:eastAsia="仿宋_GB2312" w:cs="仿宋_GB2312"/>
          <w:sz w:val="32"/>
          <w:szCs w:val="32"/>
        </w:rPr>
        <w:t>依托村（社区）合理划分基本网格单元，统筹网格内各项工作，推进网格标准化建设，</w:t>
      </w:r>
      <w:r>
        <w:rPr>
          <w:rFonts w:hint="eastAsia" w:ascii="仿宋" w:hAnsi="仿宋" w:eastAsia="仿宋" w:cs="仿宋"/>
          <w:sz w:val="32"/>
          <w:szCs w:val="32"/>
        </w:rPr>
        <w:t>构建公共安全防控体系。加强法制宣传，调解民事纠纷，化解农村社会矛盾，维护农村社会稳定。加强对突发事件的预警和管理，做好应急管理、防灾减灾、生态环境保护、美丽乡村建设、民生保障、脱贫致富、民族宗教等工作。承担民兵预备役、征兵、退役军人服务、拥军优属等工作。</w:t>
      </w:r>
    </w:p>
    <w:p>
      <w:pPr>
        <w:ind w:firstLine="640"/>
        <w:rPr>
          <w:rFonts w:ascii="仿宋" w:hAnsi="仿宋" w:eastAsia="仿宋" w:cs="仿宋"/>
          <w:szCs w:val="32"/>
        </w:rPr>
      </w:pPr>
      <w:r>
        <w:rPr>
          <w:rFonts w:hint="eastAsia" w:ascii="仿宋" w:hAnsi="仿宋" w:eastAsia="仿宋" w:cs="仿宋"/>
          <w:sz w:val="32"/>
          <w:szCs w:val="32"/>
        </w:rPr>
        <w:t>（八）推进基层民主，指导村民自治，推动农村社区建设，完善民主议事制度，推进农村村务公开，引导农民有序参与村级事务管理，促进社会组织健康发展。依法保护国家、集体、公民财产和各类组织的合法权益，保障公民人身权利、民主权利和其他权利，维护社会秩序，构建农村和谐社会。</w:t>
      </w:r>
    </w:p>
    <w:p>
      <w:pPr>
        <w:ind w:firstLine="640"/>
        <w:rPr>
          <w:rFonts w:ascii="仿宋" w:hAnsi="仿宋" w:eastAsia="仿宋" w:cs="仿宋"/>
          <w:szCs w:val="32"/>
        </w:rPr>
      </w:pPr>
      <w:r>
        <w:rPr>
          <w:rFonts w:hint="eastAsia" w:ascii="仿宋" w:hAnsi="仿宋" w:eastAsia="仿宋" w:cs="仿宋"/>
          <w:sz w:val="32"/>
          <w:szCs w:val="32"/>
        </w:rPr>
        <w:t>（九）完成上级党委、政府交办的其他事项。</w:t>
      </w:r>
    </w:p>
    <w:p/>
    <w:p>
      <w:pPr>
        <w:pStyle w:val="3"/>
        <w:numPr>
          <w:ilvl w:val="0"/>
          <w:numId w:val="2"/>
        </w:numPr>
        <w:ind w:firstLine="640"/>
        <w:rPr>
          <w:rFonts w:hint="eastAsia" w:ascii="仿宋" w:hAnsi="仿宋" w:eastAsia="仿宋" w:cs="仿宋"/>
          <w:b w:val="0"/>
          <w:bCs/>
        </w:rPr>
      </w:pPr>
      <w:bookmarkStart w:id="7" w:name="_Toc9155"/>
      <w:bookmarkStart w:id="8" w:name="_Toc275"/>
      <w:r>
        <w:rPr>
          <w:rFonts w:hint="eastAsia" w:ascii="仿宋" w:hAnsi="仿宋" w:eastAsia="仿宋" w:cs="仿宋"/>
          <w:b w:val="0"/>
          <w:bCs/>
        </w:rPr>
        <w:t>机构设置情况</w:t>
      </w:r>
      <w:bookmarkEnd w:id="7"/>
      <w:bookmarkEnd w:id="8"/>
    </w:p>
    <w:p>
      <w:pPr>
        <w:spacing w:line="560" w:lineRule="exact"/>
        <w:ind w:firstLine="640" w:firstLineChars="200"/>
        <w:rPr>
          <w:rFonts w:ascii="仿宋" w:hAnsi="仿宋" w:eastAsia="仿宋" w:cs="仿宋"/>
          <w:sz w:val="32"/>
          <w:szCs w:val="32"/>
        </w:rPr>
      </w:pPr>
      <w:r>
        <w:rPr>
          <w:rFonts w:hint="eastAsia"/>
          <w:lang w:val="en-US" w:eastAsia="zh-CN"/>
        </w:rPr>
        <w:t xml:space="preserve"> </w:t>
      </w:r>
      <w:r>
        <w:rPr>
          <w:rFonts w:hint="eastAsia" w:ascii="仿宋" w:hAnsi="仿宋" w:eastAsia="仿宋" w:cs="仿宋"/>
          <w:sz w:val="32"/>
          <w:szCs w:val="32"/>
        </w:rPr>
        <w:t>（一）党政综合办公室</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负责乡镇党委、政府机关日常工作；负责人大、政协、武装部具体事务；负责协调纪检监察、组织、宣传、统战、机构编制、巡察、老干部和工会、团委、妇联等方面工作；负责财务、人事、保密、档案、固定资产管理和后勤服务。完成镇党委、政府和上级有关部门交办的其他任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（二）经济发展办公室</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负责农业、工业、第三产业发展规划的制定实施及乡村振兴战略、区域协调发展战略的组织实施；负责协调发展和改革、科学技术、工业和信息化、财政、自然资源、村镇建设和管理、交通运输、林业、水务、农业农村、审计、统计、能源等方面工作；协调配合生态环境保护相关工作。完成镇党委、政府和上级有关部门交办的其他任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（三）社会事务办公室（挂平安建设办公室牌子）</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负责农村基层政权建设，指导村委会的民主选举、民主决策、民主管理和民主监督工作，指导村务公开、村账镇管等工作；负责矛盾纠纷化解、特殊人群服务管理、公共安全风险防控、法治宣传教育，基层平安创建、网格化服务管理和群防群治等相关工作；负责应急管理、信访的综合协调工作，督促检查工作落实；负责教育、民政、人力资源和社会保障、文化旅游、卫生健康和体育、退役军人事务、医疗保障、行政审批服务、残疾人服务、慈善事务、红十字会事务等社会事务工作。完成镇镇党委、政府和上级有关部门交办的其他任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（四）规划建设办公室</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负责组织编制我镇总体规划和村庄规划，根据我镇总体规划的要求，组织编制我镇的控制性详细规划；组织规划编制单位依法修改总体规划和修建性详细规划并依照审批程序报批；负责管理辖区内各项建筑活动和施工许可等初审工作；做好镇村供水、排水、垃圾和污水处理、燃气、园林绿化、环境卫生等建设工作。完成镇党委、政府和上级有关部门交办的其他任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（五）综合行政执法办公室</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负责我镇综合行政执法队伍的日常管理，组织开展对综合行政执法事项巡查上报、执法处置等日常执法工作；作为基层综合行政执法平台，负责统筹协调辖区内市场监管、交通运输、农业农村、文化旅游、生态环境保护、城市管理等各领域派驻执法力量、公安等派出执法机构开展联合执法工作；组织开展对区域内各类专业执法的群众监督和社会监督。完成镇党委、政府和上级有关部门交办的其他任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二、事业单位设置</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（一）党群服务中心</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负责发挥服务党组织和党员群众的功能，开展宣传党的方针政策和理论知识、党务政策咨询等活动；提供党员培训活动场所，做好区域内党建活动的日常组织、协调、联络和服务工作；为村镇党组织、党员群众提供相关服务和资源保障；负责党群志愿者队伍建设和组织开展志愿服务活动。完成乡镇党委、政府和上级有关部门交办的其他任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（二）综合便民服务中心</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负责制定我镇综合便民服务中心的管理制度并组织实施；结合实际设置基层来信来访、乡村建设、农业农村服务、畜牧兽医、卫生健康和体育、就业和社会保障、社会救助、户籍管理、不动产登记、法律服务等便民服务专门窗口，集中办理面向群众的行政审批和服务事项；负责进驻中心事项的公开公示，对进入中心的各窗口及其工作人员进行日常管理和监督；受理群众对窗口工作人员及便民服务工作的投诉举报；指导村便民服务站点日常工作开展。完成镇党委、政府及上级有关部门交办的其他任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（三）退役军人服务保障工作站</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负责宣传贯彻有关退役军人法律、法规、政策；负责退役军人信访服务相关工作；负责退役军人权益保障服务工作，对退役军人提供就业指导、帮扶救助、思想教育等帮助服务；组织开展退役军人教育培训、优待抚恤等待遇保障工作；指导开展拥军优属工作，负责烈士及退役军人走访慰问、荣誉奖励以及纪念活动等；承办乡镇党委、政府及上级有关部门交办的其他任务。</w:t>
      </w:r>
    </w:p>
    <w:p>
      <w:pPr>
        <w:rPr>
          <w:rFonts w:hint="eastAsia"/>
        </w:rPr>
      </w:pPr>
    </w:p>
    <w:p>
      <w:pPr>
        <w:numPr>
          <w:ilvl w:val="0"/>
          <w:numId w:val="0"/>
        </w:numPr>
        <w:rPr>
          <w:rFonts w:hint="eastAsia" w:eastAsia="仿宋_GB2312"/>
          <w:lang w:val="en-US" w:eastAsia="zh-CN"/>
        </w:rPr>
      </w:pPr>
    </w:p>
    <w:p>
      <w:pPr>
        <w:pStyle w:val="2"/>
        <w:ind w:firstLine="723"/>
        <w:rPr>
          <w:sz w:val="36"/>
          <w:szCs w:val="36"/>
        </w:rPr>
      </w:pPr>
      <w:bookmarkStart w:id="9" w:name="_Toc12749"/>
      <w:r>
        <w:rPr>
          <w:rFonts w:hint="eastAsia"/>
          <w:sz w:val="36"/>
          <w:szCs w:val="36"/>
        </w:rPr>
        <w:t>第二部分  2021年度部门决算报表（附表）</w:t>
      </w:r>
      <w:bookmarkEnd w:id="9"/>
    </w:p>
    <w:p>
      <w:pPr>
        <w:ind w:firstLine="640"/>
        <w:rPr>
          <w:rFonts w:ascii="仿宋_GB2312" w:hAnsi="楷体"/>
          <w:szCs w:val="32"/>
        </w:rPr>
      </w:pPr>
      <w:r>
        <w:rPr>
          <w:rFonts w:hint="eastAsia" w:ascii="仿宋_GB2312" w:hAnsi="楷体"/>
          <w:szCs w:val="32"/>
        </w:rPr>
        <w:t>一、收入支出决算总表</w:t>
      </w:r>
    </w:p>
    <w:p>
      <w:pPr>
        <w:ind w:firstLine="640"/>
        <w:rPr>
          <w:rFonts w:ascii="仿宋_GB2312" w:hAnsi="楷体"/>
          <w:szCs w:val="32"/>
        </w:rPr>
      </w:pPr>
      <w:r>
        <w:rPr>
          <w:rFonts w:hint="eastAsia" w:ascii="仿宋_GB2312" w:hAnsi="楷体"/>
          <w:szCs w:val="32"/>
        </w:rPr>
        <w:t>二、收入决算表</w:t>
      </w:r>
    </w:p>
    <w:p>
      <w:pPr>
        <w:ind w:firstLine="640"/>
        <w:rPr>
          <w:rFonts w:ascii="仿宋_GB2312" w:hAnsi="楷体"/>
          <w:szCs w:val="32"/>
        </w:rPr>
      </w:pPr>
      <w:r>
        <w:rPr>
          <w:rFonts w:hint="eastAsia" w:ascii="仿宋_GB2312" w:hAnsi="楷体"/>
          <w:szCs w:val="32"/>
        </w:rPr>
        <w:t>三、支出决算表</w:t>
      </w:r>
    </w:p>
    <w:p>
      <w:pPr>
        <w:ind w:firstLine="640"/>
        <w:rPr>
          <w:rFonts w:ascii="仿宋_GB2312" w:hAnsi="楷体"/>
          <w:szCs w:val="32"/>
        </w:rPr>
      </w:pPr>
      <w:r>
        <w:rPr>
          <w:rFonts w:hint="eastAsia" w:ascii="仿宋_GB2312" w:hAnsi="楷体"/>
          <w:szCs w:val="32"/>
        </w:rPr>
        <w:t>四、财政拨款收入支出决算总表</w:t>
      </w:r>
    </w:p>
    <w:p>
      <w:pPr>
        <w:ind w:firstLine="640"/>
        <w:rPr>
          <w:rFonts w:ascii="仿宋_GB2312" w:hAnsi="楷体"/>
          <w:szCs w:val="32"/>
        </w:rPr>
      </w:pPr>
      <w:r>
        <w:rPr>
          <w:rFonts w:hint="eastAsia" w:ascii="仿宋_GB2312" w:hAnsi="楷体"/>
          <w:szCs w:val="32"/>
        </w:rPr>
        <w:t>五、一般公共预算财政拨款支出决算表（一）</w:t>
      </w:r>
    </w:p>
    <w:p>
      <w:pPr>
        <w:ind w:firstLine="640"/>
        <w:rPr>
          <w:rFonts w:ascii="仿宋_GB2312" w:hAnsi="楷体"/>
          <w:szCs w:val="32"/>
        </w:rPr>
      </w:pPr>
      <w:r>
        <w:rPr>
          <w:rFonts w:hint="eastAsia" w:ascii="仿宋_GB2312" w:hAnsi="楷体"/>
          <w:szCs w:val="32"/>
        </w:rPr>
        <w:t>六、一般公共预算财政拨款支出决算表（二）</w:t>
      </w:r>
    </w:p>
    <w:p>
      <w:pPr>
        <w:ind w:firstLine="640"/>
        <w:rPr>
          <w:rFonts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ascii="仿宋_GB2312" w:hAnsi="楷体"/>
          <w:szCs w:val="32"/>
        </w:rPr>
      </w:pPr>
      <w:r>
        <w:rPr>
          <w:rFonts w:hint="eastAsia" w:ascii="仿宋_GB2312" w:hAnsi="楷体"/>
          <w:szCs w:val="32"/>
        </w:rPr>
        <w:t>九、国有资本经营预算财政拨款支出决算表</w:t>
      </w:r>
    </w:p>
    <w:p>
      <w:pPr>
        <w:ind w:firstLine="640"/>
        <w:rPr>
          <w:rFonts w:ascii="仿宋_GB2312" w:hAnsi="楷体"/>
          <w:szCs w:val="32"/>
        </w:rPr>
      </w:pPr>
      <w:r>
        <w:rPr>
          <w:rFonts w:hint="eastAsia" w:ascii="仿宋_GB2312" w:hAnsi="楷体"/>
          <w:szCs w:val="32"/>
        </w:rPr>
        <w:t>十、部门决算公开相关信息统计表</w:t>
      </w:r>
    </w:p>
    <w:p>
      <w:pPr>
        <w:pStyle w:val="2"/>
        <w:ind w:firstLine="0" w:firstLineChars="0"/>
        <w:jc w:val="center"/>
        <w:rPr>
          <w:sz w:val="36"/>
          <w:szCs w:val="36"/>
        </w:rPr>
      </w:pPr>
      <w:bookmarkStart w:id="10" w:name="_Toc29325"/>
      <w:r>
        <w:rPr>
          <w:rFonts w:hint="eastAsia"/>
          <w:sz w:val="36"/>
          <w:szCs w:val="36"/>
        </w:rPr>
        <w:t>第三部分  2021年度部门决算情况说明</w:t>
      </w:r>
      <w:bookmarkEnd w:id="10"/>
    </w:p>
    <w:p>
      <w:pPr>
        <w:pStyle w:val="3"/>
        <w:ind w:firstLine="643"/>
        <w:rPr>
          <w:rFonts w:ascii="仿宋" w:hAnsi="仿宋" w:eastAsia="仿宋" w:cs="仿宋"/>
        </w:rPr>
      </w:pPr>
      <w:bookmarkStart w:id="11" w:name="_Toc437"/>
      <w:bookmarkStart w:id="12" w:name="_Toc8717"/>
      <w:r>
        <w:rPr>
          <w:rFonts w:hint="eastAsia" w:ascii="仿宋" w:hAnsi="仿宋" w:eastAsia="仿宋" w:cs="仿宋"/>
        </w:rPr>
        <w:t>一、收入支出决算总体情况说明</w:t>
      </w:r>
      <w:bookmarkEnd w:id="11"/>
      <w:bookmarkEnd w:id="12"/>
    </w:p>
    <w:p>
      <w:pPr>
        <w:ind w:firstLine="640"/>
        <w:rPr>
          <w:rFonts w:ascii="仿宋_GB2312"/>
          <w:color w:val="auto"/>
          <w:szCs w:val="32"/>
        </w:rPr>
      </w:pPr>
      <w:r>
        <w:rPr>
          <w:rFonts w:hint="eastAsia" w:ascii="仿宋_GB2312"/>
          <w:color w:val="auto"/>
          <w:szCs w:val="32"/>
        </w:rPr>
        <w:t>2021年度收入</w:t>
      </w:r>
      <w:r>
        <w:rPr>
          <w:rFonts w:ascii="仿宋_GB2312"/>
          <w:color w:val="auto"/>
          <w:szCs w:val="32"/>
        </w:rPr>
        <w:t>总计</w:t>
      </w:r>
      <w:r>
        <w:rPr>
          <w:rFonts w:hint="eastAsia" w:ascii="仿宋_GB2312"/>
          <w:color w:val="auto"/>
          <w:szCs w:val="32"/>
          <w:lang w:val="en-US" w:eastAsia="zh-CN"/>
        </w:rPr>
        <w:t>1367.47</w:t>
      </w:r>
      <w:r>
        <w:rPr>
          <w:rFonts w:hint="eastAsia" w:ascii="仿宋_GB2312"/>
          <w:color w:val="auto"/>
          <w:szCs w:val="32"/>
        </w:rPr>
        <w:t>万元、支出总计</w:t>
      </w:r>
      <w:r>
        <w:rPr>
          <w:rFonts w:hint="eastAsia" w:ascii="仿宋_GB2312"/>
          <w:color w:val="auto"/>
          <w:szCs w:val="32"/>
          <w:lang w:val="en-US" w:eastAsia="zh-CN"/>
        </w:rPr>
        <w:t>1367.47</w:t>
      </w:r>
      <w:r>
        <w:rPr>
          <w:rFonts w:hint="eastAsia" w:ascii="仿宋_GB2312"/>
          <w:color w:val="auto"/>
          <w:szCs w:val="32"/>
        </w:rPr>
        <w:t>万元。与2020年相比，收入总计</w:t>
      </w:r>
      <w:r>
        <w:rPr>
          <w:rFonts w:hint="eastAsia" w:ascii="仿宋_GB2312"/>
          <w:color w:val="auto"/>
          <w:szCs w:val="32"/>
          <w:lang w:val="en-US" w:eastAsia="zh-CN"/>
        </w:rPr>
        <w:t>1183.81</w:t>
      </w:r>
      <w:r>
        <w:rPr>
          <w:rFonts w:hint="eastAsia" w:ascii="仿宋_GB2312"/>
          <w:color w:val="auto"/>
          <w:szCs w:val="32"/>
        </w:rPr>
        <w:t>（增长）</w:t>
      </w:r>
      <w:r>
        <w:rPr>
          <w:rFonts w:hint="eastAsia" w:ascii="仿宋_GB2312"/>
          <w:color w:val="auto"/>
          <w:szCs w:val="32"/>
          <w:lang w:val="en-US" w:eastAsia="zh-CN"/>
        </w:rPr>
        <w:t>183.66</w:t>
      </w:r>
      <w:r>
        <w:rPr>
          <w:rFonts w:hint="eastAsia" w:ascii="仿宋_GB2312"/>
          <w:color w:val="auto"/>
          <w:szCs w:val="32"/>
        </w:rPr>
        <w:t>万元，增长</w:t>
      </w:r>
      <w:r>
        <w:rPr>
          <w:rFonts w:hint="eastAsia" w:ascii="仿宋_GB2312"/>
          <w:color w:val="auto"/>
          <w:szCs w:val="32"/>
          <w:lang w:val="en-US" w:eastAsia="zh-CN"/>
        </w:rPr>
        <w:t>15.51</w:t>
      </w:r>
      <w:r>
        <w:rPr>
          <w:rFonts w:hint="eastAsia" w:ascii="仿宋_GB2312"/>
          <w:color w:val="auto"/>
          <w:szCs w:val="32"/>
        </w:rPr>
        <w:t>%，</w:t>
      </w:r>
      <w:r>
        <w:rPr>
          <w:rFonts w:ascii="仿宋_GB2312"/>
          <w:color w:val="auto"/>
          <w:szCs w:val="32"/>
        </w:rPr>
        <w:t>支出总计</w:t>
      </w:r>
      <w:r>
        <w:rPr>
          <w:rFonts w:hint="eastAsia" w:ascii="仿宋_GB2312"/>
          <w:color w:val="auto"/>
          <w:szCs w:val="32"/>
        </w:rPr>
        <w:t>增长</w:t>
      </w:r>
      <w:r>
        <w:rPr>
          <w:rFonts w:hint="eastAsia" w:ascii="仿宋_GB2312"/>
          <w:color w:val="auto"/>
          <w:szCs w:val="32"/>
          <w:lang w:val="en-US" w:eastAsia="zh-CN"/>
        </w:rPr>
        <w:t>183.66</w:t>
      </w:r>
      <w:r>
        <w:rPr>
          <w:rFonts w:hint="eastAsia" w:ascii="仿宋_GB2312"/>
          <w:color w:val="auto"/>
          <w:szCs w:val="32"/>
        </w:rPr>
        <w:t>万元</w:t>
      </w:r>
      <w:r>
        <w:rPr>
          <w:rFonts w:ascii="仿宋_GB2312"/>
          <w:color w:val="auto"/>
          <w:szCs w:val="32"/>
        </w:rPr>
        <w:t>，</w:t>
      </w:r>
      <w:r>
        <w:rPr>
          <w:rFonts w:hint="eastAsia" w:ascii="仿宋_GB2312"/>
          <w:color w:val="auto"/>
          <w:szCs w:val="32"/>
        </w:rPr>
        <w:t>增长</w:t>
      </w:r>
      <w:r>
        <w:rPr>
          <w:rFonts w:hint="eastAsia" w:ascii="仿宋_GB2312"/>
          <w:color w:val="auto"/>
          <w:szCs w:val="32"/>
          <w:lang w:val="en-US" w:eastAsia="zh-CN"/>
        </w:rPr>
        <w:t>15.51</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人员转隶经费增加</w:t>
      </w:r>
      <w:r>
        <w:rPr>
          <w:rFonts w:hint="eastAsia" w:ascii="仿宋_GB2312"/>
          <w:color w:val="auto"/>
          <w:szCs w:val="32"/>
        </w:rPr>
        <w:t>。</w:t>
      </w:r>
    </w:p>
    <w:p>
      <w:pPr>
        <w:pStyle w:val="3"/>
        <w:ind w:firstLine="643"/>
        <w:rPr>
          <w:rFonts w:ascii="仿宋" w:hAnsi="仿宋" w:eastAsia="仿宋" w:cs="仿宋"/>
        </w:rPr>
      </w:pPr>
      <w:bookmarkStart w:id="13" w:name="_Toc17404"/>
      <w:bookmarkStart w:id="14" w:name="_Toc16754"/>
      <w:r>
        <w:rPr>
          <w:rFonts w:hint="eastAsia" w:ascii="仿宋" w:hAnsi="仿宋" w:eastAsia="仿宋" w:cs="仿宋"/>
        </w:rPr>
        <w:t>二、收入决算情况说明</w:t>
      </w:r>
      <w:bookmarkEnd w:id="13"/>
      <w:bookmarkEnd w:id="14"/>
    </w:p>
    <w:p>
      <w:pPr>
        <w:spacing w:line="580" w:lineRule="exact"/>
        <w:ind w:firstLine="640"/>
        <w:rPr>
          <w:rFonts w:hint="eastAsia" w:ascii="仿宋_GB2312"/>
          <w:color w:val="auto"/>
          <w:szCs w:val="32"/>
          <w:lang w:val="en-US" w:eastAsia="zh-CN"/>
        </w:rPr>
      </w:pPr>
      <w:r>
        <w:rPr>
          <w:rFonts w:hint="eastAsia" w:ascii="仿宋_GB2312"/>
          <w:color w:val="auto"/>
          <w:szCs w:val="32"/>
        </w:rPr>
        <w:t>本年收入合计</w:t>
      </w:r>
      <w:r>
        <w:rPr>
          <w:rFonts w:hint="eastAsia" w:ascii="仿宋_GB2312"/>
          <w:color w:val="auto"/>
          <w:szCs w:val="32"/>
          <w:lang w:val="en-US" w:eastAsia="zh-CN"/>
        </w:rPr>
        <w:t>1367.47</w:t>
      </w:r>
      <w:r>
        <w:rPr>
          <w:rFonts w:hint="eastAsia" w:ascii="仿宋_GB2312"/>
          <w:color w:val="auto"/>
          <w:szCs w:val="32"/>
        </w:rPr>
        <w:t>万元，其中：财政拨款收入</w:t>
      </w:r>
      <w:r>
        <w:rPr>
          <w:rFonts w:hint="eastAsia" w:ascii="仿宋_GB2312"/>
          <w:color w:val="auto"/>
          <w:szCs w:val="32"/>
          <w:lang w:val="en-US" w:eastAsia="zh-CN"/>
        </w:rPr>
        <w:t>1367.</w:t>
      </w:r>
    </w:p>
    <w:p>
      <w:pPr>
        <w:spacing w:line="580" w:lineRule="exact"/>
        <w:ind w:firstLine="640"/>
        <w:rPr>
          <w:rFonts w:ascii="仿宋_GB2312"/>
          <w:color w:val="auto"/>
          <w:szCs w:val="32"/>
        </w:rPr>
      </w:pPr>
      <w:r>
        <w:rPr>
          <w:rFonts w:hint="eastAsia" w:ascii="仿宋_GB2312"/>
          <w:color w:val="auto"/>
          <w:szCs w:val="32"/>
          <w:lang w:val="en-US" w:eastAsia="zh-CN"/>
        </w:rPr>
        <w:t>47</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p>
    <w:p>
      <w:pPr>
        <w:pStyle w:val="3"/>
        <w:ind w:firstLine="643"/>
        <w:rPr>
          <w:rFonts w:ascii="仿宋" w:hAnsi="仿宋" w:eastAsia="仿宋" w:cs="仿宋"/>
        </w:rPr>
      </w:pPr>
      <w:bookmarkStart w:id="15" w:name="_Toc22098"/>
      <w:bookmarkStart w:id="16" w:name="_Toc9596"/>
      <w:r>
        <w:rPr>
          <w:rFonts w:hint="eastAsia" w:ascii="仿宋" w:hAnsi="仿宋" w:eastAsia="仿宋" w:cs="仿宋"/>
        </w:rPr>
        <w:t>三、支出决算情况说明</w:t>
      </w:r>
      <w:bookmarkEnd w:id="15"/>
      <w:bookmarkEnd w:id="16"/>
    </w:p>
    <w:p>
      <w:pPr>
        <w:spacing w:line="580" w:lineRule="exact"/>
        <w:ind w:firstLine="640"/>
        <w:rPr>
          <w:rFonts w:hint="eastAsia" w:ascii="仿宋_GB2312" w:eastAsia="仿宋_GB2312"/>
          <w:szCs w:val="32"/>
          <w:lang w:eastAsia="zh-CN"/>
        </w:rPr>
      </w:pPr>
      <w:r>
        <w:rPr>
          <w:rFonts w:hint="eastAsia" w:ascii="仿宋_GB2312"/>
          <w:color w:val="auto"/>
          <w:szCs w:val="32"/>
        </w:rPr>
        <w:t>本年支出合计</w:t>
      </w:r>
      <w:r>
        <w:rPr>
          <w:rFonts w:hint="eastAsia" w:ascii="仿宋_GB2312"/>
          <w:color w:val="auto"/>
          <w:szCs w:val="32"/>
          <w:lang w:val="en-US" w:eastAsia="zh-CN"/>
        </w:rPr>
        <w:t>1367.47</w:t>
      </w:r>
      <w:r>
        <w:rPr>
          <w:rFonts w:hint="eastAsia" w:ascii="仿宋_GB2312"/>
          <w:color w:val="auto"/>
          <w:szCs w:val="32"/>
        </w:rPr>
        <w:t>万元，其中：基本支出</w:t>
      </w:r>
      <w:r>
        <w:rPr>
          <w:rFonts w:hint="eastAsia" w:ascii="仿宋_GB2312"/>
          <w:color w:val="auto"/>
          <w:szCs w:val="32"/>
          <w:lang w:val="en-US" w:eastAsia="zh-CN"/>
        </w:rPr>
        <w:t>447.90</w:t>
      </w:r>
      <w:r>
        <w:rPr>
          <w:rFonts w:hint="eastAsia" w:ascii="仿宋_GB2312"/>
          <w:color w:val="auto"/>
          <w:szCs w:val="32"/>
        </w:rPr>
        <w:t>万元，占比</w:t>
      </w:r>
      <w:r>
        <w:rPr>
          <w:rFonts w:hint="eastAsia" w:ascii="仿宋_GB2312"/>
          <w:color w:val="auto"/>
          <w:szCs w:val="32"/>
          <w:lang w:val="en-US" w:eastAsia="zh-CN"/>
        </w:rPr>
        <w:t>32.75</w:t>
      </w:r>
      <w:r>
        <w:rPr>
          <w:rFonts w:hint="eastAsia" w:ascii="仿宋_GB2312"/>
          <w:color w:val="auto"/>
          <w:szCs w:val="32"/>
        </w:rPr>
        <w:t>%；项目支出</w:t>
      </w:r>
      <w:r>
        <w:rPr>
          <w:rFonts w:hint="eastAsia" w:ascii="仿宋_GB2312"/>
          <w:color w:val="auto"/>
          <w:szCs w:val="32"/>
          <w:lang w:val="en-US" w:eastAsia="zh-CN"/>
        </w:rPr>
        <w:t>919.56</w:t>
      </w:r>
      <w:r>
        <w:rPr>
          <w:rFonts w:hint="eastAsia" w:ascii="仿宋_GB2312"/>
          <w:color w:val="auto"/>
          <w:szCs w:val="32"/>
        </w:rPr>
        <w:t>万元，占比</w:t>
      </w:r>
      <w:r>
        <w:rPr>
          <w:rFonts w:hint="eastAsia" w:ascii="仿宋_GB2312"/>
          <w:color w:val="auto"/>
          <w:szCs w:val="32"/>
          <w:lang w:val="en-US" w:eastAsia="zh-CN"/>
        </w:rPr>
        <w:t>67.25</w:t>
      </w:r>
      <w:r>
        <w:rPr>
          <w:rFonts w:hint="eastAsia" w:ascii="仿宋_GB2312"/>
          <w:color w:val="auto"/>
          <w:szCs w:val="32"/>
        </w:rPr>
        <w:t>%</w:t>
      </w:r>
      <w:r>
        <w:rPr>
          <w:rFonts w:hint="eastAsia" w:ascii="仿宋_GB2312"/>
          <w:szCs w:val="32"/>
          <w:lang w:eastAsia="zh-CN"/>
        </w:rPr>
        <w:t>。</w:t>
      </w:r>
    </w:p>
    <w:p>
      <w:pPr>
        <w:pStyle w:val="3"/>
        <w:ind w:firstLine="643"/>
        <w:rPr>
          <w:rFonts w:ascii="仿宋" w:hAnsi="仿宋" w:eastAsia="仿宋" w:cs="仿宋"/>
        </w:rPr>
      </w:pPr>
      <w:bookmarkStart w:id="17" w:name="_Toc2142"/>
      <w:bookmarkStart w:id="18" w:name="_Toc4614"/>
      <w:r>
        <w:rPr>
          <w:rFonts w:hint="eastAsia" w:ascii="仿宋" w:hAnsi="仿宋" w:eastAsia="仿宋" w:cs="仿宋"/>
        </w:rPr>
        <w:t>四、财政拨款收入支出决算总体情况说明</w:t>
      </w:r>
      <w:bookmarkEnd w:id="17"/>
      <w:bookmarkEnd w:id="18"/>
    </w:p>
    <w:p>
      <w:pPr>
        <w:spacing w:line="580" w:lineRule="exact"/>
        <w:ind w:firstLine="640"/>
        <w:rPr>
          <w:rFonts w:ascii="仿宋_GB2312"/>
          <w:color w:val="auto"/>
          <w:szCs w:val="32"/>
        </w:rPr>
      </w:pPr>
      <w:r>
        <w:rPr>
          <w:rFonts w:hint="eastAsia" w:ascii="仿宋_GB2312"/>
          <w:color w:val="auto"/>
          <w:szCs w:val="32"/>
        </w:rPr>
        <w:t>2021年度财政拨款收入</w:t>
      </w:r>
      <w:r>
        <w:rPr>
          <w:rFonts w:ascii="仿宋_GB2312"/>
          <w:color w:val="auto"/>
          <w:szCs w:val="32"/>
        </w:rPr>
        <w:t>总计</w:t>
      </w:r>
      <w:r>
        <w:rPr>
          <w:rFonts w:hint="eastAsia" w:ascii="仿宋_GB2312"/>
          <w:color w:val="auto"/>
          <w:szCs w:val="32"/>
          <w:lang w:val="en-US" w:eastAsia="zh-CN"/>
        </w:rPr>
        <w:t>1367.47</w:t>
      </w:r>
      <w:r>
        <w:rPr>
          <w:rFonts w:hint="eastAsia" w:ascii="仿宋_GB2312"/>
          <w:color w:val="auto"/>
          <w:szCs w:val="32"/>
        </w:rPr>
        <w:t>万元、支出总计</w:t>
      </w:r>
      <w:r>
        <w:rPr>
          <w:rFonts w:hint="eastAsia" w:ascii="仿宋_GB2312"/>
          <w:color w:val="auto"/>
          <w:szCs w:val="32"/>
          <w:lang w:val="en-US" w:eastAsia="zh-CN"/>
        </w:rPr>
        <w:t>1367.47</w:t>
      </w:r>
      <w:r>
        <w:rPr>
          <w:rFonts w:hint="eastAsia" w:ascii="仿宋_GB2312"/>
          <w:color w:val="auto"/>
          <w:szCs w:val="32"/>
        </w:rPr>
        <w:t>万元。与2020年相比，财政拨款收入总计增长</w:t>
      </w:r>
      <w:r>
        <w:rPr>
          <w:rFonts w:hint="eastAsia" w:ascii="仿宋_GB2312"/>
          <w:color w:val="auto"/>
          <w:szCs w:val="32"/>
          <w:lang w:val="en-US" w:eastAsia="zh-CN"/>
        </w:rPr>
        <w:t>183.66</w:t>
      </w:r>
      <w:r>
        <w:rPr>
          <w:rFonts w:hint="eastAsia" w:ascii="仿宋_GB2312"/>
          <w:color w:val="auto"/>
          <w:szCs w:val="32"/>
        </w:rPr>
        <w:t>万元，增长</w:t>
      </w:r>
      <w:r>
        <w:rPr>
          <w:rFonts w:hint="eastAsia" w:ascii="仿宋_GB2312"/>
          <w:color w:val="auto"/>
          <w:szCs w:val="32"/>
          <w:lang w:val="en-US" w:eastAsia="zh-CN"/>
        </w:rPr>
        <w:t>15.5</w:t>
      </w:r>
      <w:r>
        <w:rPr>
          <w:rFonts w:hint="eastAsia" w:ascii="仿宋_GB2312"/>
          <w:color w:val="auto"/>
          <w:szCs w:val="32"/>
        </w:rPr>
        <w:t>%，财政拨款支出总计增长</w:t>
      </w:r>
      <w:r>
        <w:rPr>
          <w:rFonts w:hint="eastAsia" w:ascii="仿宋_GB2312"/>
          <w:color w:val="auto"/>
          <w:szCs w:val="32"/>
          <w:lang w:val="en-US" w:eastAsia="zh-CN"/>
        </w:rPr>
        <w:t>183.66</w:t>
      </w:r>
      <w:r>
        <w:rPr>
          <w:rFonts w:hint="eastAsia" w:ascii="仿宋_GB2312"/>
          <w:color w:val="auto"/>
          <w:szCs w:val="32"/>
        </w:rPr>
        <w:t>万元，增长）</w:t>
      </w:r>
      <w:r>
        <w:rPr>
          <w:rFonts w:hint="eastAsia" w:ascii="仿宋_GB2312"/>
          <w:color w:val="auto"/>
          <w:szCs w:val="32"/>
          <w:lang w:val="en-US" w:eastAsia="zh-CN"/>
        </w:rPr>
        <w:t>15.5</w:t>
      </w:r>
      <w:r>
        <w:rPr>
          <w:rFonts w:hint="eastAsia" w:ascii="仿宋_GB2312"/>
          <w:color w:val="auto"/>
          <w:szCs w:val="32"/>
        </w:rPr>
        <w:t>%。主要原因是</w:t>
      </w:r>
      <w:r>
        <w:rPr>
          <w:rFonts w:hint="eastAsia" w:ascii="仿宋_GB2312"/>
          <w:color w:val="auto"/>
          <w:szCs w:val="32"/>
          <w:lang w:val="en-US" w:eastAsia="zh-CN"/>
        </w:rPr>
        <w:t>增加周转房建设款、整村提升工程款</w:t>
      </w:r>
      <w:r>
        <w:rPr>
          <w:rFonts w:hint="eastAsia" w:ascii="仿宋_GB2312"/>
          <w:color w:val="auto"/>
          <w:szCs w:val="32"/>
        </w:rPr>
        <w:t>。</w:t>
      </w:r>
    </w:p>
    <w:p>
      <w:pPr>
        <w:pStyle w:val="3"/>
        <w:ind w:firstLine="643"/>
        <w:rPr>
          <w:rFonts w:ascii="仿宋" w:hAnsi="仿宋" w:eastAsia="仿宋" w:cs="仿宋"/>
        </w:rPr>
      </w:pPr>
      <w:bookmarkStart w:id="19" w:name="_Toc6501"/>
      <w:bookmarkStart w:id="20" w:name="_Toc9341"/>
      <w:r>
        <w:rPr>
          <w:rFonts w:hint="eastAsia" w:ascii="仿宋" w:hAnsi="仿宋" w:eastAsia="仿宋" w:cs="仿宋"/>
        </w:rPr>
        <w:t>五、一般公共预算财政拨款支出决算情况说明</w:t>
      </w:r>
      <w:bookmarkEnd w:id="19"/>
      <w:bookmarkEnd w:id="20"/>
    </w:p>
    <w:p>
      <w:pPr>
        <w:spacing w:line="580" w:lineRule="exact"/>
        <w:ind w:firstLine="643"/>
        <w:rPr>
          <w:rFonts w:ascii="仿宋_GB2312"/>
          <w:b/>
          <w:szCs w:val="32"/>
        </w:rPr>
      </w:pPr>
      <w:r>
        <w:rPr>
          <w:rFonts w:hint="eastAsia" w:ascii="仿宋_GB2312"/>
          <w:b/>
          <w:szCs w:val="32"/>
        </w:rPr>
        <w:t>（一）财政拨款支出决算总体情况</w:t>
      </w:r>
    </w:p>
    <w:p>
      <w:pPr>
        <w:spacing w:line="580" w:lineRule="exact"/>
        <w:ind w:firstLine="640"/>
        <w:rPr>
          <w:rFonts w:ascii="仿宋_GB2312"/>
          <w:color w:val="auto"/>
          <w:szCs w:val="32"/>
        </w:rPr>
      </w:pPr>
      <w:r>
        <w:rPr>
          <w:rFonts w:hint="eastAsia" w:ascii="仿宋_GB2312"/>
          <w:color w:val="auto"/>
          <w:szCs w:val="32"/>
        </w:rPr>
        <w:t>2021年度财政拨款支出</w:t>
      </w:r>
      <w:r>
        <w:rPr>
          <w:rFonts w:hint="eastAsia" w:ascii="仿宋_GB2312"/>
          <w:color w:val="auto"/>
          <w:szCs w:val="32"/>
          <w:lang w:val="en-US" w:eastAsia="zh-CN"/>
        </w:rPr>
        <w:t>1367.47</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%。与2020年相比，财政拨款支出增加</w:t>
      </w:r>
      <w:r>
        <w:rPr>
          <w:rFonts w:hint="eastAsia" w:ascii="仿宋_GB2312"/>
          <w:color w:val="auto"/>
          <w:szCs w:val="32"/>
          <w:lang w:val="en-US" w:eastAsia="zh-CN"/>
        </w:rPr>
        <w:t>183.66</w:t>
      </w:r>
      <w:r>
        <w:rPr>
          <w:rFonts w:hint="eastAsia" w:ascii="仿宋_GB2312"/>
          <w:color w:val="auto"/>
          <w:szCs w:val="32"/>
        </w:rPr>
        <w:t>万元，增长</w:t>
      </w:r>
      <w:r>
        <w:rPr>
          <w:rFonts w:hint="eastAsia" w:ascii="仿宋_GB2312"/>
          <w:color w:val="auto"/>
          <w:szCs w:val="32"/>
          <w:lang w:val="en-US" w:eastAsia="zh-CN"/>
        </w:rPr>
        <w:t>15.5</w:t>
      </w:r>
      <w:r>
        <w:rPr>
          <w:rFonts w:hint="eastAsia" w:ascii="仿宋_GB2312"/>
          <w:color w:val="auto"/>
          <w:szCs w:val="32"/>
        </w:rPr>
        <w:t>%。主要原因是</w:t>
      </w:r>
      <w:r>
        <w:rPr>
          <w:rFonts w:hint="eastAsia" w:ascii="仿宋_GB2312"/>
          <w:color w:val="auto"/>
          <w:szCs w:val="32"/>
          <w:lang w:val="en-US" w:eastAsia="zh-CN"/>
        </w:rPr>
        <w:t>增加周转房建设款、整村提升工程款</w:t>
      </w:r>
      <w:r>
        <w:rPr>
          <w:rFonts w:hint="eastAsia" w:ascii="仿宋_GB2312"/>
          <w:color w:val="auto"/>
          <w:szCs w:val="32"/>
        </w:rPr>
        <w:t>。</w:t>
      </w:r>
      <w:bookmarkStart w:id="33" w:name="_GoBack"/>
      <w:bookmarkEnd w:id="33"/>
      <w:r>
        <w:rPr>
          <w:rFonts w:hint="eastAsia" w:ascii="仿宋_GB2312"/>
          <w:color w:val="auto"/>
          <w:szCs w:val="32"/>
        </w:rPr>
        <w:t>其中，政府性基金预算支出</w:t>
      </w:r>
      <w:r>
        <w:rPr>
          <w:rFonts w:hint="eastAsia" w:ascii="仿宋_GB2312"/>
          <w:color w:val="auto"/>
          <w:szCs w:val="32"/>
          <w:lang w:val="en-US" w:eastAsia="zh-CN"/>
        </w:rPr>
        <w:t>50</w:t>
      </w:r>
      <w:r>
        <w:rPr>
          <w:rFonts w:hint="eastAsia" w:ascii="仿宋_GB2312"/>
          <w:color w:val="auto"/>
          <w:szCs w:val="32"/>
        </w:rPr>
        <w:t>万元，占比</w:t>
      </w:r>
      <w:r>
        <w:rPr>
          <w:rFonts w:hint="eastAsia" w:ascii="仿宋_GB2312"/>
          <w:color w:val="auto"/>
          <w:szCs w:val="32"/>
          <w:lang w:val="en-US" w:eastAsia="zh-CN"/>
        </w:rPr>
        <w:t>3.66%</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eastAsia="仿宋_GB2312"/>
          <w:color w:val="auto"/>
          <w:szCs w:val="32"/>
          <w:lang w:eastAsia="zh-CN"/>
        </w:rPr>
      </w:pPr>
      <w:r>
        <w:rPr>
          <w:rFonts w:hint="eastAsia" w:ascii="仿宋_GB2312"/>
          <w:color w:val="auto"/>
          <w:szCs w:val="32"/>
        </w:rPr>
        <w:t>2021年度</w:t>
      </w:r>
      <w:r>
        <w:rPr>
          <w:rFonts w:ascii="仿宋_GB2312"/>
          <w:color w:val="auto"/>
          <w:szCs w:val="32"/>
        </w:rPr>
        <w:t>财政拨款支出</w:t>
      </w:r>
      <w:r>
        <w:rPr>
          <w:rFonts w:hint="eastAsia" w:ascii="仿宋_GB2312"/>
          <w:color w:val="auto"/>
          <w:szCs w:val="32"/>
          <w:lang w:val="en-US" w:eastAsia="zh-CN"/>
        </w:rPr>
        <w:t>1367.47</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533.31</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39</w:t>
      </w:r>
      <w:r>
        <w:rPr>
          <w:rFonts w:ascii="仿宋_GB2312"/>
          <w:color w:val="auto"/>
          <w:szCs w:val="32"/>
        </w:rPr>
        <w:t>%；</w:t>
      </w:r>
      <w:r>
        <w:rPr>
          <w:rFonts w:hint="eastAsia" w:ascii="仿宋_GB2312"/>
          <w:b/>
          <w:color w:val="auto"/>
          <w:szCs w:val="32"/>
        </w:rPr>
        <w:t>社会</w:t>
      </w:r>
      <w:r>
        <w:rPr>
          <w:rFonts w:ascii="仿宋_GB2312"/>
          <w:b/>
          <w:color w:val="auto"/>
          <w:szCs w:val="32"/>
        </w:rPr>
        <w:t>保障和就业（</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5.98</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0.44</w:t>
      </w:r>
      <w:r>
        <w:rPr>
          <w:rFonts w:ascii="仿宋_GB2312"/>
          <w:color w:val="auto"/>
          <w:szCs w:val="32"/>
        </w:rPr>
        <w:t>%；</w:t>
      </w:r>
      <w:r>
        <w:rPr>
          <w:rFonts w:hint="eastAsia" w:ascii="仿宋_GB2312"/>
          <w:b/>
          <w:color w:val="auto"/>
          <w:szCs w:val="32"/>
        </w:rPr>
        <w:t>卫生</w:t>
      </w:r>
      <w:r>
        <w:rPr>
          <w:rFonts w:ascii="仿宋_GB2312"/>
          <w:b/>
          <w:color w:val="auto"/>
          <w:szCs w:val="32"/>
        </w:rPr>
        <w:t>健康（</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20</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1.46</w:t>
      </w:r>
      <w:r>
        <w:rPr>
          <w:rFonts w:ascii="仿宋_GB2312"/>
          <w:color w:val="auto"/>
          <w:szCs w:val="32"/>
        </w:rPr>
        <w:t>%；</w:t>
      </w:r>
      <w:r>
        <w:rPr>
          <w:rFonts w:hint="eastAsia" w:ascii="仿宋_GB2312"/>
          <w:b/>
          <w:color w:val="auto"/>
          <w:szCs w:val="32"/>
        </w:rPr>
        <w:t>城乡社区</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50</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3.66</w:t>
      </w:r>
      <w:r>
        <w:rPr>
          <w:rFonts w:ascii="仿宋_GB2312"/>
          <w:color w:val="auto"/>
          <w:szCs w:val="32"/>
        </w:rPr>
        <w:t>%；</w:t>
      </w:r>
      <w:r>
        <w:rPr>
          <w:rFonts w:hint="eastAsia" w:ascii="仿宋_GB2312"/>
          <w:b/>
          <w:color w:val="auto"/>
          <w:szCs w:val="32"/>
        </w:rPr>
        <w:t>农林水</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758.18</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55.44</w:t>
      </w:r>
      <w:r>
        <w:rPr>
          <w:rFonts w:ascii="仿宋_GB2312"/>
          <w:color w:val="auto"/>
          <w:szCs w:val="32"/>
        </w:rPr>
        <w:t>%</w:t>
      </w:r>
      <w:r>
        <w:rPr>
          <w:rFonts w:hint="eastAsia" w:ascii="仿宋_GB2312"/>
          <w:color w:val="auto"/>
          <w:szCs w:val="32"/>
          <w:lang w:eastAsia="zh-CN"/>
        </w:rPr>
        <w:t>。</w:t>
      </w:r>
    </w:p>
    <w:p>
      <w:pPr>
        <w:spacing w:line="580" w:lineRule="exact"/>
        <w:ind w:firstLine="643"/>
        <w:rPr>
          <w:rFonts w:ascii="仿宋_GB2312"/>
          <w:b/>
          <w:szCs w:val="32"/>
        </w:rPr>
      </w:pPr>
      <w:r>
        <w:rPr>
          <w:rFonts w:hint="eastAsia" w:ascii="仿宋_GB2312"/>
          <w:b/>
          <w:szCs w:val="32"/>
        </w:rPr>
        <w:t>（三）财政拨款支出决算具体情况</w:t>
      </w:r>
    </w:p>
    <w:p>
      <w:pPr>
        <w:spacing w:line="580" w:lineRule="exact"/>
        <w:ind w:firstLine="640"/>
        <w:rPr>
          <w:rFonts w:ascii="仿宋" w:hAnsi="仿宋" w:eastAsia="仿宋" w:cs="仿宋"/>
          <w:color w:val="auto"/>
          <w:szCs w:val="32"/>
        </w:rPr>
      </w:pPr>
      <w:r>
        <w:rPr>
          <w:rFonts w:hint="eastAsia"/>
          <w:color w:val="auto"/>
          <w:szCs w:val="32"/>
        </w:rPr>
        <w:t>2</w:t>
      </w:r>
      <w:r>
        <w:rPr>
          <w:color w:val="auto"/>
          <w:szCs w:val="32"/>
        </w:rPr>
        <w:t>02</w:t>
      </w:r>
      <w:r>
        <w:rPr>
          <w:rFonts w:hint="eastAsia"/>
          <w:color w:val="auto"/>
          <w:szCs w:val="32"/>
        </w:rPr>
        <w:t>1年度财政拨款支出年初预算</w:t>
      </w:r>
      <w:r>
        <w:rPr>
          <w:rFonts w:hint="eastAsia"/>
          <w:color w:val="auto"/>
          <w:szCs w:val="32"/>
          <w:lang w:val="en-US" w:eastAsia="zh-CN"/>
        </w:rPr>
        <w:t>1367.47</w:t>
      </w:r>
      <w:r>
        <w:rPr>
          <w:rFonts w:hint="eastAsia"/>
          <w:color w:val="auto"/>
          <w:szCs w:val="32"/>
        </w:rPr>
        <w:t>万元，支出决算</w:t>
      </w:r>
      <w:r>
        <w:rPr>
          <w:rFonts w:hint="eastAsia"/>
          <w:color w:val="auto"/>
          <w:szCs w:val="32"/>
          <w:lang w:val="en-US" w:eastAsia="zh-CN"/>
        </w:rPr>
        <w:t>1367.47</w:t>
      </w:r>
      <w:r>
        <w:rPr>
          <w:rFonts w:hint="eastAsia"/>
          <w:color w:val="auto"/>
          <w:szCs w:val="32"/>
        </w:rPr>
        <w:t>万元，完成年初预算的</w:t>
      </w:r>
      <w:r>
        <w:rPr>
          <w:rFonts w:hint="eastAsia"/>
          <w:color w:val="auto"/>
          <w:szCs w:val="32"/>
          <w:lang w:val="en-US" w:eastAsia="zh-CN"/>
        </w:rPr>
        <w:t>100</w:t>
      </w:r>
      <w:r>
        <w:rPr>
          <w:color w:val="auto"/>
          <w:szCs w:val="32"/>
        </w:rPr>
        <w:t>%</w:t>
      </w:r>
      <w:r>
        <w:rPr>
          <w:rFonts w:hint="eastAsia"/>
          <w:color w:val="auto"/>
          <w:szCs w:val="32"/>
        </w:rPr>
        <w:t>。其中：</w:t>
      </w:r>
    </w:p>
    <w:p>
      <w:pPr>
        <w:ind w:firstLine="640"/>
        <w:jc w:val="left"/>
        <w:rPr>
          <w:rFonts w:ascii="仿宋" w:hAnsi="仿宋" w:eastAsia="仿宋" w:cs="仿宋"/>
          <w:color w:val="auto"/>
          <w:szCs w:val="32"/>
        </w:rPr>
      </w:pPr>
      <w:r>
        <w:rPr>
          <w:rFonts w:hint="eastAsia" w:ascii="仿宋" w:hAnsi="仿宋" w:eastAsia="仿宋" w:cs="仿宋"/>
          <w:color w:val="auto"/>
          <w:szCs w:val="32"/>
        </w:rPr>
        <w:t>（1）按功能科目分类对比如下：</w:t>
      </w:r>
    </w:p>
    <w:p>
      <w:pPr>
        <w:ind w:firstLine="640"/>
        <w:jc w:val="left"/>
        <w:rPr>
          <w:rFonts w:ascii="宋体" w:hAnsi="宋体" w:cs="Arial"/>
          <w:b/>
          <w:color w:val="000000"/>
          <w:kern w:val="0"/>
          <w:sz w:val="30"/>
          <w:szCs w:val="30"/>
        </w:rPr>
      </w:pPr>
      <w:r>
        <w:rPr>
          <w:rFonts w:hint="eastAsia" w:ascii="仿宋_GB231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021年度支出功能科目分类对比表    单位：万元</w:t>
      </w:r>
    </w:p>
    <w:tbl>
      <w:tblPr>
        <w:tblStyle w:val="10"/>
        <w:tblW w:w="8954"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2261"/>
        <w:gridCol w:w="1459"/>
        <w:gridCol w:w="1590"/>
        <w:gridCol w:w="1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widowControl/>
              <w:ind w:firstLine="0" w:firstLineChars="0"/>
              <w:rPr>
                <w:rFonts w:ascii="宋体" w:hAnsi="宋体" w:cs="Arial"/>
                <w:b/>
                <w:color w:val="000000"/>
                <w:kern w:val="0"/>
                <w:sz w:val="24"/>
                <w:szCs w:val="24"/>
              </w:rPr>
            </w:pPr>
            <w:r>
              <w:rPr>
                <w:rFonts w:hint="eastAsia" w:ascii="宋体" w:hAnsi="宋体" w:cs="Arial"/>
                <w:b/>
                <w:color w:val="000000"/>
                <w:kern w:val="0"/>
                <w:sz w:val="24"/>
                <w:szCs w:val="24"/>
              </w:rPr>
              <w:t>科目代码</w:t>
            </w:r>
          </w:p>
        </w:tc>
        <w:tc>
          <w:tcPr>
            <w:tcW w:w="2261" w:type="dxa"/>
          </w:tcPr>
          <w:p>
            <w:pPr>
              <w:widowControl/>
              <w:ind w:firstLine="482"/>
              <w:rPr>
                <w:rFonts w:ascii="宋体" w:hAnsi="宋体" w:cs="Arial"/>
                <w:b/>
                <w:color w:val="000000"/>
                <w:kern w:val="0"/>
                <w:sz w:val="24"/>
                <w:szCs w:val="24"/>
              </w:rPr>
            </w:pPr>
            <w:r>
              <w:rPr>
                <w:rFonts w:hint="eastAsia" w:ascii="宋体" w:hAnsi="宋体" w:cs="Arial"/>
                <w:b/>
                <w:color w:val="000000"/>
                <w:kern w:val="0"/>
                <w:sz w:val="24"/>
                <w:szCs w:val="24"/>
              </w:rPr>
              <w:t>科目名称</w:t>
            </w:r>
          </w:p>
        </w:tc>
        <w:tc>
          <w:tcPr>
            <w:tcW w:w="1459" w:type="dxa"/>
          </w:tcPr>
          <w:p>
            <w:pPr>
              <w:widowControl/>
              <w:ind w:firstLine="482"/>
              <w:jc w:val="left"/>
              <w:rPr>
                <w:rFonts w:ascii="宋体" w:hAnsi="宋体" w:eastAsia="宋体" w:cs="Arial"/>
                <w:b/>
                <w:color w:val="000000"/>
                <w:kern w:val="0"/>
                <w:sz w:val="24"/>
                <w:szCs w:val="24"/>
              </w:rPr>
            </w:pPr>
            <w:r>
              <w:rPr>
                <w:rFonts w:hint="eastAsia" w:ascii="宋体" w:hAnsi="宋体" w:cs="Arial"/>
                <w:b/>
                <w:color w:val="000000"/>
                <w:kern w:val="0"/>
                <w:sz w:val="24"/>
                <w:szCs w:val="24"/>
              </w:rPr>
              <w:t>2020年</w:t>
            </w:r>
          </w:p>
        </w:tc>
        <w:tc>
          <w:tcPr>
            <w:tcW w:w="1590" w:type="dxa"/>
          </w:tcPr>
          <w:p>
            <w:pPr>
              <w:widowControl/>
              <w:ind w:firstLine="482"/>
              <w:jc w:val="left"/>
              <w:rPr>
                <w:rFonts w:ascii="宋体" w:hAnsi="宋体" w:eastAsia="宋体" w:cs="Arial"/>
                <w:b/>
                <w:color w:val="000000"/>
                <w:kern w:val="0"/>
                <w:sz w:val="24"/>
                <w:szCs w:val="24"/>
              </w:rPr>
            </w:pPr>
            <w:r>
              <w:rPr>
                <w:rFonts w:hint="eastAsia" w:ascii="宋体" w:hAnsi="宋体" w:eastAsia="宋体" w:cs="Arial"/>
                <w:b/>
                <w:color w:val="000000"/>
                <w:kern w:val="0"/>
                <w:sz w:val="24"/>
                <w:szCs w:val="24"/>
              </w:rPr>
              <w:t>2021年</w:t>
            </w:r>
          </w:p>
        </w:tc>
        <w:tc>
          <w:tcPr>
            <w:tcW w:w="1904" w:type="dxa"/>
          </w:tcPr>
          <w:p>
            <w:pPr>
              <w:widowControl/>
              <w:ind w:firstLine="0" w:firstLineChars="0"/>
              <w:jc w:val="left"/>
              <w:rPr>
                <w:rFonts w:hint="default" w:ascii="宋体" w:hAnsi="宋体" w:eastAsia="仿宋_GB2312" w:cs="Arial"/>
                <w:b/>
                <w:color w:val="000000"/>
                <w:kern w:val="0"/>
                <w:sz w:val="24"/>
                <w:szCs w:val="24"/>
                <w:lang w:val="en-US" w:eastAsia="zh-CN"/>
              </w:rPr>
            </w:pPr>
            <w:r>
              <w:rPr>
                <w:rFonts w:hint="eastAsia" w:ascii="宋体" w:hAnsi="宋体" w:cs="Arial"/>
                <w:b/>
                <w:color w:val="000000"/>
                <w:kern w:val="0"/>
                <w:sz w:val="24"/>
                <w:szCs w:val="24"/>
              </w:rPr>
              <w:t>增减变化</w:t>
            </w:r>
            <w:r>
              <w:rPr>
                <w:rFonts w:hint="eastAsia" w:ascii="宋体" w:hAnsi="宋体" w:cs="Arial"/>
                <w:b/>
                <w:color w:val="000000"/>
                <w:kern w:val="0"/>
                <w:sz w:val="24"/>
                <w:szCs w:val="24"/>
                <w:lang w:eastAsia="zh-CN"/>
              </w:rPr>
              <w:t>（</w:t>
            </w:r>
            <w:r>
              <w:rPr>
                <w:rFonts w:hint="eastAsia" w:ascii="宋体" w:hAnsi="宋体" w:cs="Arial"/>
                <w:b/>
                <w:color w:val="000000"/>
                <w:kern w:val="0"/>
                <w:sz w:val="24"/>
                <w:szCs w:val="24"/>
                <w:lang w:val="en-US" w:eastAsia="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40" w:type="dxa"/>
          </w:tcPr>
          <w:p>
            <w:pPr>
              <w:ind w:firstLine="480"/>
              <w:jc w:val="left"/>
              <w:rPr>
                <w:rFonts w:ascii="仿宋" w:hAnsi="仿宋" w:eastAsia="仿宋" w:cs="仿宋"/>
                <w:color w:val="auto"/>
                <w:sz w:val="24"/>
                <w:szCs w:val="24"/>
              </w:rPr>
            </w:pPr>
            <w:r>
              <w:rPr>
                <w:rFonts w:hint="eastAsia" w:ascii="仿宋" w:hAnsi="仿宋" w:eastAsia="仿宋" w:cs="仿宋"/>
                <w:color w:val="auto"/>
                <w:sz w:val="24"/>
                <w:szCs w:val="24"/>
              </w:rPr>
              <w:t>201</w:t>
            </w:r>
          </w:p>
        </w:tc>
        <w:tc>
          <w:tcPr>
            <w:tcW w:w="2261" w:type="dxa"/>
          </w:tcPr>
          <w:p>
            <w:pPr>
              <w:ind w:firstLine="0" w:firstLineChars="0"/>
              <w:jc w:val="left"/>
              <w:rPr>
                <w:rFonts w:ascii="仿宋" w:hAnsi="仿宋" w:eastAsia="仿宋" w:cs="仿宋"/>
                <w:color w:val="auto"/>
                <w:sz w:val="24"/>
                <w:szCs w:val="24"/>
              </w:rPr>
            </w:pPr>
            <w:r>
              <w:rPr>
                <w:rFonts w:hint="eastAsia" w:ascii="仿宋" w:hAnsi="仿宋" w:eastAsia="仿宋" w:cs="仿宋"/>
                <w:color w:val="auto"/>
                <w:sz w:val="24"/>
                <w:szCs w:val="24"/>
              </w:rPr>
              <w:t>一般公共服务支出</w:t>
            </w:r>
          </w:p>
        </w:tc>
        <w:tc>
          <w:tcPr>
            <w:tcW w:w="1459" w:type="dxa"/>
            <w:vAlign w:val="center"/>
          </w:tcPr>
          <w:p>
            <w:pPr>
              <w:widowControl/>
              <w:ind w:firstLine="48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346.50</w:t>
            </w:r>
          </w:p>
        </w:tc>
        <w:tc>
          <w:tcPr>
            <w:tcW w:w="1590" w:type="dxa"/>
            <w:vAlign w:val="center"/>
          </w:tcPr>
          <w:p>
            <w:pPr>
              <w:widowControl/>
              <w:ind w:firstLine="48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533.31</w:t>
            </w: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-186.81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20101</w:t>
            </w:r>
          </w:p>
        </w:tc>
        <w:tc>
          <w:tcPr>
            <w:tcW w:w="2261" w:type="dxa"/>
          </w:tcPr>
          <w:p>
            <w:pPr>
              <w:ind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人大事务</w:t>
            </w:r>
          </w:p>
        </w:tc>
        <w:tc>
          <w:tcPr>
            <w:tcW w:w="1459" w:type="dxa"/>
            <w:vAlign w:val="center"/>
          </w:tcPr>
          <w:p>
            <w:pPr>
              <w:widowControl/>
              <w:ind w:firstLine="48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1590" w:type="dxa"/>
            <w:vAlign w:val="center"/>
          </w:tcPr>
          <w:p>
            <w:pPr>
              <w:widowControl/>
              <w:ind w:firstLine="480"/>
              <w:jc w:val="right"/>
              <w:textAlignment w:val="center"/>
              <w:rPr>
                <w:rFonts w:hint="eastAsia" w:ascii="仿宋" w:hAnsi="仿宋" w:eastAsia="仿宋" w:cs="仿宋"/>
                <w:color w:val="auto"/>
                <w:sz w:val="24"/>
                <w:szCs w:val="24"/>
                <w:lang w:val="en-US" w:eastAsia="zh-CN"/>
              </w:rPr>
            </w:pPr>
          </w:p>
        </w:tc>
        <w:tc>
          <w:tcPr>
            <w:tcW w:w="1904" w:type="dxa"/>
          </w:tcPr>
          <w:p>
            <w:pPr>
              <w:ind w:firstLine="480"/>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5" w:hRule="atLeast"/>
        </w:trPr>
        <w:tc>
          <w:tcPr>
            <w:tcW w:w="1740" w:type="dxa"/>
          </w:tcPr>
          <w:p>
            <w:pPr>
              <w:ind w:firstLine="48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2010</w:t>
            </w:r>
            <w:r>
              <w:rPr>
                <w:rFonts w:hint="eastAsia" w:ascii="仿宋" w:hAnsi="仿宋" w:eastAsia="仿宋" w:cs="仿宋"/>
                <w:color w:val="auto"/>
                <w:sz w:val="24"/>
                <w:szCs w:val="24"/>
                <w:lang w:val="en-US" w:eastAsia="zh-CN"/>
              </w:rPr>
              <w:t>3</w:t>
            </w:r>
          </w:p>
        </w:tc>
        <w:tc>
          <w:tcPr>
            <w:tcW w:w="2261" w:type="dxa"/>
            <w:vAlign w:val="center"/>
          </w:tcPr>
          <w:p>
            <w:pPr>
              <w:keepNext w:val="0"/>
              <w:keepLines w:val="0"/>
              <w:widowControl/>
              <w:suppressLineNumbers w:val="0"/>
              <w:ind w:firstLine="300" w:firstLineChars="200"/>
              <w:jc w:val="left"/>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15"/>
                <w:szCs w:val="15"/>
                <w:u w:val="none"/>
                <w:lang w:val="en-US" w:eastAsia="zh-CN" w:bidi="ar"/>
              </w:rPr>
              <w:t>政府办公厅（室）及相关机构事务</w:t>
            </w:r>
          </w:p>
        </w:tc>
        <w:tc>
          <w:tcPr>
            <w:tcW w:w="1459" w:type="dxa"/>
            <w:vAlign w:val="center"/>
          </w:tcPr>
          <w:p>
            <w:pPr>
              <w:widowControl/>
              <w:ind w:firstLine="48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341.38</w:t>
            </w:r>
          </w:p>
        </w:tc>
        <w:tc>
          <w:tcPr>
            <w:tcW w:w="1590" w:type="dxa"/>
            <w:vAlign w:val="center"/>
          </w:tcPr>
          <w:p>
            <w:pPr>
              <w:widowControl/>
              <w:ind w:firstLine="48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533.31</w:t>
            </w: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-186.81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ascii="仿宋" w:hAnsi="仿宋" w:eastAsia="仿宋" w:cs="仿宋"/>
                <w:color w:val="auto"/>
                <w:sz w:val="24"/>
                <w:szCs w:val="24"/>
              </w:rPr>
            </w:pPr>
            <w:r>
              <w:rPr>
                <w:rFonts w:hint="eastAsia" w:ascii="仿宋" w:hAnsi="仿宋" w:eastAsia="仿宋" w:cs="仿宋"/>
                <w:color w:val="auto"/>
                <w:sz w:val="24"/>
                <w:szCs w:val="24"/>
              </w:rPr>
              <w:t>2010</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01</w:t>
            </w:r>
          </w:p>
        </w:tc>
        <w:tc>
          <w:tcPr>
            <w:tcW w:w="2261" w:type="dxa"/>
          </w:tcPr>
          <w:p>
            <w:pPr>
              <w:ind w:firstLine="480"/>
              <w:jc w:val="left"/>
              <w:rPr>
                <w:rFonts w:ascii="仿宋" w:hAnsi="仿宋" w:eastAsia="仿宋" w:cs="仿宋"/>
                <w:color w:val="auto"/>
                <w:sz w:val="24"/>
                <w:szCs w:val="24"/>
              </w:rPr>
            </w:pPr>
            <w:r>
              <w:rPr>
                <w:rFonts w:hint="eastAsia" w:ascii="仿宋" w:hAnsi="仿宋" w:eastAsia="仿宋" w:cs="仿宋"/>
                <w:color w:val="auto"/>
                <w:sz w:val="18"/>
                <w:szCs w:val="18"/>
              </w:rPr>
              <w:t xml:space="preserve">  行政运行</w:t>
            </w:r>
          </w:p>
        </w:tc>
        <w:tc>
          <w:tcPr>
            <w:tcW w:w="1459" w:type="dxa"/>
            <w:vAlign w:val="center"/>
          </w:tcPr>
          <w:p>
            <w:pPr>
              <w:widowControl/>
              <w:ind w:firstLine="48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287.14</w:t>
            </w:r>
          </w:p>
        </w:tc>
        <w:tc>
          <w:tcPr>
            <w:tcW w:w="1590" w:type="dxa"/>
            <w:vAlign w:val="center"/>
          </w:tcPr>
          <w:p>
            <w:pPr>
              <w:widowControl/>
              <w:ind w:firstLine="48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455.87</w:t>
            </w: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168.73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2010302</w:t>
            </w:r>
          </w:p>
        </w:tc>
        <w:tc>
          <w:tcPr>
            <w:tcW w:w="2261" w:type="dxa"/>
          </w:tcPr>
          <w:p>
            <w:pPr>
              <w:ind w:firstLine="480"/>
              <w:jc w:val="left"/>
              <w:rPr>
                <w:rFonts w:hint="eastAsia" w:ascii="仿宋" w:hAnsi="仿宋" w:eastAsia="仿宋" w:cs="仿宋"/>
                <w:color w:val="auto"/>
                <w:sz w:val="18"/>
                <w:szCs w:val="18"/>
              </w:rPr>
            </w:pPr>
            <w:r>
              <w:rPr>
                <w:rFonts w:hint="eastAsia" w:ascii="仿宋" w:hAnsi="仿宋" w:eastAsia="仿宋" w:cs="仿宋"/>
                <w:color w:val="auto"/>
                <w:sz w:val="18"/>
                <w:szCs w:val="18"/>
              </w:rPr>
              <w:t>一般行政管理事务</w:t>
            </w:r>
          </w:p>
        </w:tc>
        <w:tc>
          <w:tcPr>
            <w:tcW w:w="1459" w:type="dxa"/>
            <w:vAlign w:val="center"/>
          </w:tcPr>
          <w:p>
            <w:pPr>
              <w:widowControl/>
              <w:ind w:firstLine="48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3.39</w:t>
            </w:r>
          </w:p>
        </w:tc>
        <w:tc>
          <w:tcPr>
            <w:tcW w:w="1590" w:type="dxa"/>
            <w:vAlign w:val="center"/>
          </w:tcPr>
          <w:p>
            <w:pPr>
              <w:widowControl/>
              <w:ind w:firstLine="480"/>
              <w:jc w:val="right"/>
              <w:textAlignment w:val="center"/>
              <w:rPr>
                <w:rFonts w:hint="eastAsia" w:ascii="仿宋" w:hAnsi="仿宋" w:eastAsia="仿宋" w:cs="仿宋"/>
                <w:color w:val="auto"/>
                <w:sz w:val="24"/>
                <w:szCs w:val="24"/>
                <w:lang w:val="en-US" w:eastAsia="zh-CN"/>
              </w:rPr>
            </w:pP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2010350</w:t>
            </w:r>
          </w:p>
        </w:tc>
        <w:tc>
          <w:tcPr>
            <w:tcW w:w="2261" w:type="dxa"/>
          </w:tcPr>
          <w:p>
            <w:pPr>
              <w:ind w:firstLine="480"/>
              <w:jc w:val="left"/>
              <w:rPr>
                <w:rFonts w:hint="default"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事业运行</w:t>
            </w:r>
          </w:p>
        </w:tc>
        <w:tc>
          <w:tcPr>
            <w:tcW w:w="1459" w:type="dxa"/>
            <w:vAlign w:val="center"/>
          </w:tcPr>
          <w:p>
            <w:pPr>
              <w:widowControl/>
              <w:ind w:firstLine="48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45.53</w:t>
            </w:r>
          </w:p>
        </w:tc>
        <w:tc>
          <w:tcPr>
            <w:tcW w:w="1590" w:type="dxa"/>
            <w:vAlign w:val="center"/>
          </w:tcPr>
          <w:p>
            <w:pPr>
              <w:widowControl/>
              <w:ind w:firstLine="480"/>
              <w:jc w:val="right"/>
              <w:textAlignment w:val="center"/>
              <w:rPr>
                <w:rFonts w:hint="eastAsia" w:ascii="仿宋" w:hAnsi="仿宋" w:eastAsia="仿宋" w:cs="仿宋"/>
                <w:color w:val="auto"/>
                <w:sz w:val="24"/>
                <w:szCs w:val="24"/>
                <w:lang w:val="en-US" w:eastAsia="zh-CN"/>
              </w:rPr>
            </w:pP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-45.53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rPr>
            </w:pPr>
            <w:r>
              <w:rPr>
                <w:rFonts w:hint="eastAsia" w:ascii="仿宋" w:hAnsi="仿宋" w:eastAsia="仿宋" w:cs="仿宋"/>
                <w:color w:val="auto"/>
                <w:sz w:val="24"/>
                <w:szCs w:val="24"/>
              </w:rPr>
              <w:t>2010</w:t>
            </w:r>
            <w:r>
              <w:rPr>
                <w:rFonts w:hint="eastAsia" w:ascii="仿宋" w:hAnsi="仿宋" w:eastAsia="仿宋" w:cs="仿宋"/>
                <w:color w:val="auto"/>
                <w:sz w:val="24"/>
                <w:szCs w:val="24"/>
                <w:lang w:val="en-US" w:eastAsia="zh-CN"/>
              </w:rPr>
              <w:t>399</w:t>
            </w:r>
          </w:p>
        </w:tc>
        <w:tc>
          <w:tcPr>
            <w:tcW w:w="2261" w:type="dxa"/>
          </w:tcPr>
          <w:p>
            <w:pPr>
              <w:ind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18"/>
                <w:szCs w:val="18"/>
                <w:lang w:val="en-US" w:eastAsia="zh-CN"/>
              </w:rPr>
              <w:t>其他政府办公厅（室）及相关事务支出</w:t>
            </w:r>
          </w:p>
        </w:tc>
        <w:tc>
          <w:tcPr>
            <w:tcW w:w="1459"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5.32</w:t>
            </w:r>
          </w:p>
        </w:tc>
        <w:tc>
          <w:tcPr>
            <w:tcW w:w="1590" w:type="dxa"/>
          </w:tcPr>
          <w:p>
            <w:pPr>
              <w:ind w:firstLine="720" w:firstLineChars="30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77.44</w:t>
            </w: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2010507</w:t>
            </w:r>
          </w:p>
        </w:tc>
        <w:tc>
          <w:tcPr>
            <w:tcW w:w="226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bidi="ar"/>
              </w:rPr>
              <w:t xml:space="preserve"> </w:t>
            </w:r>
            <w:r>
              <w:rPr>
                <w:rFonts w:hint="eastAsia" w:ascii="宋体" w:hAnsi="宋体" w:eastAsia="宋体" w:cs="宋体"/>
                <w:i w:val="0"/>
                <w:iCs w:val="0"/>
                <w:color w:val="auto"/>
                <w:kern w:val="0"/>
                <w:sz w:val="18"/>
                <w:szCs w:val="18"/>
                <w:u w:val="none"/>
                <w:lang w:val="en-US" w:eastAsia="zh-CN" w:bidi="ar"/>
              </w:rPr>
              <w:t xml:space="preserve"> 专项普查活动</w:t>
            </w:r>
          </w:p>
        </w:tc>
        <w:tc>
          <w:tcPr>
            <w:tcW w:w="1459"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2.12</w:t>
            </w:r>
          </w:p>
        </w:tc>
        <w:tc>
          <w:tcPr>
            <w:tcW w:w="1590" w:type="dxa"/>
          </w:tcPr>
          <w:p>
            <w:pPr>
              <w:ind w:firstLine="720" w:firstLineChars="300"/>
              <w:jc w:val="left"/>
              <w:rPr>
                <w:rFonts w:hint="eastAsia" w:ascii="仿宋" w:hAnsi="仿宋" w:eastAsia="仿宋" w:cs="仿宋"/>
                <w:color w:val="auto"/>
                <w:sz w:val="24"/>
                <w:szCs w:val="24"/>
                <w:lang w:val="en-US" w:eastAsia="zh-CN"/>
              </w:rPr>
            </w:pPr>
          </w:p>
        </w:tc>
        <w:tc>
          <w:tcPr>
            <w:tcW w:w="1904" w:type="dxa"/>
          </w:tcPr>
          <w:p>
            <w:pPr>
              <w:ind w:firstLine="480"/>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20106</w:t>
            </w:r>
          </w:p>
        </w:tc>
        <w:tc>
          <w:tcPr>
            <w:tcW w:w="226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财政事务</w:t>
            </w:r>
          </w:p>
        </w:tc>
        <w:tc>
          <w:tcPr>
            <w:tcW w:w="1459"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1590" w:type="dxa"/>
          </w:tcPr>
          <w:p>
            <w:pPr>
              <w:ind w:firstLine="720" w:firstLineChars="300"/>
              <w:jc w:val="left"/>
              <w:rPr>
                <w:rFonts w:hint="eastAsia" w:ascii="仿宋" w:hAnsi="仿宋" w:eastAsia="仿宋" w:cs="仿宋"/>
                <w:color w:val="auto"/>
                <w:sz w:val="24"/>
                <w:szCs w:val="24"/>
                <w:lang w:val="en-US" w:eastAsia="zh-CN"/>
              </w:rPr>
            </w:pPr>
          </w:p>
        </w:tc>
        <w:tc>
          <w:tcPr>
            <w:tcW w:w="1904" w:type="dxa"/>
          </w:tcPr>
          <w:p>
            <w:pPr>
              <w:ind w:firstLine="480"/>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205</w:t>
            </w:r>
          </w:p>
        </w:tc>
        <w:tc>
          <w:tcPr>
            <w:tcW w:w="2261" w:type="dxa"/>
          </w:tcPr>
          <w:p>
            <w:pPr>
              <w:ind w:firstLine="0" w:firstLineChars="0"/>
              <w:jc w:val="left"/>
              <w:rPr>
                <w:rFonts w:hint="default"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教育支出</w:t>
            </w:r>
          </w:p>
        </w:tc>
        <w:tc>
          <w:tcPr>
            <w:tcW w:w="1459"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4.28</w:t>
            </w:r>
          </w:p>
        </w:tc>
        <w:tc>
          <w:tcPr>
            <w:tcW w:w="1590" w:type="dxa"/>
          </w:tcPr>
          <w:p>
            <w:pPr>
              <w:ind w:firstLine="720" w:firstLineChars="300"/>
              <w:jc w:val="left"/>
              <w:rPr>
                <w:rFonts w:hint="default" w:ascii="仿宋" w:hAnsi="仿宋" w:eastAsia="仿宋" w:cs="仿宋"/>
                <w:color w:val="auto"/>
                <w:sz w:val="24"/>
                <w:szCs w:val="24"/>
                <w:lang w:val="en-US" w:eastAsia="zh-CN"/>
              </w:rPr>
            </w:pP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2050299</w:t>
            </w:r>
          </w:p>
        </w:tc>
        <w:tc>
          <w:tcPr>
            <w:tcW w:w="2261" w:type="dxa"/>
          </w:tcPr>
          <w:p>
            <w:pPr>
              <w:ind w:firstLine="0" w:firstLineChars="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其他普通教育支出</w:t>
            </w:r>
          </w:p>
        </w:tc>
        <w:tc>
          <w:tcPr>
            <w:tcW w:w="1459"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4.28</w:t>
            </w:r>
          </w:p>
        </w:tc>
        <w:tc>
          <w:tcPr>
            <w:tcW w:w="1590" w:type="dxa"/>
          </w:tcPr>
          <w:p>
            <w:pPr>
              <w:ind w:firstLine="720" w:firstLineChars="300"/>
              <w:jc w:val="left"/>
              <w:rPr>
                <w:rFonts w:hint="default" w:ascii="仿宋" w:hAnsi="仿宋" w:eastAsia="仿宋" w:cs="仿宋"/>
                <w:color w:val="auto"/>
                <w:sz w:val="24"/>
                <w:szCs w:val="24"/>
                <w:lang w:val="en-US" w:eastAsia="zh-CN"/>
              </w:rPr>
            </w:pP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206</w:t>
            </w:r>
          </w:p>
        </w:tc>
        <w:tc>
          <w:tcPr>
            <w:tcW w:w="2261" w:type="dxa"/>
          </w:tcPr>
          <w:p>
            <w:pPr>
              <w:ind w:firstLine="0" w:firstLineChars="0"/>
              <w:jc w:val="left"/>
              <w:rPr>
                <w:rFonts w:hint="eastAsia" w:ascii="仿宋" w:hAnsi="仿宋" w:eastAsia="仿宋" w:cs="仿宋"/>
                <w:color w:val="auto"/>
                <w:sz w:val="18"/>
                <w:szCs w:val="18"/>
                <w:lang w:val="en-US" w:eastAsia="zh-CN"/>
              </w:rPr>
            </w:pPr>
            <w:r>
              <w:rPr>
                <w:rFonts w:hint="eastAsia" w:ascii="宋体" w:hAnsi="宋体" w:eastAsia="宋体" w:cs="宋体"/>
                <w:i w:val="0"/>
                <w:iCs w:val="0"/>
                <w:color w:val="auto"/>
                <w:kern w:val="0"/>
                <w:sz w:val="18"/>
                <w:szCs w:val="18"/>
                <w:u w:val="none"/>
                <w:lang w:val="en-US" w:eastAsia="zh-CN" w:bidi="ar"/>
              </w:rPr>
              <w:t>科学技术支出</w:t>
            </w:r>
          </w:p>
        </w:tc>
        <w:tc>
          <w:tcPr>
            <w:tcW w:w="1459"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w:t>
            </w:r>
          </w:p>
        </w:tc>
        <w:tc>
          <w:tcPr>
            <w:tcW w:w="1590" w:type="dxa"/>
          </w:tcPr>
          <w:p>
            <w:pPr>
              <w:ind w:firstLine="720" w:firstLineChars="300"/>
              <w:jc w:val="left"/>
              <w:rPr>
                <w:rFonts w:hint="default" w:ascii="仿宋" w:hAnsi="仿宋" w:eastAsia="仿宋" w:cs="仿宋"/>
                <w:color w:val="auto"/>
                <w:sz w:val="24"/>
                <w:szCs w:val="24"/>
                <w:lang w:val="en-US" w:eastAsia="zh-CN"/>
              </w:rPr>
            </w:pP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2060499</w:t>
            </w:r>
          </w:p>
        </w:tc>
        <w:tc>
          <w:tcPr>
            <w:tcW w:w="2261" w:type="dxa"/>
          </w:tcPr>
          <w:p>
            <w:pPr>
              <w:ind w:firstLine="0" w:firstLineChars="0"/>
              <w:jc w:val="left"/>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 </w:t>
            </w:r>
            <w:r>
              <w:rPr>
                <w:rFonts w:hint="eastAsia" w:ascii="宋体" w:hAnsi="宋体" w:eastAsia="宋体" w:cs="宋体"/>
                <w:i w:val="0"/>
                <w:iCs w:val="0"/>
                <w:color w:val="auto"/>
                <w:kern w:val="0"/>
                <w:sz w:val="18"/>
                <w:szCs w:val="18"/>
                <w:u w:val="none"/>
                <w:lang w:val="en-US" w:eastAsia="zh-CN" w:bidi="ar"/>
              </w:rPr>
              <w:t>其他技术研究与开发支出</w:t>
            </w:r>
          </w:p>
        </w:tc>
        <w:tc>
          <w:tcPr>
            <w:tcW w:w="1459"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w:t>
            </w:r>
          </w:p>
        </w:tc>
        <w:tc>
          <w:tcPr>
            <w:tcW w:w="1590" w:type="dxa"/>
          </w:tcPr>
          <w:p>
            <w:pPr>
              <w:ind w:firstLine="720" w:firstLineChars="300"/>
              <w:jc w:val="left"/>
              <w:rPr>
                <w:rFonts w:hint="default" w:ascii="仿宋" w:hAnsi="仿宋" w:eastAsia="仿宋" w:cs="仿宋"/>
                <w:color w:val="auto"/>
                <w:sz w:val="24"/>
                <w:szCs w:val="24"/>
                <w:lang w:val="en-US" w:eastAsia="zh-CN"/>
              </w:rPr>
            </w:pP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208</w:t>
            </w:r>
          </w:p>
        </w:tc>
        <w:tc>
          <w:tcPr>
            <w:tcW w:w="2261" w:type="dxa"/>
            <w:vAlign w:val="center"/>
          </w:tcPr>
          <w:p>
            <w:pPr>
              <w:keepNext w:val="0"/>
              <w:keepLines w:val="0"/>
              <w:widowControl/>
              <w:suppressLineNumbers w:val="0"/>
              <w:ind w:firstLine="360" w:firstLineChars="200"/>
              <w:jc w:val="left"/>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社会保障和就业支出</w:t>
            </w:r>
          </w:p>
        </w:tc>
        <w:tc>
          <w:tcPr>
            <w:tcW w:w="1459" w:type="dxa"/>
            <w:vAlign w:val="center"/>
          </w:tcPr>
          <w:p>
            <w:pPr>
              <w:widowControl/>
              <w:ind w:firstLine="440"/>
              <w:jc w:val="right"/>
              <w:textAlignment w:val="center"/>
              <w:rPr>
                <w:rFonts w:ascii="仿宋" w:hAnsi="仿宋" w:eastAsia="仿宋" w:cs="仿宋"/>
                <w:color w:val="auto"/>
                <w:kern w:val="0"/>
                <w:sz w:val="22"/>
                <w:lang w:bidi="ar"/>
              </w:rPr>
            </w:pPr>
          </w:p>
        </w:tc>
        <w:tc>
          <w:tcPr>
            <w:tcW w:w="1590" w:type="dxa"/>
            <w:vAlign w:val="center"/>
          </w:tcPr>
          <w:p>
            <w:pPr>
              <w:widowControl/>
              <w:ind w:firstLine="48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5.98</w:t>
            </w: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2089999</w:t>
            </w:r>
          </w:p>
        </w:tc>
        <w:tc>
          <w:tcPr>
            <w:tcW w:w="2261" w:type="dxa"/>
          </w:tcPr>
          <w:p>
            <w:pPr>
              <w:jc w:val="left"/>
              <w:rPr>
                <w:rFonts w:ascii="仿宋" w:hAnsi="仿宋" w:eastAsia="仿宋" w:cs="仿宋"/>
                <w:color w:val="auto"/>
                <w:sz w:val="18"/>
                <w:szCs w:val="18"/>
              </w:rPr>
            </w:pPr>
            <w:r>
              <w:rPr>
                <w:rFonts w:hint="eastAsia" w:ascii="仿宋" w:hAnsi="仿宋" w:eastAsia="仿宋" w:cs="仿宋"/>
                <w:color w:val="auto"/>
                <w:sz w:val="18"/>
                <w:szCs w:val="18"/>
              </w:rPr>
              <w:t>其他社会保障和就业支出</w:t>
            </w:r>
          </w:p>
        </w:tc>
        <w:tc>
          <w:tcPr>
            <w:tcW w:w="1459" w:type="dxa"/>
            <w:vAlign w:val="center"/>
          </w:tcPr>
          <w:p>
            <w:pPr>
              <w:widowControl/>
              <w:ind w:firstLine="440"/>
              <w:jc w:val="right"/>
              <w:textAlignment w:val="center"/>
              <w:rPr>
                <w:rFonts w:ascii="仿宋" w:hAnsi="仿宋" w:eastAsia="仿宋" w:cs="仿宋"/>
                <w:color w:val="auto"/>
                <w:kern w:val="0"/>
                <w:sz w:val="22"/>
                <w:lang w:bidi="ar"/>
              </w:rPr>
            </w:pPr>
          </w:p>
        </w:tc>
        <w:tc>
          <w:tcPr>
            <w:tcW w:w="1590" w:type="dxa"/>
            <w:vAlign w:val="center"/>
          </w:tcPr>
          <w:p>
            <w:pPr>
              <w:widowControl/>
              <w:ind w:firstLine="48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5.98</w:t>
            </w:r>
          </w:p>
        </w:tc>
        <w:tc>
          <w:tcPr>
            <w:tcW w:w="1904" w:type="dxa"/>
          </w:tcPr>
          <w:p>
            <w:pPr>
              <w:ind w:firstLine="480"/>
              <w:jc w:val="left"/>
              <w:rPr>
                <w:rFonts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210</w:t>
            </w:r>
          </w:p>
        </w:tc>
        <w:tc>
          <w:tcPr>
            <w:tcW w:w="2261" w:type="dxa"/>
          </w:tcPr>
          <w:p>
            <w:pPr>
              <w:ind w:firstLine="0" w:firstLineChars="0"/>
              <w:jc w:val="left"/>
              <w:rPr>
                <w:rFonts w:hint="default"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卫生健康支出</w:t>
            </w:r>
          </w:p>
        </w:tc>
        <w:tc>
          <w:tcPr>
            <w:tcW w:w="1459" w:type="dxa"/>
            <w:vAlign w:val="center"/>
          </w:tcPr>
          <w:p>
            <w:pPr>
              <w:widowControl/>
              <w:ind w:firstLine="440"/>
              <w:jc w:val="right"/>
              <w:textAlignment w:val="center"/>
              <w:rPr>
                <w:rFonts w:hint="eastAsia" w:ascii="仿宋" w:hAnsi="仿宋" w:eastAsia="仿宋" w:cs="仿宋"/>
                <w:color w:val="auto"/>
                <w:kern w:val="0"/>
                <w:sz w:val="22"/>
                <w:lang w:val="en-US" w:eastAsia="zh-CN" w:bidi="ar"/>
              </w:rPr>
            </w:pPr>
            <w:r>
              <w:rPr>
                <w:rFonts w:hint="eastAsia" w:ascii="仿宋" w:hAnsi="仿宋" w:eastAsia="仿宋" w:cs="仿宋"/>
                <w:color w:val="auto"/>
                <w:kern w:val="0"/>
                <w:sz w:val="22"/>
                <w:lang w:val="en-US" w:eastAsia="zh-CN" w:bidi="ar"/>
              </w:rPr>
              <w:t>3</w:t>
            </w:r>
          </w:p>
        </w:tc>
        <w:tc>
          <w:tcPr>
            <w:tcW w:w="1590" w:type="dxa"/>
            <w:vAlign w:val="center"/>
          </w:tcPr>
          <w:p>
            <w:pPr>
              <w:widowControl/>
              <w:ind w:firstLine="48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w:t>
            </w: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21004</w:t>
            </w:r>
          </w:p>
        </w:tc>
        <w:tc>
          <w:tcPr>
            <w:tcW w:w="2261" w:type="dxa"/>
          </w:tcPr>
          <w:p>
            <w:pPr>
              <w:ind w:firstLine="480"/>
              <w:jc w:val="left"/>
              <w:rPr>
                <w:rFonts w:ascii="仿宋" w:hAnsi="仿宋" w:eastAsia="仿宋" w:cs="仿宋"/>
                <w:color w:val="auto"/>
                <w:sz w:val="18"/>
                <w:szCs w:val="18"/>
              </w:rPr>
            </w:pPr>
            <w:r>
              <w:rPr>
                <w:rFonts w:hint="eastAsia" w:ascii="仿宋" w:hAnsi="仿宋" w:eastAsia="仿宋" w:cs="仿宋"/>
                <w:color w:val="auto"/>
                <w:sz w:val="18"/>
                <w:szCs w:val="18"/>
              </w:rPr>
              <w:t>公共卫生</w:t>
            </w:r>
          </w:p>
        </w:tc>
        <w:tc>
          <w:tcPr>
            <w:tcW w:w="1459" w:type="dxa"/>
            <w:vAlign w:val="center"/>
          </w:tcPr>
          <w:p>
            <w:pPr>
              <w:widowControl/>
              <w:ind w:firstLine="480"/>
              <w:jc w:val="right"/>
              <w:textAlignment w:val="center"/>
              <w:rPr>
                <w:rFonts w:ascii="仿宋" w:hAnsi="仿宋" w:eastAsia="仿宋" w:cs="仿宋"/>
                <w:color w:val="auto"/>
                <w:sz w:val="24"/>
                <w:szCs w:val="24"/>
              </w:rPr>
            </w:pPr>
          </w:p>
        </w:tc>
        <w:tc>
          <w:tcPr>
            <w:tcW w:w="1590" w:type="dxa"/>
            <w:vAlign w:val="center"/>
          </w:tcPr>
          <w:p>
            <w:pPr>
              <w:widowControl/>
              <w:ind w:firstLine="48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w:t>
            </w:r>
          </w:p>
        </w:tc>
        <w:tc>
          <w:tcPr>
            <w:tcW w:w="1904" w:type="dxa"/>
          </w:tcPr>
          <w:p>
            <w:pPr>
              <w:ind w:firstLine="480"/>
              <w:jc w:val="left"/>
              <w:rPr>
                <w:rFonts w:hint="default"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2100401</w:t>
            </w:r>
          </w:p>
        </w:tc>
        <w:tc>
          <w:tcPr>
            <w:tcW w:w="2261" w:type="dxa"/>
          </w:tcPr>
          <w:p>
            <w:pPr>
              <w:ind w:firstLine="480"/>
              <w:jc w:val="left"/>
              <w:rPr>
                <w:rFonts w:ascii="仿宋" w:hAnsi="仿宋" w:eastAsia="仿宋" w:cs="仿宋"/>
                <w:color w:val="auto"/>
                <w:sz w:val="18"/>
                <w:szCs w:val="18"/>
              </w:rPr>
            </w:pPr>
            <w:r>
              <w:rPr>
                <w:rFonts w:hint="eastAsia" w:ascii="仿宋" w:hAnsi="仿宋" w:eastAsia="仿宋" w:cs="仿宋"/>
                <w:color w:val="auto"/>
                <w:sz w:val="18"/>
                <w:szCs w:val="18"/>
              </w:rPr>
              <w:t>疾病预防控制机构</w:t>
            </w:r>
          </w:p>
        </w:tc>
        <w:tc>
          <w:tcPr>
            <w:tcW w:w="1459" w:type="dxa"/>
            <w:vAlign w:val="center"/>
          </w:tcPr>
          <w:p>
            <w:pPr>
              <w:widowControl/>
              <w:ind w:firstLine="480"/>
              <w:jc w:val="right"/>
              <w:textAlignment w:val="center"/>
              <w:rPr>
                <w:rFonts w:ascii="仿宋" w:hAnsi="仿宋" w:eastAsia="仿宋" w:cs="仿宋"/>
                <w:color w:val="auto"/>
                <w:sz w:val="24"/>
                <w:szCs w:val="24"/>
              </w:rPr>
            </w:pPr>
          </w:p>
        </w:tc>
        <w:tc>
          <w:tcPr>
            <w:tcW w:w="1590" w:type="dxa"/>
            <w:vAlign w:val="center"/>
          </w:tcPr>
          <w:p>
            <w:pPr>
              <w:widowControl/>
              <w:ind w:firstLine="48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w:t>
            </w:r>
          </w:p>
        </w:tc>
        <w:tc>
          <w:tcPr>
            <w:tcW w:w="1904" w:type="dxa"/>
          </w:tcPr>
          <w:p>
            <w:pPr>
              <w:ind w:firstLine="480"/>
              <w:jc w:val="left"/>
              <w:rPr>
                <w:rFonts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2100410</w:t>
            </w:r>
          </w:p>
        </w:tc>
        <w:tc>
          <w:tcPr>
            <w:tcW w:w="2261" w:type="dxa"/>
          </w:tcPr>
          <w:p>
            <w:pPr>
              <w:ind w:firstLine="480"/>
              <w:jc w:val="left"/>
              <w:rPr>
                <w:rFonts w:hint="eastAsia" w:ascii="仿宋" w:hAnsi="仿宋" w:eastAsia="仿宋" w:cs="仿宋"/>
                <w:color w:val="auto"/>
                <w:sz w:val="18"/>
                <w:szCs w:val="18"/>
              </w:rPr>
            </w:pPr>
            <w:r>
              <w:rPr>
                <w:rFonts w:hint="eastAsia" w:ascii="仿宋" w:hAnsi="仿宋" w:eastAsia="仿宋" w:cs="仿宋"/>
                <w:color w:val="auto"/>
                <w:sz w:val="18"/>
                <w:szCs w:val="18"/>
              </w:rPr>
              <w:t xml:space="preserve"> 突发公共卫生事件应急处理</w:t>
            </w:r>
          </w:p>
        </w:tc>
        <w:tc>
          <w:tcPr>
            <w:tcW w:w="1459" w:type="dxa"/>
            <w:vAlign w:val="center"/>
          </w:tcPr>
          <w:p>
            <w:pPr>
              <w:widowControl/>
              <w:ind w:firstLine="48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1590" w:type="dxa"/>
            <w:vAlign w:val="center"/>
          </w:tcPr>
          <w:p>
            <w:pPr>
              <w:widowControl/>
              <w:ind w:firstLine="480"/>
              <w:jc w:val="right"/>
              <w:textAlignment w:val="center"/>
              <w:rPr>
                <w:rFonts w:hint="eastAsia" w:ascii="仿宋" w:hAnsi="仿宋" w:eastAsia="仿宋" w:cs="仿宋"/>
                <w:color w:val="auto"/>
                <w:sz w:val="24"/>
                <w:szCs w:val="24"/>
                <w:lang w:val="en-US" w:eastAsia="zh-CN"/>
              </w:rPr>
            </w:pP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212</w:t>
            </w:r>
          </w:p>
        </w:tc>
        <w:tc>
          <w:tcPr>
            <w:tcW w:w="2261" w:type="dxa"/>
          </w:tcPr>
          <w:p>
            <w:pPr>
              <w:ind w:firstLine="480"/>
              <w:jc w:val="left"/>
              <w:rPr>
                <w:rFonts w:ascii="仿宋" w:hAnsi="仿宋" w:eastAsia="仿宋" w:cs="仿宋"/>
                <w:color w:val="auto"/>
                <w:sz w:val="18"/>
                <w:szCs w:val="18"/>
              </w:rPr>
            </w:pPr>
            <w:r>
              <w:rPr>
                <w:rFonts w:hint="eastAsia" w:ascii="仿宋" w:hAnsi="仿宋" w:eastAsia="仿宋" w:cs="仿宋"/>
                <w:color w:val="auto"/>
                <w:sz w:val="18"/>
                <w:szCs w:val="18"/>
              </w:rPr>
              <w:t>城乡社区支出</w:t>
            </w:r>
          </w:p>
        </w:tc>
        <w:tc>
          <w:tcPr>
            <w:tcW w:w="1459" w:type="dxa"/>
          </w:tcPr>
          <w:p>
            <w:pPr>
              <w:ind w:firstLine="480"/>
              <w:jc w:val="left"/>
              <w:rPr>
                <w:rFonts w:hint="default" w:ascii="仿宋" w:hAnsi="仿宋" w:eastAsia="仿宋" w:cs="仿宋"/>
                <w:color w:val="auto"/>
                <w:sz w:val="18"/>
                <w:szCs w:val="18"/>
                <w:lang w:val="en-US" w:eastAsia="zh-CN"/>
              </w:rPr>
            </w:pPr>
          </w:p>
        </w:tc>
        <w:tc>
          <w:tcPr>
            <w:tcW w:w="159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50</w:t>
            </w: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21208</w:t>
            </w:r>
          </w:p>
        </w:tc>
        <w:tc>
          <w:tcPr>
            <w:tcW w:w="2261" w:type="dxa"/>
          </w:tcPr>
          <w:p>
            <w:pPr>
              <w:ind w:firstLine="0" w:firstLineChars="0"/>
              <w:jc w:val="left"/>
              <w:rPr>
                <w:rFonts w:ascii="仿宋" w:hAnsi="仿宋" w:eastAsia="仿宋" w:cs="仿宋"/>
                <w:color w:val="auto"/>
                <w:sz w:val="24"/>
                <w:szCs w:val="24"/>
              </w:rPr>
            </w:pPr>
            <w:r>
              <w:rPr>
                <w:rFonts w:hint="eastAsia" w:ascii="仿宋" w:hAnsi="仿宋" w:eastAsia="仿宋" w:cs="仿宋"/>
                <w:color w:val="auto"/>
                <w:sz w:val="18"/>
                <w:szCs w:val="18"/>
              </w:rPr>
              <w:t xml:space="preserve"> 国有土地使用权出让收入安排的支</w:t>
            </w:r>
            <w:r>
              <w:rPr>
                <w:rFonts w:hint="eastAsia" w:ascii="仿宋" w:hAnsi="仿宋" w:eastAsia="仿宋" w:cs="仿宋"/>
                <w:color w:val="auto"/>
                <w:sz w:val="24"/>
                <w:szCs w:val="24"/>
              </w:rPr>
              <w:t>出</w:t>
            </w:r>
          </w:p>
        </w:tc>
        <w:tc>
          <w:tcPr>
            <w:tcW w:w="1459" w:type="dxa"/>
          </w:tcPr>
          <w:p>
            <w:pPr>
              <w:ind w:firstLine="480"/>
              <w:jc w:val="left"/>
              <w:rPr>
                <w:rFonts w:ascii="仿宋" w:hAnsi="仿宋" w:eastAsia="仿宋" w:cs="仿宋"/>
                <w:color w:val="auto"/>
                <w:sz w:val="24"/>
                <w:szCs w:val="24"/>
              </w:rPr>
            </w:pPr>
          </w:p>
        </w:tc>
        <w:tc>
          <w:tcPr>
            <w:tcW w:w="159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50</w:t>
            </w: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2120899</w:t>
            </w:r>
          </w:p>
        </w:tc>
        <w:tc>
          <w:tcPr>
            <w:tcW w:w="2261" w:type="dxa"/>
          </w:tcPr>
          <w:p>
            <w:pPr>
              <w:ind w:firstLine="480"/>
              <w:jc w:val="left"/>
              <w:rPr>
                <w:rFonts w:ascii="仿宋" w:hAnsi="仿宋" w:eastAsia="仿宋" w:cs="仿宋"/>
                <w:color w:val="auto"/>
                <w:sz w:val="24"/>
                <w:szCs w:val="24"/>
              </w:rPr>
            </w:pPr>
            <w:r>
              <w:rPr>
                <w:rFonts w:hint="eastAsia" w:ascii="仿宋" w:hAnsi="仿宋" w:eastAsia="仿宋" w:cs="仿宋"/>
                <w:color w:val="auto"/>
                <w:sz w:val="18"/>
                <w:szCs w:val="18"/>
              </w:rPr>
              <w:t>其他国有土地使用权出让收入安排的支出</w:t>
            </w:r>
          </w:p>
        </w:tc>
        <w:tc>
          <w:tcPr>
            <w:tcW w:w="1459" w:type="dxa"/>
          </w:tcPr>
          <w:p>
            <w:pPr>
              <w:ind w:firstLine="480"/>
              <w:jc w:val="left"/>
              <w:rPr>
                <w:rFonts w:ascii="仿宋" w:hAnsi="仿宋" w:eastAsia="仿宋" w:cs="仿宋"/>
                <w:color w:val="auto"/>
                <w:sz w:val="24"/>
                <w:szCs w:val="24"/>
              </w:rPr>
            </w:pPr>
          </w:p>
        </w:tc>
        <w:tc>
          <w:tcPr>
            <w:tcW w:w="159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50</w:t>
            </w: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w:t>
            </w:r>
          </w:p>
        </w:tc>
        <w:tc>
          <w:tcPr>
            <w:tcW w:w="2261" w:type="dxa"/>
            <w:vAlign w:val="center"/>
          </w:tcPr>
          <w:p>
            <w:pPr>
              <w:keepNext w:val="0"/>
              <w:keepLines w:val="0"/>
              <w:widowControl/>
              <w:suppressLineNumbers w:val="0"/>
              <w:ind w:firstLine="360" w:firstLineChars="200"/>
              <w:jc w:val="left"/>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18"/>
                <w:szCs w:val="18"/>
                <w:u w:val="none"/>
                <w:lang w:val="en-US" w:eastAsia="zh-CN" w:bidi="ar"/>
              </w:rPr>
              <w:t>农林水支出</w:t>
            </w:r>
          </w:p>
        </w:tc>
        <w:tc>
          <w:tcPr>
            <w:tcW w:w="1459"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810.03</w:t>
            </w:r>
          </w:p>
        </w:tc>
        <w:tc>
          <w:tcPr>
            <w:tcW w:w="159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758.18</w:t>
            </w: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21301</w:t>
            </w:r>
          </w:p>
        </w:tc>
        <w:tc>
          <w:tcPr>
            <w:tcW w:w="2261" w:type="dxa"/>
            <w:vAlign w:val="center"/>
          </w:tcPr>
          <w:p>
            <w:pPr>
              <w:keepNext w:val="0"/>
              <w:keepLines w:val="0"/>
              <w:widowControl/>
              <w:suppressLineNumbers w:val="0"/>
              <w:ind w:firstLine="360" w:firstLineChars="200"/>
              <w:jc w:val="left"/>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18"/>
                <w:szCs w:val="18"/>
                <w:u w:val="none"/>
                <w:lang w:val="en-US" w:eastAsia="zh-CN" w:bidi="ar"/>
              </w:rPr>
              <w:t>农业农村</w:t>
            </w:r>
          </w:p>
        </w:tc>
        <w:tc>
          <w:tcPr>
            <w:tcW w:w="1459" w:type="dxa"/>
          </w:tcPr>
          <w:p>
            <w:pPr>
              <w:ind w:firstLine="480"/>
              <w:jc w:val="left"/>
              <w:rPr>
                <w:rFonts w:hint="default" w:ascii="仿宋" w:hAnsi="仿宋" w:eastAsia="仿宋" w:cs="仿宋"/>
                <w:color w:val="auto"/>
                <w:sz w:val="24"/>
                <w:szCs w:val="24"/>
                <w:lang w:val="en-US" w:eastAsia="zh-CN"/>
              </w:rPr>
            </w:pPr>
          </w:p>
        </w:tc>
        <w:tc>
          <w:tcPr>
            <w:tcW w:w="159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1904" w:type="dxa"/>
          </w:tcPr>
          <w:p>
            <w:pPr>
              <w:ind w:firstLine="48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2130104</w:t>
            </w:r>
          </w:p>
        </w:tc>
        <w:tc>
          <w:tcPr>
            <w:tcW w:w="2261" w:type="dxa"/>
            <w:vAlign w:val="center"/>
          </w:tcPr>
          <w:p>
            <w:pPr>
              <w:keepNext w:val="0"/>
              <w:keepLines w:val="0"/>
              <w:widowControl/>
              <w:suppressLineNumbers w:val="0"/>
              <w:ind w:firstLine="360" w:firstLineChars="200"/>
              <w:jc w:val="left"/>
              <w:textAlignment w:val="center"/>
              <w:rPr>
                <w:rFonts w:hint="eastAsia" w:ascii="宋体" w:hAnsi="宋体" w:eastAsia="宋体" w:cs="宋体"/>
                <w:i w:val="0"/>
                <w:iCs w:val="0"/>
                <w:color w:val="auto"/>
                <w:kern w:val="0"/>
                <w:sz w:val="18"/>
                <w:szCs w:val="18"/>
                <w:u w:val="none"/>
                <w:lang w:val="en-US" w:eastAsia="zh-CN" w:bidi="ar"/>
              </w:rPr>
            </w:pPr>
          </w:p>
        </w:tc>
        <w:tc>
          <w:tcPr>
            <w:tcW w:w="1459"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1.44</w:t>
            </w:r>
          </w:p>
        </w:tc>
        <w:tc>
          <w:tcPr>
            <w:tcW w:w="1590" w:type="dxa"/>
          </w:tcPr>
          <w:p>
            <w:pPr>
              <w:ind w:firstLine="480"/>
              <w:jc w:val="left"/>
              <w:rPr>
                <w:rFonts w:hint="eastAsia" w:ascii="仿宋" w:hAnsi="仿宋" w:eastAsia="仿宋" w:cs="仿宋"/>
                <w:color w:val="auto"/>
                <w:sz w:val="24"/>
                <w:szCs w:val="24"/>
                <w:lang w:val="en-US" w:eastAsia="zh-CN"/>
              </w:rPr>
            </w:pP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2130142</w:t>
            </w:r>
          </w:p>
        </w:tc>
        <w:tc>
          <w:tcPr>
            <w:tcW w:w="2261" w:type="dxa"/>
            <w:vAlign w:val="center"/>
          </w:tcPr>
          <w:p>
            <w:pPr>
              <w:keepNext w:val="0"/>
              <w:keepLines w:val="0"/>
              <w:widowControl/>
              <w:suppressLineNumbers w:val="0"/>
              <w:ind w:firstLine="360" w:firstLineChars="20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 xml:space="preserve"> </w:t>
            </w:r>
            <w:r>
              <w:rPr>
                <w:rFonts w:hint="eastAsia" w:ascii="宋体" w:hAnsi="宋体" w:eastAsia="宋体" w:cs="宋体"/>
                <w:i w:val="0"/>
                <w:iCs w:val="0"/>
                <w:color w:val="auto"/>
                <w:kern w:val="0"/>
                <w:sz w:val="15"/>
                <w:szCs w:val="15"/>
                <w:u w:val="none"/>
                <w:lang w:val="en-US" w:eastAsia="zh-CN" w:bidi="ar"/>
              </w:rPr>
              <w:t>农村道路建</w:t>
            </w:r>
            <w:r>
              <w:rPr>
                <w:rFonts w:hint="eastAsia" w:ascii="宋体" w:hAnsi="宋体" w:eastAsia="宋体" w:cs="宋体"/>
                <w:i w:val="0"/>
                <w:iCs w:val="0"/>
                <w:color w:val="auto"/>
                <w:kern w:val="0"/>
                <w:sz w:val="18"/>
                <w:szCs w:val="18"/>
                <w:u w:val="none"/>
                <w:lang w:val="en-US" w:eastAsia="zh-CN" w:bidi="ar"/>
              </w:rPr>
              <w:t>设</w:t>
            </w:r>
          </w:p>
        </w:tc>
        <w:tc>
          <w:tcPr>
            <w:tcW w:w="1459" w:type="dxa"/>
          </w:tcPr>
          <w:p>
            <w:pPr>
              <w:ind w:firstLine="480"/>
              <w:jc w:val="left"/>
              <w:rPr>
                <w:rFonts w:ascii="仿宋" w:hAnsi="仿宋" w:eastAsia="仿宋" w:cs="仿宋"/>
                <w:color w:val="auto"/>
                <w:sz w:val="24"/>
                <w:szCs w:val="24"/>
              </w:rPr>
            </w:pPr>
          </w:p>
        </w:tc>
        <w:tc>
          <w:tcPr>
            <w:tcW w:w="1590" w:type="dxa"/>
          </w:tcPr>
          <w:p>
            <w:pPr>
              <w:ind w:firstLine="48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1904" w:type="dxa"/>
          </w:tcPr>
          <w:p>
            <w:pPr>
              <w:ind w:firstLine="48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224</w:t>
            </w:r>
          </w:p>
        </w:tc>
        <w:tc>
          <w:tcPr>
            <w:tcW w:w="2261" w:type="dxa"/>
            <w:vAlign w:val="center"/>
          </w:tcPr>
          <w:p>
            <w:pPr>
              <w:keepNext w:val="0"/>
              <w:keepLines w:val="0"/>
              <w:widowControl/>
              <w:suppressLineNumbers w:val="0"/>
              <w:ind w:firstLine="360" w:firstLineChars="20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灾害防治及应急管理支出</w:t>
            </w:r>
          </w:p>
        </w:tc>
        <w:tc>
          <w:tcPr>
            <w:tcW w:w="1459" w:type="dxa"/>
          </w:tcPr>
          <w:p>
            <w:pPr>
              <w:ind w:firstLine="48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p>
        </w:tc>
        <w:tc>
          <w:tcPr>
            <w:tcW w:w="1590" w:type="dxa"/>
          </w:tcPr>
          <w:p>
            <w:pPr>
              <w:ind w:firstLine="480"/>
              <w:jc w:val="left"/>
              <w:rPr>
                <w:rFonts w:hint="eastAsia" w:ascii="仿宋" w:hAnsi="仿宋" w:eastAsia="仿宋" w:cs="仿宋"/>
                <w:color w:val="auto"/>
                <w:sz w:val="24"/>
                <w:szCs w:val="24"/>
                <w:lang w:val="en-US" w:eastAsia="zh-CN"/>
              </w:rPr>
            </w:pP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2240602</w:t>
            </w:r>
          </w:p>
        </w:tc>
        <w:tc>
          <w:tcPr>
            <w:tcW w:w="2261" w:type="dxa"/>
            <w:vAlign w:val="center"/>
          </w:tcPr>
          <w:p>
            <w:pPr>
              <w:keepNext w:val="0"/>
              <w:keepLines w:val="0"/>
              <w:widowControl/>
              <w:suppressLineNumbers w:val="0"/>
              <w:ind w:firstLine="360" w:firstLineChars="20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森林草原防灾减灾</w:t>
            </w:r>
          </w:p>
        </w:tc>
        <w:tc>
          <w:tcPr>
            <w:tcW w:w="1459"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p>
        </w:tc>
        <w:tc>
          <w:tcPr>
            <w:tcW w:w="1590" w:type="dxa"/>
          </w:tcPr>
          <w:p>
            <w:pPr>
              <w:ind w:firstLine="480"/>
              <w:jc w:val="left"/>
              <w:rPr>
                <w:rFonts w:hint="eastAsia" w:ascii="仿宋" w:hAnsi="仿宋" w:eastAsia="仿宋" w:cs="仿宋"/>
                <w:color w:val="auto"/>
                <w:sz w:val="24"/>
                <w:szCs w:val="24"/>
                <w:lang w:val="en-US" w:eastAsia="zh-CN"/>
              </w:rPr>
            </w:pP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21305</w:t>
            </w:r>
          </w:p>
        </w:tc>
        <w:tc>
          <w:tcPr>
            <w:tcW w:w="2261" w:type="dxa"/>
            <w:vAlign w:val="center"/>
          </w:tcPr>
          <w:p>
            <w:pPr>
              <w:keepNext w:val="0"/>
              <w:keepLines w:val="0"/>
              <w:widowControl/>
              <w:suppressLineNumbers w:val="0"/>
              <w:ind w:firstLine="360" w:firstLineChars="200"/>
              <w:jc w:val="left"/>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扶贫</w:t>
            </w:r>
          </w:p>
        </w:tc>
        <w:tc>
          <w:tcPr>
            <w:tcW w:w="1459"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508.52</w:t>
            </w:r>
          </w:p>
        </w:tc>
        <w:tc>
          <w:tcPr>
            <w:tcW w:w="159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455.45</w:t>
            </w: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2130504</w:t>
            </w:r>
          </w:p>
        </w:tc>
        <w:tc>
          <w:tcPr>
            <w:tcW w:w="2261" w:type="dxa"/>
            <w:vAlign w:val="center"/>
          </w:tcPr>
          <w:p>
            <w:pPr>
              <w:keepNext w:val="0"/>
              <w:keepLines w:val="0"/>
              <w:widowControl/>
              <w:suppressLineNumbers w:val="0"/>
              <w:ind w:firstLine="360" w:firstLineChars="20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 xml:space="preserve"> 农村基础设施建设</w:t>
            </w:r>
          </w:p>
        </w:tc>
        <w:tc>
          <w:tcPr>
            <w:tcW w:w="1459"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16.52</w:t>
            </w:r>
          </w:p>
        </w:tc>
        <w:tc>
          <w:tcPr>
            <w:tcW w:w="1590" w:type="dxa"/>
          </w:tcPr>
          <w:p>
            <w:pPr>
              <w:ind w:firstLine="480"/>
              <w:jc w:val="left"/>
              <w:rPr>
                <w:rFonts w:hint="eastAsia" w:ascii="仿宋" w:hAnsi="仿宋" w:eastAsia="仿宋" w:cs="仿宋"/>
                <w:color w:val="auto"/>
                <w:sz w:val="24"/>
                <w:szCs w:val="24"/>
                <w:lang w:val="en-US" w:eastAsia="zh-CN"/>
              </w:rPr>
            </w:pP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2130599</w:t>
            </w:r>
          </w:p>
        </w:tc>
        <w:tc>
          <w:tcPr>
            <w:tcW w:w="2261" w:type="dxa"/>
            <w:vAlign w:val="center"/>
          </w:tcPr>
          <w:p>
            <w:pPr>
              <w:keepNext w:val="0"/>
              <w:keepLines w:val="0"/>
              <w:widowControl/>
              <w:suppressLineNumbers w:val="0"/>
              <w:ind w:firstLine="360" w:firstLineChars="200"/>
              <w:jc w:val="left"/>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其他扶贫支出</w:t>
            </w:r>
          </w:p>
        </w:tc>
        <w:tc>
          <w:tcPr>
            <w:tcW w:w="1459"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492</w:t>
            </w:r>
          </w:p>
        </w:tc>
        <w:tc>
          <w:tcPr>
            <w:tcW w:w="159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455.45</w:t>
            </w: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-36.55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21307</w:t>
            </w:r>
          </w:p>
        </w:tc>
        <w:tc>
          <w:tcPr>
            <w:tcW w:w="2261" w:type="dxa"/>
            <w:vAlign w:val="center"/>
          </w:tcPr>
          <w:p>
            <w:pPr>
              <w:keepNext w:val="0"/>
              <w:keepLines w:val="0"/>
              <w:widowControl/>
              <w:suppressLineNumbers w:val="0"/>
              <w:ind w:firstLine="360" w:firstLineChars="20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农村综合改革</w:t>
            </w:r>
          </w:p>
        </w:tc>
        <w:tc>
          <w:tcPr>
            <w:tcW w:w="1459"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300.07</w:t>
            </w:r>
          </w:p>
        </w:tc>
        <w:tc>
          <w:tcPr>
            <w:tcW w:w="159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299.72</w:t>
            </w: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2130705</w:t>
            </w:r>
          </w:p>
        </w:tc>
        <w:tc>
          <w:tcPr>
            <w:tcW w:w="2261" w:type="dxa"/>
            <w:vAlign w:val="center"/>
          </w:tcPr>
          <w:p>
            <w:pPr>
              <w:keepNext w:val="0"/>
              <w:keepLines w:val="0"/>
              <w:widowControl/>
              <w:suppressLineNumbers w:val="0"/>
              <w:ind w:firstLine="360" w:firstLineChars="20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对村民委员会和村党支部的补助</w:t>
            </w:r>
          </w:p>
        </w:tc>
        <w:tc>
          <w:tcPr>
            <w:tcW w:w="1459"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300.07</w:t>
            </w:r>
          </w:p>
        </w:tc>
        <w:tc>
          <w:tcPr>
            <w:tcW w:w="159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299.72</w:t>
            </w: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74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合计</w:t>
            </w:r>
          </w:p>
        </w:tc>
        <w:tc>
          <w:tcPr>
            <w:tcW w:w="2261" w:type="dxa"/>
            <w:vAlign w:val="center"/>
          </w:tcPr>
          <w:p>
            <w:pPr>
              <w:keepNext w:val="0"/>
              <w:keepLines w:val="0"/>
              <w:widowControl/>
              <w:suppressLineNumbers w:val="0"/>
              <w:ind w:firstLine="360" w:firstLineChars="200"/>
              <w:jc w:val="left"/>
              <w:textAlignment w:val="center"/>
              <w:rPr>
                <w:rFonts w:hint="eastAsia" w:ascii="宋体" w:hAnsi="宋体" w:eastAsia="宋体" w:cs="宋体"/>
                <w:i w:val="0"/>
                <w:iCs w:val="0"/>
                <w:color w:val="auto"/>
                <w:kern w:val="0"/>
                <w:sz w:val="18"/>
                <w:szCs w:val="18"/>
                <w:u w:val="none"/>
                <w:lang w:val="en-US" w:eastAsia="zh-CN" w:bidi="ar"/>
              </w:rPr>
            </w:pPr>
          </w:p>
        </w:tc>
        <w:tc>
          <w:tcPr>
            <w:tcW w:w="1459"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18"/>
                <w:szCs w:val="18"/>
                <w:lang w:val="en-US" w:eastAsia="zh-CN"/>
              </w:rPr>
              <w:t>1183.81</w:t>
            </w:r>
          </w:p>
        </w:tc>
        <w:tc>
          <w:tcPr>
            <w:tcW w:w="1590"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18"/>
                <w:szCs w:val="18"/>
                <w:lang w:val="en-US" w:eastAsia="zh-CN"/>
              </w:rPr>
              <w:t>1367.47</w:t>
            </w:r>
          </w:p>
        </w:tc>
        <w:tc>
          <w:tcPr>
            <w:tcW w:w="1904" w:type="dxa"/>
          </w:tcPr>
          <w:p>
            <w:pPr>
              <w:ind w:firstLine="48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183.66</w:t>
            </w:r>
          </w:p>
        </w:tc>
      </w:tr>
    </w:tbl>
    <w:p>
      <w:pPr>
        <w:numPr>
          <w:ilvl w:val="0"/>
          <w:numId w:val="3"/>
        </w:numPr>
        <w:ind w:firstLine="640"/>
        <w:jc w:val="left"/>
        <w:rPr>
          <w:rFonts w:ascii="仿宋" w:hAnsi="仿宋" w:eastAsia="仿宋" w:cs="仿宋"/>
          <w:szCs w:val="32"/>
        </w:rPr>
      </w:pPr>
      <w:r>
        <w:rPr>
          <w:rFonts w:hint="eastAsia" w:ascii="仿宋" w:hAnsi="仿宋" w:eastAsia="仿宋" w:cs="仿宋"/>
          <w:szCs w:val="32"/>
        </w:rPr>
        <w:t>按经济科目分类对比如下：</w:t>
      </w:r>
    </w:p>
    <w:p>
      <w:pPr>
        <w:ind w:firstLine="602"/>
        <w:jc w:val="left"/>
        <w:rPr>
          <w:rFonts w:ascii="仿宋" w:hAnsi="仿宋" w:eastAsia="仿宋" w:cs="仿宋"/>
          <w:sz w:val="30"/>
          <w:szCs w:val="30"/>
        </w:rPr>
      </w:pPr>
      <w:r>
        <w:rPr>
          <w:rFonts w:hint="eastAsia" w:ascii="仿宋" w:hAnsi="仿宋" w:eastAsia="仿宋" w:cs="Arial"/>
          <w:b/>
          <w:color w:val="000000"/>
          <w:kern w:val="0"/>
          <w:sz w:val="30"/>
          <w:szCs w:val="30"/>
        </w:rPr>
        <w:t>2020年度支出经济科目分类决算对比表      单位：万元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2"/>
              <w:rPr>
                <w:rFonts w:ascii="仿宋" w:hAnsi="仿宋" w:eastAsia="仿宋" w:cs="仿宋"/>
                <w:b/>
                <w:color w:val="000000"/>
                <w:kern w:val="0"/>
                <w:sz w:val="28"/>
                <w:szCs w:val="28"/>
              </w:rPr>
            </w:pPr>
            <w:r>
              <w:rPr>
                <w:rFonts w:hint="eastAsia" w:ascii="仿宋" w:hAnsi="仿宋" w:eastAsia="仿宋" w:cs="仿宋"/>
                <w:b/>
                <w:color w:val="000000"/>
                <w:kern w:val="0"/>
                <w:sz w:val="28"/>
                <w:szCs w:val="28"/>
              </w:rPr>
              <w:t>科目名称</w:t>
            </w:r>
          </w:p>
        </w:tc>
        <w:tc>
          <w:tcPr>
            <w:tcW w:w="1837"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2020年</w:t>
            </w:r>
          </w:p>
        </w:tc>
        <w:tc>
          <w:tcPr>
            <w:tcW w:w="2071"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2021年</w:t>
            </w:r>
          </w:p>
        </w:tc>
        <w:tc>
          <w:tcPr>
            <w:tcW w:w="1956"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合  计</w:t>
            </w:r>
          </w:p>
        </w:tc>
        <w:tc>
          <w:tcPr>
            <w:tcW w:w="1837" w:type="dxa"/>
            <w:vAlign w:val="center"/>
          </w:tcPr>
          <w:p>
            <w:pPr>
              <w:widowControl/>
              <w:ind w:firstLine="56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1183.81</w:t>
            </w:r>
          </w:p>
        </w:tc>
        <w:tc>
          <w:tcPr>
            <w:tcW w:w="2071" w:type="dxa"/>
            <w:vAlign w:val="center"/>
          </w:tcPr>
          <w:p>
            <w:pPr>
              <w:widowControl/>
              <w:ind w:firstLine="56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1367.46</w:t>
            </w:r>
          </w:p>
        </w:tc>
        <w:tc>
          <w:tcPr>
            <w:tcW w:w="1956" w:type="dxa"/>
            <w:vAlign w:val="center"/>
          </w:tcPr>
          <w:p>
            <w:pPr>
              <w:widowControl/>
              <w:ind w:firstLine="56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15.51%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560"/>
              <w:jc w:val="left"/>
              <w:rPr>
                <w:rFonts w:ascii="仿宋" w:hAnsi="仿宋" w:eastAsia="仿宋" w:cs="仿宋"/>
                <w:color w:val="auto"/>
                <w:kern w:val="0"/>
                <w:sz w:val="28"/>
                <w:szCs w:val="28"/>
              </w:rPr>
            </w:pPr>
            <w:r>
              <w:rPr>
                <w:rFonts w:hint="eastAsia" w:ascii="仿宋" w:hAnsi="仿宋" w:eastAsia="仿宋" w:cs="仿宋"/>
                <w:color w:val="auto"/>
                <w:kern w:val="0"/>
                <w:sz w:val="28"/>
                <w:szCs w:val="28"/>
              </w:rPr>
              <w:t>工资福利支出</w:t>
            </w:r>
          </w:p>
        </w:tc>
        <w:tc>
          <w:tcPr>
            <w:tcW w:w="1837" w:type="dxa"/>
            <w:vAlign w:val="center"/>
          </w:tcPr>
          <w:p>
            <w:pPr>
              <w:widowControl/>
              <w:ind w:firstLine="56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254.39</w:t>
            </w:r>
          </w:p>
        </w:tc>
        <w:tc>
          <w:tcPr>
            <w:tcW w:w="2071" w:type="dxa"/>
            <w:vAlign w:val="center"/>
          </w:tcPr>
          <w:p>
            <w:pPr>
              <w:widowControl/>
              <w:ind w:firstLine="56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344.17</w:t>
            </w:r>
          </w:p>
        </w:tc>
        <w:tc>
          <w:tcPr>
            <w:tcW w:w="1956" w:type="dxa"/>
            <w:vAlign w:val="center"/>
          </w:tcPr>
          <w:p>
            <w:pPr>
              <w:widowControl/>
              <w:ind w:firstLine="56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35.29%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560"/>
              <w:jc w:val="left"/>
              <w:rPr>
                <w:rFonts w:ascii="仿宋" w:hAnsi="仿宋" w:eastAsia="仿宋" w:cs="仿宋"/>
                <w:color w:val="auto"/>
                <w:kern w:val="0"/>
                <w:sz w:val="28"/>
                <w:szCs w:val="28"/>
              </w:rPr>
            </w:pPr>
            <w:r>
              <w:rPr>
                <w:rFonts w:hint="eastAsia" w:ascii="仿宋" w:hAnsi="仿宋" w:eastAsia="仿宋" w:cs="仿宋"/>
                <w:color w:val="auto"/>
                <w:kern w:val="0"/>
                <w:sz w:val="28"/>
                <w:szCs w:val="28"/>
              </w:rPr>
              <w:t>商品服务支出</w:t>
            </w:r>
          </w:p>
        </w:tc>
        <w:tc>
          <w:tcPr>
            <w:tcW w:w="1837" w:type="dxa"/>
            <w:vAlign w:val="center"/>
          </w:tcPr>
          <w:p>
            <w:pPr>
              <w:widowControl/>
              <w:ind w:firstLine="56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228.39</w:t>
            </w:r>
          </w:p>
        </w:tc>
        <w:tc>
          <w:tcPr>
            <w:tcW w:w="2071" w:type="dxa"/>
            <w:vAlign w:val="center"/>
          </w:tcPr>
          <w:p>
            <w:pPr>
              <w:widowControl/>
              <w:ind w:firstLine="56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202.67</w:t>
            </w:r>
          </w:p>
        </w:tc>
        <w:tc>
          <w:tcPr>
            <w:tcW w:w="1956" w:type="dxa"/>
            <w:vAlign w:val="center"/>
          </w:tcPr>
          <w:p>
            <w:pPr>
              <w:widowControl/>
              <w:ind w:firstLine="56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0" w:firstLineChars="0"/>
              <w:jc w:val="left"/>
              <w:rPr>
                <w:rFonts w:ascii="仿宋" w:hAnsi="仿宋" w:eastAsia="仿宋" w:cs="仿宋"/>
                <w:color w:val="auto"/>
                <w:kern w:val="0"/>
                <w:sz w:val="28"/>
                <w:szCs w:val="28"/>
              </w:rPr>
            </w:pPr>
            <w:r>
              <w:rPr>
                <w:rFonts w:hint="eastAsia" w:ascii="仿宋" w:hAnsi="仿宋" w:eastAsia="仿宋" w:cs="仿宋"/>
                <w:color w:val="auto"/>
                <w:kern w:val="0"/>
                <w:sz w:val="28"/>
                <w:szCs w:val="28"/>
              </w:rPr>
              <w:t>对个人和家庭的补助</w:t>
            </w:r>
          </w:p>
        </w:tc>
        <w:tc>
          <w:tcPr>
            <w:tcW w:w="1837" w:type="dxa"/>
            <w:vAlign w:val="center"/>
          </w:tcPr>
          <w:p>
            <w:pPr>
              <w:widowControl/>
              <w:ind w:firstLine="56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342.64</w:t>
            </w:r>
          </w:p>
        </w:tc>
        <w:tc>
          <w:tcPr>
            <w:tcW w:w="2071" w:type="dxa"/>
            <w:vAlign w:val="center"/>
          </w:tcPr>
          <w:p>
            <w:pPr>
              <w:widowControl/>
              <w:ind w:firstLine="56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501.83</w:t>
            </w:r>
          </w:p>
        </w:tc>
        <w:tc>
          <w:tcPr>
            <w:tcW w:w="1956" w:type="dxa"/>
            <w:vAlign w:val="center"/>
          </w:tcPr>
          <w:p>
            <w:pPr>
              <w:widowControl/>
              <w:ind w:firstLine="56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-46.46%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0"/>
              <w:jc w:val="left"/>
              <w:rPr>
                <w:rFonts w:ascii="仿宋" w:hAnsi="仿宋" w:eastAsia="仿宋" w:cs="仿宋"/>
                <w:b/>
                <w:bCs/>
                <w:color w:val="auto"/>
                <w:kern w:val="0"/>
                <w:sz w:val="28"/>
                <w:szCs w:val="28"/>
              </w:rPr>
            </w:pPr>
            <w:r>
              <w:rPr>
                <w:rFonts w:hint="eastAsia" w:ascii="仿宋" w:hAnsi="仿宋" w:eastAsia="仿宋" w:cs="仿宋"/>
                <w:color w:val="auto"/>
                <w:kern w:val="0"/>
                <w:sz w:val="28"/>
                <w:szCs w:val="28"/>
              </w:rPr>
              <w:t>资本性支出</w:t>
            </w:r>
          </w:p>
        </w:tc>
        <w:tc>
          <w:tcPr>
            <w:tcW w:w="1837" w:type="dxa"/>
            <w:vAlign w:val="center"/>
          </w:tcPr>
          <w:p>
            <w:pPr>
              <w:widowControl/>
              <w:ind w:firstLine="56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358.39</w:t>
            </w:r>
          </w:p>
        </w:tc>
        <w:tc>
          <w:tcPr>
            <w:tcW w:w="2071" w:type="dxa"/>
            <w:vAlign w:val="center"/>
          </w:tcPr>
          <w:p>
            <w:pPr>
              <w:widowControl/>
              <w:ind w:firstLine="64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318.79</w:t>
            </w:r>
          </w:p>
        </w:tc>
        <w:tc>
          <w:tcPr>
            <w:tcW w:w="1956" w:type="dxa"/>
            <w:vAlign w:val="center"/>
          </w:tcPr>
          <w:p>
            <w:pPr>
              <w:widowControl/>
              <w:ind w:firstLine="56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jc w:val="left"/>
              <w:rPr>
                <w:rFonts w:ascii="仿宋" w:hAnsi="仿宋" w:eastAsia="仿宋" w:cs="仿宋"/>
                <w:b/>
                <w:bCs/>
                <w:color w:val="auto"/>
                <w:kern w:val="0"/>
                <w:sz w:val="28"/>
                <w:szCs w:val="28"/>
              </w:rPr>
            </w:pPr>
          </w:p>
        </w:tc>
        <w:tc>
          <w:tcPr>
            <w:tcW w:w="1837" w:type="dxa"/>
            <w:vAlign w:val="center"/>
          </w:tcPr>
          <w:p>
            <w:pPr>
              <w:widowControl/>
              <w:ind w:firstLine="560"/>
              <w:jc w:val="right"/>
              <w:rPr>
                <w:rFonts w:ascii="仿宋" w:hAnsi="仿宋" w:eastAsia="仿宋" w:cs="仿宋"/>
                <w:color w:val="auto"/>
                <w:kern w:val="0"/>
                <w:sz w:val="28"/>
                <w:szCs w:val="28"/>
              </w:rPr>
            </w:pPr>
          </w:p>
        </w:tc>
        <w:tc>
          <w:tcPr>
            <w:tcW w:w="2071" w:type="dxa"/>
            <w:vAlign w:val="center"/>
          </w:tcPr>
          <w:p>
            <w:pPr>
              <w:widowControl/>
              <w:ind w:firstLine="640"/>
              <w:jc w:val="right"/>
              <w:textAlignment w:val="center"/>
              <w:rPr>
                <w:rFonts w:ascii="仿宋" w:hAnsi="仿宋" w:eastAsia="仿宋" w:cs="仿宋"/>
                <w:color w:val="auto"/>
              </w:rPr>
            </w:pPr>
          </w:p>
        </w:tc>
        <w:tc>
          <w:tcPr>
            <w:tcW w:w="1956" w:type="dxa"/>
            <w:vAlign w:val="center"/>
          </w:tcPr>
          <w:p>
            <w:pPr>
              <w:widowControl/>
              <w:ind w:firstLine="560"/>
              <w:jc w:val="right"/>
              <w:rPr>
                <w:rFonts w:ascii="仿宋" w:hAnsi="仿宋" w:eastAsia="仿宋" w:cs="仿宋"/>
                <w:color w:val="auto"/>
                <w:kern w:val="0"/>
                <w:sz w:val="28"/>
                <w:szCs w:val="28"/>
              </w:rPr>
            </w:pPr>
          </w:p>
        </w:tc>
      </w:tr>
    </w:tbl>
    <w:p>
      <w:pPr>
        <w:spacing w:line="580" w:lineRule="exact"/>
        <w:ind w:firstLine="0" w:firstLineChars="0"/>
        <w:rPr>
          <w:color w:val="FF0000"/>
          <w:szCs w:val="32"/>
        </w:rPr>
      </w:pPr>
    </w:p>
    <w:p>
      <w:pPr>
        <w:pStyle w:val="3"/>
        <w:ind w:firstLine="643"/>
        <w:rPr>
          <w:rFonts w:ascii="仿宋" w:hAnsi="仿宋" w:eastAsia="仿宋" w:cs="仿宋"/>
        </w:rPr>
      </w:pPr>
      <w:bookmarkStart w:id="21" w:name="_Toc17728"/>
      <w:bookmarkStart w:id="22" w:name="_Toc841"/>
      <w:r>
        <w:rPr>
          <w:rFonts w:hint="eastAsia" w:ascii="仿宋" w:hAnsi="仿宋" w:eastAsia="仿宋" w:cs="仿宋"/>
        </w:rPr>
        <w:t>六、一般公共预算财政拨款基本支出决算情况说明</w:t>
      </w:r>
      <w:bookmarkEnd w:id="21"/>
      <w:bookmarkEnd w:id="22"/>
    </w:p>
    <w:p>
      <w:pPr>
        <w:spacing w:line="580" w:lineRule="exact"/>
        <w:ind w:firstLine="640"/>
        <w:rPr>
          <w:rFonts w:ascii="仿宋_GB2312"/>
          <w:color w:val="auto"/>
          <w:szCs w:val="32"/>
        </w:rPr>
      </w:pPr>
      <w:r>
        <w:rPr>
          <w:rFonts w:hint="eastAsia" w:ascii="仿宋_GB2312"/>
          <w:color w:val="auto"/>
          <w:szCs w:val="32"/>
        </w:rPr>
        <w:t>2021年度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95.82</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344.17</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工资、奖金及社保</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95.82</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val="en-US" w:eastAsia="zh-CN"/>
        </w:rPr>
        <w:t>商品服务支出</w:t>
      </w:r>
      <w:r>
        <w:rPr>
          <w:rFonts w:ascii="仿宋_GB2312"/>
          <w:color w:val="auto"/>
          <w:szCs w:val="32"/>
        </w:rPr>
        <w:t>。</w:t>
      </w:r>
      <w:r>
        <w:rPr>
          <w:rFonts w:hint="eastAsia" w:ascii="仿宋_GB2312"/>
          <w:color w:val="auto"/>
          <w:szCs w:val="32"/>
        </w:rPr>
        <w:t>2021年度</w:t>
      </w:r>
      <w:r>
        <w:rPr>
          <w:rFonts w:ascii="仿宋_GB2312"/>
          <w:color w:val="auto"/>
          <w:szCs w:val="32"/>
        </w:rPr>
        <w:t>财政拨款</w:t>
      </w:r>
      <w:r>
        <w:rPr>
          <w:rFonts w:hint="eastAsia" w:ascii="仿宋_GB2312"/>
          <w:color w:val="auto"/>
          <w:szCs w:val="32"/>
        </w:rPr>
        <w:t>项目</w:t>
      </w:r>
      <w:r>
        <w:rPr>
          <w:rFonts w:ascii="仿宋_GB2312"/>
          <w:color w:val="auto"/>
          <w:szCs w:val="32"/>
        </w:rPr>
        <w:t>支出</w:t>
      </w:r>
      <w:r>
        <w:rPr>
          <w:rFonts w:hint="eastAsia" w:ascii="仿宋_GB2312"/>
          <w:color w:val="auto"/>
          <w:szCs w:val="32"/>
          <w:lang w:val="en-US" w:eastAsia="zh-CN"/>
        </w:rPr>
        <w:t>919.56</w:t>
      </w:r>
      <w:r>
        <w:rPr>
          <w:rFonts w:hint="eastAsia" w:ascii="仿宋_GB2312"/>
          <w:color w:val="auto"/>
          <w:szCs w:val="32"/>
        </w:rPr>
        <w:t>万元。</w:t>
      </w:r>
    </w:p>
    <w:p>
      <w:pPr>
        <w:pStyle w:val="3"/>
        <w:ind w:firstLine="643"/>
        <w:rPr>
          <w:rFonts w:ascii="仿宋" w:hAnsi="仿宋" w:eastAsia="仿宋" w:cs="仿宋"/>
        </w:rPr>
      </w:pPr>
      <w:bookmarkStart w:id="23" w:name="_Toc26508"/>
      <w:bookmarkStart w:id="24" w:name="_Toc2304"/>
      <w:r>
        <w:rPr>
          <w:rFonts w:hint="eastAsia" w:ascii="仿宋" w:hAnsi="仿宋" w:eastAsia="仿宋" w:cs="仿宋"/>
        </w:rPr>
        <w:t>七、一般公共预算财政拨款“三公”经费支出决算情况说明</w:t>
      </w:r>
      <w:bookmarkEnd w:id="23"/>
      <w:bookmarkEnd w:id="24"/>
    </w:p>
    <w:p>
      <w:pPr>
        <w:spacing w:line="580" w:lineRule="exact"/>
        <w:ind w:firstLine="640"/>
        <w:rPr>
          <w:b/>
          <w:color w:val="FF0000"/>
          <w:szCs w:val="32"/>
        </w:rPr>
      </w:pPr>
      <w:r>
        <w:rPr>
          <w:rFonts w:hint="eastAsia" w:ascii="仿宋_GB2312"/>
          <w:szCs w:val="32"/>
        </w:rPr>
        <w:t>2021年度，“三公”经费财政拨款支出决算为</w:t>
      </w:r>
      <w:r>
        <w:rPr>
          <w:rFonts w:hint="eastAsia" w:ascii="仿宋_GB2312"/>
          <w:szCs w:val="32"/>
          <w:lang w:val="en-US" w:eastAsia="zh-CN"/>
        </w:rPr>
        <w:t>0元</w:t>
      </w:r>
      <w:r>
        <w:rPr>
          <w:rFonts w:hint="eastAsia" w:ascii="仿宋_GB2312"/>
          <w:szCs w:val="32"/>
        </w:rPr>
        <w:t>，，比上年减少</w:t>
      </w:r>
      <w:r>
        <w:rPr>
          <w:rFonts w:hint="eastAsia" w:ascii="仿宋_GB2312"/>
          <w:szCs w:val="32"/>
          <w:lang w:val="en-US" w:eastAsia="zh-CN"/>
        </w:rPr>
        <w:t>1</w:t>
      </w:r>
      <w:r>
        <w:rPr>
          <w:rFonts w:hint="eastAsia" w:ascii="仿宋_GB2312"/>
          <w:szCs w:val="32"/>
        </w:rPr>
        <w:t>万元，下降</w:t>
      </w:r>
      <w:r>
        <w:rPr>
          <w:rFonts w:hint="eastAsia" w:ascii="仿宋_GB2312"/>
          <w:szCs w:val="32"/>
          <w:lang w:val="en-US" w:eastAsia="zh-CN"/>
        </w:rPr>
        <w:t>100</w:t>
      </w:r>
      <w:r>
        <w:rPr>
          <w:rFonts w:hint="eastAsia" w:ascii="仿宋_GB2312"/>
          <w:szCs w:val="32"/>
        </w:rPr>
        <w:t>%。其中：</w:t>
      </w:r>
      <w:r>
        <w:rPr>
          <w:rFonts w:hint="eastAsia" w:ascii="仿宋_GB2312"/>
          <w:szCs w:val="32"/>
          <w:lang w:val="en-US" w:eastAsia="zh-CN"/>
        </w:rPr>
        <w:t>无</w:t>
      </w:r>
      <w:r>
        <w:rPr>
          <w:rFonts w:hint="eastAsia" w:ascii="仿宋_GB2312"/>
          <w:szCs w:val="32"/>
        </w:rPr>
        <w:t>因公出国（境）费</w:t>
      </w:r>
      <w:r>
        <w:rPr>
          <w:rFonts w:hint="eastAsia" w:ascii="仿宋_GB2312"/>
          <w:szCs w:val="32"/>
          <w:lang w:val="en-US" w:eastAsia="zh-CN"/>
        </w:rPr>
        <w:t>;无</w:t>
      </w:r>
      <w:r>
        <w:rPr>
          <w:rFonts w:hint="eastAsia" w:ascii="仿宋_GB2312"/>
          <w:szCs w:val="32"/>
        </w:rPr>
        <w:t>公务用车购置及运行费支出；</w:t>
      </w:r>
      <w:r>
        <w:rPr>
          <w:rFonts w:hint="eastAsia" w:ascii="仿宋_GB2312"/>
          <w:szCs w:val="32"/>
          <w:lang w:val="en-US" w:eastAsia="zh-CN"/>
        </w:rPr>
        <w:t>无</w:t>
      </w:r>
      <w:r>
        <w:rPr>
          <w:rFonts w:hint="eastAsia" w:ascii="仿宋_GB2312"/>
          <w:szCs w:val="32"/>
        </w:rPr>
        <w:t>公务接待费。</w:t>
      </w:r>
    </w:p>
    <w:p>
      <w:pPr>
        <w:pStyle w:val="8"/>
        <w:tabs>
          <w:tab w:val="left" w:pos="5760"/>
        </w:tabs>
        <w:spacing w:before="0" w:beforeAutospacing="0" w:after="0" w:afterAutospacing="0"/>
        <w:ind w:firstLine="640"/>
        <w:rPr>
          <w:rFonts w:ascii="仿宋_GB2312"/>
          <w:color w:val="000000"/>
          <w:sz w:val="32"/>
          <w:szCs w:val="32"/>
        </w:rPr>
      </w:pPr>
      <w:r>
        <w:rPr>
          <w:rFonts w:hint="eastAsia" w:ascii="仿宋_GB2312"/>
          <w:color w:val="000000"/>
          <w:sz w:val="32"/>
          <w:szCs w:val="32"/>
        </w:rPr>
        <w:t>2021年“三公”经费支出情况，分三项和2020年相比。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spacing w:before="0" w:beforeAutospacing="0" w:after="0" w:afterAutospacing="0" w:line="300" w:lineRule="exact"/>
              <w:ind w:firstLine="2368" w:firstLineChars="1123"/>
              <w:rPr>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b/>
                <w:color w:val="000000"/>
                <w:sz w:val="28"/>
                <w:szCs w:val="28"/>
              </w:rPr>
            </w:pPr>
            <w:r>
              <w:rPr>
                <w:rFonts w:hint="eastAsia"/>
                <w:b/>
                <w:color w:val="000000"/>
                <w:sz w:val="21"/>
                <w:szCs w:val="21"/>
              </w:rPr>
              <w:t>项目</w:t>
            </w:r>
          </w:p>
        </w:tc>
        <w:tc>
          <w:tcPr>
            <w:tcW w:w="1701" w:type="dxa"/>
          </w:tcPr>
          <w:p>
            <w:pPr>
              <w:pStyle w:val="8"/>
              <w:ind w:firstLine="562"/>
              <w:jc w:val="center"/>
              <w:rPr>
                <w:b/>
                <w:color w:val="000000"/>
                <w:sz w:val="28"/>
                <w:szCs w:val="28"/>
              </w:rPr>
            </w:pPr>
            <w:r>
              <w:rPr>
                <w:rFonts w:hint="eastAsia"/>
                <w:b/>
                <w:color w:val="000000"/>
                <w:sz w:val="28"/>
                <w:szCs w:val="28"/>
              </w:rPr>
              <w:t>2020年</w:t>
            </w:r>
          </w:p>
        </w:tc>
        <w:tc>
          <w:tcPr>
            <w:tcW w:w="1701" w:type="dxa"/>
          </w:tcPr>
          <w:p>
            <w:pPr>
              <w:pStyle w:val="8"/>
              <w:ind w:firstLine="562"/>
              <w:jc w:val="center"/>
              <w:rPr>
                <w:b/>
                <w:color w:val="000000"/>
                <w:sz w:val="28"/>
                <w:szCs w:val="28"/>
              </w:rPr>
            </w:pPr>
            <w:r>
              <w:rPr>
                <w:rFonts w:hint="eastAsia"/>
                <w:b/>
                <w:color w:val="000000"/>
                <w:sz w:val="28"/>
                <w:szCs w:val="28"/>
              </w:rPr>
              <w:t>2021年</w:t>
            </w:r>
          </w:p>
        </w:tc>
        <w:tc>
          <w:tcPr>
            <w:tcW w:w="1418" w:type="dxa"/>
          </w:tcPr>
          <w:p>
            <w:pPr>
              <w:pStyle w:val="8"/>
              <w:ind w:firstLine="0" w:firstLineChars="0"/>
              <w:jc w:val="both"/>
              <w:rPr>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color w:val="000000"/>
                <w:sz w:val="28"/>
                <w:szCs w:val="28"/>
              </w:rPr>
            </w:pPr>
            <w:r>
              <w:rPr>
                <w:rFonts w:hint="eastAsia"/>
                <w:color w:val="000000"/>
                <w:sz w:val="28"/>
                <w:szCs w:val="28"/>
              </w:rPr>
              <w:t>因公出国（境）费</w:t>
            </w:r>
          </w:p>
        </w:tc>
        <w:tc>
          <w:tcPr>
            <w:tcW w:w="1701" w:type="dxa"/>
          </w:tcPr>
          <w:p>
            <w:pPr>
              <w:pStyle w:val="8"/>
              <w:ind w:firstLine="560"/>
              <w:jc w:val="right"/>
              <w:rPr>
                <w:color w:val="000000"/>
                <w:sz w:val="28"/>
                <w:szCs w:val="28"/>
              </w:rPr>
            </w:pPr>
          </w:p>
        </w:tc>
        <w:tc>
          <w:tcPr>
            <w:tcW w:w="1701" w:type="dxa"/>
          </w:tcPr>
          <w:p>
            <w:pPr>
              <w:pStyle w:val="8"/>
              <w:ind w:firstLine="560"/>
              <w:jc w:val="right"/>
              <w:rPr>
                <w:color w:val="000000"/>
                <w:sz w:val="28"/>
                <w:szCs w:val="28"/>
              </w:rPr>
            </w:pPr>
          </w:p>
        </w:tc>
        <w:tc>
          <w:tcPr>
            <w:tcW w:w="1418" w:type="dxa"/>
          </w:tcPr>
          <w:p>
            <w:pPr>
              <w:pStyle w:val="8"/>
              <w:ind w:firstLine="560"/>
              <w:jc w:val="right"/>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color w:val="000000"/>
                <w:sz w:val="28"/>
                <w:szCs w:val="28"/>
              </w:rPr>
            </w:pPr>
            <w:r>
              <w:rPr>
                <w:rFonts w:hint="eastAsia"/>
                <w:color w:val="000000"/>
                <w:sz w:val="28"/>
                <w:szCs w:val="28"/>
              </w:rPr>
              <w:t>公务接待费</w:t>
            </w:r>
          </w:p>
        </w:tc>
        <w:tc>
          <w:tcPr>
            <w:tcW w:w="1701" w:type="dxa"/>
          </w:tcPr>
          <w:p>
            <w:pPr>
              <w:pStyle w:val="8"/>
              <w:ind w:firstLine="560"/>
              <w:jc w:val="right"/>
              <w:rPr>
                <w:color w:val="000000"/>
                <w:sz w:val="28"/>
                <w:szCs w:val="28"/>
              </w:rPr>
            </w:pPr>
          </w:p>
        </w:tc>
        <w:tc>
          <w:tcPr>
            <w:tcW w:w="1701" w:type="dxa"/>
          </w:tcPr>
          <w:p>
            <w:pPr>
              <w:pStyle w:val="8"/>
              <w:ind w:firstLine="560"/>
              <w:jc w:val="right"/>
              <w:rPr>
                <w:color w:val="000000"/>
                <w:sz w:val="28"/>
                <w:szCs w:val="28"/>
              </w:rPr>
            </w:pPr>
          </w:p>
        </w:tc>
        <w:tc>
          <w:tcPr>
            <w:tcW w:w="1418" w:type="dxa"/>
          </w:tcPr>
          <w:p>
            <w:pPr>
              <w:pStyle w:val="8"/>
              <w:ind w:firstLine="560"/>
              <w:jc w:val="right"/>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0" w:firstLineChars="0"/>
              <w:rPr>
                <w:color w:val="000000"/>
                <w:sz w:val="28"/>
                <w:szCs w:val="28"/>
              </w:rPr>
            </w:pPr>
            <w:r>
              <w:rPr>
                <w:rFonts w:hint="eastAsia"/>
                <w:color w:val="000000"/>
                <w:sz w:val="28"/>
                <w:szCs w:val="28"/>
              </w:rPr>
              <w:t>公务用车购置及运行维护费</w:t>
            </w:r>
          </w:p>
        </w:tc>
        <w:tc>
          <w:tcPr>
            <w:tcW w:w="1701" w:type="dxa"/>
          </w:tcPr>
          <w:p>
            <w:pPr>
              <w:pStyle w:val="8"/>
              <w:ind w:firstLine="560"/>
              <w:jc w:val="right"/>
              <w:rPr>
                <w:rFonts w:hint="eastAsia" w:eastAsia="宋体"/>
                <w:color w:val="000000"/>
                <w:sz w:val="28"/>
                <w:szCs w:val="28"/>
                <w:lang w:val="en-US" w:eastAsia="zh-CN"/>
              </w:rPr>
            </w:pPr>
            <w:r>
              <w:rPr>
                <w:rFonts w:hint="eastAsia" w:eastAsia="宋体"/>
                <w:color w:val="000000"/>
                <w:sz w:val="28"/>
                <w:szCs w:val="28"/>
                <w:lang w:val="en-US" w:eastAsia="zh-CN"/>
              </w:rPr>
              <w:t>1</w:t>
            </w:r>
          </w:p>
        </w:tc>
        <w:tc>
          <w:tcPr>
            <w:tcW w:w="1701" w:type="dxa"/>
          </w:tcPr>
          <w:p>
            <w:pPr>
              <w:pStyle w:val="8"/>
              <w:ind w:firstLine="560"/>
              <w:jc w:val="right"/>
              <w:rPr>
                <w:color w:val="000000"/>
                <w:sz w:val="28"/>
                <w:szCs w:val="28"/>
              </w:rPr>
            </w:pPr>
          </w:p>
        </w:tc>
        <w:tc>
          <w:tcPr>
            <w:tcW w:w="1418" w:type="dxa"/>
          </w:tcPr>
          <w:p>
            <w:pPr>
              <w:pStyle w:val="8"/>
              <w:ind w:firstLine="560"/>
              <w:jc w:val="right"/>
              <w:rPr>
                <w:rFonts w:hint="default" w:eastAsia="宋体"/>
                <w:color w:val="000000"/>
                <w:sz w:val="28"/>
                <w:szCs w:val="28"/>
                <w:lang w:val="en-US" w:eastAsia="zh-CN"/>
              </w:rPr>
            </w:pPr>
            <w:r>
              <w:rPr>
                <w:rFonts w:hint="eastAsia" w:eastAsia="宋体"/>
                <w:color w:val="000000"/>
                <w:sz w:val="28"/>
                <w:szCs w:val="28"/>
                <w:lang w:val="en-US" w:eastAsia="zh-CN"/>
              </w:rPr>
              <w:t>-100%</w:t>
            </w:r>
          </w:p>
        </w:tc>
      </w:tr>
    </w:tbl>
    <w:p>
      <w:pPr>
        <w:pStyle w:val="8"/>
        <w:spacing w:before="0" w:beforeAutospacing="0" w:after="0" w:afterAutospacing="0"/>
        <w:ind w:firstLine="482"/>
        <w:rPr>
          <w:b/>
          <w:szCs w:val="32"/>
        </w:rPr>
      </w:pPr>
    </w:p>
    <w:p>
      <w:pPr>
        <w:pStyle w:val="3"/>
        <w:ind w:firstLine="643"/>
        <w:rPr>
          <w:rFonts w:ascii="仿宋" w:hAnsi="仿宋" w:eastAsia="仿宋" w:cs="仿宋"/>
        </w:rPr>
      </w:pPr>
      <w:bookmarkStart w:id="25" w:name="_Toc1792"/>
      <w:bookmarkStart w:id="26" w:name="_Toc9078"/>
      <w:r>
        <w:rPr>
          <w:rFonts w:hint="eastAsia" w:ascii="仿宋" w:hAnsi="仿宋" w:eastAsia="仿宋" w:cs="仿宋"/>
        </w:rPr>
        <w:t>八、其他重要事项情况说明</w:t>
      </w:r>
      <w:bookmarkEnd w:id="25"/>
      <w:bookmarkEnd w:id="26"/>
    </w:p>
    <w:p>
      <w:pPr>
        <w:ind w:firstLine="643"/>
        <w:rPr>
          <w:b/>
          <w:bCs/>
        </w:rPr>
      </w:pPr>
      <w:bookmarkStart w:id="27" w:name="_Toc23407"/>
      <w:r>
        <w:rPr>
          <w:rFonts w:hint="eastAsia"/>
          <w:b/>
          <w:bCs/>
        </w:rPr>
        <w:t>（一）机关运行经费支出情况说明</w:t>
      </w:r>
      <w:bookmarkEnd w:id="27"/>
    </w:p>
    <w:p>
      <w:pPr>
        <w:spacing w:line="580" w:lineRule="exact"/>
        <w:ind w:firstLine="640"/>
        <w:rPr>
          <w:rFonts w:hint="default" w:eastAsia="仿宋_GB2312"/>
          <w:b/>
          <w:color w:val="auto"/>
          <w:szCs w:val="32"/>
          <w:lang w:val="en-US" w:eastAsia="zh-CN"/>
        </w:rPr>
      </w:pPr>
      <w:r>
        <w:rPr>
          <w:rFonts w:hint="eastAsia" w:ascii="仿宋_GB2312" w:hAnsi="宋体"/>
          <w:color w:val="auto"/>
          <w:szCs w:val="32"/>
        </w:rPr>
        <w:t>2021年本单位机关运行经费支出</w:t>
      </w:r>
      <w:r>
        <w:rPr>
          <w:rFonts w:hint="eastAsia" w:ascii="仿宋_GB2312" w:hAnsi="宋体"/>
          <w:color w:val="auto"/>
          <w:szCs w:val="32"/>
          <w:lang w:val="en-US" w:eastAsia="zh-CN"/>
        </w:rPr>
        <w:t>95.82</w:t>
      </w:r>
      <w:r>
        <w:rPr>
          <w:rFonts w:hint="eastAsia" w:ascii="仿宋_GB2312" w:hAnsi="宋体"/>
          <w:color w:val="auto"/>
          <w:szCs w:val="32"/>
        </w:rPr>
        <w:t>万元，比2021年增加减少</w:t>
      </w:r>
      <w:r>
        <w:rPr>
          <w:rFonts w:hint="eastAsia" w:ascii="仿宋_GB2312" w:hAnsi="宋体"/>
          <w:color w:val="auto"/>
          <w:szCs w:val="32"/>
          <w:lang w:val="en-US" w:eastAsia="zh-CN"/>
        </w:rPr>
        <w:t>13.98</w:t>
      </w:r>
      <w:r>
        <w:rPr>
          <w:rFonts w:hint="eastAsia" w:ascii="仿宋_GB2312" w:hAnsi="宋体"/>
          <w:color w:val="auto"/>
          <w:szCs w:val="32"/>
        </w:rPr>
        <w:t>万元，降低</w:t>
      </w:r>
      <w:r>
        <w:rPr>
          <w:rFonts w:hint="eastAsia" w:ascii="仿宋_GB2312" w:hAnsi="宋体"/>
          <w:color w:val="auto"/>
          <w:szCs w:val="32"/>
          <w:lang w:val="en-US" w:eastAsia="zh-CN"/>
        </w:rPr>
        <w:t>12.73</w:t>
      </w:r>
      <w:r>
        <w:rPr>
          <w:rFonts w:hint="eastAsia" w:ascii="仿宋_GB2312" w:hAnsi="宋体"/>
          <w:color w:val="auto"/>
          <w:szCs w:val="32"/>
        </w:rPr>
        <w:t>%。主要原因是：</w:t>
      </w:r>
      <w:r>
        <w:rPr>
          <w:rFonts w:hint="eastAsia" w:ascii="仿宋_GB2312" w:hAnsi="宋体"/>
          <w:color w:val="auto"/>
          <w:szCs w:val="32"/>
          <w:lang w:val="en-US" w:eastAsia="zh-CN"/>
        </w:rPr>
        <w:t>压缩开支，历行节约。</w:t>
      </w:r>
    </w:p>
    <w:p>
      <w:pPr>
        <w:ind w:firstLine="643"/>
        <w:rPr>
          <w:b/>
          <w:bCs/>
        </w:rPr>
      </w:pPr>
      <w:bookmarkStart w:id="28" w:name="_Toc16103"/>
      <w:r>
        <w:rPr>
          <w:rFonts w:hint="eastAsia"/>
          <w:b/>
          <w:bCs/>
        </w:rPr>
        <w:t>（二）政府采购情况说明</w:t>
      </w:r>
      <w:bookmarkEnd w:id="28"/>
    </w:p>
    <w:p>
      <w:pPr>
        <w:spacing w:line="580" w:lineRule="exact"/>
        <w:ind w:firstLine="640"/>
        <w:rPr>
          <w:rFonts w:ascii="仿宋_GB2312"/>
          <w:color w:val="auto"/>
          <w:szCs w:val="32"/>
        </w:rPr>
      </w:pPr>
      <w:r>
        <w:rPr>
          <w:rFonts w:hint="eastAsia" w:ascii="仿宋_GB2312"/>
          <w:color w:val="auto"/>
          <w:szCs w:val="32"/>
        </w:rPr>
        <w:t>2021年度，政府采购支出总额</w:t>
      </w:r>
      <w:r>
        <w:rPr>
          <w:rFonts w:hint="eastAsia" w:ascii="仿宋_GB2312"/>
          <w:color w:val="auto"/>
          <w:szCs w:val="32"/>
          <w:lang w:val="en-US" w:eastAsia="zh-CN"/>
        </w:rPr>
        <w:t>56.5</w:t>
      </w:r>
      <w:r>
        <w:rPr>
          <w:rFonts w:hint="eastAsia" w:ascii="仿宋_GB2312"/>
          <w:color w:val="auto"/>
          <w:szCs w:val="32"/>
        </w:rPr>
        <w:t>万元，其中：政府采购货物支出</w:t>
      </w:r>
      <w:r>
        <w:rPr>
          <w:rFonts w:hint="eastAsia" w:ascii="仿宋_GB2312"/>
          <w:color w:val="auto"/>
          <w:szCs w:val="32"/>
          <w:lang w:val="en-US" w:eastAsia="zh-CN"/>
        </w:rPr>
        <w:t>6.5</w:t>
      </w:r>
      <w:r>
        <w:rPr>
          <w:rFonts w:hint="eastAsia" w:ascii="仿宋_GB2312"/>
          <w:color w:val="auto"/>
          <w:szCs w:val="32"/>
        </w:rPr>
        <w:t>万元、政府采购工程支出</w:t>
      </w:r>
      <w:r>
        <w:rPr>
          <w:rFonts w:hint="eastAsia" w:ascii="仿宋_GB2312"/>
          <w:color w:val="auto"/>
          <w:szCs w:val="32"/>
          <w:lang w:val="en-US" w:eastAsia="zh-CN"/>
        </w:rPr>
        <w:t>50</w:t>
      </w:r>
      <w:r>
        <w:rPr>
          <w:rFonts w:hint="eastAsia" w:ascii="仿宋_GB2312"/>
          <w:color w:val="auto"/>
          <w:szCs w:val="32"/>
        </w:rPr>
        <w:t>万元、</w:t>
      </w:r>
      <w:r>
        <w:rPr>
          <w:rFonts w:hint="eastAsia" w:ascii="仿宋_GB2312"/>
          <w:color w:val="auto"/>
          <w:szCs w:val="32"/>
          <w:lang w:val="en-US" w:eastAsia="zh-CN"/>
        </w:rPr>
        <w:t>无</w:t>
      </w:r>
      <w:r>
        <w:rPr>
          <w:rFonts w:hint="eastAsia" w:ascii="仿宋_GB2312"/>
          <w:color w:val="auto"/>
          <w:szCs w:val="32"/>
        </w:rPr>
        <w:t>政府采购服务支出。政府采购授予中小企业合同金额</w:t>
      </w:r>
      <w:r>
        <w:rPr>
          <w:rFonts w:hint="eastAsia" w:ascii="仿宋_GB2312"/>
          <w:color w:val="auto"/>
          <w:szCs w:val="32"/>
          <w:lang w:val="en-US" w:eastAsia="zh-CN"/>
        </w:rPr>
        <w:t>56.5</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56.5</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w:t>
      </w:r>
    </w:p>
    <w:p>
      <w:pPr>
        <w:ind w:firstLine="643"/>
        <w:rPr>
          <w:b/>
          <w:bCs/>
        </w:rPr>
      </w:pPr>
      <w:bookmarkStart w:id="29" w:name="_Toc19975"/>
      <w:r>
        <w:rPr>
          <w:rFonts w:hint="eastAsia"/>
          <w:b/>
          <w:bCs/>
        </w:rPr>
        <w:t>（三）国有资产占用情况说明</w:t>
      </w:r>
      <w:bookmarkEnd w:id="29"/>
    </w:p>
    <w:p>
      <w:pPr>
        <w:spacing w:line="580" w:lineRule="exact"/>
        <w:ind w:firstLine="640"/>
        <w:rPr>
          <w:rFonts w:ascii="仿宋_GB2312"/>
          <w:color w:val="auto"/>
          <w:szCs w:val="32"/>
        </w:rPr>
      </w:pPr>
      <w:r>
        <w:rPr>
          <w:rFonts w:hint="eastAsia" w:ascii="仿宋_GB2312"/>
          <w:color w:val="auto"/>
          <w:szCs w:val="32"/>
        </w:rPr>
        <w:t>截至2021年12月31日，本部门共有车辆</w:t>
      </w:r>
      <w:r>
        <w:rPr>
          <w:rFonts w:hint="eastAsia" w:ascii="仿宋_GB2312"/>
          <w:color w:val="auto"/>
          <w:szCs w:val="32"/>
          <w:lang w:val="en-US" w:eastAsia="zh-CN"/>
        </w:rPr>
        <w:t>4</w:t>
      </w:r>
      <w:r>
        <w:rPr>
          <w:rFonts w:hint="eastAsia" w:ascii="仿宋_GB2312"/>
          <w:color w:val="auto"/>
          <w:szCs w:val="32"/>
        </w:rPr>
        <w:t>辆。应急保障用车</w:t>
      </w:r>
      <w:r>
        <w:rPr>
          <w:rFonts w:hint="eastAsia" w:ascii="仿宋_GB2312"/>
          <w:color w:val="auto"/>
          <w:szCs w:val="32"/>
          <w:lang w:val="en-US" w:eastAsia="zh-CN"/>
        </w:rPr>
        <w:t>2</w:t>
      </w:r>
      <w:r>
        <w:rPr>
          <w:rFonts w:hint="eastAsia" w:ascii="仿宋_GB2312"/>
          <w:color w:val="auto"/>
          <w:szCs w:val="32"/>
        </w:rPr>
        <w:t>辆、执其他用车</w:t>
      </w:r>
      <w:r>
        <w:rPr>
          <w:rFonts w:hint="eastAsia" w:ascii="仿宋_GB2312"/>
          <w:color w:val="auto"/>
          <w:szCs w:val="32"/>
          <w:lang w:val="en-US" w:eastAsia="zh-CN"/>
        </w:rPr>
        <w:t>2</w:t>
      </w:r>
      <w:r>
        <w:rPr>
          <w:rFonts w:hint="eastAsia" w:ascii="仿宋_GB2312"/>
          <w:color w:val="auto"/>
          <w:szCs w:val="32"/>
        </w:rPr>
        <w:t>辆，其他用车主要是</w:t>
      </w:r>
      <w:r>
        <w:rPr>
          <w:rFonts w:hint="eastAsia" w:ascii="仿宋_GB2312"/>
          <w:color w:val="auto"/>
          <w:szCs w:val="32"/>
          <w:lang w:val="en-US" w:eastAsia="zh-CN"/>
        </w:rPr>
        <w:t>下乡用车</w:t>
      </w:r>
      <w:r>
        <w:rPr>
          <w:rFonts w:hint="eastAsia" w:ascii="仿宋_GB2312"/>
          <w:color w:val="auto"/>
          <w:szCs w:val="32"/>
        </w:rPr>
        <w:t>；</w:t>
      </w:r>
      <w:r>
        <w:rPr>
          <w:rFonts w:hint="eastAsia" w:ascii="仿宋_GB2312"/>
          <w:color w:val="auto"/>
          <w:szCs w:val="32"/>
          <w:lang w:val="en-US" w:eastAsia="zh-CN"/>
        </w:rPr>
        <w:t>无</w:t>
      </w:r>
      <w:r>
        <w:rPr>
          <w:rFonts w:hint="eastAsia" w:ascii="仿宋_GB2312"/>
          <w:color w:val="auto"/>
          <w:szCs w:val="32"/>
        </w:rPr>
        <w:t>单价50万元（含）以上的通用设备，</w:t>
      </w:r>
      <w:r>
        <w:rPr>
          <w:rFonts w:hint="eastAsia" w:ascii="仿宋_GB2312"/>
          <w:color w:val="auto"/>
          <w:szCs w:val="32"/>
          <w:lang w:val="en-US" w:eastAsia="zh-CN"/>
        </w:rPr>
        <w:t>无</w:t>
      </w:r>
      <w:r>
        <w:rPr>
          <w:rFonts w:hint="eastAsia" w:ascii="仿宋_GB2312"/>
          <w:color w:val="auto"/>
          <w:szCs w:val="32"/>
        </w:rPr>
        <w:t>单价100万元（含）以上专用设备。</w:t>
      </w:r>
    </w:p>
    <w:p>
      <w:pPr>
        <w:ind w:firstLine="643"/>
        <w:rPr>
          <w:b/>
          <w:bCs/>
          <w:color w:val="auto"/>
        </w:rPr>
      </w:pPr>
      <w:r>
        <w:rPr>
          <w:rFonts w:hint="eastAsia"/>
          <w:b/>
          <w:bCs/>
          <w:color w:val="auto"/>
        </w:rPr>
        <w:t>（四）重点项目预算的绩效目标情况说明：</w:t>
      </w:r>
    </w:p>
    <w:p>
      <w:pPr>
        <w:ind w:firstLine="643"/>
        <w:rPr>
          <w:rFonts w:ascii="仿宋" w:hAnsi="仿宋" w:eastAsia="仿宋" w:cs="仿宋"/>
          <w:b/>
          <w:bCs/>
          <w:color w:val="auto"/>
          <w:szCs w:val="32"/>
        </w:rPr>
      </w:pPr>
      <w:r>
        <w:rPr>
          <w:rFonts w:hint="eastAsia" w:ascii="仿宋" w:hAnsi="仿宋" w:eastAsia="仿宋" w:cs="仿宋"/>
          <w:b/>
          <w:bCs/>
          <w:color w:val="auto"/>
          <w:szCs w:val="32"/>
        </w:rPr>
        <w:t>2021年本单位重点项目绩效目标情况自评说明，涉及金额等。</w:t>
      </w:r>
    </w:p>
    <w:p>
      <w:pPr>
        <w:numPr>
          <w:ilvl w:val="0"/>
          <w:numId w:val="4"/>
        </w:numPr>
        <w:ind w:firstLine="643"/>
        <w:rPr>
          <w:rFonts w:hint="eastAsia" w:ascii="仿宋_GB2312" w:hAnsi="仿宋_GB2312" w:cs="仿宋_GB2312"/>
          <w:szCs w:val="32"/>
        </w:rPr>
      </w:pPr>
      <w:r>
        <w:rPr>
          <w:rFonts w:hint="eastAsia" w:ascii="仿宋_GB2312" w:hAnsi="仿宋_GB2312" w:cs="仿宋_GB2312"/>
          <w:b/>
          <w:bCs/>
          <w:szCs w:val="32"/>
        </w:rPr>
        <w:t>预算绩效管理工作开展情况。</w:t>
      </w:r>
      <w:r>
        <w:rPr>
          <w:rFonts w:hint="eastAsia" w:ascii="仿宋_GB2312" w:hAnsi="仿宋_GB2312" w:cs="仿宋_GB2312"/>
          <w:szCs w:val="32"/>
        </w:rPr>
        <w:t>根据预算绩效管理要</w:t>
      </w:r>
      <w:r>
        <w:rPr>
          <w:rFonts w:hint="eastAsia" w:ascii="仿宋_GB2312" w:hAnsi="仿宋_GB2312" w:cs="仿宋_GB2312"/>
          <w:color w:val="auto"/>
          <w:szCs w:val="32"/>
        </w:rPr>
        <w:t>求，我部门组织对2021年度县级财政预算安排的</w:t>
      </w:r>
      <w:r>
        <w:rPr>
          <w:rFonts w:hint="eastAsia" w:ascii="仿宋_GB2312" w:hAnsi="仿宋_GB2312" w:cs="仿宋_GB2312"/>
          <w:color w:val="auto"/>
          <w:szCs w:val="32"/>
          <w:highlight w:val="none"/>
          <w:shd w:val="clear" w:color="FFFFFF" w:fill="D9D9D9"/>
        </w:rPr>
        <w:t>专</w:t>
      </w:r>
      <w:r>
        <w:rPr>
          <w:rFonts w:hint="eastAsia" w:ascii="仿宋_GB2312" w:hAnsi="仿宋_GB2312" w:cs="仿宋_GB2312"/>
          <w:color w:val="auto"/>
          <w:szCs w:val="32"/>
          <w:highlight w:val="none"/>
          <w:shd w:val="clear" w:color="auto" w:fill="auto"/>
        </w:rPr>
        <w:t>项资金类</w:t>
      </w:r>
      <w:r>
        <w:rPr>
          <w:rFonts w:hint="eastAsia" w:ascii="仿宋_GB2312" w:hAnsi="仿宋_GB2312" w:cs="仿宋_GB2312"/>
          <w:color w:val="auto"/>
          <w:szCs w:val="32"/>
          <w:highlight w:val="none"/>
        </w:rPr>
        <w:t>和</w:t>
      </w:r>
      <w:r>
        <w:rPr>
          <w:rFonts w:hint="eastAsia" w:ascii="仿宋_GB2312" w:hAnsi="仿宋_GB2312" w:cs="仿宋_GB2312"/>
          <w:color w:val="auto"/>
          <w:szCs w:val="32"/>
          <w:highlight w:val="none"/>
          <w:lang w:val="en-US" w:eastAsia="zh-CN"/>
        </w:rPr>
        <w:t>200</w:t>
      </w:r>
      <w:r>
        <w:rPr>
          <w:rFonts w:hint="eastAsia" w:ascii="仿宋_GB2312" w:hAnsi="仿宋_GB2312" w:cs="仿宋_GB2312"/>
          <w:color w:val="auto"/>
          <w:szCs w:val="32"/>
          <w:highlight w:val="none"/>
        </w:rPr>
        <w:t>万元以上的经费补助类</w:t>
      </w:r>
      <w:r>
        <w:rPr>
          <w:rFonts w:hint="eastAsia" w:ascii="仿宋_GB2312" w:hAnsi="仿宋_GB2312" w:cs="仿宋_GB2312"/>
          <w:color w:val="auto"/>
          <w:szCs w:val="32"/>
          <w:highlight w:val="none"/>
          <w:lang w:val="en-US" w:eastAsia="zh-CN"/>
        </w:rPr>
        <w:t>1</w:t>
      </w:r>
      <w:r>
        <w:rPr>
          <w:rFonts w:hint="eastAsia" w:ascii="仿宋_GB2312" w:hAnsi="仿宋_GB2312" w:cs="仿宋_GB2312"/>
          <w:color w:val="auto"/>
          <w:szCs w:val="32"/>
          <w:highlight w:val="none"/>
        </w:rPr>
        <w:t>个项目</w:t>
      </w:r>
      <w:r>
        <w:rPr>
          <w:rFonts w:hint="eastAsia" w:ascii="仿宋_GB2312" w:hAnsi="仿宋_GB2312" w:cs="仿宋_GB2312"/>
          <w:color w:val="auto"/>
          <w:szCs w:val="32"/>
        </w:rPr>
        <w:t>支出全面开展绩效自评，涉及预算资金</w:t>
      </w:r>
      <w:r>
        <w:rPr>
          <w:rFonts w:hint="eastAsia" w:ascii="仿宋_GB2312" w:hAnsi="仿宋_GB2312" w:cs="仿宋_GB2312"/>
          <w:color w:val="auto"/>
          <w:szCs w:val="32"/>
          <w:lang w:val="en-US" w:eastAsia="zh-CN"/>
        </w:rPr>
        <w:t>20</w:t>
      </w:r>
      <w:r>
        <w:rPr>
          <w:rFonts w:hint="eastAsia" w:ascii="仿宋_GB2312" w:hAnsi="仿宋_GB2312" w:cs="仿宋_GB2312"/>
          <w:color w:val="auto"/>
          <w:szCs w:val="32"/>
        </w:rPr>
        <w:t>万元，占一般公共预算项</w:t>
      </w:r>
      <w:r>
        <w:rPr>
          <w:rFonts w:hint="eastAsia" w:ascii="仿宋_GB2312" w:hAnsi="仿宋_GB2312" w:cs="仿宋_GB2312"/>
          <w:szCs w:val="32"/>
        </w:rPr>
        <w:t>目支出总额的</w:t>
      </w:r>
      <w:r>
        <w:rPr>
          <w:rFonts w:hint="eastAsia" w:ascii="仿宋_GB2312" w:hAnsi="仿宋_GB2312" w:cs="仿宋_GB2312"/>
          <w:szCs w:val="32"/>
          <w:lang w:val="en-US" w:eastAsia="zh-CN"/>
        </w:rPr>
        <w:t>2.1</w:t>
      </w:r>
      <w:r>
        <w:rPr>
          <w:rFonts w:hint="eastAsia" w:ascii="仿宋_GB2312" w:hAnsi="仿宋_GB2312" w:cs="仿宋_GB2312"/>
          <w:szCs w:val="32"/>
        </w:rPr>
        <w:t>%。</w:t>
      </w:r>
    </w:p>
    <w:p>
      <w:pPr>
        <w:numPr>
          <w:ilvl w:val="0"/>
          <w:numId w:val="4"/>
        </w:numPr>
        <w:ind w:left="0" w:leftChars="0" w:firstLine="643" w:firstLineChars="200"/>
        <w:rPr>
          <w:rFonts w:hint="eastAsia" w:ascii="仿宋_GB2312" w:hAnsi="仿宋_GB2312" w:cs="仿宋_GB2312"/>
          <w:b/>
          <w:bCs/>
          <w:szCs w:val="32"/>
        </w:rPr>
      </w:pPr>
      <w:r>
        <w:rPr>
          <w:rFonts w:hint="eastAsia" w:ascii="仿宋_GB2312" w:hAnsi="仿宋_GB2312" w:cs="仿宋_GB2312"/>
          <w:b/>
          <w:bCs/>
          <w:szCs w:val="32"/>
        </w:rPr>
        <w:t>部门决算中项目绩效自评结果。</w:t>
      </w:r>
    </w:p>
    <w:p>
      <w:pPr>
        <w:numPr>
          <w:ilvl w:val="0"/>
          <w:numId w:val="0"/>
        </w:numPr>
        <w:ind w:leftChars="200" w:firstLine="321" w:firstLineChars="100"/>
        <w:rPr>
          <w:rFonts w:hint="eastAsia" w:ascii="仿宋_GB2312" w:hAnsi="仿宋_GB2312" w:eastAsia="仿宋_GB2312" w:cs="仿宋_GB2312"/>
          <w:b/>
          <w:bCs/>
          <w:szCs w:val="32"/>
          <w:lang w:val="en-US" w:eastAsia="zh-CN"/>
        </w:rPr>
      </w:pPr>
      <w:r>
        <w:rPr>
          <w:rFonts w:hint="eastAsia" w:ascii="仿宋_GB2312" w:hAnsi="仿宋_GB2312" w:cs="仿宋_GB2312"/>
          <w:b/>
          <w:bCs/>
          <w:szCs w:val="32"/>
          <w:lang w:val="en-US" w:eastAsia="zh-CN"/>
        </w:rPr>
        <w:t>优</w:t>
      </w:r>
    </w:p>
    <w:p>
      <w:pPr>
        <w:ind w:firstLine="640"/>
        <w:rPr>
          <w:rFonts w:ascii="仿宋_GB2312" w:hAnsi="仿宋_GB2312" w:cs="仿宋_GB2312"/>
          <w:szCs w:val="32"/>
        </w:rPr>
      </w:pPr>
      <w:r>
        <w:rPr>
          <w:rFonts w:hint="eastAsia" w:ascii="仿宋_GB2312" w:hAnsi="仿宋_GB2312" w:cs="仿宋_GB2312"/>
          <w:szCs w:val="32"/>
        </w:rPr>
        <w:t>（3）</w:t>
      </w:r>
      <w:r>
        <w:rPr>
          <w:rFonts w:hint="eastAsia" w:ascii="仿宋_GB2312" w:hAnsi="仿宋_GB2312" w:cs="仿宋_GB2312"/>
          <w:b/>
          <w:bCs/>
          <w:szCs w:val="32"/>
        </w:rPr>
        <w:t>部门评价项目绩效评价结果。</w:t>
      </w:r>
      <w:r>
        <w:rPr>
          <w:rFonts w:hint="eastAsia" w:ascii="仿宋_GB2312" w:hAnsi="仿宋_GB2312" w:cs="仿宋_GB2312"/>
          <w:szCs w:val="32"/>
        </w:rPr>
        <w:t>本单位</w:t>
      </w:r>
      <w:r>
        <w:rPr>
          <w:rFonts w:hint="eastAsia" w:ascii="仿宋_GB2312" w:hAnsi="仿宋_GB2312" w:cs="仿宋_GB2312"/>
          <w:szCs w:val="32"/>
          <w:lang w:val="en-US" w:eastAsia="zh-CN"/>
        </w:rPr>
        <w:t>无</w:t>
      </w:r>
      <w:r>
        <w:rPr>
          <w:rFonts w:hint="eastAsia" w:ascii="仿宋_GB2312" w:hAnsi="仿宋_GB2312" w:cs="仿宋_GB2312"/>
          <w:szCs w:val="32"/>
        </w:rPr>
        <w:t>重点项目。</w:t>
      </w:r>
    </w:p>
    <w:p>
      <w:pPr>
        <w:ind w:firstLine="640"/>
        <w:rPr>
          <w:rFonts w:ascii="仿宋" w:hAnsi="仿宋" w:eastAsia="仿宋" w:cs="仿宋"/>
          <w:b/>
          <w:bCs/>
          <w:color w:val="FF0000"/>
          <w:szCs w:val="32"/>
        </w:rPr>
      </w:pPr>
    </w:p>
    <w:p>
      <w:pPr>
        <w:numPr>
          <w:ilvl w:val="0"/>
          <w:numId w:val="5"/>
        </w:numPr>
        <w:spacing w:line="580" w:lineRule="exact"/>
        <w:ind w:firstLine="643"/>
        <w:outlineLvl w:val="0"/>
        <w:rPr>
          <w:rFonts w:ascii="仿宋_GB2312"/>
          <w:b/>
          <w:szCs w:val="32"/>
        </w:rPr>
      </w:pPr>
      <w:bookmarkStart w:id="30" w:name="_Toc28108"/>
      <w:bookmarkStart w:id="31" w:name="_Toc8450"/>
      <w:r>
        <w:rPr>
          <w:rFonts w:hint="eastAsia" w:ascii="仿宋_GB2312"/>
          <w:b/>
          <w:szCs w:val="32"/>
        </w:rPr>
        <w:t>其他需要说明的事项</w:t>
      </w:r>
      <w:bookmarkEnd w:id="30"/>
      <w:bookmarkEnd w:id="31"/>
    </w:p>
    <w:p>
      <w:pPr>
        <w:numPr>
          <w:ilvl w:val="0"/>
          <w:numId w:val="0"/>
        </w:numPr>
        <w:spacing w:line="580" w:lineRule="exact"/>
        <w:ind w:firstLine="964" w:firstLineChars="300"/>
        <w:outlineLvl w:val="0"/>
        <w:rPr>
          <w:rFonts w:hint="eastAsia" w:ascii="仿宋_GB2312" w:eastAsia="仿宋_GB2312"/>
          <w:b/>
          <w:szCs w:val="32"/>
          <w:lang w:val="en-US" w:eastAsia="zh-CN"/>
        </w:rPr>
      </w:pPr>
      <w:r>
        <w:rPr>
          <w:rFonts w:hint="eastAsia" w:ascii="仿宋_GB2312"/>
          <w:b/>
          <w:szCs w:val="32"/>
          <w:lang w:val="en-US" w:eastAsia="zh-CN"/>
        </w:rPr>
        <w:t>无</w:t>
      </w:r>
    </w:p>
    <w:p>
      <w:pPr>
        <w:pStyle w:val="2"/>
        <w:ind w:firstLine="0" w:firstLineChars="0"/>
        <w:jc w:val="center"/>
        <w:rPr>
          <w:sz w:val="36"/>
          <w:szCs w:val="36"/>
        </w:rPr>
      </w:pPr>
      <w:bookmarkStart w:id="32" w:name="_Toc8545"/>
      <w:r>
        <w:rPr>
          <w:rFonts w:hint="eastAsia"/>
          <w:sz w:val="36"/>
          <w:szCs w:val="36"/>
        </w:rPr>
        <w:t>第四部分  名词解释</w:t>
      </w:r>
      <w:bookmarkEnd w:id="32"/>
    </w:p>
    <w:p>
      <w:pPr>
        <w:spacing w:line="580" w:lineRule="exact"/>
        <w:ind w:firstLine="640"/>
        <w:rPr>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ascii="仿宋_GB2312"/>
          <w:szCs w:val="32"/>
        </w:rPr>
      </w:pPr>
      <w:r>
        <w:rPr>
          <w:rFonts w:hint="eastAsia" w:ascii="仿宋_GB2312"/>
          <w:b/>
          <w:szCs w:val="32"/>
        </w:rPr>
        <w:t>一、财政拨款收入：</w:t>
      </w:r>
      <w:r>
        <w:rPr>
          <w:rFonts w:hint="eastAsia" w:ascii="仿宋_GB2312"/>
          <w:szCs w:val="32"/>
        </w:rPr>
        <w:t>指单位从同级财政部门取得的财政预算资金。</w:t>
      </w:r>
    </w:p>
    <w:p>
      <w:pPr>
        <w:spacing w:line="580" w:lineRule="exact"/>
        <w:ind w:firstLine="520" w:firstLineChars="162"/>
        <w:rPr>
          <w:rFonts w:ascii="仿宋_GB2312"/>
          <w:szCs w:val="32"/>
        </w:rPr>
      </w:pPr>
      <w:r>
        <w:rPr>
          <w:rFonts w:hint="eastAsia" w:ascii="仿宋_GB2312"/>
          <w:b/>
          <w:szCs w:val="32"/>
        </w:rPr>
        <w:t>二、事业收入：</w:t>
      </w:r>
      <w:r>
        <w:rPr>
          <w:rFonts w:hint="eastAsia" w:ascii="仿宋_GB2312"/>
          <w:szCs w:val="32"/>
        </w:rPr>
        <w:t>指事业单位开展专业业务活动及辅助活动取得的收入。</w:t>
      </w:r>
    </w:p>
    <w:p>
      <w:pPr>
        <w:spacing w:line="580" w:lineRule="exact"/>
        <w:ind w:firstLine="520" w:firstLineChars="162"/>
        <w:rPr>
          <w:rFonts w:ascii="仿宋_GB2312"/>
          <w:szCs w:val="32"/>
        </w:rPr>
      </w:pPr>
      <w:r>
        <w:rPr>
          <w:rFonts w:hint="eastAsia" w:ascii="仿宋_GB2312"/>
          <w:b/>
          <w:szCs w:val="32"/>
        </w:rPr>
        <w:t>三、经营收入：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ascii="仿宋_GB2312"/>
          <w:szCs w:val="32"/>
        </w:rPr>
      </w:pPr>
      <w:r>
        <w:rPr>
          <w:rFonts w:hint="eastAsia" w:ascii="仿宋_GB2312"/>
          <w:b/>
          <w:szCs w:val="32"/>
        </w:rPr>
        <w:t>四、其他收入：</w:t>
      </w:r>
      <w:r>
        <w:rPr>
          <w:rFonts w:hint="eastAsia" w:ascii="仿宋_GB2312"/>
          <w:szCs w:val="32"/>
        </w:rPr>
        <w:t>指单位取得的除上述收入以外的各项收</w:t>
      </w:r>
    </w:p>
    <w:p>
      <w:pPr>
        <w:spacing w:line="580" w:lineRule="exact"/>
        <w:ind w:firstLineChars="0"/>
        <w:rPr>
          <w:rFonts w:ascii="仿宋_GB2312"/>
          <w:szCs w:val="32"/>
        </w:rPr>
      </w:pPr>
      <w:r>
        <w:rPr>
          <w:rFonts w:hint="eastAsia" w:ascii="仿宋_GB2312"/>
          <w:szCs w:val="32"/>
        </w:rPr>
        <w:t>入。主要是按规定动用的售房收入、存款利息收入等。</w:t>
      </w:r>
    </w:p>
    <w:p>
      <w:pPr>
        <w:spacing w:line="580" w:lineRule="exact"/>
        <w:ind w:firstLine="520" w:firstLineChars="162"/>
        <w:rPr>
          <w:rFonts w:ascii="仿宋_GB2312"/>
          <w:szCs w:val="32"/>
        </w:rPr>
      </w:pPr>
      <w:r>
        <w:rPr>
          <w:rFonts w:hint="eastAsia" w:ascii="仿宋_GB2312"/>
          <w:b/>
          <w:szCs w:val="32"/>
        </w:rPr>
        <w:t>五、年初结转和结余：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rPr>
        <w:t>六、基本支出：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rPr>
        <w:t xml:space="preserve">                         </w:t>
      </w:r>
      <w:r>
        <w:rPr>
          <w:rFonts w:hint="eastAsia" w:ascii="仿宋_GB2312"/>
          <w:szCs w:val="32"/>
          <w:lang w:val="en-US" w:eastAsia="zh-CN"/>
        </w:rPr>
        <w:t>静乐县康家会镇人民政府</w:t>
      </w:r>
    </w:p>
    <w:p>
      <w:pPr>
        <w:ind w:firstLine="4800" w:firstLineChars="1500"/>
      </w:pPr>
      <w:r>
        <w:rPr>
          <w:rFonts w:hint="eastAsia"/>
        </w:rPr>
        <w:t>二〇二二年六月</w:t>
      </w:r>
      <w:r>
        <w:rPr>
          <w:rFonts w:hint="eastAsia"/>
          <w:lang w:val="en-US" w:eastAsia="zh-CN"/>
        </w:rPr>
        <w:t>六</w:t>
      </w:r>
      <w:r>
        <w:rPr>
          <w:rFonts w:hint="eastAsia"/>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41BCA3"/>
    <w:multiLevelType w:val="singleLevel"/>
    <w:tmpl w:val="D041BCA3"/>
    <w:lvl w:ilvl="0" w:tentative="0">
      <w:start w:val="1"/>
      <w:numFmt w:val="decimal"/>
      <w:suff w:val="nothing"/>
      <w:lvlText w:val="（%1）"/>
      <w:lvlJc w:val="left"/>
    </w:lvl>
  </w:abstractNum>
  <w:abstractNum w:abstractNumId="1">
    <w:nsid w:val="04BE0BB1"/>
    <w:multiLevelType w:val="singleLevel"/>
    <w:tmpl w:val="04BE0BB1"/>
    <w:lvl w:ilvl="0" w:tentative="0">
      <w:start w:val="1"/>
      <w:numFmt w:val="chineseCounting"/>
      <w:suff w:val="nothing"/>
      <w:lvlText w:val="（%1）"/>
      <w:lvlJc w:val="left"/>
      <w:rPr>
        <w:rFonts w:hint="eastAsia"/>
      </w:rPr>
    </w:lvl>
  </w:abstractNum>
  <w:abstractNum w:abstractNumId="2">
    <w:nsid w:val="3805ECE3"/>
    <w:multiLevelType w:val="singleLevel"/>
    <w:tmpl w:val="3805ECE3"/>
    <w:lvl w:ilvl="0" w:tentative="0">
      <w:start w:val="2"/>
      <w:numFmt w:val="chineseCounting"/>
      <w:suff w:val="nothing"/>
      <w:lvlText w:val="%1、"/>
      <w:lvlJc w:val="left"/>
      <w:rPr>
        <w:rFonts w:hint="eastAsia"/>
      </w:rPr>
    </w:lvl>
  </w:abstractNum>
  <w:abstractNum w:abstractNumId="3">
    <w:nsid w:val="60A4CC00"/>
    <w:multiLevelType w:val="singleLevel"/>
    <w:tmpl w:val="60A4CC00"/>
    <w:lvl w:ilvl="0" w:tentative="0">
      <w:start w:val="2"/>
      <w:numFmt w:val="decimal"/>
      <w:suff w:val="nothing"/>
      <w:lvlText w:val="（%1）"/>
      <w:lvlJc w:val="left"/>
    </w:lvl>
  </w:abstractNum>
  <w:abstractNum w:abstractNumId="4">
    <w:nsid w:val="60A4DC26"/>
    <w:multiLevelType w:val="singleLevel"/>
    <w:tmpl w:val="60A4DC26"/>
    <w:lvl w:ilvl="0" w:tentative="0">
      <w:start w:val="4"/>
      <w:numFmt w:val="chineseCounting"/>
      <w:suff w:val="nothing"/>
      <w:lvlText w:val="（%1）"/>
      <w:lvlJc w:val="left"/>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0681832"/>
    <w:rsid w:val="00F73C68"/>
    <w:rsid w:val="03696819"/>
    <w:rsid w:val="07D80EC4"/>
    <w:rsid w:val="15E00B03"/>
    <w:rsid w:val="16654CDD"/>
    <w:rsid w:val="1A4A5C33"/>
    <w:rsid w:val="2701594C"/>
    <w:rsid w:val="27426717"/>
    <w:rsid w:val="2FEB5B24"/>
    <w:rsid w:val="357F31AA"/>
    <w:rsid w:val="37943B50"/>
    <w:rsid w:val="3821117E"/>
    <w:rsid w:val="39F75D3D"/>
    <w:rsid w:val="42C12CEC"/>
    <w:rsid w:val="44401A62"/>
    <w:rsid w:val="495520D0"/>
    <w:rsid w:val="4A012068"/>
    <w:rsid w:val="53A30631"/>
    <w:rsid w:val="54E677C8"/>
    <w:rsid w:val="5EC01F6A"/>
    <w:rsid w:val="63AB51DF"/>
    <w:rsid w:val="63AF794A"/>
    <w:rsid w:val="649C6DC9"/>
    <w:rsid w:val="64E6348D"/>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rPr>
  </w:style>
  <w:style w:type="character" w:default="1" w:styleId="9">
    <w:name w:val="Default Paragraph Font"/>
    <w:unhideWhenUsed/>
    <w:qFormat/>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sz w:val="18"/>
      <w:szCs w:val="18"/>
    </w:rPr>
  </w:style>
  <w:style w:type="paragraph" w:styleId="5">
    <w:name w:val="header"/>
    <w:basedOn w:val="1"/>
    <w:uiPriority w:val="0"/>
    <w:pPr>
      <w:tabs>
        <w:tab w:val="center" w:pos="4153"/>
        <w:tab w:val="right" w:pos="8306"/>
      </w:tabs>
      <w:snapToGrid w:val="0"/>
      <w:spacing w:line="240" w:lineRule="atLeast"/>
      <w:jc w:val="center"/>
    </w:pPr>
    <w:rPr>
      <w:sz w:val="18"/>
      <w:szCs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CB96D4-AEAE-4BC6-A2E6-B495552994E0}">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15</Pages>
  <Words>5374</Words>
  <Characters>6181</Characters>
  <Lines>11</Lines>
  <Paragraphs>10</Paragraphs>
  <TotalTime>0</TotalTime>
  <ScaleCrop>false</ScaleCrop>
  <LinksUpToDate>false</LinksUpToDate>
  <CharactersWithSpaces>6263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2022-09-18T09:11:18Z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C05121739293436DBCF1A618B329D6E5</vt:lpwstr>
  </property>
</Properties>
</file>