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000000" w:themeColor="text1"/>
          <w:sz w:val="44"/>
          <w:szCs w:val="44"/>
          <w14:textFill>
            <w14:solidFill>
              <w14:schemeClr w14:val="tx1"/>
            </w14:solidFill>
          </w14:textFill>
        </w:rPr>
      </w:pPr>
      <w:bookmarkStart w:id="0" w:name="_Toc32048"/>
      <w:bookmarkStart w:id="1" w:name="_Toc31071"/>
      <w:bookmarkStart w:id="2" w:name="_Toc21118"/>
      <w:r>
        <w:rPr>
          <w:rFonts w:hint="eastAsia" w:ascii="华文中宋" w:hAnsi="华文中宋" w:eastAsia="华文中宋"/>
          <w:color w:val="000000" w:themeColor="text1"/>
          <w:sz w:val="44"/>
          <w:szCs w:val="44"/>
          <w:lang w:val="en-US" w:eastAsia="zh-CN"/>
          <w14:textFill>
            <w14:solidFill>
              <w14:schemeClr w14:val="tx1"/>
            </w14:solidFill>
          </w14:textFill>
        </w:rPr>
        <w:t>静乐县</w:t>
      </w:r>
      <w:r>
        <w:rPr>
          <w:rFonts w:hint="eastAsia" w:ascii="华文中宋" w:hAnsi="华文中宋" w:eastAsia="华文中宋"/>
          <w:color w:val="000000" w:themeColor="text1"/>
          <w:sz w:val="44"/>
          <w:szCs w:val="44"/>
          <w14:textFill>
            <w14:solidFill>
              <w14:schemeClr w14:val="tx1"/>
            </w14:solidFill>
          </w14:textFill>
        </w:rPr>
        <w:t>赤泥洼卫生院20</w:t>
      </w:r>
      <w:r>
        <w:rPr>
          <w:rFonts w:hint="eastAsia" w:ascii="华文中宋" w:hAnsi="华文中宋" w:eastAsia="华文中宋"/>
          <w:color w:val="000000" w:themeColor="text1"/>
          <w:sz w:val="44"/>
          <w:szCs w:val="44"/>
          <w:lang w:val="en-US" w:eastAsia="zh-CN"/>
          <w14:textFill>
            <w14:solidFill>
              <w14:schemeClr w14:val="tx1"/>
            </w14:solidFill>
          </w14:textFill>
        </w:rPr>
        <w:t>21</w:t>
      </w:r>
      <w:r>
        <w:rPr>
          <w:rFonts w:hint="eastAsia" w:ascii="华文中宋" w:hAnsi="华文中宋" w:eastAsia="华文中宋"/>
          <w:color w:val="000000" w:themeColor="text1"/>
          <w:sz w:val="44"/>
          <w:szCs w:val="44"/>
          <w14:textFill>
            <w14:solidFill>
              <w14:schemeClr w14:val="tx1"/>
            </w14:solidFill>
          </w14:textFill>
        </w:rPr>
        <w:t>年度部门</w:t>
      </w:r>
    </w:p>
    <w:p>
      <w:pPr>
        <w:pStyle w:val="2"/>
        <w:jc w:val="center"/>
        <w:rPr>
          <w:rFonts w:hint="eastAsia" w:ascii="华文中宋" w:hAnsi="华文中宋" w:eastAsia="华文中宋"/>
          <w:color w:val="000000" w:themeColor="text1"/>
          <w:sz w:val="44"/>
          <w:szCs w:val="44"/>
          <w:lang w:val="en-US" w:eastAsia="zh-CN"/>
          <w14:textFill>
            <w14:solidFill>
              <w14:schemeClr w14:val="tx1"/>
            </w14:solidFill>
          </w14:textFill>
        </w:rPr>
      </w:pPr>
      <w:r>
        <w:rPr>
          <w:rFonts w:hint="eastAsia" w:ascii="华文中宋" w:hAnsi="华文中宋" w:eastAsia="华文中宋"/>
          <w:color w:val="000000" w:themeColor="text1"/>
          <w:sz w:val="44"/>
          <w:szCs w:val="44"/>
          <w14:textFill>
            <w14:solidFill>
              <w14:schemeClr w14:val="tx1"/>
            </w14:solidFill>
          </w14:textFill>
        </w:rPr>
        <w:t>决算</w:t>
      </w:r>
      <w:r>
        <w:rPr>
          <w:rFonts w:hint="eastAsia" w:ascii="华文中宋" w:hAnsi="华文中宋" w:eastAsia="华文中宋"/>
          <w:color w:val="000000" w:themeColor="text1"/>
          <w:sz w:val="44"/>
          <w:szCs w:val="44"/>
          <w:lang w:val="en-US" w:eastAsia="zh-CN"/>
          <w14:textFill>
            <w14:solidFill>
              <w14:schemeClr w14:val="tx1"/>
            </w14:solidFill>
          </w14:textFill>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3"/>
        <w:numPr>
          <w:ilvl w:val="0"/>
          <w:numId w:val="1"/>
        </w:numPr>
        <w:rPr>
          <w:rFonts w:hint="eastAsia" w:ascii="仿宋" w:hAnsi="仿宋" w:eastAsia="仿宋" w:cs="仿宋"/>
          <w:b w:val="0"/>
          <w:bCs/>
        </w:rPr>
      </w:pPr>
      <w:bookmarkStart w:id="5" w:name="_Toc4461"/>
      <w:bookmarkStart w:id="6" w:name="_Toc24066"/>
      <w:r>
        <w:rPr>
          <w:rFonts w:hint="eastAsia" w:ascii="仿宋" w:hAnsi="仿宋" w:eastAsia="仿宋" w:cs="仿宋"/>
          <w:b w:val="0"/>
          <w:bCs/>
        </w:rPr>
        <w:t>本部门职责</w:t>
      </w:r>
      <w:bookmarkEnd w:id="5"/>
      <w:bookmarkEnd w:id="6"/>
    </w:p>
    <w:p>
      <w:pPr>
        <w:numPr>
          <w:ilvl w:val="0"/>
          <w:numId w:val="2"/>
        </w:numPr>
        <w:rPr>
          <w:rFonts w:hint="eastAsia"/>
        </w:rPr>
      </w:pPr>
      <w:r>
        <w:rPr>
          <w:rFonts w:hint="eastAsia"/>
        </w:rPr>
        <w:t>主要为县域内城乡居民提供基本医疗服务、公共卫生服务，自然灾害和突发公共卫生事件的医疗救治。</w:t>
      </w:r>
    </w:p>
    <w:p>
      <w:pPr>
        <w:numPr>
          <w:ilvl w:val="0"/>
          <w:numId w:val="2"/>
        </w:numPr>
        <w:rPr>
          <w:rFonts w:hint="eastAsia"/>
        </w:rPr>
      </w:pPr>
      <w:r>
        <w:rPr>
          <w:rFonts w:hint="eastAsia"/>
        </w:rPr>
        <w:t>向县域内居民提供体检，对居民健康进行动态分析、跟踪，建立居民档案。</w:t>
      </w:r>
    </w:p>
    <w:p>
      <w:pPr>
        <w:numPr>
          <w:ilvl w:val="0"/>
          <w:numId w:val="2"/>
        </w:numPr>
        <w:rPr>
          <w:rFonts w:hint="eastAsia"/>
        </w:rPr>
      </w:pPr>
      <w:r>
        <w:rPr>
          <w:rFonts w:hint="eastAsia"/>
        </w:rPr>
        <w:t>为县域内居民提供预防接种服务、落实国家免疫规划。</w:t>
      </w:r>
    </w:p>
    <w:p>
      <w:pPr>
        <w:numPr>
          <w:ilvl w:val="0"/>
          <w:numId w:val="2"/>
        </w:numPr>
        <w:rPr>
          <w:rFonts w:hint="eastAsia"/>
        </w:rPr>
      </w:pPr>
      <w:bookmarkStart w:id="33" w:name="_GoBack"/>
      <w:bookmarkEnd w:id="33"/>
      <w:r>
        <w:rPr>
          <w:rFonts w:hint="eastAsia"/>
        </w:rPr>
        <w:t>承担公共卫生管理和卫生行政管理</w:t>
      </w:r>
      <w:r>
        <w:rPr>
          <w:rFonts w:hint="eastAsia"/>
          <w:lang w:eastAsia="zh-CN"/>
        </w:rPr>
        <w:t>。</w:t>
      </w:r>
    </w:p>
    <w:p>
      <w:pPr>
        <w:pStyle w:val="3"/>
        <w:rPr>
          <w:rFonts w:hint="eastAsia" w:ascii="仿宋" w:hAnsi="仿宋" w:eastAsia="仿宋" w:cs="仿宋"/>
          <w:b w:val="0"/>
          <w:bCs/>
        </w:rPr>
      </w:pPr>
      <w:bookmarkStart w:id="7" w:name="_Toc9155"/>
      <w:bookmarkStart w:id="8" w:name="_Toc275"/>
      <w:r>
        <w:rPr>
          <w:rFonts w:hint="eastAsia" w:ascii="仿宋" w:hAnsi="仿宋" w:eastAsia="仿宋" w:cs="仿宋"/>
          <w:b w:val="0"/>
          <w:bCs/>
        </w:rPr>
        <w:t>二、机构设置情况</w:t>
      </w:r>
      <w:bookmarkEnd w:id="7"/>
      <w:bookmarkEnd w:id="8"/>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szCs w:val="32"/>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121.42</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121.42</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年相比，收入总计减少</w:t>
      </w:r>
      <w:r>
        <w:rPr>
          <w:rFonts w:hint="eastAsia" w:ascii="仿宋_GB2312"/>
          <w:color w:val="000000" w:themeColor="text1"/>
          <w:szCs w:val="32"/>
          <w:lang w:val="en-US" w:eastAsia="zh-CN"/>
          <w14:textFill>
            <w14:solidFill>
              <w14:schemeClr w14:val="tx1"/>
            </w14:solidFill>
          </w14:textFill>
        </w:rPr>
        <w:t>42.27</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25.82</w:t>
      </w:r>
      <w:r>
        <w:rPr>
          <w:rFonts w:hint="eastAsia" w:ascii="仿宋_GB2312"/>
          <w:color w:val="000000" w:themeColor="text1"/>
          <w:szCs w:val="32"/>
          <w14:textFill>
            <w14:solidFill>
              <w14:schemeClr w14:val="tx1"/>
            </w14:solidFill>
          </w14:textFill>
        </w:rPr>
        <w:t>%，</w:t>
      </w:r>
      <w:r>
        <w:rPr>
          <w:rFonts w:ascii="仿宋_GB2312"/>
          <w:color w:val="000000" w:themeColor="text1"/>
          <w:szCs w:val="32"/>
          <w14:textFill>
            <w14:solidFill>
              <w14:schemeClr w14:val="tx1"/>
            </w14:solidFill>
          </w14:textFill>
        </w:rPr>
        <w:t>支出总计减少</w:t>
      </w:r>
      <w:r>
        <w:rPr>
          <w:rFonts w:hint="eastAsia" w:ascii="仿宋_GB2312"/>
          <w:color w:val="000000" w:themeColor="text1"/>
          <w:szCs w:val="32"/>
          <w:lang w:val="en-US" w:eastAsia="zh-CN"/>
          <w14:textFill>
            <w14:solidFill>
              <w14:schemeClr w14:val="tx1"/>
            </w14:solidFill>
          </w14:textFill>
        </w:rPr>
        <w:t>42.27</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25.82</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项目支出减少</w:t>
      </w:r>
      <w:r>
        <w:rPr>
          <w:rFonts w:hint="eastAsia" w:ascii="仿宋_GB2312"/>
          <w:szCs w:val="32"/>
        </w:rPr>
        <w:t>。</w:t>
      </w:r>
    </w:p>
    <w:p>
      <w:pPr>
        <w:pStyle w:val="3"/>
        <w:rPr>
          <w:rFonts w:hint="eastAsia" w:ascii="仿宋" w:hAnsi="仿宋" w:eastAsia="仿宋" w:cs="仿宋"/>
          <w:b/>
          <w:bCs w:val="0"/>
          <w:lang w:val="en-US" w:eastAsia="zh-CN"/>
        </w:rPr>
      </w:pPr>
      <w:bookmarkStart w:id="13" w:name="_Toc16754"/>
      <w:bookmarkStart w:id="14" w:name="_Toc1740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szCs w:val="32"/>
        </w:rPr>
      </w:pPr>
      <w:r>
        <w:rPr>
          <w:rFonts w:hint="eastAsia" w:ascii="仿宋_GB2312"/>
          <w:szCs w:val="32"/>
        </w:rPr>
        <w:t>本年收入合计</w:t>
      </w:r>
      <w:r>
        <w:rPr>
          <w:rFonts w:hint="eastAsia" w:ascii="仿宋_GB2312"/>
          <w:color w:val="000000" w:themeColor="text1"/>
          <w:szCs w:val="32"/>
          <w:lang w:val="en-US" w:eastAsia="zh-CN"/>
          <w14:textFill>
            <w14:solidFill>
              <w14:schemeClr w14:val="tx1"/>
            </w14:solidFill>
          </w14:textFill>
        </w:rPr>
        <w:t>121.42</w:t>
      </w:r>
      <w:r>
        <w:rPr>
          <w:rFonts w:hint="eastAsia" w:ascii="仿宋_GB2312"/>
          <w:szCs w:val="32"/>
        </w:rPr>
        <w:t>万元，其中：财政拨款收入</w:t>
      </w:r>
      <w:r>
        <w:rPr>
          <w:rFonts w:hint="eastAsia" w:ascii="仿宋_GB2312"/>
          <w:color w:val="000000" w:themeColor="text1"/>
          <w:szCs w:val="32"/>
          <w:lang w:val="en-US" w:eastAsia="zh-CN"/>
          <w14:textFill>
            <w14:solidFill>
              <w14:schemeClr w14:val="tx1"/>
            </w14:solidFill>
          </w14:textFill>
        </w:rPr>
        <w:t>121.42</w:t>
      </w:r>
      <w:r>
        <w:rPr>
          <w:rFonts w:hint="eastAsia" w:ascii="仿宋_GB2312"/>
          <w:szCs w:val="32"/>
        </w:rPr>
        <w:t>万元，占比</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w:t>
      </w:r>
      <w:r>
        <w:rPr>
          <w:rFonts w:hint="eastAsia" w:ascii="仿宋_GB2312"/>
          <w:szCs w:val="32"/>
        </w:rPr>
        <w:t>。</w:t>
      </w:r>
    </w:p>
    <w:p>
      <w:pPr>
        <w:pStyle w:val="3"/>
        <w:rPr>
          <w:rFonts w:hint="eastAsia" w:ascii="仿宋" w:hAnsi="仿宋" w:eastAsia="仿宋" w:cs="仿宋"/>
          <w:b/>
          <w:bCs w:val="0"/>
          <w:lang w:val="en-US" w:eastAsia="zh-CN"/>
        </w:rPr>
      </w:pPr>
      <w:bookmarkStart w:id="15" w:name="_Toc22098"/>
      <w:bookmarkStart w:id="16" w:name="_Toc9596"/>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szCs w:val="32"/>
        </w:rPr>
      </w:pPr>
      <w:r>
        <w:rPr>
          <w:rFonts w:hint="eastAsia" w:ascii="仿宋_GB2312"/>
          <w:szCs w:val="32"/>
        </w:rPr>
        <w:t>本年支出合计</w:t>
      </w:r>
      <w:r>
        <w:rPr>
          <w:rFonts w:hint="eastAsia" w:ascii="仿宋_GB2312"/>
          <w:color w:val="000000" w:themeColor="text1"/>
          <w:szCs w:val="32"/>
          <w:lang w:val="en-US" w:eastAsia="zh-CN"/>
          <w14:textFill>
            <w14:solidFill>
              <w14:schemeClr w14:val="tx1"/>
            </w14:solidFill>
          </w14:textFill>
        </w:rPr>
        <w:t>121.42</w:t>
      </w:r>
      <w:r>
        <w:rPr>
          <w:rFonts w:hint="eastAsia" w:ascii="仿宋_GB2312"/>
          <w:szCs w:val="32"/>
        </w:rPr>
        <w:t>万元，其中：基本支出</w:t>
      </w:r>
      <w:r>
        <w:rPr>
          <w:rFonts w:hint="eastAsia" w:ascii="仿宋_GB2312"/>
          <w:color w:val="000000" w:themeColor="text1"/>
          <w:szCs w:val="32"/>
          <w:lang w:val="en-US" w:eastAsia="zh-CN"/>
          <w14:textFill>
            <w14:solidFill>
              <w14:schemeClr w14:val="tx1"/>
            </w14:solidFill>
          </w14:textFill>
        </w:rPr>
        <w:t>121.42</w:t>
      </w:r>
      <w:r>
        <w:rPr>
          <w:rFonts w:hint="eastAsia" w:ascii="仿宋_GB2312"/>
          <w:szCs w:val="32"/>
        </w:rPr>
        <w:t>万元，占比</w:t>
      </w:r>
      <w:r>
        <w:rPr>
          <w:rFonts w:hint="eastAsia" w:ascii="仿宋_GB2312"/>
          <w:szCs w:val="32"/>
          <w:lang w:val="en-US" w:eastAsia="zh-CN"/>
        </w:rPr>
        <w:t>100</w:t>
      </w:r>
      <w:r>
        <w:rPr>
          <w:rFonts w:hint="eastAsia" w:ascii="仿宋_GB2312"/>
          <w:szCs w:val="32"/>
        </w:rPr>
        <w:t>%。</w:t>
      </w:r>
    </w:p>
    <w:p>
      <w:pPr>
        <w:pStyle w:val="3"/>
        <w:rPr>
          <w:rFonts w:hint="eastAsia" w:ascii="仿宋" w:hAnsi="仿宋" w:eastAsia="仿宋" w:cs="仿宋"/>
          <w:b/>
          <w:bCs w:val="0"/>
          <w:lang w:val="en-US" w:eastAsia="zh-CN"/>
        </w:rPr>
      </w:pPr>
      <w:bookmarkStart w:id="17" w:name="_Toc2142"/>
      <w:bookmarkStart w:id="18" w:name="_Toc4614"/>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年度财政拨款收入</w:t>
      </w:r>
      <w:r>
        <w:rPr>
          <w:rFonts w:ascii="仿宋_GB2312"/>
          <w:szCs w:val="32"/>
        </w:rPr>
        <w:t>总计</w:t>
      </w:r>
      <w:r>
        <w:rPr>
          <w:rFonts w:hint="eastAsia" w:ascii="仿宋_GB2312"/>
          <w:color w:val="000000" w:themeColor="text1"/>
          <w:szCs w:val="32"/>
          <w:lang w:val="en-US" w:eastAsia="zh-CN"/>
          <w14:textFill>
            <w14:solidFill>
              <w14:schemeClr w14:val="tx1"/>
            </w14:solidFill>
          </w14:textFill>
        </w:rPr>
        <w:t>121.42</w:t>
      </w:r>
      <w:r>
        <w:rPr>
          <w:rFonts w:hint="eastAsia" w:ascii="仿宋_GB2312"/>
          <w:szCs w:val="32"/>
        </w:rPr>
        <w:t>万元、支出总计</w:t>
      </w:r>
      <w:r>
        <w:rPr>
          <w:rFonts w:hint="eastAsia" w:ascii="仿宋_GB2312"/>
          <w:color w:val="000000" w:themeColor="text1"/>
          <w:szCs w:val="32"/>
          <w:lang w:val="en-US" w:eastAsia="zh-CN"/>
          <w14:textFill>
            <w14:solidFill>
              <w14:schemeClr w14:val="tx1"/>
            </w14:solidFill>
          </w14:textFill>
        </w:rPr>
        <w:t>121.42</w:t>
      </w:r>
      <w:r>
        <w:rPr>
          <w:rFonts w:hint="eastAsia" w:ascii="仿宋_GB2312"/>
          <w:szCs w:val="32"/>
        </w:rPr>
        <w:t>万元。与20</w:t>
      </w:r>
      <w:r>
        <w:rPr>
          <w:rFonts w:hint="eastAsia" w:ascii="仿宋_GB2312"/>
          <w:szCs w:val="32"/>
          <w:lang w:val="en-US" w:eastAsia="zh-CN"/>
        </w:rPr>
        <w:t>20</w:t>
      </w:r>
      <w:r>
        <w:rPr>
          <w:rFonts w:hint="eastAsia" w:ascii="仿宋_GB2312"/>
          <w:szCs w:val="32"/>
        </w:rPr>
        <w:t>年相比，财政拨款收入总计</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42.27</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25.82</w:t>
      </w:r>
      <w:r>
        <w:rPr>
          <w:rFonts w:hint="eastAsia" w:ascii="仿宋_GB2312"/>
          <w:color w:val="000000" w:themeColor="text1"/>
          <w:szCs w:val="32"/>
          <w14:textFill>
            <w14:solidFill>
              <w14:schemeClr w14:val="tx1"/>
            </w14:solidFill>
          </w14:textFill>
        </w:rPr>
        <w:t>%</w:t>
      </w:r>
      <w:r>
        <w:rPr>
          <w:rFonts w:hint="eastAsia" w:ascii="仿宋_GB2312"/>
          <w:szCs w:val="32"/>
        </w:rPr>
        <w:t>，财政拨款支出总计</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42.27</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25.82</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项目支出减少</w:t>
      </w:r>
      <w:r>
        <w:rPr>
          <w:rFonts w:hint="eastAsia" w:ascii="仿宋_GB2312"/>
          <w:szCs w:val="32"/>
        </w:rPr>
        <w:t>。</w:t>
      </w:r>
    </w:p>
    <w:p>
      <w:pPr>
        <w:pStyle w:val="3"/>
        <w:rPr>
          <w:rFonts w:hint="eastAsia" w:ascii="仿宋" w:hAnsi="仿宋" w:eastAsia="仿宋" w:cs="仿宋"/>
          <w:b/>
          <w:bCs w:val="0"/>
          <w:lang w:val="en-US" w:eastAsia="zh-CN"/>
        </w:rPr>
      </w:pPr>
      <w:bookmarkStart w:id="19" w:name="_Toc6501"/>
      <w:bookmarkStart w:id="20" w:name="_Toc934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w:t>
      </w:r>
      <w:r>
        <w:rPr>
          <w:rFonts w:hint="eastAsia" w:ascii="仿宋_GB2312"/>
          <w:color w:val="000000" w:themeColor="text1"/>
          <w:szCs w:val="32"/>
          <w:lang w:val="en-US" w:eastAsia="zh-CN"/>
          <w14:textFill>
            <w14:solidFill>
              <w14:schemeClr w14:val="tx1"/>
            </w14:solidFill>
          </w14:textFill>
        </w:rPr>
        <w:t>121.42</w:t>
      </w:r>
      <w:r>
        <w:rPr>
          <w:rFonts w:hint="eastAsia" w:ascii="仿宋_GB2312"/>
          <w:szCs w:val="32"/>
        </w:rPr>
        <w:t>万元，占本年支出合计的</w:t>
      </w:r>
      <w:r>
        <w:rPr>
          <w:rFonts w:hint="eastAsia" w:ascii="仿宋_GB2312"/>
          <w:color w:val="000000" w:themeColor="text1"/>
          <w:szCs w:val="32"/>
          <w:lang w:val="en-US" w:eastAsia="zh-CN"/>
          <w14:textFill>
            <w14:solidFill>
              <w14:schemeClr w14:val="tx1"/>
            </w14:solidFill>
          </w14:textFill>
        </w:rPr>
        <w:t>100%</w:t>
      </w:r>
      <w:r>
        <w:rPr>
          <w:rFonts w:hint="eastAsia" w:ascii="仿宋_GB2312"/>
          <w:szCs w:val="32"/>
        </w:rPr>
        <w:t>。与20</w:t>
      </w:r>
      <w:r>
        <w:rPr>
          <w:rFonts w:hint="eastAsia" w:ascii="仿宋_GB2312"/>
          <w:szCs w:val="32"/>
          <w:lang w:val="en-US" w:eastAsia="zh-CN"/>
        </w:rPr>
        <w:t>20</w:t>
      </w:r>
      <w:r>
        <w:rPr>
          <w:rFonts w:hint="eastAsia" w:ascii="仿宋_GB2312"/>
          <w:szCs w:val="32"/>
        </w:rPr>
        <w:t>年相比，财政拨款支出</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42.27</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25.82</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项目支出减少</w:t>
      </w:r>
      <w:r>
        <w:rPr>
          <w:rFonts w:hint="eastAsia" w:ascii="仿宋_GB2312"/>
          <w:szCs w:val="32"/>
        </w:rPr>
        <w:t>。</w:t>
      </w:r>
    </w:p>
    <w:p>
      <w:pPr>
        <w:spacing w:line="580" w:lineRule="exact"/>
        <w:ind w:firstLine="643"/>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（二）财政拨款</w:t>
      </w:r>
      <w:r>
        <w:rPr>
          <w:rFonts w:ascii="仿宋_GB2312"/>
          <w:b/>
          <w:color w:val="000000" w:themeColor="text1"/>
          <w:szCs w:val="32"/>
          <w14:textFill>
            <w14:solidFill>
              <w14:schemeClr w14:val="tx1"/>
            </w14:solidFill>
          </w14:textFill>
        </w:rPr>
        <w:t>支出决算结构情况</w:t>
      </w:r>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财政拨款支出</w:t>
      </w:r>
      <w:r>
        <w:rPr>
          <w:rFonts w:hint="eastAsia" w:ascii="仿宋_GB2312"/>
          <w:color w:val="000000" w:themeColor="text1"/>
          <w:szCs w:val="32"/>
          <w:lang w:val="en-US" w:eastAsia="zh-CN"/>
          <w14:textFill>
            <w14:solidFill>
              <w14:schemeClr w14:val="tx1"/>
            </w14:solidFill>
          </w14:textFill>
        </w:rPr>
        <w:t>121.42</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，主要用于以下方面：</w:t>
      </w:r>
      <w:r>
        <w:rPr>
          <w:rFonts w:hint="eastAsia" w:ascii="仿宋_GB2312"/>
          <w:b/>
          <w:color w:val="000000" w:themeColor="text1"/>
          <w:szCs w:val="32"/>
          <w14:textFill>
            <w14:solidFill>
              <w14:schemeClr w14:val="tx1"/>
            </w14:solidFill>
          </w14:textFill>
        </w:rPr>
        <w:t>卫生</w:t>
      </w:r>
      <w:r>
        <w:rPr>
          <w:rFonts w:ascii="仿宋_GB2312"/>
          <w:b/>
          <w:color w:val="000000" w:themeColor="text1"/>
          <w:szCs w:val="32"/>
          <w14:textFill>
            <w14:solidFill>
              <w14:schemeClr w14:val="tx1"/>
            </w14:solidFill>
          </w14:textFill>
        </w:rPr>
        <w:t>健康（</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121.42</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szCs w:val="32"/>
        </w:rPr>
        <w:t>2</w:t>
      </w:r>
      <w:r>
        <w:rPr>
          <w:szCs w:val="32"/>
        </w:rPr>
        <w:t>02</w:t>
      </w:r>
      <w:r>
        <w:rPr>
          <w:rFonts w:hint="eastAsia"/>
          <w:szCs w:val="32"/>
          <w:lang w:val="en-US" w:eastAsia="zh-CN"/>
        </w:rPr>
        <w:t>1</w:t>
      </w:r>
      <w:r>
        <w:rPr>
          <w:rFonts w:hint="eastAsia"/>
          <w:szCs w:val="32"/>
        </w:rPr>
        <w:t>年度财政拨款支出年初预算</w:t>
      </w:r>
      <w:r>
        <w:rPr>
          <w:rFonts w:hint="eastAsia" w:ascii="仿宋_GB2312"/>
          <w:color w:val="000000" w:themeColor="text1"/>
          <w:szCs w:val="32"/>
          <w:lang w:val="en-US" w:eastAsia="zh-CN"/>
          <w14:textFill>
            <w14:solidFill>
              <w14:schemeClr w14:val="tx1"/>
            </w14:solidFill>
          </w14:textFill>
        </w:rPr>
        <w:t>121.42</w:t>
      </w:r>
      <w:r>
        <w:rPr>
          <w:rFonts w:hint="eastAsia"/>
          <w:szCs w:val="32"/>
        </w:rPr>
        <w:t>万元，支出决算</w:t>
      </w:r>
      <w:r>
        <w:rPr>
          <w:rFonts w:hint="eastAsia" w:ascii="仿宋_GB2312"/>
          <w:color w:val="000000" w:themeColor="text1"/>
          <w:szCs w:val="32"/>
          <w:lang w:val="en-US" w:eastAsia="zh-CN"/>
          <w14:textFill>
            <w14:solidFill>
              <w14:schemeClr w14:val="tx1"/>
            </w14:solidFill>
          </w14:textFill>
        </w:rPr>
        <w:t>121.42</w:t>
      </w:r>
      <w:r>
        <w:rPr>
          <w:rFonts w:hint="eastAsia"/>
          <w:szCs w:val="32"/>
        </w:rPr>
        <w:t>万元，完成年初预算的</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r>
        <w:rPr>
          <w:rFonts w:hint="eastAsia"/>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w:t>
            </w:r>
          </w:p>
        </w:tc>
        <w:tc>
          <w:tcPr>
            <w:tcW w:w="2479" w:type="dxa"/>
            <w:vAlign w:val="top"/>
          </w:tcPr>
          <w:p>
            <w:pPr>
              <w:ind w:left="0" w:leftChars="0" w:firstLine="0" w:firstLine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卫生健康</w:t>
            </w:r>
            <w:r>
              <w:rPr>
                <w:rFonts w:hint="eastAsia" w:ascii="仿宋" w:hAnsi="仿宋" w:eastAsia="仿宋" w:cs="仿宋"/>
                <w:color w:val="000000" w:themeColor="text1"/>
                <w:sz w:val="24"/>
                <w:szCs w:val="24"/>
                <w14:textFill>
                  <w14:solidFill>
                    <w14:schemeClr w14:val="tx1"/>
                  </w14:solidFill>
                </w14:textFill>
              </w:rPr>
              <w:t>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163.70</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121.42</w:t>
            </w:r>
          </w:p>
        </w:tc>
        <w:tc>
          <w:tcPr>
            <w:tcW w:w="1393"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100302</w:t>
            </w:r>
          </w:p>
        </w:tc>
        <w:tc>
          <w:tcPr>
            <w:tcW w:w="2479" w:type="dxa"/>
            <w:vAlign w:val="top"/>
          </w:tcPr>
          <w:p>
            <w:pPr>
              <w:ind w:firstLine="480" w:firstLineChars="20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乡镇卫生院</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109.86</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71.30</w:t>
            </w:r>
          </w:p>
        </w:tc>
        <w:tc>
          <w:tcPr>
            <w:tcW w:w="1393"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100399</w:t>
            </w:r>
          </w:p>
        </w:tc>
        <w:tc>
          <w:tcPr>
            <w:tcW w:w="2479"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其他基层医疗机构支出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53.84</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2100408</w:t>
            </w:r>
          </w:p>
        </w:tc>
        <w:tc>
          <w:tcPr>
            <w:tcW w:w="2479" w:type="dxa"/>
            <w:vAlign w:val="top"/>
          </w:tcPr>
          <w:p>
            <w:pPr>
              <w:ind w:firstLine="720" w:firstLineChars="30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基本公共卫生服务</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50.12</w:t>
            </w: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bl>
    <w:p>
      <w:pPr>
        <w:numPr>
          <w:ilvl w:val="0"/>
          <w:numId w:val="3"/>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合  计</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128.19</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121.42</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工资福利支出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52.00</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52.00</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商品服务支出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42.52</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31.96</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-24.84%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对个人和家庭的补助</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33.67</w:t>
            </w:r>
          </w:p>
        </w:tc>
        <w:tc>
          <w:tcPr>
            <w:tcW w:w="2071"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37.45</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FF0000"/>
                <w:kern w:val="0"/>
                <w:sz w:val="28"/>
                <w:szCs w:val="28"/>
                <w:lang w:val="en-US" w:eastAsia="zh-CN"/>
              </w:rPr>
            </w:pPr>
          </w:p>
        </w:tc>
        <w:tc>
          <w:tcPr>
            <w:tcW w:w="1837" w:type="dxa"/>
            <w:vAlign w:val="center"/>
          </w:tcPr>
          <w:p>
            <w:pPr>
              <w:widowControl/>
              <w:jc w:val="right"/>
              <w:rPr>
                <w:rFonts w:hint="eastAsia" w:ascii="仿宋" w:hAnsi="仿宋" w:eastAsia="仿宋" w:cs="仿宋"/>
                <w:color w:val="FF0000"/>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FF0000"/>
                <w:lang w:val="en-US" w:eastAsia="zh-CN"/>
              </w:rPr>
            </w:pPr>
          </w:p>
        </w:tc>
        <w:tc>
          <w:tcPr>
            <w:tcW w:w="1956" w:type="dxa"/>
            <w:vAlign w:val="center"/>
          </w:tcPr>
          <w:p>
            <w:pPr>
              <w:widowControl/>
              <w:jc w:val="right"/>
              <w:rPr>
                <w:rFonts w:hint="eastAsia" w:ascii="仿宋" w:hAnsi="仿宋" w:eastAsia="仿宋" w:cs="仿宋"/>
                <w:color w:val="FF0000"/>
                <w:kern w:val="0"/>
                <w:sz w:val="28"/>
                <w:szCs w:val="28"/>
                <w:lang w:val="en-US" w:eastAsia="zh-CN"/>
              </w:rPr>
            </w:pP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1" w:name="_Toc841"/>
      <w:bookmarkStart w:id="22" w:name="_Toc17728"/>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color w:val="000000" w:themeColor="text1"/>
          <w:szCs w:val="32"/>
          <w:lang w:val="en-US" w:eastAsia="zh-CN"/>
          <w14:textFill>
            <w14:solidFill>
              <w14:schemeClr w14:val="tx1"/>
            </w14:solidFill>
          </w14:textFill>
        </w:rPr>
        <w:t>121.42</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color w:val="000000" w:themeColor="text1"/>
          <w:szCs w:val="32"/>
          <w:lang w:val="en-US" w:eastAsia="zh-CN"/>
          <w14:textFill>
            <w14:solidFill>
              <w14:schemeClr w14:val="tx1"/>
            </w14:solidFill>
          </w14:textFill>
        </w:rPr>
        <w:t>89.45</w:t>
      </w:r>
      <w:r>
        <w:rPr>
          <w:rFonts w:hint="eastAsia" w:ascii="仿宋_GB2312"/>
          <w:szCs w:val="32"/>
        </w:rPr>
        <w:t>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lang w:eastAsia="zh-CN"/>
        </w:rPr>
        <w:t>工资福利支出</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lang w:val="en-US" w:eastAsia="zh-CN"/>
        </w:rPr>
        <w:t>31.96</w:t>
      </w:r>
      <w:r>
        <w:rPr>
          <w:rFonts w:hint="eastAsia" w:ascii="仿宋_GB2312"/>
          <w:szCs w:val="32"/>
        </w:rPr>
        <w:t>万元</w:t>
      </w:r>
      <w:r>
        <w:rPr>
          <w:rFonts w:ascii="仿宋_GB2312"/>
          <w:szCs w:val="32"/>
        </w:rPr>
        <w:t>，主要包括</w:t>
      </w:r>
      <w:r>
        <w:rPr>
          <w:rFonts w:hint="eastAsia" w:ascii="仿宋_GB2312"/>
          <w:szCs w:val="32"/>
          <w:lang w:eastAsia="zh-CN"/>
        </w:rPr>
        <w:t>商品和服务支出</w:t>
      </w:r>
      <w:r>
        <w:rPr>
          <w:rFonts w:ascii="仿宋_GB2312"/>
          <w:szCs w:val="32"/>
        </w:rPr>
        <w:t>。</w:t>
      </w: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szCs w:val="32"/>
          <w:lang w:val="en-US" w:eastAsia="zh-CN"/>
        </w:rPr>
        <w:t>0</w:t>
      </w:r>
      <w:r>
        <w:rPr>
          <w:rFonts w:hint="eastAsia" w:ascii="仿宋_GB2312"/>
          <w:szCs w:val="32"/>
        </w:rPr>
        <w:t>万元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23" w:name="_Toc2304"/>
      <w:bookmarkStart w:id="24" w:name="_Toc26508"/>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b/>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年度，“三公”经费财政拨款支出决算为</w:t>
      </w:r>
      <w:r>
        <w:rPr>
          <w:rFonts w:hint="eastAsia" w:ascii="仿宋_GB2312"/>
          <w:color w:val="000000" w:themeColor="text1"/>
          <w:szCs w:val="32"/>
          <w:lang w:val="en-US" w:eastAsia="zh-CN"/>
          <w14:textFill>
            <w14:solidFill>
              <w14:schemeClr w14:val="tx1"/>
            </w14:solidFill>
          </w14:textFill>
        </w:rPr>
        <w:t>1</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其中，公务用车维修维护费为</w:t>
      </w:r>
      <w:r>
        <w:rPr>
          <w:rFonts w:hint="eastAsia" w:ascii="仿宋_GB2312"/>
          <w:color w:val="000000" w:themeColor="text1"/>
          <w:szCs w:val="32"/>
          <w:lang w:val="en-US" w:eastAsia="zh-CN"/>
          <w14:textFill>
            <w14:solidFill>
              <w14:schemeClr w14:val="tx1"/>
            </w14:solidFill>
          </w14:textFill>
        </w:rPr>
        <w:t>1万元，占100%。与上年相比无变化。</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right"/>
              <w:rPr>
                <w:rFonts w:hint="eastAsia" w:eastAsia="宋体"/>
                <w:color w:val="000000"/>
                <w:sz w:val="28"/>
                <w:szCs w:val="28"/>
                <w:lang w:val="en-US" w:eastAsia="zh-CN"/>
              </w:rPr>
            </w:pPr>
            <w:r>
              <w:rPr>
                <w:rFonts w:hint="eastAsia" w:eastAsia="宋体"/>
                <w:color w:val="000000"/>
                <w:sz w:val="28"/>
                <w:szCs w:val="28"/>
                <w:lang w:val="en-US" w:eastAsia="zh-CN"/>
              </w:rPr>
              <w:t>1</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1</w:t>
            </w:r>
          </w:p>
        </w:tc>
        <w:tc>
          <w:tcPr>
            <w:tcW w:w="1418" w:type="dxa"/>
            <w:vAlign w:val="top"/>
          </w:tcPr>
          <w:p>
            <w:pPr>
              <w:pStyle w:val="8"/>
              <w:jc w:val="right"/>
              <w:rPr>
                <w:rFonts w:hint="eastAsia" w:eastAsia="宋体"/>
                <w:color w:val="000000"/>
                <w:sz w:val="28"/>
                <w:szCs w:val="28"/>
                <w:lang w:val="en-US" w:eastAsia="zh-CN"/>
              </w:rPr>
            </w:pPr>
            <w:r>
              <w:rPr>
                <w:rFonts w:hint="eastAsia" w:eastAsia="宋体"/>
                <w:color w:val="000000"/>
                <w:sz w:val="28"/>
                <w:szCs w:val="28"/>
                <w:lang w:val="en-US" w:eastAsia="zh-CN"/>
              </w:rPr>
              <w:t>0</w:t>
            </w: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5" w:name="_Toc1792"/>
      <w:bookmarkStart w:id="26" w:name="_Toc9078"/>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b/>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单位无</w:t>
      </w:r>
      <w:r>
        <w:rPr>
          <w:rFonts w:hint="eastAsia" w:ascii="仿宋_GB2312" w:hAnsi="宋体"/>
          <w:szCs w:val="32"/>
        </w:rPr>
        <w:t>机关运行经费支出</w:t>
      </w:r>
      <w:r>
        <w:rPr>
          <w:rFonts w:hint="eastAsia" w:ascii="仿宋_GB2312" w:hAnsi="宋体"/>
          <w:szCs w:val="32"/>
          <w:lang w:eastAsia="zh-CN"/>
        </w:rPr>
        <w:t>。</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_GB2312"/>
          <w:szCs w:val="32"/>
          <w:lang w:eastAsia="zh-CN"/>
        </w:rPr>
        <w:t>本单位无</w:t>
      </w:r>
      <w:r>
        <w:rPr>
          <w:rFonts w:hint="eastAsia" w:ascii="仿宋_GB2312"/>
          <w:szCs w:val="32"/>
        </w:rPr>
        <w:t>政府采购支出</w:t>
      </w:r>
      <w:r>
        <w:rPr>
          <w:rFonts w:hint="eastAsia" w:ascii="仿宋_GB2312"/>
          <w:szCs w:val="32"/>
          <w:lang w:eastAsia="zh-CN"/>
        </w:rPr>
        <w:t>。</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1</w:t>
      </w:r>
      <w:r>
        <w:rPr>
          <w:rFonts w:hint="eastAsia" w:ascii="仿宋_GB2312"/>
          <w:color w:val="auto"/>
          <w:szCs w:val="32"/>
        </w:rPr>
        <w:t>辆。其中，其他用车</w:t>
      </w:r>
      <w:r>
        <w:rPr>
          <w:rFonts w:hint="eastAsia" w:ascii="仿宋_GB2312"/>
          <w:color w:val="auto"/>
          <w:szCs w:val="32"/>
          <w:lang w:val="en-US" w:eastAsia="zh-CN"/>
        </w:rPr>
        <w:t>1</w:t>
      </w:r>
      <w:r>
        <w:rPr>
          <w:rFonts w:hint="eastAsia" w:ascii="仿宋_GB2312"/>
          <w:color w:val="auto"/>
          <w:szCs w:val="32"/>
        </w:rPr>
        <w:t>辆。</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b/>
          <w:bCs/>
          <w:color w:val="FF0000"/>
          <w:sz w:val="32"/>
          <w:szCs w:val="32"/>
          <w:lang w:val="en-US" w:eastAsia="zh-CN"/>
        </w:rPr>
      </w:pPr>
      <w:r>
        <w:rPr>
          <w:rFonts w:hint="eastAsia" w:ascii="仿宋" w:hAnsi="仿宋" w:eastAsia="仿宋" w:cs="仿宋"/>
          <w:b w:val="0"/>
          <w:bCs w:val="0"/>
          <w:color w:val="auto"/>
          <w:sz w:val="32"/>
          <w:szCs w:val="32"/>
          <w:lang w:val="en-US" w:eastAsia="zh-CN"/>
        </w:rPr>
        <w:t>2021年本单位无重点项目绩效目标情况自评说明。</w:t>
      </w:r>
    </w:p>
    <w:p>
      <w:pPr>
        <w:numPr>
          <w:ilvl w:val="0"/>
          <w:numId w:val="0"/>
        </w:numPr>
        <w:spacing w:line="580" w:lineRule="exact"/>
        <w:ind w:firstLine="643" w:firstLineChars="200"/>
        <w:outlineLvl w:val="0"/>
        <w:rPr>
          <w:rFonts w:hint="eastAsia" w:ascii="仿宋_GB2312" w:eastAsia="仿宋_GB2312"/>
          <w:b/>
          <w:szCs w:val="32"/>
          <w:lang w:val="en-US" w:eastAsia="zh-CN"/>
        </w:rPr>
      </w:pPr>
      <w:bookmarkStart w:id="30" w:name="_Toc8450"/>
      <w:bookmarkStart w:id="31" w:name="_Toc28108"/>
      <w:r>
        <w:rPr>
          <w:rFonts w:hint="eastAsia" w:ascii="仿宋_GB2312"/>
          <w:b/>
          <w:szCs w:val="32"/>
          <w:lang w:eastAsia="zh-CN"/>
        </w:rPr>
        <w:t>（五）无</w:t>
      </w:r>
      <w:r>
        <w:rPr>
          <w:rFonts w:hint="eastAsia" w:ascii="仿宋_GB2312"/>
          <w:b/>
          <w:szCs w:val="32"/>
        </w:rPr>
        <w:t>其他需要说明的事项</w:t>
      </w:r>
      <w:bookmarkEnd w:id="30"/>
      <w:bookmarkEnd w:id="31"/>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szCs w:val="32"/>
          <w:lang w:val="en-US" w:eastAsia="zh-CN"/>
        </w:rPr>
      </w:pPr>
      <w:r>
        <w:rPr>
          <w:rFonts w:hint="eastAsia" w:ascii="仿宋_GB2312"/>
          <w:szCs w:val="32"/>
          <w:lang w:val="en-US" w:eastAsia="zh-CN"/>
        </w:rPr>
        <w:t xml:space="preserve">                   单位名称：静乐县赤泥洼卫生院</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322E674"/>
    <w:multiLevelType w:val="singleLevel"/>
    <w:tmpl w:val="6322E674"/>
    <w:lvl w:ilvl="0" w:tentative="0">
      <w:start w:val="1"/>
      <w:numFmt w:val="chineseCounting"/>
      <w:suff w:val="nothing"/>
      <w:lvlText w:val="%1、"/>
      <w:lvlJc w:val="left"/>
    </w:lvl>
  </w:abstractNum>
  <w:abstractNum w:abstractNumId="2">
    <w:nsid w:val="6322E69A"/>
    <w:multiLevelType w:val="singleLevel"/>
    <w:tmpl w:val="6322E69A"/>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520D0"/>
    <w:rsid w:val="030B4027"/>
    <w:rsid w:val="03696819"/>
    <w:rsid w:val="16654CDD"/>
    <w:rsid w:val="1A4A5C33"/>
    <w:rsid w:val="1B7B2460"/>
    <w:rsid w:val="1E00542E"/>
    <w:rsid w:val="2701594C"/>
    <w:rsid w:val="27426717"/>
    <w:rsid w:val="2B61036E"/>
    <w:rsid w:val="2F1B1FF0"/>
    <w:rsid w:val="35BA40CD"/>
    <w:rsid w:val="37943B50"/>
    <w:rsid w:val="3821117E"/>
    <w:rsid w:val="40A83EBB"/>
    <w:rsid w:val="42C12CEC"/>
    <w:rsid w:val="44401A62"/>
    <w:rsid w:val="495520D0"/>
    <w:rsid w:val="4A012068"/>
    <w:rsid w:val="53A30631"/>
    <w:rsid w:val="57DA2ED9"/>
    <w:rsid w:val="5D020210"/>
    <w:rsid w:val="5EC01F6A"/>
    <w:rsid w:val="63AB51DF"/>
    <w:rsid w:val="649C6DC9"/>
    <w:rsid w:val="715A78E4"/>
    <w:rsid w:val="7761744D"/>
    <w:rsid w:val="7A134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2022-09-15T08:45:25Z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