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增减挂钩项目有关费用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静乐县自然资源局（行政）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静乐县自然资源局-012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通过建新拆旧项目和土地复垦等措施，在保证项目区内各类土地面积平衡的基础上，实现建设用地总量不增加，耕地面积不减少，质量不降低。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《关于拔付增减挂钩项目有关费用的报告》。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解决当前保障发展与保护耕地矛盾的有效途径，推进新农村建设，统筹城乡发展。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《国务院关于深化改革严格土地管理的决定》，因地制宜，统筹安排，零拆整建，先易后难，突出重点，分步实施。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当年内按合同要求完成项目任务。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为推进新农村建设，统筹城乡发展，按要求完成项目任务。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为推进新农村建设，统筹城乡发展，按要求完成项目任务。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增减挂钩项目有关费用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64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所涉及乡镇（个）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规模面积率（%）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农村环境生态环境改善情况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项目已实施完成，预算执行全部支付。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所涉及乡镇6个，规模面积率98%，项目完成及时。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农村生态环境改善。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群众满意度95%。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所涉及乡镇（个）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规模面积率（%）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农村环境生态环境改善情况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105.26%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69BF4724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2022-09-15T03:30:01Z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