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881"/>
        <w:jc w:val="center"/>
        <w:rPr>
          <w:rFonts w:ascii="华文中宋" w:hAnsi="华文中宋" w:eastAsia="华文中宋"/>
          <w:szCs w:val="44"/>
        </w:rPr>
      </w:pPr>
      <w:bookmarkStart w:id="0" w:name="_Toc21118"/>
      <w:bookmarkStart w:id="1" w:name="_Toc32048"/>
      <w:bookmarkStart w:id="2" w:name="_Toc31071"/>
      <w:r>
        <w:rPr>
          <w:rFonts w:hint="eastAsia" w:ascii="华文中宋" w:hAnsi="华文中宋" w:eastAsia="华文中宋"/>
          <w:szCs w:val="44"/>
        </w:rPr>
        <w:t>静乐县文化馆2021年度部门决算公开说明</w:t>
      </w:r>
      <w:bookmarkEnd w:id="0"/>
      <w:bookmarkEnd w:id="1"/>
      <w:bookmarkEnd w:id="2"/>
    </w:p>
    <w:p>
      <w:pPr>
        <w:pStyle w:val="6"/>
        <w:tabs>
          <w:tab w:val="right" w:leader="dot" w:pos="8306"/>
        </w:tabs>
        <w:ind w:firstLine="640"/>
      </w:pPr>
      <w:r>
        <w:rPr>
          <w:rFonts w:hint="eastAsia" w:ascii="仿宋" w:hAnsi="仿宋" w:eastAsia="仿宋" w:cs="仿宋"/>
          <w:color w:val="000000"/>
          <w:szCs w:val="32"/>
        </w:rPr>
        <w:fldChar w:fldCharType="begin"/>
      </w:r>
      <w:r>
        <w:rPr>
          <w:rFonts w:hint="eastAsia" w:ascii="仿宋" w:hAnsi="仿宋" w:eastAsia="仿宋" w:cs="仿宋"/>
          <w:color w:val="000000"/>
          <w:szCs w:val="32"/>
        </w:rPr>
        <w:instrText xml:space="preserve">TOC \o "1-3" \h \u </w:instrText>
      </w:r>
      <w:r>
        <w:rPr>
          <w:rFonts w:hint="eastAsia" w:ascii="仿宋" w:hAnsi="仿宋" w:eastAsia="仿宋" w:cs="仿宋"/>
          <w:color w:val="000000"/>
          <w:szCs w:val="32"/>
        </w:rPr>
        <w:fldChar w:fldCharType="separate"/>
      </w:r>
      <w:r>
        <w:fldChar w:fldCharType="begin"/>
      </w:r>
      <w:r>
        <w:instrText xml:space="preserve"> HYPERLINK \l "_Toc31140" </w:instrText>
      </w:r>
      <w: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"_Toc4461" </w:instrText>
      </w:r>
      <w: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fldChar w:fldCharType="end"/>
      </w:r>
    </w:p>
    <w:p>
      <w:pPr>
        <w:pStyle w:val="7"/>
        <w:tabs>
          <w:tab w:val="right" w:leader="dot" w:pos="8306"/>
        </w:tabs>
        <w:ind w:left="640" w:firstLine="640"/>
      </w:pPr>
      <w:r>
        <w:fldChar w:fldCharType="begin"/>
      </w:r>
      <w:r>
        <w:instrText xml:space="preserve"> HYPERLINK \l "_Toc275" </w:instrText>
      </w:r>
      <w: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fldChar w:fldCharType="end"/>
      </w:r>
    </w:p>
    <w:p>
      <w:pPr>
        <w:pStyle w:val="6"/>
        <w:tabs>
          <w:tab w:val="right" w:leader="dot" w:pos="8306"/>
        </w:tabs>
        <w:ind w:firstLine="640"/>
      </w:pPr>
      <w:r>
        <w:fldChar w:fldCharType="begin"/>
      </w:r>
      <w:r>
        <w:instrText xml:space="preserve"> HYPERLINK \l "_Toc12749" </w:instrText>
      </w:r>
      <w:r>
        <w:fldChar w:fldCharType="separate"/>
      </w:r>
      <w:r>
        <w:rPr>
          <w:rFonts w:hint="eastAsia"/>
          <w:szCs w:val="36"/>
        </w:rPr>
        <w:t>第二部分  2021年度部门决算报表（附表）</w:t>
      </w:r>
      <w:r>
        <w:tab/>
      </w:r>
      <w:r>
        <w:fldChar w:fldCharType="begin"/>
      </w:r>
      <w:r>
        <w:instrText xml:space="preserve"> PAGEREF _Toc12749 </w:instrText>
      </w:r>
      <w:r>
        <w:fldChar w:fldCharType="separate"/>
      </w:r>
      <w:r>
        <w:t>3</w:t>
      </w:r>
      <w:r>
        <w:fldChar w:fldCharType="end"/>
      </w:r>
      <w:r>
        <w:fldChar w:fldCharType="end"/>
      </w:r>
    </w:p>
    <w:p>
      <w:pPr>
        <w:pStyle w:val="6"/>
        <w:tabs>
          <w:tab w:val="right" w:leader="dot" w:pos="8306"/>
        </w:tabs>
        <w:ind w:firstLine="640"/>
      </w:pPr>
      <w:r>
        <w:fldChar w:fldCharType="begin"/>
      </w:r>
      <w:r>
        <w:instrText xml:space="preserve"> HYPERLINK \l "_Toc29325" </w:instrText>
      </w:r>
      <w:r>
        <w:fldChar w:fldCharType="separate"/>
      </w:r>
      <w:r>
        <w:rPr>
          <w:rFonts w:hint="eastAsia"/>
          <w:szCs w:val="36"/>
        </w:rPr>
        <w:t>第三部分  2021年度部门决算情况说明</w:t>
      </w:r>
      <w:r>
        <w:tab/>
      </w:r>
      <w:r>
        <w:fldChar w:fldCharType="begin"/>
      </w:r>
      <w:r>
        <w:instrText xml:space="preserve"> PAGEREF _Toc29325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"_Toc437" </w:instrText>
      </w:r>
      <w:r>
        <w:fldChar w:fldCharType="separate"/>
      </w:r>
      <w:r>
        <w:rPr>
          <w:rFonts w:hint="eastAsia" w:ascii="仿宋" w:hAnsi="仿宋" w:eastAsia="仿宋" w:cs="仿宋"/>
        </w:rPr>
        <w:t>一、收入支出决算总体情况说明</w:t>
      </w:r>
      <w:r>
        <w:tab/>
      </w:r>
      <w:r>
        <w:fldChar w:fldCharType="begin"/>
      </w:r>
      <w:r>
        <w:instrText xml:space="preserve"> PAGEREF _Toc437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"_Toc16754" </w:instrText>
      </w:r>
      <w:r>
        <w:fldChar w:fldCharType="separate"/>
      </w:r>
      <w:r>
        <w:rPr>
          <w:rFonts w:hint="eastAsia" w:ascii="仿宋" w:hAnsi="仿宋" w:eastAsia="仿宋" w:cs="仿宋"/>
        </w:rPr>
        <w:t>二、收入决算情况说明</w:t>
      </w:r>
      <w:r>
        <w:tab/>
      </w:r>
      <w:r>
        <w:fldChar w:fldCharType="begin"/>
      </w:r>
      <w:r>
        <w:instrText xml:space="preserve"> PAGEREF _Toc16754 </w:instrText>
      </w:r>
      <w:r>
        <w:fldChar w:fldCharType="separate"/>
      </w:r>
      <w:r>
        <w:t>3</w:t>
      </w:r>
      <w:r>
        <w:fldChar w:fldCharType="end"/>
      </w:r>
      <w:r>
        <w:fldChar w:fldCharType="end"/>
      </w:r>
    </w:p>
    <w:p>
      <w:pPr>
        <w:pStyle w:val="7"/>
        <w:tabs>
          <w:tab w:val="right" w:leader="dot" w:pos="8306"/>
        </w:tabs>
        <w:ind w:left="640" w:firstLine="640"/>
      </w:pPr>
      <w:r>
        <w:fldChar w:fldCharType="begin"/>
      </w:r>
      <w:r>
        <w:instrText xml:space="preserve"> HYPERLINK \l "_Toc22098" </w:instrText>
      </w:r>
      <w:r>
        <w:fldChar w:fldCharType="separate"/>
      </w:r>
      <w:r>
        <w:rPr>
          <w:rFonts w:hint="eastAsia" w:ascii="仿宋" w:hAnsi="仿宋" w:eastAsia="仿宋" w:cs="仿宋"/>
        </w:rPr>
        <w:t>三、支出决算情况说明</w:t>
      </w:r>
      <w:r>
        <w:tab/>
      </w:r>
      <w:r>
        <w:fldChar w:fldCharType="begin"/>
      </w:r>
      <w:r>
        <w:instrText xml:space="preserve"> PAGEREF _Toc22098 </w:instrText>
      </w:r>
      <w:r>
        <w:fldChar w:fldCharType="separate"/>
      </w:r>
      <w:r>
        <w:t>4</w:t>
      </w:r>
      <w:r>
        <w:fldChar w:fldCharType="end"/>
      </w:r>
      <w:r>
        <w:fldChar w:fldCharType="end"/>
      </w:r>
    </w:p>
    <w:p>
      <w:pPr>
        <w:pStyle w:val="7"/>
        <w:tabs>
          <w:tab w:val="right" w:leader="dot" w:pos="8306"/>
        </w:tabs>
        <w:ind w:left="640" w:firstLine="640"/>
      </w:pPr>
      <w:r>
        <w:fldChar w:fldCharType="begin"/>
      </w:r>
      <w:r>
        <w:instrText xml:space="preserve"> HYPERLINK \l "_Toc2142" </w:instrText>
      </w:r>
      <w:r>
        <w:fldChar w:fldCharType="separate"/>
      </w:r>
      <w:r>
        <w:rPr>
          <w:rFonts w:hint="eastAsia" w:ascii="仿宋" w:hAnsi="仿宋" w:eastAsia="仿宋" w:cs="仿宋"/>
        </w:rPr>
        <w:t>四、财政拨款收入支出决算总体情况说明</w:t>
      </w:r>
      <w:r>
        <w:tab/>
      </w:r>
      <w:r>
        <w:fldChar w:fldCharType="begin"/>
      </w:r>
      <w:r>
        <w:instrText xml:space="preserve"> PAGEREF _Toc2142 </w:instrText>
      </w:r>
      <w:r>
        <w:fldChar w:fldCharType="separate"/>
      </w:r>
      <w:r>
        <w:t>4</w:t>
      </w:r>
      <w:r>
        <w:fldChar w:fldCharType="end"/>
      </w:r>
      <w:r>
        <w:fldChar w:fldCharType="end"/>
      </w:r>
    </w:p>
    <w:p>
      <w:pPr>
        <w:pStyle w:val="7"/>
        <w:tabs>
          <w:tab w:val="right" w:leader="dot" w:pos="8306"/>
        </w:tabs>
        <w:ind w:left="640" w:firstLine="640"/>
      </w:pPr>
      <w:r>
        <w:fldChar w:fldCharType="begin"/>
      </w:r>
      <w:r>
        <w:instrText xml:space="preserve"> HYPERLINK \l "_Toc6501" </w:instrText>
      </w:r>
      <w:r>
        <w:fldChar w:fldCharType="separate"/>
      </w:r>
      <w:r>
        <w:rPr>
          <w:rFonts w:hint="eastAsia" w:ascii="仿宋" w:hAnsi="仿宋" w:eastAsia="仿宋" w:cs="仿宋"/>
        </w:rPr>
        <w:t>五、一般公共预算财政拨款支出决算情况说明</w:t>
      </w:r>
      <w:r>
        <w:tab/>
      </w:r>
      <w:r>
        <w:fldChar w:fldCharType="begin"/>
      </w:r>
      <w:r>
        <w:instrText xml:space="preserve"> PAGEREF _Toc6501 </w:instrText>
      </w:r>
      <w:r>
        <w:fldChar w:fldCharType="separate"/>
      </w:r>
      <w:r>
        <w:t>4</w:t>
      </w:r>
      <w:r>
        <w:fldChar w:fldCharType="end"/>
      </w:r>
      <w:r>
        <w:fldChar w:fldCharType="end"/>
      </w:r>
    </w:p>
    <w:p>
      <w:pPr>
        <w:pStyle w:val="7"/>
        <w:tabs>
          <w:tab w:val="right" w:leader="dot" w:pos="8306"/>
        </w:tabs>
        <w:ind w:left="640" w:firstLine="640"/>
      </w:pPr>
      <w:r>
        <w:fldChar w:fldCharType="begin"/>
      </w:r>
      <w:r>
        <w:instrText xml:space="preserve"> HYPERLINK \l "_Toc17728" </w:instrText>
      </w:r>
      <w:r>
        <w:fldChar w:fldCharType="separate"/>
      </w:r>
      <w:r>
        <w:rPr>
          <w:rFonts w:hint="eastAsia" w:ascii="仿宋" w:hAnsi="仿宋" w:eastAsia="仿宋" w:cs="仿宋"/>
        </w:rPr>
        <w:t>六、一般公共预算财政拨款基本支出决算情况说明</w:t>
      </w:r>
      <w:r>
        <w:tab/>
      </w:r>
      <w:r>
        <w:fldChar w:fldCharType="begin"/>
      </w:r>
      <w:r>
        <w:instrText xml:space="preserve"> PAGEREF _Toc17728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"_Toc26508" </w:instrText>
      </w:r>
      <w:r>
        <w:fldChar w:fldCharType="separate"/>
      </w:r>
      <w:r>
        <w:rPr>
          <w:rFonts w:hint="eastAsia" w:ascii="仿宋" w:hAnsi="仿宋" w:eastAsia="仿宋" w:cs="仿宋"/>
        </w:rPr>
        <w:t>七、一般公共预算财政拨款“三公”经费支出决算情况说明</w:t>
      </w:r>
      <w:r>
        <w:tab/>
      </w:r>
      <w:r>
        <w:fldChar w:fldCharType="begin"/>
      </w:r>
      <w:r>
        <w:instrText xml:space="preserve"> PAGEREF _Toc26508 </w:instrText>
      </w:r>
      <w:r>
        <w:fldChar w:fldCharType="separate"/>
      </w:r>
      <w:r>
        <w:t>6</w:t>
      </w:r>
      <w:r>
        <w:fldChar w:fldCharType="end"/>
      </w:r>
      <w:r>
        <w:fldChar w:fldCharType="end"/>
      </w:r>
    </w:p>
    <w:p>
      <w:pPr>
        <w:pStyle w:val="7"/>
        <w:tabs>
          <w:tab w:val="right" w:leader="dot" w:pos="8306"/>
        </w:tabs>
        <w:ind w:left="640" w:firstLine="640"/>
      </w:pPr>
      <w:r>
        <w:fldChar w:fldCharType="begin"/>
      </w:r>
      <w:r>
        <w:instrText xml:space="preserve"> HYPERLINK \l "_Toc1792" </w:instrText>
      </w:r>
      <w:r>
        <w:fldChar w:fldCharType="separate"/>
      </w:r>
      <w:r>
        <w:rPr>
          <w:rFonts w:hint="eastAsia" w:ascii="仿宋" w:hAnsi="仿宋" w:eastAsia="仿宋" w:cs="仿宋"/>
        </w:rPr>
        <w:t>八、其他重要事项情况说明</w:t>
      </w:r>
      <w:r>
        <w:tab/>
      </w:r>
      <w:r>
        <w:fldChar w:fldCharType="begin"/>
      </w:r>
      <w:r>
        <w:instrText xml:space="preserve"> PAGEREF _Toc1792 </w:instrText>
      </w:r>
      <w:r>
        <w:fldChar w:fldCharType="separate"/>
      </w:r>
      <w:r>
        <w:t>7</w:t>
      </w:r>
      <w:r>
        <w:fldChar w:fldCharType="end"/>
      </w:r>
      <w:r>
        <w:fldChar w:fldCharType="end"/>
      </w:r>
    </w:p>
    <w:p>
      <w:pPr>
        <w:pStyle w:val="6"/>
        <w:tabs>
          <w:tab w:val="right" w:leader="dot" w:pos="8306"/>
        </w:tabs>
        <w:ind w:firstLine="640"/>
      </w:pPr>
      <w:r>
        <w:fldChar w:fldCharType="begin"/>
      </w:r>
      <w:r>
        <w:instrText xml:space="preserve"> HYPERLINK \l "_Toc28108" </w:instrText>
      </w:r>
      <w:r>
        <w:fldChar w:fldCharType="separate"/>
      </w:r>
      <w:r>
        <w:rPr>
          <w:rFonts w:hint="eastAsia" w:ascii="仿宋_GB2312"/>
          <w:szCs w:val="32"/>
        </w:rPr>
        <w:t>（四） 其他需要说明的事项</w:t>
      </w:r>
      <w:r>
        <w:tab/>
      </w:r>
      <w:r>
        <w:fldChar w:fldCharType="begin"/>
      </w:r>
      <w:r>
        <w:instrText xml:space="preserve"> PAGEREF _Toc28108 </w:instrText>
      </w:r>
      <w:r>
        <w:fldChar w:fldCharType="separate"/>
      </w:r>
      <w:r>
        <w:t>8</w:t>
      </w:r>
      <w:r>
        <w:fldChar w:fldCharType="end"/>
      </w:r>
      <w:r>
        <w:fldChar w:fldCharType="end"/>
      </w:r>
    </w:p>
    <w:p>
      <w:pPr>
        <w:pStyle w:val="6"/>
        <w:tabs>
          <w:tab w:val="right" w:leader="dot" w:pos="8306"/>
        </w:tabs>
        <w:ind w:firstLine="640"/>
      </w:pPr>
      <w:r>
        <w:fldChar w:fldCharType="begin"/>
      </w:r>
      <w:r>
        <w:instrText xml:space="preserve"> HYPERLINK \l "_Toc8545" </w:instrText>
      </w:r>
      <w:r>
        <w:fldChar w:fldCharType="separate"/>
      </w:r>
      <w:r>
        <w:rPr>
          <w:rFonts w:hint="eastAsia"/>
          <w:szCs w:val="36"/>
        </w:rPr>
        <w:t>第四部分  名词解释</w:t>
      </w:r>
      <w:r>
        <w:tab/>
      </w:r>
      <w:r>
        <w:fldChar w:fldCharType="begin"/>
      </w:r>
      <w:r>
        <w:instrText xml:space="preserve"> PAGEREF _Toc8545 </w:instrText>
      </w:r>
      <w:r>
        <w:fldChar w:fldCharType="separate"/>
      </w:r>
      <w:r>
        <w:t>8</w:t>
      </w:r>
      <w:r>
        <w:fldChar w:fldCharType="end"/>
      </w:r>
      <w:r>
        <w:fldChar w:fldCharType="end"/>
      </w:r>
    </w:p>
    <w:p>
      <w:pPr>
        <w:ind w:firstLine="640"/>
        <w:jc w:val="center"/>
        <w:rPr>
          <w:rFonts w:ascii="仿宋" w:hAnsi="仿宋" w:eastAsia="仿宋" w:cs="仿宋"/>
          <w:color w:val="000000"/>
          <w:szCs w:val="32"/>
        </w:rPr>
      </w:pPr>
      <w:r>
        <w:rPr>
          <w:rFonts w:hint="eastAsia" w:ascii="仿宋" w:hAnsi="仿宋" w:eastAsia="仿宋" w:cs="仿宋"/>
          <w:color w:val="000000"/>
          <w:szCs w:val="32"/>
        </w:rPr>
        <w:fldChar w:fldCharType="end"/>
      </w:r>
    </w:p>
    <w:p>
      <w:pPr>
        <w:pStyle w:val="2"/>
        <w:ind w:firstLine="0" w:firstLineChars="0"/>
        <w:jc w:val="center"/>
        <w:rPr>
          <w:szCs w:val="36"/>
        </w:rPr>
      </w:pPr>
      <w:bookmarkStart w:id="3" w:name="_Toc31140"/>
      <w:bookmarkStart w:id="4" w:name="_Toc23288"/>
      <w:r>
        <w:rPr>
          <w:rFonts w:hint="eastAsia"/>
          <w:sz w:val="36"/>
          <w:szCs w:val="36"/>
        </w:rPr>
        <w:t>第一部分  概况</w:t>
      </w:r>
      <w:bookmarkEnd w:id="3"/>
      <w:bookmarkEnd w:id="4"/>
    </w:p>
    <w:p>
      <w:pPr>
        <w:pStyle w:val="3"/>
        <w:numPr>
          <w:ilvl w:val="0"/>
          <w:numId w:val="1"/>
        </w:numPr>
        <w:ind w:firstLineChars="0"/>
        <w:rPr>
          <w:rFonts w:ascii="仿宋" w:hAnsi="仿宋" w:eastAsia="仿宋" w:cs="仿宋"/>
          <w:b w:val="0"/>
          <w:bCs/>
        </w:rPr>
      </w:pPr>
      <w:bookmarkStart w:id="5" w:name="_Toc4461"/>
      <w:bookmarkStart w:id="6" w:name="_Toc24066"/>
      <w:r>
        <w:rPr>
          <w:rFonts w:hint="eastAsia" w:ascii="仿宋" w:hAnsi="仿宋" w:eastAsia="仿宋" w:cs="仿宋"/>
          <w:b w:val="0"/>
          <w:bCs/>
        </w:rPr>
        <w:t>本部门职责</w:t>
      </w:r>
      <w:bookmarkEnd w:id="5"/>
      <w:bookmarkEnd w:id="6"/>
    </w:p>
    <w:p>
      <w:pPr>
        <w:spacing w:line="580" w:lineRule="exact"/>
        <w:ind w:left="640" w:firstLine="320" w:firstLineChars="100"/>
        <w:rPr>
          <w:rFonts w:ascii="仿宋_GB2312" w:hAnsi="仿宋_GB2312" w:cs="仿宋_GB2312"/>
          <w:color w:val="000000"/>
          <w:kern w:val="0"/>
          <w:szCs w:val="32"/>
        </w:rPr>
      </w:pPr>
      <w:r>
        <w:rPr>
          <w:rFonts w:hint="eastAsia" w:ascii="仿宋_GB2312" w:hAnsi="仿宋_GB2312" w:cs="仿宋_GB2312"/>
          <w:color w:val="000000"/>
          <w:kern w:val="0"/>
          <w:szCs w:val="32"/>
        </w:rPr>
        <w:t>文化馆是政府为了向广大人民群众进行宣传教育，组织辅导群众开展文化活动而设立的群众文化事业机构，是当地群众文化艺术活动的中心。</w:t>
      </w:r>
    </w:p>
    <w:p>
      <w:pPr>
        <w:spacing w:line="580" w:lineRule="exact"/>
        <w:ind w:firstLine="640" w:firstLineChars="0"/>
        <w:rPr>
          <w:rFonts w:ascii="仿宋_GB2312" w:hAnsi="仿宋_GB2312" w:cs="仿宋_GB2312"/>
          <w:color w:val="000000"/>
          <w:kern w:val="0"/>
          <w:szCs w:val="32"/>
        </w:rPr>
      </w:pPr>
      <w:r>
        <w:rPr>
          <w:rFonts w:hint="eastAsia" w:ascii="仿宋_GB2312" w:hAnsi="仿宋_GB2312" w:cs="仿宋_GB2312"/>
          <w:color w:val="000000"/>
          <w:kern w:val="0"/>
          <w:szCs w:val="32"/>
        </w:rPr>
        <w:t>（1）组织开展全县群众文化艺术活动，丰富群众精神文化生活;</w:t>
      </w:r>
    </w:p>
    <w:p>
      <w:pPr>
        <w:spacing w:line="580" w:lineRule="exact"/>
        <w:ind w:firstLine="640" w:firstLineChars="0"/>
        <w:rPr>
          <w:rFonts w:ascii="仿宋_GB2312" w:hAnsi="仿宋_GB2312" w:cs="仿宋_GB2312"/>
          <w:color w:val="000000"/>
          <w:kern w:val="0"/>
          <w:szCs w:val="32"/>
        </w:rPr>
      </w:pPr>
      <w:r>
        <w:rPr>
          <w:rFonts w:hint="eastAsia" w:ascii="仿宋_GB2312" w:hAnsi="仿宋_GB2312" w:cs="仿宋_GB2312"/>
          <w:color w:val="000000"/>
          <w:kern w:val="0"/>
          <w:szCs w:val="32"/>
        </w:rPr>
        <w:t>（2）搞好业余文艺团体建设，辅导、培训业余文艺骨干，牢固树立“精品”意识，积极推进艺术创新，广泛开展群众性文艺创作活动;</w:t>
      </w:r>
    </w:p>
    <w:p>
      <w:pPr>
        <w:spacing w:line="580" w:lineRule="exact"/>
        <w:ind w:firstLine="640" w:firstLineChars="0"/>
        <w:rPr>
          <w:rFonts w:ascii="仿宋_GB2312" w:hAnsi="仿宋_GB2312" w:cs="仿宋_GB2312"/>
          <w:color w:val="000000"/>
          <w:kern w:val="0"/>
          <w:szCs w:val="32"/>
        </w:rPr>
      </w:pPr>
      <w:r>
        <w:rPr>
          <w:rFonts w:hint="eastAsia" w:ascii="仿宋_GB2312" w:hAnsi="仿宋_GB2312" w:cs="仿宋_GB2312"/>
          <w:color w:val="000000"/>
          <w:kern w:val="0"/>
          <w:szCs w:val="32"/>
        </w:rPr>
        <w:t>（3）加强对乡、镇、街道和社区等文化站(室)、俱乐部的文化工作指导和文化活动辅导;</w:t>
      </w:r>
    </w:p>
    <w:p>
      <w:pPr>
        <w:spacing w:line="580" w:lineRule="exact"/>
        <w:ind w:firstLine="640" w:firstLineChars="0"/>
        <w:rPr>
          <w:rFonts w:ascii="仿宋_GB2312" w:hAnsi="仿宋_GB2312" w:cs="仿宋_GB2312"/>
          <w:color w:val="000000"/>
          <w:kern w:val="0"/>
          <w:szCs w:val="32"/>
        </w:rPr>
      </w:pPr>
      <w:r>
        <w:rPr>
          <w:rFonts w:hint="eastAsia" w:ascii="仿宋_GB2312" w:hAnsi="仿宋_GB2312" w:cs="仿宋_GB2312"/>
          <w:color w:val="000000"/>
          <w:kern w:val="0"/>
          <w:szCs w:val="32"/>
        </w:rPr>
        <w:t>（4）　积极开展群众文化理论研究，有计划地进行群文调研;</w:t>
      </w:r>
    </w:p>
    <w:p>
      <w:pPr>
        <w:spacing w:line="580" w:lineRule="exact"/>
        <w:ind w:firstLine="640" w:firstLineChars="0"/>
        <w:rPr>
          <w:rFonts w:ascii="仿宋_GB2312" w:hAnsi="仿宋_GB2312" w:cs="仿宋_GB2312"/>
          <w:color w:val="000000"/>
          <w:kern w:val="0"/>
          <w:szCs w:val="32"/>
        </w:rPr>
      </w:pPr>
      <w:r>
        <w:rPr>
          <w:rFonts w:hint="eastAsia" w:ascii="仿宋_GB2312" w:hAnsi="仿宋_GB2312" w:cs="仿宋_GB2312"/>
          <w:color w:val="000000"/>
          <w:kern w:val="0"/>
          <w:szCs w:val="32"/>
        </w:rPr>
        <w:t>（5）　搜集、整理、保护民族民间文化艺术遗产，建立健全群众文化艺术档案;</w:t>
      </w:r>
    </w:p>
    <w:p>
      <w:pPr>
        <w:spacing w:line="580" w:lineRule="exact"/>
        <w:ind w:firstLine="640" w:firstLineChars="0"/>
        <w:rPr>
          <w:rFonts w:ascii="仿宋_GB2312" w:hAnsi="仿宋_GB2312" w:cs="仿宋_GB2312"/>
          <w:color w:val="000000"/>
          <w:kern w:val="0"/>
          <w:szCs w:val="32"/>
        </w:rPr>
      </w:pPr>
      <w:r>
        <w:rPr>
          <w:rFonts w:hint="eastAsia" w:ascii="仿宋_GB2312" w:hAnsi="仿宋_GB2312" w:cs="仿宋_GB2312"/>
          <w:color w:val="000000"/>
          <w:kern w:val="0"/>
          <w:szCs w:val="32"/>
        </w:rPr>
        <w:t>（6）做好非物质文化遗产保护工作。</w:t>
      </w:r>
    </w:p>
    <w:p>
      <w:pPr>
        <w:pStyle w:val="3"/>
        <w:ind w:firstLine="0" w:firstLineChars="0"/>
        <w:rPr>
          <w:rFonts w:ascii="仿宋" w:hAnsi="仿宋" w:eastAsia="仿宋" w:cs="仿宋"/>
          <w:b w:val="0"/>
          <w:bCs/>
        </w:rPr>
      </w:pPr>
      <w:bookmarkStart w:id="7" w:name="_Toc9155"/>
      <w:bookmarkStart w:id="8" w:name="_Toc275"/>
      <w:r>
        <w:rPr>
          <w:rFonts w:hint="eastAsia" w:ascii="仿宋" w:hAnsi="仿宋" w:eastAsia="仿宋" w:cs="仿宋"/>
          <w:b w:val="0"/>
          <w:bCs/>
        </w:rPr>
        <w:t>二、机构设置情况</w:t>
      </w:r>
      <w:bookmarkEnd w:id="7"/>
      <w:bookmarkEnd w:id="8"/>
    </w:p>
    <w:p>
      <w:pPr>
        <w:pStyle w:val="8"/>
        <w:shd w:val="clear" w:color="auto" w:fill="FFFFFF"/>
        <w:spacing w:line="540" w:lineRule="exact"/>
        <w:ind w:firstLine="600"/>
        <w:rPr>
          <w:rFonts w:ascii="仿宋_GB2312" w:hAnsi="仿宋_GB2312" w:cs="仿宋_GB2312"/>
          <w:color w:val="3D3D3D"/>
          <w:sz w:val="30"/>
          <w:szCs w:val="30"/>
          <w:shd w:val="clear" w:color="auto" w:fill="FFFFFF"/>
        </w:rPr>
      </w:pPr>
      <w:r>
        <w:rPr>
          <w:rFonts w:hint="eastAsia" w:ascii="仿宋_GB2312" w:hAnsi="仿宋_GB2312" w:cs="仿宋_GB2312"/>
          <w:color w:val="3D3D3D"/>
          <w:sz w:val="30"/>
          <w:szCs w:val="30"/>
          <w:shd w:val="clear" w:color="auto" w:fill="FFFFFF"/>
        </w:rPr>
        <w:t>本单位内设办公室、财务室、文艺创作室、非遗中心，编制9人，在职7人。</w:t>
      </w:r>
    </w:p>
    <w:p>
      <w:pPr>
        <w:ind w:firstLine="640"/>
      </w:pPr>
    </w:p>
    <w:p>
      <w:pPr>
        <w:pStyle w:val="2"/>
        <w:ind w:firstLine="723"/>
        <w:rPr>
          <w:sz w:val="36"/>
          <w:szCs w:val="36"/>
        </w:rPr>
      </w:pPr>
      <w:bookmarkStart w:id="9" w:name="_Toc12749"/>
      <w:r>
        <w:rPr>
          <w:rFonts w:hint="eastAsia"/>
          <w:sz w:val="36"/>
          <w:szCs w:val="36"/>
        </w:rPr>
        <w:t>第二部分  2021年度部门决算报表（附表）</w:t>
      </w:r>
      <w:bookmarkEnd w:id="9"/>
    </w:p>
    <w:p>
      <w:pPr>
        <w:ind w:firstLine="640"/>
        <w:rPr>
          <w:rFonts w:ascii="仿宋_GB2312" w:hAnsi="楷体"/>
          <w:szCs w:val="32"/>
        </w:rPr>
      </w:pPr>
      <w:r>
        <w:rPr>
          <w:rFonts w:hint="eastAsia" w:ascii="仿宋_GB2312" w:hAnsi="楷体"/>
          <w:szCs w:val="32"/>
        </w:rPr>
        <w:t>一、收入支出决算总表</w:t>
      </w:r>
    </w:p>
    <w:p>
      <w:pPr>
        <w:ind w:firstLine="640"/>
        <w:rPr>
          <w:rFonts w:ascii="仿宋_GB2312" w:hAnsi="楷体"/>
          <w:szCs w:val="32"/>
        </w:rPr>
      </w:pPr>
      <w:r>
        <w:rPr>
          <w:rFonts w:hint="eastAsia" w:ascii="仿宋_GB2312" w:hAnsi="楷体"/>
          <w:szCs w:val="32"/>
        </w:rPr>
        <w:t>二、收入决算表</w:t>
      </w:r>
    </w:p>
    <w:p>
      <w:pPr>
        <w:ind w:firstLine="640"/>
        <w:rPr>
          <w:rFonts w:ascii="仿宋_GB2312" w:hAnsi="楷体"/>
          <w:szCs w:val="32"/>
        </w:rPr>
      </w:pPr>
      <w:r>
        <w:rPr>
          <w:rFonts w:hint="eastAsia" w:ascii="仿宋_GB2312" w:hAnsi="楷体"/>
          <w:szCs w:val="32"/>
        </w:rPr>
        <w:t>三、支出决算表</w:t>
      </w:r>
    </w:p>
    <w:p>
      <w:pPr>
        <w:ind w:firstLine="640"/>
        <w:rPr>
          <w:rFonts w:ascii="仿宋_GB2312" w:hAnsi="楷体"/>
          <w:szCs w:val="32"/>
        </w:rPr>
      </w:pPr>
      <w:r>
        <w:rPr>
          <w:rFonts w:hint="eastAsia" w:ascii="仿宋_GB2312" w:hAnsi="楷体"/>
          <w:szCs w:val="32"/>
        </w:rPr>
        <w:t>四、财政拨款收入支出决算总表</w:t>
      </w:r>
    </w:p>
    <w:p>
      <w:pPr>
        <w:ind w:firstLine="640"/>
        <w:rPr>
          <w:rFonts w:ascii="仿宋_GB2312" w:hAnsi="楷体"/>
          <w:szCs w:val="32"/>
        </w:rPr>
      </w:pPr>
      <w:r>
        <w:rPr>
          <w:rFonts w:hint="eastAsia" w:ascii="仿宋_GB2312" w:hAnsi="楷体"/>
          <w:szCs w:val="32"/>
        </w:rPr>
        <w:t>五、一般公共预算财政拨款支出决算表（一）</w:t>
      </w:r>
    </w:p>
    <w:p>
      <w:pPr>
        <w:ind w:firstLine="640"/>
        <w:rPr>
          <w:rFonts w:ascii="仿宋_GB2312" w:hAnsi="楷体"/>
          <w:szCs w:val="32"/>
        </w:rPr>
      </w:pPr>
      <w:r>
        <w:rPr>
          <w:rFonts w:hint="eastAsia" w:ascii="仿宋_GB2312" w:hAnsi="楷体"/>
          <w:szCs w:val="32"/>
        </w:rPr>
        <w:t>六、一般公共预算财政拨款支出决算表（二）</w:t>
      </w:r>
    </w:p>
    <w:p>
      <w:pPr>
        <w:ind w:firstLine="640"/>
        <w:rPr>
          <w:rFonts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ascii="仿宋_GB2312" w:hAnsi="楷体"/>
          <w:szCs w:val="32"/>
        </w:rPr>
      </w:pPr>
      <w:r>
        <w:rPr>
          <w:rFonts w:hint="eastAsia" w:ascii="仿宋_GB2312" w:hAnsi="楷体"/>
          <w:szCs w:val="32"/>
        </w:rPr>
        <w:t>九、国有资本经营预算财政拨款支出决算表</w:t>
      </w:r>
    </w:p>
    <w:p>
      <w:pPr>
        <w:ind w:firstLine="640"/>
        <w:rPr>
          <w:rFonts w:ascii="仿宋_GB2312" w:hAnsi="楷体"/>
          <w:szCs w:val="32"/>
        </w:rPr>
      </w:pPr>
      <w:r>
        <w:rPr>
          <w:rFonts w:hint="eastAsia" w:ascii="仿宋_GB2312" w:hAnsi="楷体"/>
          <w:szCs w:val="32"/>
        </w:rPr>
        <w:t>十、部门决算公开相关信息统计表</w:t>
      </w:r>
    </w:p>
    <w:p>
      <w:pPr>
        <w:pStyle w:val="2"/>
        <w:ind w:firstLine="0" w:firstLineChars="0"/>
        <w:jc w:val="center"/>
        <w:rPr>
          <w:sz w:val="36"/>
          <w:szCs w:val="36"/>
        </w:rPr>
      </w:pPr>
      <w:bookmarkStart w:id="10" w:name="_Toc29325"/>
      <w:r>
        <w:rPr>
          <w:rFonts w:hint="eastAsia"/>
          <w:sz w:val="36"/>
          <w:szCs w:val="36"/>
        </w:rPr>
        <w:t>第三部分  2021年度部门决算情况说明</w:t>
      </w:r>
      <w:bookmarkEnd w:id="10"/>
    </w:p>
    <w:p>
      <w:pPr>
        <w:pStyle w:val="3"/>
        <w:ind w:firstLine="643"/>
        <w:rPr>
          <w:rFonts w:ascii="仿宋" w:hAnsi="仿宋" w:eastAsia="仿宋" w:cs="仿宋"/>
        </w:rPr>
      </w:pPr>
      <w:bookmarkStart w:id="11" w:name="_Toc437"/>
      <w:bookmarkStart w:id="12" w:name="_Toc8717"/>
      <w:r>
        <w:rPr>
          <w:rFonts w:hint="eastAsia" w:ascii="仿宋" w:hAnsi="仿宋" w:eastAsia="仿宋" w:cs="仿宋"/>
        </w:rPr>
        <w:t>一、收入支出决算总体情况说明</w:t>
      </w:r>
      <w:bookmarkEnd w:id="11"/>
      <w:bookmarkEnd w:id="12"/>
    </w:p>
    <w:p>
      <w:pPr>
        <w:ind w:firstLine="640"/>
        <w:rPr>
          <w:rFonts w:ascii="仿宋_GB2312"/>
          <w:szCs w:val="32"/>
        </w:rPr>
      </w:pPr>
      <w:r>
        <w:rPr>
          <w:rFonts w:hint="eastAsia" w:ascii="仿宋_GB2312"/>
          <w:szCs w:val="32"/>
        </w:rPr>
        <w:t>2021年度收入</w:t>
      </w:r>
      <w:r>
        <w:rPr>
          <w:rFonts w:ascii="仿宋_GB2312"/>
          <w:szCs w:val="32"/>
        </w:rPr>
        <w:t>总计</w:t>
      </w:r>
      <w:r>
        <w:rPr>
          <w:rFonts w:hint="eastAsia" w:ascii="仿宋_GB2312"/>
          <w:szCs w:val="32"/>
        </w:rPr>
        <w:t>131.11万元、支出总计191.11万元。与2020年相比，收入总计减少28.4万元，下降17.8%，</w:t>
      </w:r>
      <w:r>
        <w:rPr>
          <w:rFonts w:ascii="仿宋_GB2312"/>
          <w:szCs w:val="32"/>
        </w:rPr>
        <w:t>支出总计减少</w:t>
      </w:r>
      <w:r>
        <w:rPr>
          <w:rFonts w:hint="eastAsia" w:ascii="仿宋_GB2312"/>
          <w:szCs w:val="32"/>
        </w:rPr>
        <w:t>8.5万元</w:t>
      </w:r>
      <w:r>
        <w:rPr>
          <w:rFonts w:ascii="仿宋_GB2312"/>
          <w:szCs w:val="32"/>
        </w:rPr>
        <w:t>，下降</w:t>
      </w:r>
      <w:r>
        <w:rPr>
          <w:rFonts w:hint="eastAsia" w:ascii="仿宋_GB2312"/>
          <w:szCs w:val="32"/>
        </w:rPr>
        <w:t>4.26</w:t>
      </w:r>
      <w:r>
        <w:rPr>
          <w:rFonts w:ascii="仿宋_GB2312"/>
          <w:szCs w:val="32"/>
        </w:rPr>
        <w:t>%</w:t>
      </w:r>
      <w:r>
        <w:rPr>
          <w:rFonts w:hint="eastAsia" w:ascii="仿宋_GB2312"/>
          <w:szCs w:val="32"/>
        </w:rPr>
        <w:t>。主要原因是2021年政府性基金项目资金减少。</w:t>
      </w:r>
    </w:p>
    <w:p>
      <w:pPr>
        <w:pStyle w:val="3"/>
        <w:ind w:firstLine="643"/>
        <w:rPr>
          <w:rFonts w:ascii="仿宋" w:hAnsi="仿宋" w:eastAsia="仿宋" w:cs="仿宋"/>
        </w:rPr>
      </w:pPr>
      <w:bookmarkStart w:id="13" w:name="_Toc16754"/>
      <w:bookmarkStart w:id="14" w:name="_Toc17404"/>
      <w:r>
        <w:rPr>
          <w:rFonts w:hint="eastAsia" w:ascii="仿宋" w:hAnsi="仿宋" w:eastAsia="仿宋" w:cs="仿宋"/>
        </w:rPr>
        <w:t>二、收入决算情况说明</w:t>
      </w:r>
      <w:bookmarkEnd w:id="13"/>
      <w:bookmarkEnd w:id="14"/>
    </w:p>
    <w:p>
      <w:pPr>
        <w:spacing w:line="580" w:lineRule="exact"/>
        <w:ind w:firstLine="640"/>
        <w:rPr>
          <w:rFonts w:ascii="仿宋_GB2312"/>
          <w:szCs w:val="32"/>
        </w:rPr>
      </w:pPr>
      <w:r>
        <w:rPr>
          <w:rFonts w:hint="eastAsia" w:ascii="仿宋_GB2312"/>
          <w:szCs w:val="32"/>
        </w:rPr>
        <w:t>本年收入合计131.11万元，其中：财政拨款收入131.11万元，占比100%。</w:t>
      </w:r>
    </w:p>
    <w:p>
      <w:pPr>
        <w:pStyle w:val="3"/>
        <w:ind w:firstLine="643"/>
        <w:rPr>
          <w:rFonts w:ascii="仿宋" w:hAnsi="仿宋" w:eastAsia="仿宋" w:cs="仿宋"/>
        </w:rPr>
      </w:pPr>
      <w:bookmarkStart w:id="15" w:name="_Toc22098"/>
      <w:bookmarkStart w:id="16" w:name="_Toc9596"/>
      <w:r>
        <w:rPr>
          <w:rFonts w:hint="eastAsia" w:ascii="仿宋" w:hAnsi="仿宋" w:eastAsia="仿宋" w:cs="仿宋"/>
        </w:rPr>
        <w:t>三、支出决算情况说明</w:t>
      </w:r>
      <w:bookmarkEnd w:id="15"/>
      <w:bookmarkEnd w:id="16"/>
    </w:p>
    <w:p>
      <w:pPr>
        <w:spacing w:line="580" w:lineRule="exact"/>
        <w:ind w:firstLine="640"/>
        <w:rPr>
          <w:rFonts w:ascii="仿宋_GB2312"/>
          <w:szCs w:val="32"/>
        </w:rPr>
      </w:pPr>
      <w:r>
        <w:rPr>
          <w:rFonts w:hint="eastAsia" w:ascii="仿宋_GB2312"/>
          <w:szCs w:val="32"/>
        </w:rPr>
        <w:t>本年支出合计191.11万元，其中：基本支出71.16万元，占比37.24%；项目支出119.95万元，占比62.76%。</w:t>
      </w:r>
      <w:r>
        <w:rPr>
          <w:rFonts w:ascii="仿宋_GB2312"/>
          <w:szCs w:val="32"/>
        </w:rPr>
        <w:t xml:space="preserve"> </w:t>
      </w:r>
    </w:p>
    <w:p>
      <w:pPr>
        <w:pStyle w:val="3"/>
        <w:ind w:firstLine="643"/>
        <w:rPr>
          <w:rFonts w:ascii="仿宋" w:hAnsi="仿宋" w:eastAsia="仿宋" w:cs="仿宋"/>
        </w:rPr>
      </w:pPr>
      <w:bookmarkStart w:id="17" w:name="_Toc4614"/>
      <w:bookmarkStart w:id="18" w:name="_Toc2142"/>
      <w:r>
        <w:rPr>
          <w:rFonts w:hint="eastAsia" w:ascii="仿宋" w:hAnsi="仿宋" w:eastAsia="仿宋" w:cs="仿宋"/>
        </w:rPr>
        <w:t>四、财政拨款收入支出决算总体情况说明</w:t>
      </w:r>
      <w:bookmarkEnd w:id="17"/>
      <w:bookmarkEnd w:id="18"/>
    </w:p>
    <w:p>
      <w:pPr>
        <w:ind w:firstLine="640"/>
        <w:rPr>
          <w:rFonts w:ascii="仿宋_GB2312"/>
          <w:szCs w:val="32"/>
        </w:rPr>
      </w:pPr>
      <w:r>
        <w:rPr>
          <w:rFonts w:hint="eastAsia" w:ascii="仿宋_GB2312"/>
          <w:szCs w:val="32"/>
        </w:rPr>
        <w:t>2021年度财政拨款收入</w:t>
      </w:r>
      <w:r>
        <w:rPr>
          <w:rFonts w:ascii="仿宋_GB2312"/>
          <w:szCs w:val="32"/>
        </w:rPr>
        <w:t>总计</w:t>
      </w:r>
      <w:r>
        <w:rPr>
          <w:rFonts w:hint="eastAsia" w:ascii="仿宋_GB2312"/>
          <w:szCs w:val="32"/>
        </w:rPr>
        <w:t>131.11万元、支出总计191.11万元。与2020年相比，财政拨款收入总计减少8.5万元，下降4.26%，财政拨款支出总计减少8.5万元，下降4.26%。主要原因是2021年项目资金减少。</w:t>
      </w:r>
    </w:p>
    <w:p>
      <w:pPr>
        <w:pStyle w:val="3"/>
        <w:ind w:firstLine="643"/>
        <w:rPr>
          <w:rFonts w:ascii="仿宋" w:hAnsi="仿宋" w:eastAsia="仿宋" w:cs="仿宋"/>
        </w:rPr>
      </w:pPr>
      <w:bookmarkStart w:id="19" w:name="_Toc6501"/>
      <w:bookmarkStart w:id="20" w:name="_Toc9341"/>
      <w:r>
        <w:rPr>
          <w:rFonts w:hint="eastAsia" w:ascii="仿宋" w:hAnsi="仿宋" w:eastAsia="仿宋" w:cs="仿宋"/>
        </w:rPr>
        <w:t>五、一般公共预算财政拨款支出决算情况说明</w:t>
      </w:r>
      <w:bookmarkEnd w:id="19"/>
      <w:bookmarkEnd w:id="20"/>
    </w:p>
    <w:p>
      <w:pPr>
        <w:spacing w:line="580" w:lineRule="exact"/>
        <w:ind w:firstLine="643"/>
        <w:rPr>
          <w:rFonts w:ascii="仿宋_GB2312"/>
          <w:b/>
          <w:szCs w:val="32"/>
        </w:rPr>
      </w:pPr>
      <w:r>
        <w:rPr>
          <w:rFonts w:hint="eastAsia" w:ascii="仿宋_GB2312"/>
          <w:b/>
          <w:szCs w:val="32"/>
        </w:rPr>
        <w:t>（一）财政拨款支出决算总体情况</w:t>
      </w:r>
    </w:p>
    <w:p>
      <w:pPr>
        <w:ind w:firstLine="640"/>
        <w:rPr>
          <w:rFonts w:ascii="仿宋_GB2312"/>
          <w:szCs w:val="32"/>
        </w:rPr>
      </w:pPr>
      <w:r>
        <w:rPr>
          <w:rFonts w:hint="eastAsia" w:ascii="仿宋_GB2312"/>
          <w:szCs w:val="32"/>
        </w:rPr>
        <w:t>2021年度财政拨款支出191.11万元，占本年支出合计的100%。与2020年相比，财政拨款支出减少8.5万元，下降4.26%。主要原因是2021年项目资金减少。其中，政府性基金预算支出50万元，占比26.16%。</w:t>
      </w:r>
    </w:p>
    <w:p>
      <w:pPr>
        <w:spacing w:line="580" w:lineRule="exact"/>
        <w:ind w:firstLine="643"/>
        <w:rPr>
          <w:rFonts w:ascii="仿宋_GB2312"/>
          <w:b/>
          <w:szCs w:val="32"/>
        </w:rPr>
      </w:pPr>
      <w:r>
        <w:rPr>
          <w:rFonts w:hint="eastAsia" w:ascii="仿宋_GB2312"/>
          <w:b/>
          <w:szCs w:val="32"/>
        </w:rPr>
        <w:t>（二）财政拨款</w:t>
      </w:r>
      <w:r>
        <w:rPr>
          <w:rFonts w:ascii="仿宋_GB2312"/>
          <w:b/>
          <w:szCs w:val="32"/>
        </w:rPr>
        <w:t>支出决算结构情况</w:t>
      </w:r>
    </w:p>
    <w:p>
      <w:pPr>
        <w:spacing w:line="580" w:lineRule="exact"/>
        <w:ind w:firstLine="640"/>
        <w:rPr>
          <w:rFonts w:ascii="仿宋_GB2312"/>
          <w:szCs w:val="32"/>
        </w:rPr>
      </w:pPr>
      <w:r>
        <w:rPr>
          <w:rFonts w:hint="eastAsia" w:ascii="仿宋_GB2312"/>
          <w:szCs w:val="32"/>
        </w:rPr>
        <w:t>2021年度</w:t>
      </w:r>
      <w:r>
        <w:rPr>
          <w:rFonts w:ascii="仿宋_GB2312"/>
          <w:szCs w:val="32"/>
        </w:rPr>
        <w:t>财政拨款支出</w:t>
      </w:r>
      <w:r>
        <w:rPr>
          <w:rFonts w:hint="eastAsia" w:ascii="仿宋_GB2312"/>
          <w:szCs w:val="32"/>
        </w:rPr>
        <w:t>191.11万元</w:t>
      </w:r>
      <w:r>
        <w:rPr>
          <w:rFonts w:ascii="仿宋_GB2312"/>
          <w:szCs w:val="32"/>
        </w:rPr>
        <w:t>，主要用于以下方面：</w:t>
      </w:r>
      <w:r>
        <w:rPr>
          <w:rFonts w:hint="eastAsia" w:ascii="仿宋_GB2312"/>
          <w:b/>
          <w:szCs w:val="32"/>
        </w:rPr>
        <w:t>文化旅游</w:t>
      </w:r>
      <w:r>
        <w:rPr>
          <w:rFonts w:ascii="仿宋_GB2312"/>
          <w:b/>
          <w:szCs w:val="32"/>
        </w:rPr>
        <w:t>体育与</w:t>
      </w:r>
      <w:r>
        <w:rPr>
          <w:rFonts w:hint="eastAsia" w:ascii="仿宋_GB2312"/>
          <w:b/>
          <w:szCs w:val="32"/>
        </w:rPr>
        <w:t>传媒</w:t>
      </w:r>
      <w:r>
        <w:rPr>
          <w:rFonts w:ascii="仿宋_GB2312"/>
          <w:b/>
          <w:szCs w:val="32"/>
        </w:rPr>
        <w:t>（</w:t>
      </w:r>
      <w:r>
        <w:rPr>
          <w:rFonts w:hint="eastAsia" w:ascii="仿宋_GB2312"/>
          <w:b/>
          <w:szCs w:val="32"/>
        </w:rPr>
        <w:t>类</w:t>
      </w:r>
      <w:r>
        <w:rPr>
          <w:rFonts w:ascii="仿宋_GB2312"/>
          <w:b/>
          <w:szCs w:val="32"/>
        </w:rPr>
        <w:t>）</w:t>
      </w:r>
      <w:r>
        <w:rPr>
          <w:rFonts w:hint="eastAsia" w:ascii="仿宋_GB2312"/>
          <w:szCs w:val="32"/>
        </w:rPr>
        <w:t>支出141.11万元</w:t>
      </w:r>
      <w:r>
        <w:rPr>
          <w:rFonts w:ascii="仿宋_GB2312"/>
          <w:szCs w:val="32"/>
        </w:rPr>
        <w:t>，占</w:t>
      </w:r>
      <w:r>
        <w:rPr>
          <w:rFonts w:hint="eastAsia" w:ascii="仿宋_GB2312"/>
          <w:szCs w:val="32"/>
        </w:rPr>
        <w:t>73.84</w:t>
      </w:r>
      <w:r>
        <w:rPr>
          <w:rFonts w:ascii="仿宋_GB2312"/>
          <w:szCs w:val="32"/>
        </w:rPr>
        <w:t>%；</w:t>
      </w:r>
      <w:r>
        <w:rPr>
          <w:rFonts w:hint="eastAsia" w:ascii="仿宋_GB2312"/>
          <w:b/>
          <w:szCs w:val="32"/>
        </w:rPr>
        <w:t>其他</w:t>
      </w:r>
      <w:r>
        <w:rPr>
          <w:rFonts w:ascii="仿宋_GB2312"/>
          <w:b/>
          <w:szCs w:val="32"/>
        </w:rPr>
        <w:t>（</w:t>
      </w:r>
      <w:r>
        <w:rPr>
          <w:rFonts w:hint="eastAsia" w:ascii="仿宋_GB2312"/>
          <w:b/>
          <w:szCs w:val="32"/>
        </w:rPr>
        <w:t>类</w:t>
      </w:r>
      <w:r>
        <w:rPr>
          <w:rFonts w:ascii="仿宋_GB2312"/>
          <w:b/>
          <w:szCs w:val="32"/>
        </w:rPr>
        <w:t>）</w:t>
      </w:r>
      <w:r>
        <w:rPr>
          <w:rFonts w:hint="eastAsia" w:ascii="仿宋_GB2312"/>
          <w:szCs w:val="32"/>
        </w:rPr>
        <w:t>支出50万元</w:t>
      </w:r>
      <w:r>
        <w:rPr>
          <w:rFonts w:ascii="仿宋_GB2312"/>
          <w:szCs w:val="32"/>
        </w:rPr>
        <w:t>，占</w:t>
      </w:r>
      <w:r>
        <w:rPr>
          <w:rFonts w:hint="eastAsia" w:ascii="仿宋_GB2312"/>
          <w:szCs w:val="32"/>
        </w:rPr>
        <w:t>26.16</w:t>
      </w:r>
      <w:r>
        <w:rPr>
          <w:rFonts w:ascii="仿宋_GB2312"/>
          <w:szCs w:val="32"/>
        </w:rPr>
        <w:t>%</w:t>
      </w:r>
      <w:r>
        <w:rPr>
          <w:rFonts w:hint="eastAsia" w:ascii="仿宋_GB2312"/>
          <w:szCs w:val="32"/>
        </w:rPr>
        <w:t>。</w:t>
      </w:r>
      <w:r>
        <w:rPr>
          <w:rFonts w:ascii="仿宋_GB2312"/>
          <w:szCs w:val="32"/>
        </w:rPr>
        <w:t xml:space="preserve"> </w:t>
      </w:r>
    </w:p>
    <w:p>
      <w:pPr>
        <w:spacing w:line="580" w:lineRule="exact"/>
        <w:ind w:firstLine="643"/>
        <w:rPr>
          <w:rFonts w:ascii="仿宋_GB2312"/>
          <w:b/>
          <w:szCs w:val="32"/>
        </w:rPr>
      </w:pPr>
      <w:r>
        <w:rPr>
          <w:rFonts w:hint="eastAsia" w:ascii="仿宋_GB2312"/>
          <w:b/>
          <w:szCs w:val="32"/>
        </w:rPr>
        <w:t>（三）财政拨款支出决算具体情况</w:t>
      </w:r>
    </w:p>
    <w:p>
      <w:pPr>
        <w:spacing w:line="580" w:lineRule="exact"/>
        <w:ind w:firstLine="640"/>
        <w:rPr>
          <w:rFonts w:ascii="仿宋" w:hAnsi="仿宋" w:eastAsia="仿宋" w:cs="仿宋"/>
          <w:szCs w:val="32"/>
        </w:rPr>
      </w:pPr>
      <w:r>
        <w:rPr>
          <w:rFonts w:hint="eastAsia"/>
          <w:szCs w:val="32"/>
        </w:rPr>
        <w:t>2</w:t>
      </w:r>
      <w:r>
        <w:rPr>
          <w:szCs w:val="32"/>
        </w:rPr>
        <w:t>02</w:t>
      </w:r>
      <w:r>
        <w:rPr>
          <w:rFonts w:hint="eastAsia"/>
          <w:szCs w:val="32"/>
        </w:rPr>
        <w:t>1年度财政拨款支出年初预算191.11万元，支出决算191.11万元，完成年初预算的100</w:t>
      </w:r>
      <w:r>
        <w:rPr>
          <w:szCs w:val="32"/>
        </w:rPr>
        <w:t>%</w:t>
      </w:r>
      <w:r>
        <w:rPr>
          <w:rFonts w:hint="eastAsia"/>
          <w:szCs w:val="32"/>
        </w:rPr>
        <w:t>。其中：</w:t>
      </w:r>
    </w:p>
    <w:p>
      <w:pPr>
        <w:ind w:firstLine="640"/>
        <w:jc w:val="left"/>
        <w:rPr>
          <w:rFonts w:ascii="仿宋" w:hAnsi="仿宋" w:eastAsia="仿宋" w:cs="仿宋"/>
          <w:szCs w:val="32"/>
        </w:rPr>
      </w:pPr>
      <w:r>
        <w:rPr>
          <w:rFonts w:hint="eastAsia" w:ascii="仿宋" w:hAnsi="仿宋" w:eastAsia="仿宋" w:cs="仿宋"/>
          <w:szCs w:val="32"/>
        </w:rPr>
        <w:t>（1）按功能科目分类对比如下：</w:t>
      </w:r>
    </w:p>
    <w:p>
      <w:pPr>
        <w:ind w:firstLine="640"/>
        <w:jc w:val="left"/>
        <w:rPr>
          <w:rFonts w:ascii="宋体" w:hAnsi="宋体" w:cs="Arial"/>
          <w:b/>
          <w:color w:val="000000"/>
          <w:kern w:val="0"/>
          <w:sz w:val="30"/>
          <w:szCs w:val="30"/>
        </w:rPr>
      </w:pPr>
      <w:r>
        <w:rPr>
          <w:rFonts w:hint="eastAsia" w:ascii="仿宋_GB231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021年度支出功能科目分类对比表    单位：万元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1"/>
        <w:gridCol w:w="2977"/>
        <w:gridCol w:w="1675"/>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291" w:type="dxa"/>
          </w:tcPr>
          <w:p>
            <w:pPr>
              <w:widowControl/>
              <w:ind w:firstLine="0" w:firstLineChars="0"/>
              <w:rPr>
                <w:rFonts w:ascii="宋体" w:hAnsi="宋体" w:cs="Arial"/>
                <w:b/>
                <w:color w:val="000000"/>
                <w:kern w:val="0"/>
                <w:sz w:val="18"/>
                <w:szCs w:val="18"/>
              </w:rPr>
            </w:pPr>
            <w:r>
              <w:rPr>
                <w:rFonts w:hint="eastAsia" w:ascii="宋体" w:hAnsi="宋体" w:cs="Arial"/>
                <w:b/>
                <w:color w:val="000000"/>
                <w:kern w:val="0"/>
                <w:sz w:val="18"/>
                <w:szCs w:val="18"/>
              </w:rPr>
              <w:t>科目代码</w:t>
            </w:r>
          </w:p>
        </w:tc>
        <w:tc>
          <w:tcPr>
            <w:tcW w:w="2977" w:type="dxa"/>
          </w:tcPr>
          <w:p>
            <w:pPr>
              <w:widowControl/>
              <w:ind w:firstLine="361"/>
              <w:rPr>
                <w:rFonts w:ascii="宋体" w:hAnsi="宋体" w:cs="Arial"/>
                <w:b/>
                <w:color w:val="000000"/>
                <w:kern w:val="0"/>
                <w:sz w:val="18"/>
                <w:szCs w:val="18"/>
              </w:rPr>
            </w:pPr>
            <w:r>
              <w:rPr>
                <w:rFonts w:hint="eastAsia" w:ascii="宋体" w:hAnsi="宋体" w:cs="Arial"/>
                <w:b/>
                <w:color w:val="000000"/>
                <w:kern w:val="0"/>
                <w:sz w:val="18"/>
                <w:szCs w:val="18"/>
              </w:rPr>
              <w:t>科目名称</w:t>
            </w:r>
          </w:p>
        </w:tc>
        <w:tc>
          <w:tcPr>
            <w:tcW w:w="1675" w:type="dxa"/>
          </w:tcPr>
          <w:p>
            <w:pPr>
              <w:widowControl/>
              <w:ind w:firstLine="361"/>
              <w:jc w:val="left"/>
              <w:rPr>
                <w:rFonts w:ascii="宋体" w:hAnsi="宋体" w:eastAsia="宋体" w:cs="Arial"/>
                <w:b/>
                <w:color w:val="000000"/>
                <w:kern w:val="0"/>
                <w:sz w:val="18"/>
                <w:szCs w:val="18"/>
              </w:rPr>
            </w:pPr>
            <w:r>
              <w:rPr>
                <w:rFonts w:hint="eastAsia" w:ascii="宋体" w:hAnsi="宋体" w:cs="Arial"/>
                <w:b/>
                <w:color w:val="000000"/>
                <w:kern w:val="0"/>
                <w:sz w:val="18"/>
                <w:szCs w:val="18"/>
              </w:rPr>
              <w:t>2020年</w:t>
            </w:r>
          </w:p>
        </w:tc>
        <w:tc>
          <w:tcPr>
            <w:tcW w:w="1684" w:type="dxa"/>
          </w:tcPr>
          <w:p>
            <w:pPr>
              <w:widowControl/>
              <w:ind w:firstLine="361"/>
              <w:jc w:val="left"/>
              <w:rPr>
                <w:rFonts w:ascii="宋体" w:hAnsi="宋体" w:eastAsia="宋体" w:cs="Arial"/>
                <w:b/>
                <w:color w:val="000000"/>
                <w:kern w:val="0"/>
                <w:sz w:val="18"/>
                <w:szCs w:val="18"/>
              </w:rPr>
            </w:pPr>
            <w:r>
              <w:rPr>
                <w:rFonts w:hint="eastAsia" w:ascii="宋体" w:hAnsi="宋体" w:eastAsia="宋体" w:cs="Arial"/>
                <w:b/>
                <w:color w:val="000000"/>
                <w:kern w:val="0"/>
                <w:sz w:val="18"/>
                <w:szCs w:val="18"/>
              </w:rPr>
              <w:t>2021年</w:t>
            </w:r>
          </w:p>
        </w:tc>
        <w:tc>
          <w:tcPr>
            <w:tcW w:w="1393" w:type="dxa"/>
          </w:tcPr>
          <w:p>
            <w:pPr>
              <w:widowControl/>
              <w:ind w:firstLine="0" w:firstLineChars="0"/>
              <w:jc w:val="left"/>
              <w:rPr>
                <w:rFonts w:ascii="宋体" w:hAnsi="宋体" w:eastAsia="宋体" w:cs="Arial"/>
                <w:b/>
                <w:color w:val="000000"/>
                <w:kern w:val="0"/>
                <w:sz w:val="18"/>
                <w:szCs w:val="18"/>
              </w:rPr>
            </w:pPr>
            <w:r>
              <w:rPr>
                <w:rFonts w:hint="eastAsia" w:ascii="宋体" w:hAnsi="宋体" w:cs="Arial"/>
                <w:b/>
                <w:color w:val="000000"/>
                <w:kern w:val="0"/>
                <w:sz w:val="18"/>
                <w:szCs w:val="18"/>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91" w:type="dxa"/>
          </w:tcPr>
          <w:p>
            <w:pPr>
              <w:ind w:firstLine="480"/>
              <w:jc w:val="left"/>
              <w:rPr>
                <w:rFonts w:ascii="仿宋" w:hAnsi="仿宋" w:eastAsia="仿宋" w:cs="仿宋"/>
                <w:sz w:val="24"/>
                <w:szCs w:val="24"/>
              </w:rPr>
            </w:pPr>
            <w:r>
              <w:rPr>
                <w:rFonts w:hint="eastAsia" w:ascii="仿宋" w:hAnsi="仿宋" w:eastAsia="仿宋" w:cs="仿宋"/>
                <w:sz w:val="24"/>
                <w:szCs w:val="24"/>
              </w:rPr>
              <w:t>合计</w:t>
            </w:r>
          </w:p>
        </w:tc>
        <w:tc>
          <w:tcPr>
            <w:tcW w:w="2977" w:type="dxa"/>
          </w:tcPr>
          <w:p>
            <w:pPr>
              <w:ind w:firstLine="0" w:firstLineChars="0"/>
              <w:jc w:val="left"/>
              <w:rPr>
                <w:rFonts w:ascii="仿宋" w:hAnsi="仿宋" w:eastAsia="仿宋" w:cs="仿宋"/>
                <w:sz w:val="24"/>
                <w:szCs w:val="24"/>
              </w:rPr>
            </w:pPr>
            <w:r>
              <w:rPr>
                <w:rFonts w:hint="eastAsia" w:ascii="仿宋" w:hAnsi="仿宋" w:eastAsia="仿宋" w:cs="仿宋"/>
                <w:sz w:val="24"/>
                <w:szCs w:val="24"/>
              </w:rPr>
              <w:t xml:space="preserve"> </w:t>
            </w:r>
          </w:p>
        </w:tc>
        <w:tc>
          <w:tcPr>
            <w:tcW w:w="1675" w:type="dxa"/>
          </w:tcPr>
          <w:p>
            <w:pPr>
              <w:ind w:firstLine="360"/>
              <w:jc w:val="center"/>
              <w:rPr>
                <w:rFonts w:ascii="仿宋" w:hAnsi="仿宋" w:eastAsia="仿宋" w:cs="仿宋"/>
                <w:color w:val="000000"/>
                <w:sz w:val="18"/>
                <w:szCs w:val="18"/>
              </w:rPr>
            </w:pPr>
            <w:r>
              <w:rPr>
                <w:rFonts w:hint="eastAsia" w:ascii="仿宋" w:hAnsi="仿宋" w:eastAsia="仿宋" w:cs="仿宋"/>
                <w:color w:val="000000"/>
                <w:sz w:val="18"/>
                <w:szCs w:val="18"/>
              </w:rPr>
              <w:t>199.61</w:t>
            </w:r>
          </w:p>
        </w:tc>
        <w:tc>
          <w:tcPr>
            <w:tcW w:w="1684" w:type="dxa"/>
          </w:tcPr>
          <w:p>
            <w:pPr>
              <w:ind w:firstLine="360"/>
              <w:jc w:val="center"/>
              <w:rPr>
                <w:rFonts w:ascii="仿宋" w:hAnsi="仿宋" w:eastAsia="仿宋" w:cs="仿宋"/>
                <w:color w:val="000000"/>
                <w:sz w:val="18"/>
                <w:szCs w:val="18"/>
              </w:rPr>
            </w:pPr>
            <w:r>
              <w:rPr>
                <w:rFonts w:hint="eastAsia" w:ascii="仿宋" w:hAnsi="仿宋" w:eastAsia="仿宋" w:cs="仿宋"/>
                <w:color w:val="000000"/>
                <w:sz w:val="18"/>
                <w:szCs w:val="18"/>
              </w:rPr>
              <w:t>191.11</w:t>
            </w:r>
          </w:p>
        </w:tc>
        <w:tc>
          <w:tcPr>
            <w:tcW w:w="1393" w:type="dxa"/>
          </w:tcPr>
          <w:p>
            <w:pPr>
              <w:ind w:firstLine="480"/>
              <w:jc w:val="left"/>
              <w:rPr>
                <w:rFonts w:ascii="仿宋" w:hAnsi="仿宋" w:eastAsia="仿宋" w:cs="仿宋"/>
                <w:color w:val="000000"/>
                <w:sz w:val="24"/>
                <w:szCs w:val="24"/>
              </w:rPr>
            </w:pPr>
            <w:r>
              <w:rPr>
                <w:rFonts w:hint="eastAsia" w:ascii="仿宋" w:hAnsi="仿宋" w:eastAsia="仿宋" w:cs="仿宋"/>
                <w:color w:val="000000"/>
                <w:sz w:val="24"/>
                <w:szCs w:val="24"/>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91" w:type="dxa"/>
          </w:tcPr>
          <w:p>
            <w:pPr>
              <w:ind w:firstLine="360"/>
              <w:jc w:val="left"/>
              <w:rPr>
                <w:rFonts w:ascii="仿宋" w:hAnsi="仿宋" w:eastAsia="仿宋" w:cs="仿宋"/>
                <w:sz w:val="18"/>
                <w:szCs w:val="18"/>
              </w:rPr>
            </w:pPr>
            <w:r>
              <w:rPr>
                <w:rFonts w:hint="eastAsia" w:ascii="仿宋" w:hAnsi="仿宋" w:eastAsia="仿宋" w:cs="仿宋"/>
                <w:sz w:val="18"/>
                <w:szCs w:val="18"/>
              </w:rPr>
              <w:t>207</w:t>
            </w:r>
          </w:p>
        </w:tc>
        <w:tc>
          <w:tcPr>
            <w:tcW w:w="2977" w:type="dxa"/>
          </w:tcPr>
          <w:p>
            <w:pPr>
              <w:ind w:firstLine="0" w:firstLineChars="0"/>
              <w:jc w:val="left"/>
              <w:rPr>
                <w:rFonts w:ascii="仿宋" w:hAnsi="仿宋" w:eastAsia="仿宋" w:cs="仿宋"/>
                <w:sz w:val="18"/>
                <w:szCs w:val="18"/>
              </w:rPr>
            </w:pPr>
            <w:r>
              <w:rPr>
                <w:rFonts w:hint="eastAsia" w:ascii="仿宋" w:hAnsi="仿宋" w:eastAsia="仿宋" w:cs="仿宋"/>
                <w:sz w:val="18"/>
                <w:szCs w:val="18"/>
              </w:rPr>
              <w:t>文化旅游体育与传媒支出</w:t>
            </w:r>
          </w:p>
        </w:tc>
        <w:tc>
          <w:tcPr>
            <w:tcW w:w="1675" w:type="dxa"/>
            <w:vAlign w:val="center"/>
          </w:tcPr>
          <w:p>
            <w:pPr>
              <w:widowControl/>
              <w:ind w:firstLine="36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109.51</w:t>
            </w:r>
          </w:p>
        </w:tc>
        <w:tc>
          <w:tcPr>
            <w:tcW w:w="1684" w:type="dxa"/>
            <w:vAlign w:val="center"/>
          </w:tcPr>
          <w:p>
            <w:pPr>
              <w:widowControl/>
              <w:ind w:firstLine="36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141.11</w:t>
            </w:r>
          </w:p>
        </w:tc>
        <w:tc>
          <w:tcPr>
            <w:tcW w:w="1393" w:type="dxa"/>
          </w:tcPr>
          <w:p>
            <w:pPr>
              <w:ind w:firstLine="480"/>
              <w:jc w:val="left"/>
              <w:rPr>
                <w:rFonts w:ascii="仿宋" w:hAnsi="仿宋" w:eastAsia="仿宋" w:cs="仿宋"/>
                <w:color w:val="000000"/>
                <w:sz w:val="24"/>
                <w:szCs w:val="24"/>
              </w:rPr>
            </w:pPr>
            <w:r>
              <w:rPr>
                <w:rFonts w:hint="eastAsia" w:ascii="仿宋" w:hAnsi="仿宋" w:eastAsia="仿宋" w:cs="仿宋"/>
                <w:color w:val="000000"/>
                <w:sz w:val="24"/>
                <w:szCs w:val="24"/>
              </w:rPr>
              <w:t>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291" w:type="dxa"/>
          </w:tcPr>
          <w:p>
            <w:pPr>
              <w:ind w:firstLine="360"/>
              <w:jc w:val="left"/>
              <w:rPr>
                <w:rFonts w:ascii="仿宋" w:hAnsi="仿宋" w:eastAsia="仿宋" w:cs="仿宋"/>
                <w:sz w:val="18"/>
                <w:szCs w:val="18"/>
              </w:rPr>
            </w:pPr>
            <w:r>
              <w:rPr>
                <w:rFonts w:hint="eastAsia" w:ascii="仿宋" w:hAnsi="仿宋" w:eastAsia="仿宋" w:cs="仿宋"/>
                <w:sz w:val="18"/>
                <w:szCs w:val="18"/>
              </w:rPr>
              <w:t>20701</w:t>
            </w:r>
          </w:p>
        </w:tc>
        <w:tc>
          <w:tcPr>
            <w:tcW w:w="2977" w:type="dxa"/>
          </w:tcPr>
          <w:p>
            <w:pPr>
              <w:ind w:firstLine="360"/>
              <w:jc w:val="left"/>
              <w:rPr>
                <w:rFonts w:ascii="仿宋" w:hAnsi="仿宋" w:eastAsia="仿宋" w:cs="仿宋"/>
                <w:sz w:val="18"/>
                <w:szCs w:val="18"/>
              </w:rPr>
            </w:pPr>
            <w:r>
              <w:rPr>
                <w:rFonts w:hint="eastAsia" w:ascii="仿宋" w:hAnsi="仿宋" w:eastAsia="仿宋" w:cs="仿宋"/>
                <w:sz w:val="18"/>
                <w:szCs w:val="18"/>
              </w:rPr>
              <w:t>文化和旅游</w:t>
            </w:r>
          </w:p>
        </w:tc>
        <w:tc>
          <w:tcPr>
            <w:tcW w:w="1675" w:type="dxa"/>
            <w:vAlign w:val="center"/>
          </w:tcPr>
          <w:p>
            <w:pPr>
              <w:widowControl/>
              <w:ind w:firstLine="36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99.51</w:t>
            </w:r>
          </w:p>
        </w:tc>
        <w:tc>
          <w:tcPr>
            <w:tcW w:w="1684" w:type="dxa"/>
            <w:vAlign w:val="center"/>
          </w:tcPr>
          <w:p>
            <w:pPr>
              <w:widowControl/>
              <w:ind w:firstLine="36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131.11</w:t>
            </w:r>
          </w:p>
        </w:tc>
        <w:tc>
          <w:tcPr>
            <w:tcW w:w="1393" w:type="dxa"/>
          </w:tcPr>
          <w:p>
            <w:pPr>
              <w:ind w:firstLine="480"/>
              <w:jc w:val="left"/>
              <w:rPr>
                <w:rFonts w:ascii="仿宋" w:hAnsi="仿宋" w:eastAsia="仿宋" w:cs="仿宋"/>
                <w:color w:val="000000"/>
                <w:sz w:val="24"/>
                <w:szCs w:val="24"/>
              </w:rPr>
            </w:pPr>
            <w:r>
              <w:rPr>
                <w:rFonts w:hint="eastAsia" w:ascii="仿宋" w:hAnsi="仿宋" w:eastAsia="仿宋" w:cs="仿宋"/>
                <w:color w:val="000000"/>
                <w:sz w:val="24"/>
                <w:szCs w:val="24"/>
              </w:rPr>
              <w:t>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291" w:type="dxa"/>
          </w:tcPr>
          <w:p>
            <w:pPr>
              <w:ind w:firstLine="360"/>
              <w:jc w:val="left"/>
              <w:rPr>
                <w:rFonts w:ascii="仿宋" w:hAnsi="仿宋" w:eastAsia="仿宋" w:cs="仿宋"/>
                <w:sz w:val="18"/>
                <w:szCs w:val="18"/>
              </w:rPr>
            </w:pPr>
            <w:r>
              <w:rPr>
                <w:rFonts w:hint="eastAsia" w:ascii="仿宋" w:hAnsi="仿宋" w:eastAsia="仿宋" w:cs="仿宋"/>
                <w:sz w:val="18"/>
                <w:szCs w:val="18"/>
              </w:rPr>
              <w:t>2070109</w:t>
            </w:r>
          </w:p>
        </w:tc>
        <w:tc>
          <w:tcPr>
            <w:tcW w:w="2977" w:type="dxa"/>
          </w:tcPr>
          <w:p>
            <w:pPr>
              <w:ind w:firstLine="360"/>
              <w:jc w:val="left"/>
              <w:rPr>
                <w:rFonts w:ascii="仿宋" w:hAnsi="仿宋" w:eastAsia="仿宋" w:cs="仿宋"/>
                <w:sz w:val="18"/>
                <w:szCs w:val="18"/>
              </w:rPr>
            </w:pPr>
            <w:r>
              <w:rPr>
                <w:rFonts w:hint="eastAsia" w:ascii="仿宋" w:hAnsi="仿宋" w:eastAsia="仿宋" w:cs="仿宋"/>
                <w:sz w:val="18"/>
                <w:szCs w:val="18"/>
              </w:rPr>
              <w:t xml:space="preserve"> 群众文化</w:t>
            </w:r>
          </w:p>
        </w:tc>
        <w:tc>
          <w:tcPr>
            <w:tcW w:w="1675" w:type="dxa"/>
            <w:vAlign w:val="center"/>
          </w:tcPr>
          <w:p>
            <w:pPr>
              <w:widowControl/>
              <w:ind w:firstLine="36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99.51</w:t>
            </w:r>
          </w:p>
        </w:tc>
        <w:tc>
          <w:tcPr>
            <w:tcW w:w="1684" w:type="dxa"/>
            <w:vAlign w:val="center"/>
          </w:tcPr>
          <w:p>
            <w:pPr>
              <w:widowControl/>
              <w:ind w:firstLine="36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90.42</w:t>
            </w:r>
          </w:p>
        </w:tc>
        <w:tc>
          <w:tcPr>
            <w:tcW w:w="1393" w:type="dxa"/>
          </w:tcPr>
          <w:p>
            <w:pPr>
              <w:ind w:firstLine="480"/>
              <w:jc w:val="left"/>
              <w:rPr>
                <w:rFonts w:ascii="仿宋" w:hAnsi="仿宋" w:eastAsia="仿宋" w:cs="仿宋"/>
                <w:color w:val="000000"/>
                <w:sz w:val="24"/>
                <w:szCs w:val="24"/>
              </w:rPr>
            </w:pPr>
            <w:r>
              <w:rPr>
                <w:rFonts w:hint="eastAsia" w:ascii="仿宋" w:hAnsi="仿宋" w:eastAsia="仿宋" w:cs="仿宋"/>
                <w:color w:val="000000"/>
                <w:sz w:val="24"/>
                <w:szCs w:val="24"/>
              </w:rPr>
              <w:t>-9.09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291" w:type="dxa"/>
          </w:tcPr>
          <w:p>
            <w:pPr>
              <w:ind w:firstLine="360"/>
              <w:jc w:val="left"/>
              <w:rPr>
                <w:rFonts w:ascii="仿宋" w:hAnsi="仿宋" w:eastAsia="仿宋" w:cs="仿宋"/>
                <w:sz w:val="18"/>
                <w:szCs w:val="18"/>
              </w:rPr>
            </w:pPr>
            <w:r>
              <w:rPr>
                <w:rFonts w:hint="eastAsia" w:ascii="仿宋" w:hAnsi="仿宋" w:eastAsia="仿宋" w:cs="仿宋"/>
                <w:sz w:val="18"/>
                <w:szCs w:val="18"/>
              </w:rPr>
              <w:t>2070111</w:t>
            </w:r>
          </w:p>
        </w:tc>
        <w:tc>
          <w:tcPr>
            <w:tcW w:w="2977" w:type="dxa"/>
          </w:tcPr>
          <w:p>
            <w:pPr>
              <w:ind w:firstLine="0" w:firstLineChars="0"/>
              <w:jc w:val="left"/>
              <w:rPr>
                <w:rFonts w:ascii="仿宋" w:hAnsi="仿宋" w:eastAsia="仿宋" w:cs="仿宋"/>
                <w:sz w:val="18"/>
                <w:szCs w:val="18"/>
              </w:rPr>
            </w:pPr>
            <w:r>
              <w:rPr>
                <w:rFonts w:hint="eastAsia" w:ascii="仿宋" w:hAnsi="仿宋" w:eastAsia="仿宋" w:cs="仿宋"/>
                <w:sz w:val="18"/>
                <w:szCs w:val="18"/>
              </w:rPr>
              <w:t>文化创作与保护</w:t>
            </w:r>
          </w:p>
        </w:tc>
        <w:tc>
          <w:tcPr>
            <w:tcW w:w="1675" w:type="dxa"/>
          </w:tcPr>
          <w:p>
            <w:pPr>
              <w:ind w:firstLine="360"/>
              <w:jc w:val="center"/>
              <w:rPr>
                <w:rFonts w:ascii="仿宋" w:hAnsi="仿宋" w:eastAsia="仿宋" w:cs="仿宋"/>
                <w:color w:val="000000"/>
                <w:sz w:val="18"/>
                <w:szCs w:val="18"/>
              </w:rPr>
            </w:pPr>
          </w:p>
        </w:tc>
        <w:tc>
          <w:tcPr>
            <w:tcW w:w="1684" w:type="dxa"/>
          </w:tcPr>
          <w:p>
            <w:pPr>
              <w:ind w:firstLine="540" w:firstLineChars="300"/>
              <w:jc w:val="center"/>
              <w:rPr>
                <w:rFonts w:ascii="仿宋" w:hAnsi="仿宋" w:eastAsia="仿宋" w:cs="仿宋"/>
                <w:color w:val="000000"/>
                <w:sz w:val="18"/>
                <w:szCs w:val="18"/>
              </w:rPr>
            </w:pPr>
            <w:r>
              <w:rPr>
                <w:rFonts w:hint="eastAsia" w:ascii="仿宋" w:hAnsi="仿宋" w:eastAsia="仿宋" w:cs="仿宋"/>
                <w:color w:val="000000"/>
                <w:sz w:val="18"/>
                <w:szCs w:val="18"/>
              </w:rPr>
              <w:t>1.2</w:t>
            </w:r>
          </w:p>
        </w:tc>
        <w:tc>
          <w:tcPr>
            <w:tcW w:w="1393" w:type="dxa"/>
          </w:tcPr>
          <w:p>
            <w:pPr>
              <w:ind w:firstLine="480"/>
              <w:jc w:val="left"/>
              <w:rPr>
                <w:rFonts w:ascii="仿宋" w:hAnsi="仿宋" w:eastAsia="仿宋" w:cs="仿宋"/>
                <w:color w:val="000000"/>
                <w:sz w:val="24"/>
                <w:szCs w:val="24"/>
              </w:rPr>
            </w:pPr>
            <w:r>
              <w:rPr>
                <w:rFonts w:hint="eastAsia" w:ascii="仿宋" w:hAnsi="仿宋" w:eastAsia="仿宋" w:cs="仿宋"/>
                <w:color w:val="00000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291" w:type="dxa"/>
          </w:tcPr>
          <w:p>
            <w:pPr>
              <w:ind w:firstLine="360"/>
              <w:jc w:val="left"/>
              <w:rPr>
                <w:rFonts w:ascii="仿宋" w:hAnsi="仿宋" w:eastAsia="仿宋" w:cs="仿宋"/>
                <w:sz w:val="18"/>
                <w:szCs w:val="18"/>
              </w:rPr>
            </w:pPr>
            <w:r>
              <w:rPr>
                <w:rFonts w:hint="eastAsia" w:ascii="仿宋" w:hAnsi="仿宋" w:eastAsia="仿宋" w:cs="仿宋"/>
                <w:sz w:val="18"/>
                <w:szCs w:val="18"/>
              </w:rPr>
              <w:t>2070199</w:t>
            </w:r>
          </w:p>
        </w:tc>
        <w:tc>
          <w:tcPr>
            <w:tcW w:w="2977" w:type="dxa"/>
          </w:tcPr>
          <w:p>
            <w:pPr>
              <w:ind w:firstLine="360"/>
              <w:jc w:val="left"/>
              <w:rPr>
                <w:rFonts w:ascii="仿宋" w:hAnsi="仿宋" w:eastAsia="仿宋" w:cs="仿宋"/>
                <w:sz w:val="18"/>
                <w:szCs w:val="18"/>
              </w:rPr>
            </w:pPr>
            <w:r>
              <w:rPr>
                <w:rFonts w:hint="eastAsia" w:ascii="仿宋" w:hAnsi="仿宋" w:eastAsia="仿宋" w:cs="仿宋"/>
                <w:sz w:val="18"/>
                <w:szCs w:val="18"/>
              </w:rPr>
              <w:t>其他文化和旅游支出</w:t>
            </w:r>
          </w:p>
        </w:tc>
        <w:tc>
          <w:tcPr>
            <w:tcW w:w="1675" w:type="dxa"/>
            <w:vAlign w:val="center"/>
          </w:tcPr>
          <w:p>
            <w:pPr>
              <w:widowControl/>
              <w:ind w:firstLine="360"/>
              <w:jc w:val="center"/>
              <w:textAlignment w:val="center"/>
              <w:rPr>
                <w:rFonts w:ascii="仿宋" w:hAnsi="仿宋" w:eastAsia="仿宋" w:cs="仿宋"/>
                <w:color w:val="000000"/>
                <w:kern w:val="0"/>
                <w:sz w:val="18"/>
                <w:szCs w:val="18"/>
                <w:lang w:bidi="ar"/>
              </w:rPr>
            </w:pPr>
          </w:p>
        </w:tc>
        <w:tc>
          <w:tcPr>
            <w:tcW w:w="1684" w:type="dxa"/>
            <w:vAlign w:val="center"/>
          </w:tcPr>
          <w:p>
            <w:pPr>
              <w:widowControl/>
              <w:ind w:firstLine="36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39.49</w:t>
            </w:r>
          </w:p>
        </w:tc>
        <w:tc>
          <w:tcPr>
            <w:tcW w:w="1393" w:type="dxa"/>
          </w:tcPr>
          <w:p>
            <w:pPr>
              <w:ind w:firstLine="480"/>
              <w:jc w:val="left"/>
              <w:rPr>
                <w:rFonts w:ascii="仿宋" w:hAnsi="仿宋" w:eastAsia="仿宋" w:cs="仿宋"/>
                <w:color w:val="000000"/>
                <w:sz w:val="24"/>
                <w:szCs w:val="24"/>
              </w:rPr>
            </w:pPr>
            <w:r>
              <w:rPr>
                <w:rFonts w:hint="eastAsia" w:ascii="仿宋" w:hAnsi="仿宋" w:eastAsia="仿宋" w:cs="仿宋"/>
                <w:color w:val="000000"/>
                <w:sz w:val="24"/>
                <w:szCs w:val="24"/>
              </w:rPr>
              <w:t>39.49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291" w:type="dxa"/>
          </w:tcPr>
          <w:p>
            <w:pPr>
              <w:ind w:firstLine="360"/>
              <w:jc w:val="left"/>
              <w:rPr>
                <w:rFonts w:ascii="仿宋" w:hAnsi="仿宋" w:eastAsia="仿宋" w:cs="仿宋"/>
                <w:sz w:val="18"/>
                <w:szCs w:val="18"/>
              </w:rPr>
            </w:pPr>
            <w:r>
              <w:rPr>
                <w:rFonts w:hint="eastAsia" w:ascii="仿宋" w:hAnsi="仿宋" w:eastAsia="仿宋" w:cs="仿宋"/>
                <w:sz w:val="18"/>
                <w:szCs w:val="18"/>
              </w:rPr>
              <w:t>20799</w:t>
            </w:r>
          </w:p>
        </w:tc>
        <w:tc>
          <w:tcPr>
            <w:tcW w:w="2977" w:type="dxa"/>
          </w:tcPr>
          <w:p>
            <w:pPr>
              <w:ind w:firstLine="360"/>
              <w:rPr>
                <w:rFonts w:ascii="仿宋" w:hAnsi="仿宋" w:eastAsia="仿宋" w:cs="仿宋"/>
                <w:sz w:val="18"/>
                <w:szCs w:val="18"/>
              </w:rPr>
            </w:pPr>
            <w:r>
              <w:rPr>
                <w:rFonts w:hint="eastAsia" w:ascii="仿宋" w:hAnsi="仿宋" w:eastAsia="仿宋" w:cs="仿宋"/>
                <w:sz w:val="18"/>
                <w:szCs w:val="18"/>
              </w:rPr>
              <w:t>其他文化旅游体育与传媒支出</w:t>
            </w:r>
          </w:p>
        </w:tc>
        <w:tc>
          <w:tcPr>
            <w:tcW w:w="1675" w:type="dxa"/>
            <w:vAlign w:val="center"/>
          </w:tcPr>
          <w:p>
            <w:pPr>
              <w:widowControl/>
              <w:ind w:firstLine="360"/>
              <w:jc w:val="center"/>
              <w:textAlignment w:val="center"/>
              <w:rPr>
                <w:rFonts w:ascii="仿宋" w:hAnsi="仿宋" w:eastAsia="仿宋" w:cs="仿宋"/>
                <w:color w:val="000000"/>
                <w:kern w:val="0"/>
                <w:sz w:val="18"/>
                <w:szCs w:val="18"/>
                <w:lang w:bidi="ar"/>
              </w:rPr>
            </w:pPr>
            <w:r>
              <w:rPr>
                <w:rFonts w:hint="eastAsia" w:ascii="仿宋" w:hAnsi="仿宋" w:eastAsia="仿宋" w:cs="仿宋"/>
                <w:color w:val="000000"/>
                <w:kern w:val="0"/>
                <w:sz w:val="18"/>
                <w:szCs w:val="18"/>
                <w:lang w:bidi="ar"/>
              </w:rPr>
              <w:t>50.1</w:t>
            </w:r>
          </w:p>
        </w:tc>
        <w:tc>
          <w:tcPr>
            <w:tcW w:w="1684" w:type="dxa"/>
            <w:vAlign w:val="center"/>
          </w:tcPr>
          <w:p>
            <w:pPr>
              <w:widowControl/>
              <w:ind w:firstLine="36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10</w:t>
            </w:r>
          </w:p>
        </w:tc>
        <w:tc>
          <w:tcPr>
            <w:tcW w:w="1393" w:type="dxa"/>
          </w:tcPr>
          <w:p>
            <w:pPr>
              <w:ind w:firstLine="480"/>
              <w:jc w:val="left"/>
              <w:rPr>
                <w:rFonts w:ascii="仿宋" w:hAnsi="仿宋" w:eastAsia="仿宋" w:cs="仿宋"/>
                <w:color w:val="000000"/>
                <w:sz w:val="24"/>
                <w:szCs w:val="24"/>
              </w:rPr>
            </w:pPr>
            <w:r>
              <w:rPr>
                <w:rFonts w:hint="eastAsia" w:ascii="仿宋" w:hAnsi="仿宋" w:eastAsia="仿宋" w:cs="仿宋"/>
                <w:color w:val="000000"/>
                <w:sz w:val="24"/>
                <w:szCs w:val="24"/>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291" w:type="dxa"/>
          </w:tcPr>
          <w:p>
            <w:pPr>
              <w:ind w:firstLine="360"/>
              <w:jc w:val="left"/>
              <w:rPr>
                <w:rFonts w:ascii="仿宋" w:hAnsi="仿宋" w:eastAsia="仿宋" w:cs="仿宋"/>
                <w:sz w:val="18"/>
                <w:szCs w:val="18"/>
              </w:rPr>
            </w:pPr>
            <w:r>
              <w:rPr>
                <w:rFonts w:hint="eastAsia" w:ascii="仿宋" w:hAnsi="仿宋" w:eastAsia="仿宋" w:cs="仿宋"/>
                <w:sz w:val="18"/>
                <w:szCs w:val="18"/>
              </w:rPr>
              <w:t>2079999</w:t>
            </w:r>
          </w:p>
        </w:tc>
        <w:tc>
          <w:tcPr>
            <w:tcW w:w="2977" w:type="dxa"/>
          </w:tcPr>
          <w:p>
            <w:pPr>
              <w:ind w:firstLine="0" w:firstLineChars="0"/>
              <w:jc w:val="center"/>
              <w:rPr>
                <w:rFonts w:ascii="仿宋" w:hAnsi="仿宋" w:eastAsia="仿宋" w:cs="仿宋"/>
                <w:sz w:val="18"/>
                <w:szCs w:val="18"/>
              </w:rPr>
            </w:pPr>
            <w:r>
              <w:rPr>
                <w:rFonts w:hint="eastAsia" w:ascii="仿宋" w:hAnsi="仿宋" w:eastAsia="仿宋" w:cs="仿宋"/>
                <w:sz w:val="18"/>
                <w:szCs w:val="18"/>
              </w:rPr>
              <w:t>其他文化旅游体育与传媒支出</w:t>
            </w:r>
          </w:p>
        </w:tc>
        <w:tc>
          <w:tcPr>
            <w:tcW w:w="1675" w:type="dxa"/>
            <w:vAlign w:val="center"/>
          </w:tcPr>
          <w:p>
            <w:pPr>
              <w:widowControl/>
              <w:ind w:firstLine="360"/>
              <w:jc w:val="center"/>
              <w:textAlignment w:val="center"/>
              <w:rPr>
                <w:rFonts w:ascii="仿宋" w:hAnsi="仿宋" w:eastAsia="仿宋" w:cs="仿宋"/>
                <w:color w:val="000000"/>
                <w:kern w:val="0"/>
                <w:sz w:val="18"/>
                <w:szCs w:val="18"/>
                <w:lang w:bidi="ar"/>
              </w:rPr>
            </w:pPr>
            <w:r>
              <w:rPr>
                <w:rFonts w:hint="eastAsia" w:ascii="仿宋" w:hAnsi="仿宋" w:eastAsia="仿宋" w:cs="仿宋"/>
                <w:color w:val="000000"/>
                <w:kern w:val="0"/>
                <w:sz w:val="18"/>
                <w:szCs w:val="18"/>
                <w:lang w:bidi="ar"/>
              </w:rPr>
              <w:t>50.1</w:t>
            </w:r>
          </w:p>
        </w:tc>
        <w:tc>
          <w:tcPr>
            <w:tcW w:w="1684" w:type="dxa"/>
            <w:vAlign w:val="center"/>
          </w:tcPr>
          <w:p>
            <w:pPr>
              <w:widowControl/>
              <w:ind w:firstLine="36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10</w:t>
            </w:r>
          </w:p>
        </w:tc>
        <w:tc>
          <w:tcPr>
            <w:tcW w:w="1393" w:type="dxa"/>
          </w:tcPr>
          <w:p>
            <w:pPr>
              <w:ind w:firstLine="480"/>
              <w:jc w:val="left"/>
              <w:rPr>
                <w:rFonts w:ascii="仿宋" w:hAnsi="仿宋" w:eastAsia="仿宋" w:cs="仿宋"/>
                <w:color w:val="000000"/>
                <w:sz w:val="24"/>
                <w:szCs w:val="24"/>
              </w:rPr>
            </w:pPr>
            <w:r>
              <w:rPr>
                <w:rFonts w:hint="eastAsia" w:ascii="仿宋" w:hAnsi="仿宋" w:eastAsia="仿宋" w:cs="仿宋"/>
                <w:color w:val="000000"/>
                <w:sz w:val="24"/>
                <w:szCs w:val="24"/>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291" w:type="dxa"/>
          </w:tcPr>
          <w:p>
            <w:pPr>
              <w:ind w:firstLine="360"/>
              <w:jc w:val="left"/>
              <w:rPr>
                <w:rFonts w:ascii="仿宋" w:hAnsi="仿宋" w:eastAsia="仿宋" w:cs="仿宋"/>
                <w:sz w:val="18"/>
                <w:szCs w:val="18"/>
              </w:rPr>
            </w:pPr>
            <w:r>
              <w:rPr>
                <w:rFonts w:hint="eastAsia" w:ascii="仿宋" w:hAnsi="仿宋" w:eastAsia="仿宋" w:cs="仿宋"/>
                <w:sz w:val="18"/>
                <w:szCs w:val="18"/>
              </w:rPr>
              <w:t>229</w:t>
            </w:r>
          </w:p>
        </w:tc>
        <w:tc>
          <w:tcPr>
            <w:tcW w:w="2977" w:type="dxa"/>
          </w:tcPr>
          <w:p>
            <w:pPr>
              <w:ind w:firstLine="360"/>
              <w:jc w:val="left"/>
              <w:rPr>
                <w:rFonts w:ascii="仿宋" w:hAnsi="仿宋" w:eastAsia="仿宋" w:cs="仿宋"/>
                <w:sz w:val="18"/>
                <w:szCs w:val="18"/>
              </w:rPr>
            </w:pPr>
            <w:r>
              <w:rPr>
                <w:rFonts w:hint="eastAsia" w:ascii="仿宋" w:hAnsi="仿宋" w:eastAsia="仿宋" w:cs="仿宋"/>
                <w:sz w:val="18"/>
                <w:szCs w:val="18"/>
              </w:rPr>
              <w:t>其他支出</w:t>
            </w:r>
          </w:p>
        </w:tc>
        <w:tc>
          <w:tcPr>
            <w:tcW w:w="1675" w:type="dxa"/>
            <w:vAlign w:val="center"/>
          </w:tcPr>
          <w:p>
            <w:pPr>
              <w:widowControl/>
              <w:ind w:firstLine="36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50</w:t>
            </w:r>
          </w:p>
        </w:tc>
        <w:tc>
          <w:tcPr>
            <w:tcW w:w="1684" w:type="dxa"/>
            <w:vAlign w:val="center"/>
          </w:tcPr>
          <w:p>
            <w:pPr>
              <w:widowControl/>
              <w:ind w:firstLine="36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50</w:t>
            </w:r>
          </w:p>
        </w:tc>
        <w:tc>
          <w:tcPr>
            <w:tcW w:w="1393" w:type="dxa"/>
          </w:tcPr>
          <w:p>
            <w:pPr>
              <w:ind w:firstLine="480"/>
              <w:jc w:val="left"/>
              <w:rPr>
                <w:rFonts w:ascii="仿宋" w:hAnsi="仿宋" w:eastAsia="仿宋" w:cs="仿宋"/>
                <w:color w:val="000000"/>
                <w:sz w:val="24"/>
                <w:szCs w:val="24"/>
              </w:rPr>
            </w:pPr>
            <w:r>
              <w:rPr>
                <w:rFonts w:hint="eastAsia" w:ascii="仿宋" w:hAnsi="仿宋" w:eastAsia="仿宋" w:cs="仿宋"/>
                <w:color w:val="000000"/>
                <w:sz w:val="24"/>
                <w:szCs w:val="24"/>
              </w:rPr>
              <w:t>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291" w:type="dxa"/>
          </w:tcPr>
          <w:p>
            <w:pPr>
              <w:ind w:firstLine="360"/>
              <w:jc w:val="left"/>
              <w:rPr>
                <w:rFonts w:ascii="仿宋" w:hAnsi="仿宋" w:eastAsia="仿宋" w:cs="仿宋"/>
                <w:sz w:val="18"/>
                <w:szCs w:val="18"/>
              </w:rPr>
            </w:pPr>
            <w:r>
              <w:rPr>
                <w:rFonts w:hint="eastAsia" w:ascii="仿宋" w:hAnsi="仿宋" w:eastAsia="仿宋" w:cs="仿宋"/>
                <w:sz w:val="18"/>
                <w:szCs w:val="18"/>
              </w:rPr>
              <w:t>22960</w:t>
            </w:r>
          </w:p>
        </w:tc>
        <w:tc>
          <w:tcPr>
            <w:tcW w:w="2977" w:type="dxa"/>
          </w:tcPr>
          <w:p>
            <w:pPr>
              <w:ind w:firstLine="360"/>
              <w:jc w:val="left"/>
              <w:rPr>
                <w:rFonts w:ascii="仿宋" w:hAnsi="仿宋" w:eastAsia="仿宋" w:cs="仿宋"/>
                <w:sz w:val="18"/>
                <w:szCs w:val="18"/>
              </w:rPr>
            </w:pPr>
            <w:r>
              <w:rPr>
                <w:rFonts w:hint="eastAsia" w:ascii="仿宋" w:hAnsi="仿宋" w:eastAsia="仿宋" w:cs="仿宋"/>
                <w:sz w:val="18"/>
                <w:szCs w:val="18"/>
              </w:rPr>
              <w:t>彩票公益金安排的支出</w:t>
            </w:r>
          </w:p>
        </w:tc>
        <w:tc>
          <w:tcPr>
            <w:tcW w:w="1675" w:type="dxa"/>
            <w:vAlign w:val="center"/>
          </w:tcPr>
          <w:p>
            <w:pPr>
              <w:widowControl/>
              <w:ind w:firstLine="36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50</w:t>
            </w:r>
          </w:p>
        </w:tc>
        <w:tc>
          <w:tcPr>
            <w:tcW w:w="1684" w:type="dxa"/>
            <w:vAlign w:val="center"/>
          </w:tcPr>
          <w:p>
            <w:pPr>
              <w:widowControl/>
              <w:ind w:firstLine="360"/>
              <w:jc w:val="center"/>
              <w:textAlignment w:val="center"/>
              <w:rPr>
                <w:rFonts w:ascii="仿宋" w:hAnsi="仿宋" w:eastAsia="仿宋" w:cs="仿宋"/>
                <w:color w:val="000000"/>
                <w:sz w:val="18"/>
                <w:szCs w:val="18"/>
              </w:rPr>
            </w:pPr>
            <w:r>
              <w:rPr>
                <w:rFonts w:hint="eastAsia" w:ascii="仿宋" w:hAnsi="仿宋" w:eastAsia="仿宋" w:cs="仿宋"/>
                <w:color w:val="000000"/>
                <w:sz w:val="18"/>
                <w:szCs w:val="18"/>
              </w:rPr>
              <w:t>50</w:t>
            </w:r>
          </w:p>
        </w:tc>
        <w:tc>
          <w:tcPr>
            <w:tcW w:w="1393" w:type="dxa"/>
          </w:tcPr>
          <w:p>
            <w:pPr>
              <w:ind w:firstLine="480"/>
              <w:jc w:val="left"/>
              <w:rPr>
                <w:rFonts w:ascii="仿宋" w:hAnsi="仿宋" w:eastAsia="仿宋" w:cs="仿宋"/>
                <w:color w:val="000000"/>
                <w:sz w:val="24"/>
                <w:szCs w:val="24"/>
              </w:rPr>
            </w:pPr>
            <w:r>
              <w:rPr>
                <w:rFonts w:hint="eastAsia" w:ascii="仿宋" w:hAnsi="仿宋" w:eastAsia="仿宋" w:cs="仿宋"/>
                <w:color w:val="000000"/>
                <w:sz w:val="24"/>
                <w:szCs w:val="24"/>
              </w:rPr>
              <w:t>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291" w:type="dxa"/>
          </w:tcPr>
          <w:p>
            <w:pPr>
              <w:ind w:firstLine="360"/>
              <w:jc w:val="left"/>
              <w:rPr>
                <w:rFonts w:ascii="仿宋" w:hAnsi="仿宋" w:eastAsia="仿宋" w:cs="仿宋"/>
                <w:sz w:val="18"/>
                <w:szCs w:val="18"/>
              </w:rPr>
            </w:pPr>
            <w:r>
              <w:rPr>
                <w:rFonts w:hint="eastAsia" w:ascii="仿宋" w:hAnsi="仿宋" w:eastAsia="仿宋" w:cs="仿宋"/>
                <w:sz w:val="18"/>
                <w:szCs w:val="18"/>
              </w:rPr>
              <w:t>2296010</w:t>
            </w:r>
          </w:p>
        </w:tc>
        <w:tc>
          <w:tcPr>
            <w:tcW w:w="2977" w:type="dxa"/>
          </w:tcPr>
          <w:p>
            <w:pPr>
              <w:ind w:firstLine="0" w:firstLineChars="0"/>
              <w:rPr>
                <w:rFonts w:ascii="仿宋" w:hAnsi="仿宋" w:eastAsia="仿宋" w:cs="仿宋"/>
                <w:sz w:val="18"/>
                <w:szCs w:val="18"/>
              </w:rPr>
            </w:pPr>
            <w:r>
              <w:rPr>
                <w:rFonts w:hint="eastAsia" w:ascii="仿宋" w:hAnsi="仿宋" w:eastAsia="仿宋" w:cs="仿宋"/>
                <w:sz w:val="18"/>
                <w:szCs w:val="18"/>
              </w:rPr>
              <w:t>用于文化事业的彩票公益金支出</w:t>
            </w:r>
          </w:p>
        </w:tc>
        <w:tc>
          <w:tcPr>
            <w:tcW w:w="1675" w:type="dxa"/>
          </w:tcPr>
          <w:p>
            <w:pPr>
              <w:ind w:firstLine="360"/>
              <w:jc w:val="center"/>
              <w:rPr>
                <w:rFonts w:ascii="仿宋" w:hAnsi="仿宋" w:eastAsia="仿宋" w:cs="仿宋"/>
                <w:color w:val="000000"/>
                <w:sz w:val="18"/>
                <w:szCs w:val="18"/>
              </w:rPr>
            </w:pPr>
            <w:r>
              <w:rPr>
                <w:rFonts w:hint="eastAsia" w:ascii="仿宋" w:hAnsi="仿宋" w:eastAsia="仿宋" w:cs="仿宋"/>
                <w:color w:val="000000"/>
                <w:sz w:val="18"/>
                <w:szCs w:val="18"/>
              </w:rPr>
              <w:t>50</w:t>
            </w:r>
          </w:p>
        </w:tc>
        <w:tc>
          <w:tcPr>
            <w:tcW w:w="1684" w:type="dxa"/>
          </w:tcPr>
          <w:p>
            <w:pPr>
              <w:ind w:firstLine="360"/>
              <w:jc w:val="center"/>
              <w:rPr>
                <w:rFonts w:ascii="仿宋" w:hAnsi="仿宋" w:eastAsia="仿宋" w:cs="仿宋"/>
                <w:color w:val="000000"/>
                <w:sz w:val="18"/>
                <w:szCs w:val="18"/>
              </w:rPr>
            </w:pPr>
            <w:r>
              <w:rPr>
                <w:rFonts w:hint="eastAsia" w:ascii="仿宋" w:hAnsi="仿宋" w:eastAsia="仿宋" w:cs="仿宋"/>
                <w:color w:val="000000"/>
                <w:sz w:val="18"/>
                <w:szCs w:val="18"/>
              </w:rPr>
              <w:t>50</w:t>
            </w:r>
          </w:p>
        </w:tc>
        <w:tc>
          <w:tcPr>
            <w:tcW w:w="1393" w:type="dxa"/>
          </w:tcPr>
          <w:p>
            <w:pPr>
              <w:ind w:firstLine="480"/>
              <w:jc w:val="left"/>
              <w:rPr>
                <w:rFonts w:ascii="仿宋" w:hAnsi="仿宋" w:eastAsia="仿宋" w:cs="仿宋"/>
                <w:color w:val="000000"/>
                <w:sz w:val="24"/>
                <w:szCs w:val="24"/>
              </w:rPr>
            </w:pPr>
            <w:r>
              <w:rPr>
                <w:rFonts w:hint="eastAsia" w:ascii="仿宋" w:hAnsi="仿宋" w:eastAsia="仿宋" w:cs="仿宋"/>
                <w:color w:val="000000"/>
                <w:sz w:val="24"/>
                <w:szCs w:val="24"/>
              </w:rPr>
              <w:t>平</w:t>
            </w:r>
          </w:p>
        </w:tc>
      </w:tr>
    </w:tbl>
    <w:p>
      <w:pPr>
        <w:numPr>
          <w:ilvl w:val="0"/>
          <w:numId w:val="2"/>
        </w:numPr>
        <w:ind w:firstLine="640"/>
        <w:jc w:val="left"/>
        <w:rPr>
          <w:rFonts w:ascii="仿宋" w:hAnsi="仿宋" w:eastAsia="仿宋" w:cs="仿宋"/>
          <w:szCs w:val="32"/>
        </w:rPr>
      </w:pPr>
      <w:r>
        <w:rPr>
          <w:rFonts w:hint="eastAsia" w:ascii="仿宋" w:hAnsi="仿宋" w:eastAsia="仿宋" w:cs="仿宋"/>
          <w:szCs w:val="32"/>
        </w:rPr>
        <w:t>按经济科目分类对比如下：</w:t>
      </w:r>
    </w:p>
    <w:p>
      <w:pPr>
        <w:ind w:firstLine="602"/>
        <w:jc w:val="left"/>
        <w:rPr>
          <w:rFonts w:ascii="仿宋" w:hAnsi="仿宋" w:eastAsia="仿宋" w:cs="仿宋"/>
          <w:sz w:val="30"/>
          <w:szCs w:val="30"/>
        </w:rPr>
      </w:pPr>
      <w:r>
        <w:rPr>
          <w:rFonts w:hint="eastAsia" w:ascii="仿宋" w:hAnsi="仿宋" w:eastAsia="仿宋" w:cs="Arial"/>
          <w:b/>
          <w:color w:val="000000"/>
          <w:kern w:val="0"/>
          <w:sz w:val="30"/>
          <w:szCs w:val="30"/>
        </w:rPr>
        <w:t>2020年度支出经济科目分类决算对比表      单位：万元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ind w:firstLine="562"/>
              <w:rPr>
                <w:rFonts w:ascii="仿宋" w:hAnsi="仿宋" w:eastAsia="仿宋" w:cs="仿宋"/>
                <w:b/>
                <w:color w:val="000000"/>
                <w:kern w:val="0"/>
                <w:sz w:val="28"/>
                <w:szCs w:val="28"/>
              </w:rPr>
            </w:pPr>
            <w:r>
              <w:rPr>
                <w:rFonts w:hint="eastAsia" w:ascii="仿宋" w:hAnsi="仿宋" w:eastAsia="仿宋" w:cs="仿宋"/>
                <w:b/>
                <w:color w:val="000000"/>
                <w:kern w:val="0"/>
                <w:sz w:val="28"/>
                <w:szCs w:val="28"/>
              </w:rPr>
              <w:t>科目名称</w:t>
            </w:r>
          </w:p>
        </w:tc>
        <w:tc>
          <w:tcPr>
            <w:tcW w:w="1837"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2020年</w:t>
            </w:r>
          </w:p>
        </w:tc>
        <w:tc>
          <w:tcPr>
            <w:tcW w:w="2071"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2021年</w:t>
            </w:r>
          </w:p>
        </w:tc>
        <w:tc>
          <w:tcPr>
            <w:tcW w:w="1956" w:type="dxa"/>
          </w:tcPr>
          <w:p>
            <w:pPr>
              <w:widowControl/>
              <w:ind w:firstLine="482"/>
              <w:jc w:val="left"/>
              <w:rPr>
                <w:rFonts w:ascii="仿宋" w:hAnsi="仿宋" w:eastAsia="仿宋" w:cs="仿宋"/>
                <w:b/>
                <w:color w:val="000000"/>
                <w:kern w:val="0"/>
                <w:sz w:val="28"/>
                <w:szCs w:val="28"/>
              </w:rPr>
            </w:pPr>
            <w:r>
              <w:rPr>
                <w:rFonts w:hint="eastAsia" w:ascii="仿宋" w:hAnsi="仿宋" w:eastAsia="仿宋" w:cs="仿宋"/>
                <w:b/>
                <w:color w:val="000000"/>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ind w:firstLine="560"/>
              <w:rPr>
                <w:rFonts w:ascii="仿宋" w:hAnsi="仿宋" w:eastAsia="仿宋" w:cs="仿宋"/>
                <w:kern w:val="0"/>
                <w:sz w:val="28"/>
                <w:szCs w:val="28"/>
              </w:rPr>
            </w:pPr>
            <w:r>
              <w:rPr>
                <w:rFonts w:hint="eastAsia" w:ascii="仿宋" w:hAnsi="仿宋" w:eastAsia="仿宋" w:cs="仿宋"/>
                <w:kern w:val="0"/>
                <w:sz w:val="28"/>
                <w:szCs w:val="28"/>
              </w:rPr>
              <w:t>合  计</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199.61</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191.11</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-4.26%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kern w:val="0"/>
                <w:sz w:val="28"/>
                <w:szCs w:val="28"/>
              </w:rPr>
            </w:pPr>
            <w:r>
              <w:rPr>
                <w:rFonts w:hint="eastAsia" w:ascii="仿宋" w:hAnsi="仿宋" w:eastAsia="仿宋" w:cs="仿宋"/>
                <w:kern w:val="0"/>
                <w:sz w:val="28"/>
                <w:szCs w:val="28"/>
              </w:rPr>
              <w:t>工资福利支出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62.1</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66.3</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6.76%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firstLine="560"/>
              <w:jc w:val="left"/>
              <w:rPr>
                <w:rFonts w:ascii="仿宋" w:hAnsi="仿宋" w:eastAsia="仿宋" w:cs="仿宋"/>
                <w:kern w:val="0"/>
                <w:sz w:val="28"/>
                <w:szCs w:val="28"/>
              </w:rPr>
            </w:pPr>
            <w:r>
              <w:rPr>
                <w:rFonts w:hint="eastAsia" w:ascii="仿宋" w:hAnsi="仿宋" w:eastAsia="仿宋" w:cs="仿宋"/>
                <w:kern w:val="0"/>
                <w:sz w:val="28"/>
                <w:szCs w:val="28"/>
              </w:rPr>
              <w:t>商品服务支出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36.03</w:t>
            </w:r>
          </w:p>
        </w:tc>
        <w:tc>
          <w:tcPr>
            <w:tcW w:w="2071" w:type="dxa"/>
            <w:vAlign w:val="center"/>
          </w:tcPr>
          <w:p>
            <w:pPr>
              <w:widowControl/>
              <w:ind w:firstLine="560"/>
              <w:jc w:val="right"/>
              <w:textAlignment w:val="center"/>
              <w:rPr>
                <w:rFonts w:ascii="仿宋" w:hAnsi="仿宋" w:eastAsia="仿宋" w:cs="仿宋"/>
                <w:kern w:val="0"/>
                <w:sz w:val="28"/>
                <w:szCs w:val="28"/>
              </w:rPr>
            </w:pPr>
            <w:r>
              <w:rPr>
                <w:rFonts w:hint="eastAsia" w:ascii="仿宋" w:hAnsi="仿宋" w:eastAsia="仿宋" w:cs="仿宋"/>
                <w:kern w:val="0"/>
                <w:sz w:val="28"/>
                <w:szCs w:val="28"/>
              </w:rPr>
              <w:t>65.9</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82.9%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firstLine="0" w:firstLineChars="0"/>
              <w:jc w:val="left"/>
              <w:rPr>
                <w:rFonts w:ascii="仿宋" w:hAnsi="仿宋" w:eastAsia="仿宋" w:cs="仿宋"/>
                <w:kern w:val="0"/>
                <w:sz w:val="28"/>
                <w:szCs w:val="28"/>
              </w:rPr>
            </w:pPr>
            <w:r>
              <w:rPr>
                <w:rFonts w:hint="eastAsia" w:ascii="仿宋" w:hAnsi="仿宋" w:eastAsia="仿宋" w:cs="仿宋"/>
                <w:kern w:val="0"/>
                <w:sz w:val="28"/>
                <w:szCs w:val="28"/>
              </w:rPr>
              <w:t>对个人和家庭的补助</w:t>
            </w:r>
          </w:p>
        </w:tc>
        <w:tc>
          <w:tcPr>
            <w:tcW w:w="1837" w:type="dxa"/>
            <w:vAlign w:val="center"/>
          </w:tcPr>
          <w:p>
            <w:pPr>
              <w:widowControl/>
              <w:ind w:firstLine="560"/>
              <w:jc w:val="right"/>
              <w:rPr>
                <w:rFonts w:ascii="仿宋" w:hAnsi="仿宋" w:eastAsia="仿宋" w:cs="仿宋"/>
                <w:kern w:val="0"/>
                <w:sz w:val="28"/>
                <w:szCs w:val="28"/>
              </w:rPr>
            </w:pPr>
          </w:p>
        </w:tc>
        <w:tc>
          <w:tcPr>
            <w:tcW w:w="2071" w:type="dxa"/>
            <w:vAlign w:val="center"/>
          </w:tcPr>
          <w:p>
            <w:pPr>
              <w:widowControl/>
              <w:ind w:firstLine="560"/>
              <w:jc w:val="right"/>
              <w:rPr>
                <w:rFonts w:ascii="仿宋" w:hAnsi="仿宋" w:eastAsia="仿宋" w:cs="仿宋"/>
                <w:kern w:val="0"/>
                <w:sz w:val="28"/>
                <w:szCs w:val="28"/>
              </w:rPr>
            </w:pPr>
          </w:p>
        </w:tc>
        <w:tc>
          <w:tcPr>
            <w:tcW w:w="1956" w:type="dxa"/>
            <w:vAlign w:val="center"/>
          </w:tcPr>
          <w:p>
            <w:pPr>
              <w:widowControl/>
              <w:ind w:firstLine="560"/>
              <w:jc w:val="right"/>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ind w:firstLine="560"/>
              <w:jc w:val="left"/>
              <w:rPr>
                <w:rFonts w:ascii="仿宋" w:hAnsi="仿宋" w:eastAsia="仿宋" w:cs="仿宋"/>
                <w:b/>
                <w:bCs/>
                <w:kern w:val="0"/>
                <w:sz w:val="28"/>
                <w:szCs w:val="28"/>
              </w:rPr>
            </w:pPr>
            <w:r>
              <w:rPr>
                <w:rFonts w:hint="eastAsia" w:ascii="仿宋" w:hAnsi="仿宋" w:eastAsia="仿宋" w:cs="仿宋"/>
                <w:kern w:val="0"/>
                <w:sz w:val="28"/>
                <w:szCs w:val="28"/>
              </w:rPr>
              <w:t>资本性支出</w:t>
            </w:r>
          </w:p>
        </w:tc>
        <w:tc>
          <w:tcPr>
            <w:tcW w:w="1837"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101.48</w:t>
            </w:r>
          </w:p>
        </w:tc>
        <w:tc>
          <w:tcPr>
            <w:tcW w:w="2071" w:type="dxa"/>
            <w:vAlign w:val="center"/>
          </w:tcPr>
          <w:p>
            <w:pPr>
              <w:widowControl/>
              <w:ind w:firstLine="640"/>
              <w:jc w:val="right"/>
              <w:textAlignment w:val="center"/>
              <w:rPr>
                <w:rFonts w:ascii="仿宋" w:hAnsi="仿宋" w:eastAsia="仿宋" w:cs="仿宋"/>
              </w:rPr>
            </w:pPr>
            <w:r>
              <w:rPr>
                <w:rFonts w:hint="eastAsia" w:ascii="仿宋" w:hAnsi="仿宋" w:eastAsia="仿宋" w:cs="仿宋"/>
              </w:rPr>
              <w:t>58.91</w:t>
            </w:r>
          </w:p>
        </w:tc>
        <w:tc>
          <w:tcPr>
            <w:tcW w:w="1956" w:type="dxa"/>
            <w:vAlign w:val="center"/>
          </w:tcPr>
          <w:p>
            <w:pPr>
              <w:widowControl/>
              <w:ind w:firstLine="560"/>
              <w:jc w:val="right"/>
              <w:rPr>
                <w:rFonts w:ascii="仿宋" w:hAnsi="仿宋" w:eastAsia="仿宋" w:cs="仿宋"/>
                <w:kern w:val="0"/>
                <w:sz w:val="28"/>
                <w:szCs w:val="28"/>
              </w:rPr>
            </w:pPr>
            <w:r>
              <w:rPr>
                <w:rFonts w:hint="eastAsia" w:ascii="仿宋" w:hAnsi="仿宋" w:eastAsia="仿宋" w:cs="仿宋"/>
                <w:kern w:val="0"/>
                <w:sz w:val="28"/>
                <w:szCs w:val="28"/>
              </w:rPr>
              <w:t>-41.95%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widowControl/>
              <w:ind w:firstLine="562"/>
              <w:jc w:val="left"/>
              <w:rPr>
                <w:rFonts w:ascii="仿宋" w:hAnsi="仿宋" w:eastAsia="仿宋" w:cs="仿宋"/>
                <w:b/>
                <w:bCs/>
                <w:kern w:val="0"/>
                <w:sz w:val="28"/>
                <w:szCs w:val="28"/>
              </w:rPr>
            </w:pPr>
          </w:p>
        </w:tc>
        <w:tc>
          <w:tcPr>
            <w:tcW w:w="1837" w:type="dxa"/>
            <w:vAlign w:val="center"/>
          </w:tcPr>
          <w:p>
            <w:pPr>
              <w:widowControl/>
              <w:ind w:firstLine="560"/>
              <w:jc w:val="right"/>
              <w:rPr>
                <w:rFonts w:ascii="仿宋" w:hAnsi="仿宋" w:eastAsia="仿宋" w:cs="仿宋"/>
                <w:kern w:val="0"/>
                <w:sz w:val="28"/>
                <w:szCs w:val="28"/>
              </w:rPr>
            </w:pPr>
          </w:p>
        </w:tc>
        <w:tc>
          <w:tcPr>
            <w:tcW w:w="2071" w:type="dxa"/>
            <w:vAlign w:val="center"/>
          </w:tcPr>
          <w:p>
            <w:pPr>
              <w:widowControl/>
              <w:ind w:firstLine="640"/>
              <w:jc w:val="right"/>
              <w:textAlignment w:val="center"/>
              <w:rPr>
                <w:rFonts w:ascii="仿宋" w:hAnsi="仿宋" w:eastAsia="仿宋" w:cs="仿宋"/>
              </w:rPr>
            </w:pPr>
          </w:p>
        </w:tc>
        <w:tc>
          <w:tcPr>
            <w:tcW w:w="1956" w:type="dxa"/>
            <w:vAlign w:val="center"/>
          </w:tcPr>
          <w:p>
            <w:pPr>
              <w:widowControl/>
              <w:ind w:firstLine="560"/>
              <w:jc w:val="right"/>
              <w:rPr>
                <w:rFonts w:ascii="仿宋" w:hAnsi="仿宋" w:eastAsia="仿宋" w:cs="仿宋"/>
                <w:kern w:val="0"/>
                <w:sz w:val="28"/>
                <w:szCs w:val="28"/>
              </w:rPr>
            </w:pPr>
          </w:p>
        </w:tc>
      </w:tr>
    </w:tbl>
    <w:p>
      <w:pPr>
        <w:spacing w:line="580" w:lineRule="exact"/>
        <w:ind w:firstLine="0" w:firstLineChars="0"/>
        <w:rPr>
          <w:szCs w:val="32"/>
        </w:rPr>
      </w:pPr>
    </w:p>
    <w:p>
      <w:pPr>
        <w:pStyle w:val="3"/>
        <w:ind w:firstLine="643"/>
        <w:rPr>
          <w:rFonts w:ascii="仿宋" w:hAnsi="仿宋" w:eastAsia="仿宋" w:cs="仿宋"/>
        </w:rPr>
      </w:pPr>
      <w:bookmarkStart w:id="21" w:name="_Toc841"/>
      <w:bookmarkStart w:id="22" w:name="_Toc17728"/>
      <w:r>
        <w:rPr>
          <w:rFonts w:hint="eastAsia" w:ascii="仿宋" w:hAnsi="仿宋" w:eastAsia="仿宋" w:cs="仿宋"/>
        </w:rPr>
        <w:t>六、一般公共预算财政拨款基本支出决算情况说明</w:t>
      </w:r>
      <w:bookmarkEnd w:id="21"/>
      <w:bookmarkEnd w:id="22"/>
    </w:p>
    <w:p>
      <w:pPr>
        <w:spacing w:line="580" w:lineRule="exact"/>
        <w:ind w:firstLine="640"/>
        <w:rPr>
          <w:rFonts w:ascii="仿宋_GB2312"/>
          <w:szCs w:val="32"/>
        </w:rPr>
      </w:pPr>
      <w:r>
        <w:rPr>
          <w:rFonts w:hint="eastAsia" w:ascii="仿宋_GB2312"/>
          <w:szCs w:val="32"/>
        </w:rPr>
        <w:t>2021年度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rPr>
        <w:t>71.16万元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rPr>
        <w:t>66.3万元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rPr>
        <w:t>工资福利支出、对个人家庭的补助支出</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rPr>
        <w:t>4.86万元</w:t>
      </w:r>
      <w:r>
        <w:rPr>
          <w:rFonts w:ascii="仿宋_GB2312"/>
          <w:szCs w:val="32"/>
        </w:rPr>
        <w:t>，主要包括</w:t>
      </w:r>
      <w:r>
        <w:rPr>
          <w:rFonts w:hint="eastAsia" w:ascii="仿宋_GB2312"/>
          <w:szCs w:val="32"/>
        </w:rPr>
        <w:t>商品服务支出、资本性支出</w:t>
      </w:r>
      <w:r>
        <w:rPr>
          <w:rFonts w:ascii="仿宋_GB2312"/>
          <w:szCs w:val="32"/>
        </w:rPr>
        <w:t>。</w:t>
      </w:r>
      <w:r>
        <w:rPr>
          <w:rFonts w:hint="eastAsia" w:ascii="仿宋_GB2312"/>
          <w:szCs w:val="32"/>
        </w:rPr>
        <w:t>2021年度</w:t>
      </w:r>
      <w:r>
        <w:rPr>
          <w:rFonts w:ascii="仿宋_GB2312"/>
          <w:szCs w:val="32"/>
        </w:rPr>
        <w:t>财政拨款</w:t>
      </w:r>
      <w:r>
        <w:rPr>
          <w:rFonts w:hint="eastAsia" w:ascii="仿宋_GB2312"/>
          <w:szCs w:val="32"/>
        </w:rPr>
        <w:t>项目</w:t>
      </w:r>
      <w:r>
        <w:rPr>
          <w:rFonts w:ascii="仿宋_GB2312"/>
          <w:szCs w:val="32"/>
        </w:rPr>
        <w:t>支出</w:t>
      </w:r>
      <w:r>
        <w:rPr>
          <w:rFonts w:hint="eastAsia" w:ascii="仿宋_GB2312"/>
          <w:szCs w:val="32"/>
        </w:rPr>
        <w:t>119.95万元。</w:t>
      </w:r>
    </w:p>
    <w:p>
      <w:pPr>
        <w:pStyle w:val="3"/>
        <w:ind w:firstLine="643"/>
        <w:rPr>
          <w:rFonts w:ascii="仿宋" w:hAnsi="仿宋" w:eastAsia="仿宋" w:cs="仿宋"/>
        </w:rPr>
      </w:pPr>
      <w:bookmarkStart w:id="23" w:name="_Toc26508"/>
      <w:bookmarkStart w:id="24" w:name="_Toc2304"/>
      <w:r>
        <w:rPr>
          <w:rFonts w:hint="eastAsia" w:ascii="仿宋" w:hAnsi="仿宋" w:eastAsia="仿宋" w:cs="仿宋"/>
        </w:rPr>
        <w:t>七、一般公共预算财政拨款“三公”经费支出决算情况说明</w:t>
      </w:r>
      <w:bookmarkEnd w:id="23"/>
      <w:bookmarkEnd w:id="24"/>
    </w:p>
    <w:p>
      <w:pPr>
        <w:spacing w:line="580" w:lineRule="exact"/>
        <w:ind w:firstLine="640"/>
        <w:rPr>
          <w:b/>
          <w:szCs w:val="32"/>
        </w:rPr>
      </w:pPr>
      <w:r>
        <w:rPr>
          <w:rFonts w:hint="eastAsia" w:ascii="仿宋_GB2312"/>
          <w:szCs w:val="32"/>
        </w:rPr>
        <w:t>2021年度，本单位</w:t>
      </w:r>
      <w:r>
        <w:rPr>
          <w:rFonts w:hint="eastAsia"/>
          <w:b/>
          <w:szCs w:val="32"/>
        </w:rPr>
        <w:t>无三公经费。</w:t>
      </w:r>
    </w:p>
    <w:p>
      <w:pPr>
        <w:pStyle w:val="8"/>
        <w:tabs>
          <w:tab w:val="left" w:pos="5760"/>
        </w:tabs>
        <w:spacing w:before="0" w:beforeAutospacing="0" w:after="0" w:afterAutospacing="0"/>
        <w:ind w:firstLine="640"/>
        <w:rPr>
          <w:rFonts w:ascii="仿宋_GB2312"/>
          <w:color w:val="000000"/>
          <w:sz w:val="32"/>
          <w:szCs w:val="32"/>
        </w:rPr>
      </w:pPr>
      <w:r>
        <w:rPr>
          <w:rFonts w:hint="eastAsia" w:ascii="仿宋_GB2312"/>
          <w:color w:val="000000"/>
          <w:sz w:val="32"/>
          <w:szCs w:val="32"/>
        </w:rPr>
        <w:t>2021年“三公”经费支出情况，分三项和2020年相比。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8"/>
              <w:spacing w:before="0" w:beforeAutospacing="0" w:after="0" w:afterAutospacing="0" w:line="300" w:lineRule="exact"/>
              <w:ind w:firstLine="2368" w:firstLineChars="1123"/>
              <w:rPr>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b/>
                <w:color w:val="000000"/>
                <w:sz w:val="28"/>
                <w:szCs w:val="28"/>
              </w:rPr>
            </w:pPr>
            <w:r>
              <w:rPr>
                <w:rFonts w:hint="eastAsia"/>
                <w:b/>
                <w:color w:val="000000"/>
                <w:sz w:val="21"/>
                <w:szCs w:val="21"/>
              </w:rPr>
              <w:t>项目</w:t>
            </w:r>
          </w:p>
        </w:tc>
        <w:tc>
          <w:tcPr>
            <w:tcW w:w="1701" w:type="dxa"/>
          </w:tcPr>
          <w:p>
            <w:pPr>
              <w:pStyle w:val="8"/>
              <w:ind w:firstLine="562"/>
              <w:jc w:val="center"/>
              <w:rPr>
                <w:b/>
                <w:color w:val="000000"/>
                <w:sz w:val="28"/>
                <w:szCs w:val="28"/>
              </w:rPr>
            </w:pPr>
            <w:r>
              <w:rPr>
                <w:rFonts w:hint="eastAsia"/>
                <w:b/>
                <w:color w:val="000000"/>
                <w:sz w:val="28"/>
                <w:szCs w:val="28"/>
              </w:rPr>
              <w:t>2020年</w:t>
            </w:r>
          </w:p>
        </w:tc>
        <w:tc>
          <w:tcPr>
            <w:tcW w:w="1701" w:type="dxa"/>
          </w:tcPr>
          <w:p>
            <w:pPr>
              <w:pStyle w:val="8"/>
              <w:ind w:firstLine="562"/>
              <w:jc w:val="center"/>
              <w:rPr>
                <w:b/>
                <w:color w:val="000000"/>
                <w:sz w:val="28"/>
                <w:szCs w:val="28"/>
              </w:rPr>
            </w:pPr>
            <w:r>
              <w:rPr>
                <w:rFonts w:hint="eastAsia"/>
                <w:b/>
                <w:color w:val="000000"/>
                <w:sz w:val="28"/>
                <w:szCs w:val="28"/>
              </w:rPr>
              <w:t>2021年</w:t>
            </w:r>
          </w:p>
        </w:tc>
        <w:tc>
          <w:tcPr>
            <w:tcW w:w="1418" w:type="dxa"/>
          </w:tcPr>
          <w:p>
            <w:pPr>
              <w:pStyle w:val="8"/>
              <w:ind w:firstLine="0" w:firstLineChars="0"/>
              <w:jc w:val="both"/>
              <w:rPr>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因公出国（境）费</w:t>
            </w:r>
          </w:p>
        </w:tc>
        <w:tc>
          <w:tcPr>
            <w:tcW w:w="1701" w:type="dxa"/>
          </w:tcPr>
          <w:p>
            <w:pPr>
              <w:pStyle w:val="8"/>
              <w:ind w:firstLine="560"/>
              <w:jc w:val="right"/>
              <w:rPr>
                <w:color w:val="000000"/>
                <w:sz w:val="28"/>
                <w:szCs w:val="28"/>
              </w:rPr>
            </w:pPr>
          </w:p>
        </w:tc>
        <w:tc>
          <w:tcPr>
            <w:tcW w:w="1701" w:type="dxa"/>
          </w:tcPr>
          <w:p>
            <w:pPr>
              <w:pStyle w:val="8"/>
              <w:ind w:firstLine="560"/>
              <w:jc w:val="right"/>
              <w:rPr>
                <w:color w:val="000000"/>
                <w:sz w:val="28"/>
                <w:szCs w:val="28"/>
              </w:rPr>
            </w:pPr>
          </w:p>
        </w:tc>
        <w:tc>
          <w:tcPr>
            <w:tcW w:w="1418"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8"/>
              <w:ind w:firstLine="560"/>
              <w:rPr>
                <w:color w:val="000000"/>
                <w:sz w:val="28"/>
                <w:szCs w:val="28"/>
              </w:rPr>
            </w:pPr>
            <w:r>
              <w:rPr>
                <w:rFonts w:hint="eastAsia"/>
                <w:color w:val="000000"/>
                <w:sz w:val="28"/>
                <w:szCs w:val="28"/>
              </w:rPr>
              <w:t>公务接待费</w:t>
            </w:r>
          </w:p>
        </w:tc>
        <w:tc>
          <w:tcPr>
            <w:tcW w:w="1701" w:type="dxa"/>
          </w:tcPr>
          <w:p>
            <w:pPr>
              <w:pStyle w:val="8"/>
              <w:ind w:firstLine="560"/>
              <w:jc w:val="right"/>
              <w:rPr>
                <w:color w:val="000000"/>
                <w:sz w:val="28"/>
                <w:szCs w:val="28"/>
              </w:rPr>
            </w:pPr>
          </w:p>
        </w:tc>
        <w:tc>
          <w:tcPr>
            <w:tcW w:w="1701" w:type="dxa"/>
          </w:tcPr>
          <w:p>
            <w:pPr>
              <w:pStyle w:val="8"/>
              <w:ind w:firstLine="560"/>
              <w:jc w:val="right"/>
              <w:rPr>
                <w:color w:val="000000"/>
                <w:sz w:val="28"/>
                <w:szCs w:val="28"/>
              </w:rPr>
            </w:pPr>
          </w:p>
        </w:tc>
        <w:tc>
          <w:tcPr>
            <w:tcW w:w="1418" w:type="dxa"/>
          </w:tcPr>
          <w:p>
            <w:pPr>
              <w:pStyle w:val="8"/>
              <w:ind w:firstLine="560"/>
              <w:jc w:val="right"/>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tcPr>
          <w:p>
            <w:pPr>
              <w:pStyle w:val="8"/>
              <w:ind w:firstLine="0" w:firstLineChars="0"/>
              <w:rPr>
                <w:color w:val="000000"/>
                <w:sz w:val="28"/>
                <w:szCs w:val="28"/>
              </w:rPr>
            </w:pPr>
            <w:r>
              <w:rPr>
                <w:rFonts w:hint="eastAsia"/>
                <w:color w:val="000000"/>
                <w:sz w:val="28"/>
                <w:szCs w:val="28"/>
              </w:rPr>
              <w:t>公务用车购置及运行维护费</w:t>
            </w:r>
          </w:p>
        </w:tc>
        <w:tc>
          <w:tcPr>
            <w:tcW w:w="1701" w:type="dxa"/>
          </w:tcPr>
          <w:p>
            <w:pPr>
              <w:pStyle w:val="8"/>
              <w:ind w:firstLine="560"/>
              <w:jc w:val="right"/>
              <w:rPr>
                <w:rFonts w:eastAsia="宋体"/>
                <w:color w:val="000000"/>
                <w:sz w:val="28"/>
                <w:szCs w:val="28"/>
              </w:rPr>
            </w:pPr>
            <w:r>
              <w:rPr>
                <w:rFonts w:hint="eastAsia" w:eastAsia="宋体"/>
                <w:color w:val="000000"/>
                <w:sz w:val="28"/>
                <w:szCs w:val="28"/>
              </w:rPr>
              <w:t>0.83</w:t>
            </w:r>
          </w:p>
        </w:tc>
        <w:tc>
          <w:tcPr>
            <w:tcW w:w="1701" w:type="dxa"/>
          </w:tcPr>
          <w:p>
            <w:pPr>
              <w:pStyle w:val="8"/>
              <w:ind w:firstLine="560"/>
              <w:jc w:val="right"/>
              <w:rPr>
                <w:color w:val="000000"/>
                <w:sz w:val="28"/>
                <w:szCs w:val="28"/>
              </w:rPr>
            </w:pPr>
          </w:p>
        </w:tc>
        <w:tc>
          <w:tcPr>
            <w:tcW w:w="1418" w:type="dxa"/>
          </w:tcPr>
          <w:p>
            <w:pPr>
              <w:pStyle w:val="8"/>
              <w:ind w:firstLine="560"/>
              <w:jc w:val="right"/>
              <w:rPr>
                <w:rFonts w:eastAsia="宋体"/>
                <w:color w:val="000000"/>
                <w:sz w:val="28"/>
                <w:szCs w:val="28"/>
              </w:rPr>
            </w:pPr>
          </w:p>
        </w:tc>
      </w:tr>
    </w:tbl>
    <w:p>
      <w:pPr>
        <w:pStyle w:val="8"/>
        <w:spacing w:before="0" w:beforeAutospacing="0" w:after="0" w:afterAutospacing="0"/>
        <w:ind w:firstLine="482"/>
        <w:rPr>
          <w:b/>
          <w:szCs w:val="32"/>
        </w:rPr>
      </w:pPr>
    </w:p>
    <w:p>
      <w:pPr>
        <w:pStyle w:val="3"/>
        <w:ind w:firstLine="643"/>
        <w:rPr>
          <w:rFonts w:ascii="仿宋" w:hAnsi="仿宋" w:eastAsia="仿宋" w:cs="仿宋"/>
        </w:rPr>
      </w:pPr>
      <w:bookmarkStart w:id="25" w:name="_Toc1792"/>
      <w:bookmarkStart w:id="26" w:name="_Toc9078"/>
      <w:r>
        <w:rPr>
          <w:rFonts w:hint="eastAsia" w:ascii="仿宋" w:hAnsi="仿宋" w:eastAsia="仿宋" w:cs="仿宋"/>
        </w:rPr>
        <w:t>八、其他重要事项情况说明</w:t>
      </w:r>
      <w:bookmarkEnd w:id="25"/>
      <w:bookmarkEnd w:id="26"/>
    </w:p>
    <w:p>
      <w:pPr>
        <w:ind w:firstLine="643"/>
        <w:rPr>
          <w:b/>
          <w:bCs/>
        </w:rPr>
      </w:pPr>
      <w:bookmarkStart w:id="27" w:name="_Toc23407"/>
      <w:r>
        <w:rPr>
          <w:rFonts w:hint="eastAsia"/>
          <w:b/>
          <w:bCs/>
        </w:rPr>
        <w:t>（一）机关运行经费支出情况说明</w:t>
      </w:r>
      <w:bookmarkEnd w:id="27"/>
    </w:p>
    <w:p>
      <w:pPr>
        <w:spacing w:line="580" w:lineRule="exact"/>
        <w:ind w:firstLine="640"/>
        <w:rPr>
          <w:b/>
          <w:szCs w:val="32"/>
        </w:rPr>
      </w:pPr>
      <w:r>
        <w:rPr>
          <w:rFonts w:hint="eastAsia" w:ascii="仿宋_GB2312" w:hAnsi="宋体"/>
          <w:szCs w:val="32"/>
        </w:rPr>
        <w:t>2021年本单位无机关运行经费支出。</w:t>
      </w:r>
    </w:p>
    <w:p>
      <w:pPr>
        <w:ind w:firstLine="643"/>
        <w:rPr>
          <w:b/>
          <w:bCs/>
        </w:rPr>
      </w:pPr>
      <w:bookmarkStart w:id="28" w:name="_Toc16103"/>
      <w:r>
        <w:rPr>
          <w:rFonts w:hint="eastAsia"/>
          <w:b/>
          <w:bCs/>
        </w:rPr>
        <w:t>（二）政府采购情况说明</w:t>
      </w:r>
      <w:bookmarkEnd w:id="28"/>
      <w:r>
        <w:rPr>
          <w:rFonts w:hint="eastAsia"/>
          <w:b/>
          <w:bCs/>
        </w:rPr>
        <w:t>。</w:t>
      </w:r>
    </w:p>
    <w:p>
      <w:pPr>
        <w:spacing w:line="580" w:lineRule="exact"/>
        <w:ind w:firstLine="640"/>
        <w:rPr>
          <w:rFonts w:ascii="仿宋_GB2312"/>
          <w:szCs w:val="32"/>
        </w:rPr>
      </w:pPr>
      <w:r>
        <w:rPr>
          <w:rFonts w:hint="eastAsia" w:ascii="仿宋_GB2312"/>
          <w:szCs w:val="32"/>
        </w:rPr>
        <w:t>2021年度，无政府采购支出。</w:t>
      </w:r>
    </w:p>
    <w:p>
      <w:pPr>
        <w:ind w:firstLine="643"/>
        <w:rPr>
          <w:b/>
          <w:bCs/>
        </w:rPr>
      </w:pPr>
      <w:bookmarkStart w:id="29" w:name="_Toc19975"/>
      <w:r>
        <w:rPr>
          <w:rFonts w:hint="eastAsia"/>
          <w:b/>
          <w:bCs/>
        </w:rPr>
        <w:t>（三）国有资产占用情况说明</w:t>
      </w:r>
      <w:bookmarkEnd w:id="29"/>
    </w:p>
    <w:p>
      <w:pPr>
        <w:spacing w:line="580" w:lineRule="exact"/>
        <w:ind w:firstLine="640"/>
        <w:rPr>
          <w:rFonts w:ascii="仿宋_GB2312"/>
          <w:szCs w:val="32"/>
        </w:rPr>
      </w:pPr>
      <w:r>
        <w:rPr>
          <w:rFonts w:hint="eastAsia" w:ascii="仿宋_GB2312"/>
          <w:szCs w:val="32"/>
        </w:rPr>
        <w:t>截至2021年12月31日，本部门共有车辆2辆。其中，其他用车2辆，其他用车主要是下乡；无单价50万元（含）以上的通用设备，无单价100万元（含）以上专用设备</w:t>
      </w:r>
    </w:p>
    <w:p>
      <w:pPr>
        <w:ind w:firstLine="643"/>
        <w:rPr>
          <w:b/>
          <w:bCs/>
        </w:rPr>
      </w:pPr>
      <w:r>
        <w:rPr>
          <w:rFonts w:hint="eastAsia"/>
          <w:b/>
          <w:bCs/>
        </w:rPr>
        <w:t>（四）重点项目预算的绩效目标情况说明：</w:t>
      </w:r>
    </w:p>
    <w:p>
      <w:pPr>
        <w:ind w:firstLine="643"/>
        <w:rPr>
          <w:rFonts w:ascii="仿宋" w:hAnsi="仿宋" w:eastAsia="仿宋" w:cs="仿宋"/>
          <w:b/>
          <w:bCs/>
          <w:szCs w:val="32"/>
        </w:rPr>
      </w:pPr>
      <w:r>
        <w:rPr>
          <w:rFonts w:hint="eastAsia" w:ascii="仿宋" w:hAnsi="仿宋" w:eastAsia="仿宋" w:cs="仿宋"/>
          <w:b/>
          <w:bCs/>
          <w:szCs w:val="32"/>
        </w:rPr>
        <w:t>2021年本单位</w:t>
      </w:r>
      <w:bookmarkStart w:id="33" w:name="_GoBack"/>
      <w:bookmarkEnd w:id="33"/>
      <w:r>
        <w:rPr>
          <w:rFonts w:hint="eastAsia" w:ascii="仿宋" w:hAnsi="仿宋" w:eastAsia="仿宋" w:cs="仿宋"/>
          <w:b/>
          <w:bCs/>
          <w:szCs w:val="32"/>
        </w:rPr>
        <w:t>重点项目绩效目标情况自评说明，涉及金额等。</w:t>
      </w:r>
    </w:p>
    <w:p>
      <w:pPr>
        <w:ind w:firstLine="643"/>
        <w:rPr>
          <w:rFonts w:ascii="仿宋_GB2312" w:hAnsi="仿宋_GB2312" w:cs="仿宋_GB2312"/>
          <w:szCs w:val="32"/>
        </w:rPr>
      </w:pPr>
      <w:r>
        <w:rPr>
          <w:rFonts w:hint="eastAsia" w:ascii="仿宋_GB2312" w:hAnsi="仿宋_GB2312" w:cs="仿宋_GB2312"/>
          <w:b/>
          <w:bCs/>
          <w:szCs w:val="32"/>
        </w:rPr>
        <w:t>（1）预算绩效管理工作开展情况。</w:t>
      </w:r>
      <w:r>
        <w:rPr>
          <w:rFonts w:hint="eastAsia" w:ascii="仿宋_GB2312" w:hAnsi="仿宋_GB2312" w:cs="仿宋_GB2312"/>
          <w:szCs w:val="32"/>
        </w:rPr>
        <w:t>2021年度无县级财政预算安排的专项资金类项目， 2021年度无政府性基金预算项目。</w:t>
      </w:r>
    </w:p>
    <w:p>
      <w:pPr>
        <w:ind w:firstLine="643"/>
        <w:rPr>
          <w:rFonts w:ascii="仿宋_GB2312" w:hAnsi="仿宋_GB2312" w:cs="仿宋_GB2312"/>
          <w:szCs w:val="32"/>
        </w:rPr>
      </w:pPr>
      <w:r>
        <w:rPr>
          <w:rFonts w:hint="eastAsia" w:ascii="仿宋_GB2312" w:hAnsi="仿宋_GB2312" w:cs="仿宋_GB2312"/>
          <w:b/>
          <w:bCs/>
          <w:szCs w:val="32"/>
        </w:rPr>
        <w:t>（2）部门决算中项目绩效自评结果。</w:t>
      </w:r>
      <w:r>
        <w:rPr>
          <w:rFonts w:hint="eastAsia" w:ascii="仿宋_GB2312" w:hAnsi="仿宋_GB2312" w:cs="仿宋_GB2312"/>
          <w:szCs w:val="32"/>
        </w:rPr>
        <w:t>本单位无重点项目向社会公开。</w:t>
      </w:r>
      <w:r>
        <w:rPr>
          <w:rFonts w:ascii="仿宋_GB2312" w:hAnsi="仿宋_GB2312" w:cs="仿宋_GB2312"/>
          <w:szCs w:val="32"/>
        </w:rPr>
        <w:t xml:space="preserve"> </w:t>
      </w:r>
    </w:p>
    <w:p>
      <w:pPr>
        <w:ind w:firstLine="640"/>
        <w:rPr>
          <w:rFonts w:ascii="仿宋_GB2312" w:hAnsi="仿宋_GB2312" w:cs="仿宋_GB2312"/>
          <w:szCs w:val="32"/>
        </w:rPr>
      </w:pPr>
      <w:r>
        <w:rPr>
          <w:rFonts w:hint="eastAsia" w:ascii="仿宋_GB2312" w:hAnsi="仿宋_GB2312" w:cs="仿宋_GB2312"/>
          <w:szCs w:val="32"/>
        </w:rPr>
        <w:t>（3）</w:t>
      </w:r>
      <w:r>
        <w:rPr>
          <w:rFonts w:hint="eastAsia" w:ascii="仿宋_GB2312" w:hAnsi="仿宋_GB2312" w:cs="仿宋_GB2312"/>
          <w:b/>
          <w:bCs/>
          <w:szCs w:val="32"/>
        </w:rPr>
        <w:t>部门评价项目绩效评价结果。</w:t>
      </w:r>
      <w:r>
        <w:rPr>
          <w:rFonts w:hint="eastAsia" w:ascii="仿宋_GB2312" w:hAnsi="仿宋_GB2312" w:cs="仿宋_GB2312"/>
          <w:szCs w:val="32"/>
        </w:rPr>
        <w:t>本单位无重点项目评价报告向社会公开。</w:t>
      </w:r>
    </w:p>
    <w:p>
      <w:pPr>
        <w:numPr>
          <w:ilvl w:val="0"/>
          <w:numId w:val="3"/>
        </w:numPr>
        <w:spacing w:line="580" w:lineRule="exact"/>
        <w:ind w:firstLine="643"/>
        <w:outlineLvl w:val="0"/>
        <w:rPr>
          <w:rFonts w:ascii="仿宋_GB2312"/>
          <w:b/>
          <w:szCs w:val="32"/>
        </w:rPr>
      </w:pPr>
      <w:bookmarkStart w:id="30" w:name="_Toc8450"/>
      <w:bookmarkStart w:id="31" w:name="_Toc28108"/>
      <w:r>
        <w:rPr>
          <w:rFonts w:hint="eastAsia" w:ascii="仿宋_GB2312"/>
          <w:b/>
          <w:szCs w:val="32"/>
        </w:rPr>
        <w:t>其他需要说明的事项</w:t>
      </w:r>
      <w:bookmarkEnd w:id="30"/>
      <w:bookmarkEnd w:id="31"/>
    </w:p>
    <w:p>
      <w:pPr>
        <w:pStyle w:val="2"/>
        <w:ind w:firstLine="0" w:firstLineChars="0"/>
        <w:jc w:val="center"/>
        <w:rPr>
          <w:sz w:val="36"/>
          <w:szCs w:val="36"/>
        </w:rPr>
      </w:pPr>
      <w:bookmarkStart w:id="32" w:name="_Toc8545"/>
      <w:r>
        <w:rPr>
          <w:rFonts w:hint="eastAsia"/>
          <w:sz w:val="36"/>
          <w:szCs w:val="36"/>
        </w:rPr>
        <w:t>第四部分  名词解释</w:t>
      </w:r>
      <w:bookmarkEnd w:id="32"/>
    </w:p>
    <w:p>
      <w:pPr>
        <w:spacing w:line="580" w:lineRule="exact"/>
        <w:ind w:firstLine="640"/>
        <w:rPr>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ascii="仿宋_GB2312"/>
          <w:szCs w:val="32"/>
        </w:rPr>
      </w:pPr>
      <w:r>
        <w:rPr>
          <w:rFonts w:hint="eastAsia" w:ascii="仿宋_GB2312"/>
          <w:b/>
          <w:szCs w:val="32"/>
        </w:rPr>
        <w:t>一、财政拨款收入：</w:t>
      </w:r>
      <w:r>
        <w:rPr>
          <w:rFonts w:hint="eastAsia" w:ascii="仿宋_GB2312"/>
          <w:szCs w:val="32"/>
        </w:rPr>
        <w:t>指单位从同级财政部门取得的财政预算资金。</w:t>
      </w:r>
    </w:p>
    <w:p>
      <w:pPr>
        <w:spacing w:line="580" w:lineRule="exact"/>
        <w:ind w:firstLine="520" w:firstLineChars="162"/>
        <w:rPr>
          <w:rFonts w:ascii="仿宋_GB2312"/>
          <w:szCs w:val="32"/>
        </w:rPr>
      </w:pPr>
      <w:r>
        <w:rPr>
          <w:rFonts w:hint="eastAsia" w:ascii="仿宋_GB2312"/>
          <w:b/>
          <w:szCs w:val="32"/>
        </w:rPr>
        <w:t>二、事业收入：</w:t>
      </w:r>
      <w:r>
        <w:rPr>
          <w:rFonts w:hint="eastAsia" w:ascii="仿宋_GB2312"/>
          <w:szCs w:val="32"/>
        </w:rPr>
        <w:t>指事业单位开展专业业务活动及辅助活动取得的收入。</w:t>
      </w:r>
    </w:p>
    <w:p>
      <w:pPr>
        <w:spacing w:line="580" w:lineRule="exact"/>
        <w:ind w:firstLine="520" w:firstLineChars="162"/>
        <w:rPr>
          <w:rFonts w:ascii="仿宋_GB2312"/>
          <w:szCs w:val="32"/>
        </w:rPr>
      </w:pPr>
      <w:r>
        <w:rPr>
          <w:rFonts w:hint="eastAsia" w:ascii="仿宋_GB2312"/>
          <w:b/>
          <w:szCs w:val="32"/>
        </w:rPr>
        <w:t>三、经营收入：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ascii="仿宋_GB2312"/>
          <w:szCs w:val="32"/>
        </w:rPr>
      </w:pPr>
      <w:r>
        <w:rPr>
          <w:rFonts w:hint="eastAsia" w:ascii="仿宋_GB2312"/>
          <w:b/>
          <w:szCs w:val="32"/>
        </w:rPr>
        <w:t>四、其他收入：</w:t>
      </w:r>
      <w:r>
        <w:rPr>
          <w:rFonts w:hint="eastAsia" w:ascii="仿宋_GB2312"/>
          <w:szCs w:val="32"/>
        </w:rPr>
        <w:t>指单位取得的除上述收入以外的各项收</w:t>
      </w:r>
    </w:p>
    <w:p>
      <w:pPr>
        <w:spacing w:line="580" w:lineRule="exact"/>
        <w:ind w:firstLineChars="0"/>
        <w:rPr>
          <w:rFonts w:ascii="仿宋_GB2312"/>
          <w:szCs w:val="32"/>
        </w:rPr>
      </w:pPr>
      <w:r>
        <w:rPr>
          <w:rFonts w:hint="eastAsia" w:ascii="仿宋_GB2312"/>
          <w:szCs w:val="32"/>
        </w:rPr>
        <w:t>入。主要是按规定动用的售房收入、存款利息收入等。</w:t>
      </w:r>
    </w:p>
    <w:p>
      <w:pPr>
        <w:spacing w:line="580" w:lineRule="exact"/>
        <w:ind w:firstLine="520" w:firstLineChars="162"/>
        <w:rPr>
          <w:rFonts w:ascii="仿宋_GB2312"/>
          <w:szCs w:val="32"/>
        </w:rPr>
      </w:pPr>
      <w:r>
        <w:rPr>
          <w:rFonts w:hint="eastAsia" w:ascii="仿宋_GB2312"/>
          <w:b/>
          <w:szCs w:val="32"/>
        </w:rPr>
        <w:t>五、年初结转和结余：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rPr>
        <w:t>六、基本支出：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18" w:firstLineChars="162"/>
        <w:rPr>
          <w:rFonts w:ascii="仿宋_GB2312"/>
          <w:szCs w:val="32"/>
        </w:rPr>
      </w:pPr>
    </w:p>
    <w:p>
      <w:pPr>
        <w:spacing w:line="580" w:lineRule="exact"/>
        <w:ind w:firstLine="5280" w:firstLineChars="1650"/>
        <w:rPr>
          <w:rFonts w:ascii="仿宋_GB2312"/>
          <w:szCs w:val="32"/>
        </w:rPr>
      </w:pPr>
      <w:r>
        <w:rPr>
          <w:rFonts w:hint="eastAsia" w:ascii="仿宋_GB2312"/>
          <w:szCs w:val="32"/>
        </w:rPr>
        <w:t xml:space="preserve"> 静乐县文化馆</w:t>
      </w:r>
    </w:p>
    <w:p>
      <w:pPr>
        <w:ind w:firstLine="4800" w:firstLineChars="1500"/>
      </w:pPr>
      <w:r>
        <w:rPr>
          <w:rFonts w:hint="eastAsia"/>
        </w:rPr>
        <w:t>二〇二二年六月</w:t>
      </w:r>
      <w:r>
        <w:rPr>
          <w:rFonts w:hint="eastAsia"/>
          <w:lang w:eastAsia="zh-CN"/>
        </w:rPr>
        <w:t>六</w:t>
      </w:r>
      <w:r>
        <w:rPr>
          <w:rFonts w:hint="eastAsia"/>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A05B59"/>
    <w:multiLevelType w:val="multilevel"/>
    <w:tmpl w:val="3DA05B59"/>
    <w:lvl w:ilvl="0" w:tentative="0">
      <w:start w:val="1"/>
      <w:numFmt w:val="japaneseCounting"/>
      <w:lvlText w:val="%1、"/>
      <w:lvlJc w:val="left"/>
      <w:pPr>
        <w:ind w:left="1360" w:hanging="720"/>
      </w:pPr>
      <w:rPr>
        <w:rFonts w:hint="default"/>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495520D0"/>
    <w:rsid w:val="00101C8E"/>
    <w:rsid w:val="001654ED"/>
    <w:rsid w:val="002A26CA"/>
    <w:rsid w:val="002A2FCE"/>
    <w:rsid w:val="002D7BD9"/>
    <w:rsid w:val="003F4173"/>
    <w:rsid w:val="004558DA"/>
    <w:rsid w:val="004F5AE3"/>
    <w:rsid w:val="004F6CF8"/>
    <w:rsid w:val="00572C89"/>
    <w:rsid w:val="005B108A"/>
    <w:rsid w:val="006E12F6"/>
    <w:rsid w:val="00832FE4"/>
    <w:rsid w:val="00917442"/>
    <w:rsid w:val="00956577"/>
    <w:rsid w:val="00975629"/>
    <w:rsid w:val="00B1645E"/>
    <w:rsid w:val="00C05879"/>
    <w:rsid w:val="00C13490"/>
    <w:rsid w:val="00DD0D3A"/>
    <w:rsid w:val="00EA31E0"/>
    <w:rsid w:val="03696819"/>
    <w:rsid w:val="16654CDD"/>
    <w:rsid w:val="1A4A5C33"/>
    <w:rsid w:val="1CC33C50"/>
    <w:rsid w:val="2701594C"/>
    <w:rsid w:val="27426717"/>
    <w:rsid w:val="37943B50"/>
    <w:rsid w:val="3821117E"/>
    <w:rsid w:val="42C12CEC"/>
    <w:rsid w:val="44401A62"/>
    <w:rsid w:val="495520D0"/>
    <w:rsid w:val="4A012068"/>
    <w:rsid w:val="53A30631"/>
    <w:rsid w:val="5EC01F6A"/>
    <w:rsid w:val="63AB51DF"/>
    <w:rsid w:val="649C6DC9"/>
    <w:rsid w:val="6F607A60"/>
    <w:rsid w:val="715A78E4"/>
    <w:rsid w:val="77617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rPr>
  </w:style>
  <w:style w:type="character" w:default="1" w:styleId="10">
    <w:name w:val="Default Paragraph Font"/>
    <w:unhideWhenUsed/>
    <w:uiPriority w:val="1"/>
  </w:style>
  <w:style w:type="table" w:default="1" w:styleId="9">
    <w:name w:val="Normal Table"/>
    <w:unhideWhenUsed/>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sz w:val="18"/>
      <w:szCs w:val="18"/>
    </w:rPr>
  </w:style>
  <w:style w:type="paragraph" w:styleId="5">
    <w:name w:val="header"/>
    <w:basedOn w:val="1"/>
    <w:uiPriority w:val="0"/>
    <w:pPr>
      <w:tabs>
        <w:tab w:val="center" w:pos="4153"/>
        <w:tab w:val="right" w:pos="8306"/>
      </w:tabs>
      <w:snapToGrid w:val="0"/>
      <w:spacing w:line="240" w:lineRule="atLeast"/>
      <w:jc w:val="center"/>
    </w:pPr>
    <w:rPr>
      <w:sz w:val="18"/>
      <w:szCs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List Paragraph"/>
    <w:basedOn w:val="1"/>
    <w:unhideWhenUsed/>
    <w:uiPriority w:val="99"/>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2662</Words>
  <Characters>3107</Characters>
  <Lines>12</Lines>
  <Paragraphs>8</Paragraphs>
  <TotalTime>1</TotalTime>
  <ScaleCrop>false</ScaleCrop>
  <LinksUpToDate>false</LinksUpToDate>
  <CharactersWithSpaces>3161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2022-06-24T16:24:00Z</dcterms:created>
  <dc:creator>lenovo</dc:creator>
  <cp:lastModifiedBy>晴</cp:lastModifiedBy>
  <dcterms:modified xsi:type="dcterms:W3CDTF">2022-08-03T02:13:01Z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A4A2944C948043C29F53E498D86536A7</vt:lpwstr>
  </property>
</Properties>
</file>