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10"/>
        <w:ind w:left="0" w:leftChars="0" w:firstLine="0" w:firstLineChars="0"/>
        <w:jc w:val="center"/>
        <w:textAlignment w:val="auto"/>
        <w:rPr>
          <w:rFonts w:hint="eastAsia" w:ascii="华文中宋" w:hAnsi="华文中宋" w:eastAsia="华文中宋"/>
          <w:color w:val="auto"/>
          <w:sz w:val="44"/>
          <w:szCs w:val="44"/>
        </w:rPr>
      </w:pPr>
      <w:bookmarkStart w:id="0" w:name="_Toc21118"/>
      <w:bookmarkStart w:id="1" w:name="_Toc31071"/>
      <w:bookmarkStart w:id="2" w:name="_Toc32048"/>
      <w:r>
        <w:rPr>
          <w:rFonts w:hint="eastAsia" w:ascii="华文中宋" w:hAnsi="华文中宋" w:eastAsia="华文中宋"/>
          <w:color w:val="auto"/>
          <w:sz w:val="44"/>
          <w:szCs w:val="44"/>
          <w:lang w:val="en-US" w:eastAsia="zh-CN"/>
        </w:rPr>
        <w:t>静乐县水利局</w:t>
      </w: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w:t>
      </w:r>
    </w:p>
    <w:p>
      <w:pPr>
        <w:pStyle w:val="2"/>
        <w:keepNext/>
        <w:keepLines/>
        <w:pageBreakBefore w:val="0"/>
        <w:widowControl w:val="0"/>
        <w:kinsoku/>
        <w:wordWrap/>
        <w:overflowPunct/>
        <w:topLinePunct w:val="0"/>
        <w:autoSpaceDE/>
        <w:autoSpaceDN/>
        <w:bidi w:val="0"/>
        <w:adjustRightInd/>
        <w:snapToGrid/>
        <w:spacing w:before="0" w:after="10"/>
        <w:ind w:left="0" w:leftChars="0" w:firstLine="0" w:firstLineChars="0"/>
        <w:jc w:val="center"/>
        <w:textAlignment w:val="auto"/>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14</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14</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4461"/>
      <w:bookmarkStart w:id="6" w:name="_Toc24066"/>
      <w:r>
        <w:rPr>
          <w:rFonts w:hint="eastAsia" w:ascii="仿宋" w:hAnsi="仿宋" w:eastAsia="仿宋" w:cs="仿宋"/>
          <w:b w:val="0"/>
          <w:bCs/>
        </w:rPr>
        <w:t>一、本部门职责</w:t>
      </w:r>
      <w:bookmarkEnd w:id="5"/>
      <w:bookmarkEnd w:id="6"/>
    </w:p>
    <w:p>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cs="仿宋"/>
          <w:i w:val="0"/>
          <w:iCs w:val="0"/>
          <w:sz w:val="32"/>
          <w:szCs w:val="32"/>
        </w:rPr>
      </w:pPr>
      <w:r>
        <w:rPr>
          <w:rFonts w:hint="eastAsia" w:ascii="仿宋" w:hAnsi="仿宋" w:eastAsia="仿宋" w:cs="仿宋"/>
          <w:i w:val="0"/>
          <w:iCs w:val="0"/>
          <w:sz w:val="32"/>
          <w:szCs w:val="32"/>
          <w:lang w:val="en-US" w:eastAsia="zh-CN"/>
        </w:rPr>
        <w:t>1、</w:t>
      </w:r>
      <w:r>
        <w:rPr>
          <w:rFonts w:hint="eastAsia" w:ascii="仿宋" w:hAnsi="仿宋" w:eastAsia="仿宋" w:cs="仿宋"/>
          <w:i w:val="0"/>
          <w:iCs w:val="0"/>
          <w:sz w:val="32"/>
          <w:szCs w:val="32"/>
          <w:lang w:eastAsia="zh-CN"/>
        </w:rPr>
        <w:t>保障全县水资源的合理开发利用，拟定全县水利战略规划，组织编制县</w:t>
      </w:r>
      <w:r>
        <w:rPr>
          <w:rFonts w:hint="eastAsia" w:ascii="仿宋" w:hAnsi="仿宋" w:eastAsia="仿宋" w:cs="仿宋"/>
          <w:i w:val="0"/>
          <w:iCs w:val="0"/>
          <w:sz w:val="32"/>
          <w:szCs w:val="32"/>
          <w:lang w:val="en-US" w:eastAsia="zh-CN"/>
        </w:rPr>
        <w:t>水资源战略规划，组织编制县确定的</w:t>
      </w:r>
      <w:r>
        <w:rPr>
          <w:rFonts w:hint="eastAsia" w:ascii="仿宋" w:hAnsi="仿宋" w:eastAsia="仿宋" w:cs="仿宋"/>
          <w:i w:val="0"/>
          <w:iCs w:val="0"/>
          <w:sz w:val="32"/>
          <w:szCs w:val="32"/>
          <w:lang w:eastAsia="zh-CN"/>
        </w:rPr>
        <w:t>重要河道流域综合规划、防洪规划等重大水利规划</w:t>
      </w:r>
      <w:r>
        <w:rPr>
          <w:rFonts w:hint="eastAsia" w:ascii="仿宋" w:hAnsi="仿宋" w:eastAsia="仿宋" w:cs="仿宋"/>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cs="仿宋"/>
          <w:i w:val="0"/>
          <w:iCs w:val="0"/>
          <w:sz w:val="32"/>
          <w:szCs w:val="32"/>
          <w:lang w:val="en-US" w:eastAsia="zh-CN"/>
        </w:rPr>
      </w:pPr>
      <w:r>
        <w:rPr>
          <w:rFonts w:hint="eastAsia" w:ascii="仿宋" w:hAnsi="仿宋" w:eastAsia="仿宋" w:cs="仿宋"/>
          <w:i w:val="0"/>
          <w:iCs w:val="0"/>
          <w:sz w:val="32"/>
          <w:szCs w:val="32"/>
          <w:lang w:val="en-US" w:eastAsia="zh-CN"/>
        </w:rPr>
        <w:t>2、负责全县生活、生产经营和生态环境用水的统筹兼顾和保障。组织实施最严格水资源管理制度，实施全县水资源的统一监督管理，拟定全县和跨县中长期供求规划、水量分配方案并监督实施。负责全县重要河流、区域以及重大调水工程的水资源调度。组织全县水资源监测工作。组织实施取水许可、水资源有偿使用制度和水资源论证、防洪论证制度。指导全县水利行业供水和乡镇供水工作。</w:t>
      </w:r>
    </w:p>
    <w:p>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cs="仿宋"/>
          <w:i w:val="0"/>
          <w:iCs w:val="0"/>
          <w:sz w:val="32"/>
          <w:szCs w:val="32"/>
          <w:lang w:val="en-US" w:eastAsia="zh-CN"/>
        </w:rPr>
      </w:pPr>
      <w:r>
        <w:rPr>
          <w:rFonts w:hint="eastAsia" w:ascii="仿宋" w:hAnsi="仿宋" w:eastAsia="仿宋" w:cs="仿宋"/>
          <w:i w:val="0"/>
          <w:iCs w:val="0"/>
          <w:sz w:val="32"/>
          <w:szCs w:val="32"/>
          <w:lang w:val="en-US" w:eastAsia="zh-CN"/>
        </w:rPr>
        <w:t>3、按规定制定全县水利工程建设有关制度并组织实施，负责提出全县水利固定资产投资规模、方向、安排意见，并组织指导实施。按县人民政府规定全县审核、审批规划内和年度计划规模内固定资产投资项目。提出全县水利建设投资安排建义并负责项目实施的监督管理。</w:t>
      </w:r>
    </w:p>
    <w:p>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cs="仿宋"/>
          <w:i w:val="0"/>
          <w:iCs w:val="0"/>
          <w:sz w:val="32"/>
          <w:szCs w:val="32"/>
          <w:lang w:val="en-US" w:eastAsia="zh-CN"/>
        </w:rPr>
      </w:pPr>
      <w:r>
        <w:rPr>
          <w:rFonts w:hint="eastAsia" w:ascii="仿宋" w:hAnsi="仿宋" w:eastAsia="仿宋" w:cs="仿宋"/>
          <w:i w:val="0"/>
          <w:iCs w:val="0"/>
          <w:sz w:val="32"/>
          <w:szCs w:val="32"/>
          <w:lang w:val="en-US" w:eastAsia="zh-CN"/>
        </w:rPr>
        <w:t>4、指导全县水资源保护工作。组织编制并实施全县水资源保护规划，指导全县饮用水水源保护有关工作，指导全县地下水开发利用、地下水资源管理保护工作。发布全县水资源公报。组织指导全县地下水超采区综合治理。</w:t>
      </w:r>
    </w:p>
    <w:p>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cs="仿宋"/>
          <w:i w:val="0"/>
          <w:iCs w:val="0"/>
          <w:sz w:val="32"/>
          <w:szCs w:val="32"/>
          <w:lang w:val="en-US" w:eastAsia="zh-CN"/>
        </w:rPr>
      </w:pPr>
      <w:r>
        <w:rPr>
          <w:rFonts w:hint="eastAsia" w:ascii="仿宋" w:hAnsi="仿宋" w:eastAsia="仿宋" w:cs="仿宋"/>
          <w:i w:val="0"/>
          <w:iCs w:val="0"/>
          <w:sz w:val="32"/>
          <w:szCs w:val="32"/>
          <w:lang w:val="en-US" w:eastAsia="zh-CN"/>
        </w:rPr>
        <w:t>5、负责全县节约用水工作。编制全县节约用水计划并监督实施，贯彻执行国家和省市有关节约用水的政策、制度和有关标准，指导和推动节水型社会建设工作。承担全县节水示范项目管理工作。</w:t>
      </w:r>
    </w:p>
    <w:p>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cs="仿宋"/>
          <w:i w:val="0"/>
          <w:iCs w:val="0"/>
          <w:sz w:val="32"/>
          <w:szCs w:val="32"/>
          <w:lang w:val="en-US" w:eastAsia="zh-CN"/>
        </w:rPr>
      </w:pPr>
      <w:r>
        <w:rPr>
          <w:rFonts w:hint="eastAsia" w:ascii="仿宋" w:hAnsi="仿宋" w:eastAsia="仿宋" w:cs="仿宋"/>
          <w:i w:val="0"/>
          <w:iCs w:val="0"/>
          <w:sz w:val="32"/>
          <w:szCs w:val="32"/>
          <w:lang w:val="en-US" w:eastAsia="zh-CN"/>
        </w:rPr>
        <w:t>6、指导全县水利设施、水域及其岸线的管理、保护与综合利用。负责指导全县河湖长制工作，组织协调全县河道管理工作。组织指导全县水利基础设施网络建设。指导全县重要河流及河口、河岸滩涂的治理、开发和保护。指导全县河湖水生态保护与修复、河湖生态流量水量管理以及河湖水系联通工作。</w:t>
      </w:r>
    </w:p>
    <w:p>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cs="仿宋"/>
          <w:i w:val="0"/>
          <w:iCs w:val="0"/>
          <w:sz w:val="32"/>
          <w:szCs w:val="32"/>
          <w:lang w:val="en-US" w:eastAsia="zh-CN"/>
        </w:rPr>
      </w:pPr>
      <w:r>
        <w:rPr>
          <w:rFonts w:hint="eastAsia" w:ascii="仿宋" w:hAnsi="仿宋" w:eastAsia="仿宋" w:cs="仿宋"/>
          <w:i w:val="0"/>
          <w:iCs w:val="0"/>
          <w:sz w:val="32"/>
          <w:szCs w:val="32"/>
          <w:lang w:val="en-US" w:eastAsia="zh-CN"/>
        </w:rPr>
        <w:t>7、指导监督全县水利工程建设与运行管理。组织实施具有控制性的和跨县跨流域的重要水利工程建设与运行管理。承担水利基建工程的监督管理。组织指导水利工程验收有关工作。指导水利建设市场的监督管理和水利建设市场信用体建设。</w:t>
      </w:r>
    </w:p>
    <w:p>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cs="仿宋"/>
          <w:i w:val="0"/>
          <w:iCs w:val="0"/>
          <w:sz w:val="32"/>
          <w:szCs w:val="32"/>
          <w:lang w:val="en-US" w:eastAsia="zh-CN"/>
        </w:rPr>
      </w:pPr>
      <w:r>
        <w:rPr>
          <w:rFonts w:hint="eastAsia" w:ascii="仿宋" w:hAnsi="仿宋" w:eastAsia="仿宋" w:cs="仿宋"/>
          <w:i w:val="0"/>
          <w:iCs w:val="0"/>
          <w:sz w:val="32"/>
          <w:szCs w:val="32"/>
          <w:lang w:val="en-US" w:eastAsia="zh-CN"/>
        </w:rPr>
        <w:t>8、负责水土保持工作。拟定全县水土保持规划并监督实施。对全县水土保持法律、法规的贯彻执行情况实施监督检查。组织实施全县水土流失的综合防治、监测预报并定期公告。负责建设项目水土保持监督管理工作，指导全县重点水土保持建设项目的实施。</w:t>
      </w:r>
    </w:p>
    <w:p>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cs="仿宋"/>
          <w:i w:val="0"/>
          <w:iCs w:val="0"/>
          <w:sz w:val="32"/>
          <w:szCs w:val="32"/>
          <w:lang w:val="en-US" w:eastAsia="zh-CN"/>
        </w:rPr>
      </w:pPr>
      <w:r>
        <w:rPr>
          <w:rFonts w:hint="eastAsia" w:ascii="仿宋" w:hAnsi="仿宋" w:eastAsia="仿宋" w:cs="仿宋"/>
          <w:i w:val="0"/>
          <w:iCs w:val="0"/>
          <w:sz w:val="32"/>
          <w:szCs w:val="32"/>
          <w:lang w:val="en-US" w:eastAsia="zh-CN"/>
        </w:rPr>
        <w:t>9、指导农村水利水电工作。组织开展全县中小型灌排工程建设与改造。指导全县农村饮水安全工程建设管理及节水灌溉工作。指导全县农村水利改革创新和社会化服务体系建设。指导全县农村水能资源开发、小水电改造和水电农村电气化工作。对水质检测工作实施监督。</w:t>
      </w:r>
    </w:p>
    <w:p>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cs="仿宋"/>
          <w:i w:val="0"/>
          <w:iCs w:val="0"/>
          <w:sz w:val="32"/>
          <w:szCs w:val="32"/>
          <w:lang w:val="en-US" w:eastAsia="zh-CN"/>
        </w:rPr>
      </w:pPr>
      <w:r>
        <w:rPr>
          <w:rFonts w:hint="eastAsia" w:ascii="仿宋" w:hAnsi="仿宋" w:eastAsia="仿宋" w:cs="仿宋"/>
          <w:i w:val="0"/>
          <w:iCs w:val="0"/>
          <w:sz w:val="32"/>
          <w:szCs w:val="32"/>
          <w:lang w:val="en-US" w:eastAsia="zh-CN"/>
        </w:rPr>
        <w:t>10、指导全县水利工程移民管理工作。拟定全县水利水电工程移民有关政策并监督实施，组织实施水利水电工程移民安置验收、监督评估等制度。指导监督水库移民后期扶持政策的实施工作。</w:t>
      </w:r>
    </w:p>
    <w:p>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cs="仿宋"/>
          <w:i w:val="0"/>
          <w:iCs w:val="0"/>
          <w:sz w:val="32"/>
          <w:szCs w:val="32"/>
          <w:lang w:val="en-US" w:eastAsia="zh-CN"/>
        </w:rPr>
      </w:pPr>
      <w:r>
        <w:rPr>
          <w:rFonts w:hint="eastAsia" w:ascii="仿宋" w:hAnsi="仿宋" w:eastAsia="仿宋" w:cs="仿宋"/>
          <w:i w:val="0"/>
          <w:iCs w:val="0"/>
          <w:sz w:val="32"/>
          <w:szCs w:val="32"/>
          <w:lang w:val="en-US" w:eastAsia="zh-CN"/>
        </w:rPr>
        <w:t>11、负责全县重大涉水违法事件的查处，协调跨县水事纠纷，指导全县水政监察和水行政执法。监督水利重大决策、决策部署和重点工作的贯彻落实。组织实施全县水利工程质量和安全监督。依法负责全县水利行业安全生产工作，组织、实施、指导全县水库、水电站大坝的安全监管。</w:t>
      </w:r>
    </w:p>
    <w:p>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cs="仿宋"/>
          <w:i w:val="0"/>
          <w:iCs w:val="0"/>
          <w:sz w:val="32"/>
          <w:szCs w:val="32"/>
          <w:lang w:val="en-US" w:eastAsia="zh-CN"/>
        </w:rPr>
      </w:pPr>
      <w:r>
        <w:rPr>
          <w:rFonts w:hint="eastAsia" w:ascii="仿宋" w:hAnsi="仿宋" w:eastAsia="仿宋" w:cs="仿宋"/>
          <w:i w:val="0"/>
          <w:iCs w:val="0"/>
          <w:sz w:val="32"/>
          <w:szCs w:val="32"/>
          <w:lang w:val="en-US" w:eastAsia="zh-CN"/>
        </w:rPr>
        <w:t>12、开展水利科技和外事工作。组织开展全县水利行业质量技术监督工作。组织重大水利科学研究和技术推广；监督实施水利行业技术质量标准和水利工程的规程、规范；指导水利信息化建设管理，组织水利信息化建设项目的审查并监督实施，办理有关水利涉外事务。</w:t>
      </w:r>
    </w:p>
    <w:p>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cs="仿宋"/>
          <w:i w:val="0"/>
          <w:iCs w:val="0"/>
          <w:sz w:val="32"/>
          <w:szCs w:val="32"/>
          <w:lang w:val="en-US" w:eastAsia="zh-CN"/>
        </w:rPr>
      </w:pPr>
      <w:r>
        <w:rPr>
          <w:rFonts w:hint="eastAsia" w:ascii="仿宋" w:hAnsi="仿宋" w:eastAsia="仿宋" w:cs="仿宋"/>
          <w:i w:val="0"/>
          <w:iCs w:val="0"/>
          <w:sz w:val="32"/>
          <w:szCs w:val="32"/>
          <w:lang w:val="en-US" w:eastAsia="zh-CN"/>
        </w:rPr>
        <w:t>13、负责落实综合防灾减灾规划相关要求，组织编制全县洪水干旱灾害防治规划和防护标准并指导实施。承担水情旱情监测预警工作。组织编制全县重要河湖和重要水工程的防御洪水抗御灾害调度及应急水量调度方案，按程序报批并组织实施。承担防御洪水应急抢险的技术支撑工作。</w:t>
      </w:r>
    </w:p>
    <w:p>
      <w:pPr>
        <w:keepNext w:val="0"/>
        <w:keepLines w:val="0"/>
        <w:pageBreakBefore w:val="0"/>
        <w:numPr>
          <w:ilvl w:val="0"/>
          <w:numId w:val="0"/>
        </w:numPr>
        <w:kinsoku/>
        <w:wordWrap/>
        <w:overflowPunct/>
        <w:topLinePunct w:val="0"/>
        <w:autoSpaceDE/>
        <w:autoSpaceDN/>
        <w:bidi w:val="0"/>
        <w:adjustRightInd/>
        <w:snapToGrid/>
        <w:spacing w:line="660" w:lineRule="exact"/>
        <w:ind w:firstLine="640" w:firstLineChars="200"/>
        <w:textAlignment w:val="auto"/>
        <w:rPr>
          <w:rFonts w:hint="eastAsia" w:ascii="仿宋" w:hAnsi="仿宋" w:eastAsia="仿宋" w:cs="仿宋"/>
          <w:i w:val="0"/>
          <w:iCs w:val="0"/>
          <w:sz w:val="32"/>
          <w:szCs w:val="32"/>
          <w:lang w:val="en-US" w:eastAsia="zh-CN"/>
        </w:rPr>
      </w:pPr>
      <w:r>
        <w:rPr>
          <w:rFonts w:hint="eastAsia" w:ascii="仿宋" w:hAnsi="仿宋" w:eastAsia="仿宋" w:cs="仿宋"/>
          <w:i w:val="0"/>
          <w:iCs w:val="0"/>
          <w:sz w:val="32"/>
          <w:szCs w:val="32"/>
          <w:lang w:val="en-US" w:eastAsia="zh-CN"/>
        </w:rPr>
        <w:t>14、完成县委、县政府交办的其他任务。</w:t>
      </w:r>
    </w:p>
    <w:p>
      <w:pPr>
        <w:rPr>
          <w:rFonts w:hint="eastAsia"/>
        </w:rPr>
      </w:pPr>
      <w:r>
        <w:rPr>
          <w:rFonts w:hint="eastAsia" w:ascii="仿宋" w:hAnsi="仿宋" w:eastAsia="仿宋" w:cs="仿宋"/>
          <w:i w:val="0"/>
          <w:iCs w:val="0"/>
          <w:sz w:val="32"/>
          <w:szCs w:val="32"/>
          <w:lang w:val="en-US" w:eastAsia="zh-CN"/>
        </w:rPr>
        <w:t>15、职能转变。县水利局应切实加强水资源合理利用、优化配置和节约保护，强化水利行业监督管理。坚持节水优先，总增加供给专项更加重视需求管理，严格控制用水总量和提高用水效率。坚持保护优先，加强水资源、水域和水利工程的管理保护，维护河湖健康美丽。坚持统筹兼顾，保障合理用水需求和水资源的可持续利用，为全县经济社会发展提供水安全保障。</w:t>
      </w:r>
    </w:p>
    <w:p>
      <w:pPr>
        <w:pStyle w:val="3"/>
        <w:rPr>
          <w:rFonts w:hint="eastAsia" w:ascii="仿宋" w:hAnsi="仿宋" w:eastAsia="仿宋" w:cs="仿宋"/>
          <w:b w:val="0"/>
          <w:bCs/>
        </w:rPr>
      </w:pPr>
      <w:bookmarkStart w:id="7" w:name="_Toc275"/>
      <w:bookmarkStart w:id="8" w:name="_Toc9155"/>
      <w:r>
        <w:rPr>
          <w:rFonts w:hint="eastAsia" w:ascii="仿宋" w:hAnsi="仿宋" w:eastAsia="仿宋" w:cs="仿宋"/>
          <w:b w:val="0"/>
          <w:bCs/>
        </w:rPr>
        <w:t>二、机构设置情况</w:t>
      </w:r>
      <w:bookmarkEnd w:id="7"/>
      <w:bookmarkEnd w:id="8"/>
    </w:p>
    <w:p>
      <w:pPr>
        <w:pStyle w:val="8"/>
        <w:keepNext w:val="0"/>
        <w:keepLines w:val="0"/>
        <w:pageBreakBefore w:val="0"/>
        <w:kinsoku/>
        <w:wordWrap/>
        <w:overflowPunct/>
        <w:topLinePunct w:val="0"/>
        <w:autoSpaceDE/>
        <w:autoSpaceDN/>
        <w:bidi w:val="0"/>
        <w:adjustRightInd/>
        <w:snapToGrid/>
        <w:spacing w:before="0" w:beforeAutospacing="0" w:after="0" w:afterAutospacing="0" w:line="660" w:lineRule="exact"/>
        <w:ind w:firstLine="640" w:firstLineChars="200"/>
        <w:rPr>
          <w:rFonts w:hint="eastAsia"/>
        </w:rPr>
      </w:pPr>
      <w:r>
        <w:rPr>
          <w:rFonts w:hint="eastAsia" w:ascii="仿宋" w:hAnsi="仿宋" w:eastAsia="仿宋" w:cs="仿宋"/>
          <w:sz w:val="32"/>
          <w:szCs w:val="32"/>
          <w:lang w:val="en-US" w:eastAsia="zh-CN"/>
        </w:rPr>
        <w:t>静乐县水利局为正科级行政单位，依照“三定”方案局机关属于全额拨款行政单位。下设办公室（机关党支部）、水利规划设计股、政策法规股，局机关行政编制6名，现有在职人员7名。下属四个事业单位：水利工作站（全额事业单位，编制17名，现有在职人员15名）、水资源管理委员会办公室（全额事业单位，编制10名，现有在职人员10名）、抗旱服务队（全额事业单位，编制6名，现有在职人员3名）、汾北灌区（差额事业单位，编制10名，现有在职人员11名）。</w:t>
      </w: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keepNext w:val="0"/>
        <w:keepLines w:val="0"/>
        <w:pageBreakBefore w:val="0"/>
        <w:kinsoku/>
        <w:wordWrap/>
        <w:overflowPunct/>
        <w:topLinePunct w:val="0"/>
        <w:autoSpaceDE/>
        <w:autoSpaceDN/>
        <w:bidi w:val="0"/>
        <w:adjustRightInd/>
        <w:snapToGrid/>
        <w:spacing w:line="660" w:lineRule="exact"/>
        <w:ind w:firstLine="640"/>
        <w:rPr>
          <w:rFonts w:hint="eastAsia" w:ascii="仿宋" w:hAnsi="仿宋" w:eastAsia="仿宋" w:cs="仿宋"/>
          <w:color w:val="auto"/>
          <w:sz w:val="32"/>
          <w:szCs w:val="32"/>
        </w:rPr>
      </w:pPr>
      <w:bookmarkStart w:id="13" w:name="_Toc17404"/>
      <w:bookmarkStart w:id="14" w:name="_Toc16754"/>
      <w:r>
        <w:rPr>
          <w:rFonts w:hint="eastAsia" w:ascii="华文仿宋" w:hAnsi="华文仿宋" w:eastAsia="华文仿宋" w:cs="华文仿宋"/>
          <w:color w:val="000000" w:themeColor="text1"/>
          <w:sz w:val="32"/>
          <w:szCs w:val="32"/>
          <w:shd w:val="clear" w:color="auto" w:fill="auto"/>
          <w:lang w:val="en-US" w:eastAsia="zh-CN"/>
          <w14:textFill>
            <w14:solidFill>
              <w14:schemeClr w14:val="tx1"/>
            </w14:solidFill>
          </w14:textFill>
        </w:rPr>
        <w:t>静乐县水利局</w:t>
      </w:r>
      <w:r>
        <w:rPr>
          <w:rFonts w:hint="eastAsia" w:ascii="仿宋" w:hAnsi="仿宋" w:eastAsia="仿宋" w:cs="仿宋"/>
          <w:color w:val="auto"/>
          <w:sz w:val="32"/>
          <w:szCs w:val="32"/>
        </w:rPr>
        <w:t>20</w:t>
      </w:r>
      <w:r>
        <w:rPr>
          <w:rFonts w:hint="eastAsia" w:ascii="仿宋" w:hAnsi="仿宋" w:eastAsia="仿宋" w:cs="仿宋"/>
          <w:color w:val="auto"/>
          <w:sz w:val="32"/>
          <w:szCs w:val="32"/>
          <w:lang w:val="en-US" w:eastAsia="zh-CN"/>
        </w:rPr>
        <w:t>21</w:t>
      </w:r>
      <w:r>
        <w:rPr>
          <w:rFonts w:hint="eastAsia" w:ascii="仿宋" w:hAnsi="仿宋" w:eastAsia="仿宋" w:cs="仿宋"/>
          <w:color w:val="auto"/>
          <w:sz w:val="32"/>
          <w:szCs w:val="32"/>
        </w:rPr>
        <w:t>年收入总计</w:t>
      </w:r>
      <w:r>
        <w:rPr>
          <w:rFonts w:hint="eastAsia" w:ascii="仿宋" w:hAnsi="仿宋" w:eastAsia="仿宋" w:cs="仿宋"/>
          <w:color w:val="auto"/>
          <w:sz w:val="32"/>
          <w:szCs w:val="32"/>
          <w:lang w:val="en-US" w:eastAsia="zh-CN"/>
        </w:rPr>
        <w:t>4228.56</w:t>
      </w:r>
      <w:r>
        <w:rPr>
          <w:rFonts w:hint="eastAsia" w:ascii="仿宋" w:hAnsi="仿宋" w:eastAsia="仿宋" w:cs="仿宋"/>
          <w:color w:val="auto"/>
          <w:sz w:val="32"/>
          <w:szCs w:val="32"/>
        </w:rPr>
        <w:t>万元</w:t>
      </w:r>
      <w:r>
        <w:rPr>
          <w:rFonts w:hint="eastAsia" w:ascii="仿宋_GB2312" w:hAnsi="仿宋_GB2312" w:eastAsia="仿宋_GB2312" w:cs="仿宋_GB2312"/>
          <w:color w:val="auto"/>
          <w:kern w:val="0"/>
          <w:sz w:val="32"/>
          <w:szCs w:val="32"/>
          <w:lang w:val="en-US" w:eastAsia="zh-CN" w:bidi="ar-SA"/>
        </w:rPr>
        <w:t>全部为财政拨款资金收入</w:t>
      </w:r>
      <w:r>
        <w:rPr>
          <w:rFonts w:hint="eastAsia" w:ascii="仿宋" w:hAnsi="仿宋" w:eastAsia="仿宋" w:cs="仿宋"/>
          <w:color w:val="auto"/>
          <w:sz w:val="32"/>
          <w:szCs w:val="32"/>
        </w:rPr>
        <w:t>。与20</w:t>
      </w:r>
      <w:r>
        <w:rPr>
          <w:rFonts w:hint="eastAsia" w:ascii="仿宋" w:hAnsi="仿宋" w:eastAsia="仿宋" w:cs="仿宋"/>
          <w:color w:val="auto"/>
          <w:sz w:val="32"/>
          <w:szCs w:val="32"/>
          <w:lang w:val="en-US" w:eastAsia="zh-CN"/>
        </w:rPr>
        <w:t>20</w:t>
      </w:r>
      <w:r>
        <w:rPr>
          <w:rFonts w:hint="eastAsia" w:ascii="仿宋" w:hAnsi="仿宋" w:eastAsia="仿宋" w:cs="仿宋"/>
          <w:color w:val="auto"/>
          <w:sz w:val="32"/>
          <w:szCs w:val="32"/>
        </w:rPr>
        <w:t>年相比，收入总计</w:t>
      </w:r>
      <w:r>
        <w:rPr>
          <w:rFonts w:hint="eastAsia" w:ascii="仿宋" w:hAnsi="仿宋" w:eastAsia="仿宋" w:cs="仿宋"/>
          <w:color w:val="auto"/>
          <w:sz w:val="32"/>
          <w:szCs w:val="32"/>
          <w:lang w:val="en-US" w:eastAsia="zh-CN"/>
        </w:rPr>
        <w:t>减少5999.3</w:t>
      </w:r>
      <w:r>
        <w:rPr>
          <w:rFonts w:hint="eastAsia" w:ascii="仿宋" w:hAnsi="仿宋" w:eastAsia="仿宋" w:cs="仿宋"/>
          <w:color w:val="auto"/>
          <w:sz w:val="32"/>
          <w:szCs w:val="32"/>
        </w:rPr>
        <w:t>万元，</w:t>
      </w:r>
      <w:r>
        <w:rPr>
          <w:rFonts w:hint="eastAsia" w:ascii="仿宋" w:hAnsi="仿宋" w:eastAsia="仿宋" w:cs="仿宋"/>
          <w:color w:val="auto"/>
          <w:sz w:val="32"/>
          <w:szCs w:val="32"/>
          <w:lang w:val="en-US" w:eastAsia="zh-CN"/>
        </w:rPr>
        <w:t>下降60</w:t>
      </w:r>
      <w:r>
        <w:rPr>
          <w:rFonts w:hint="eastAsia" w:ascii="仿宋" w:hAnsi="仿宋" w:eastAsia="仿宋" w:cs="仿宋"/>
          <w:color w:val="auto"/>
          <w:sz w:val="32"/>
          <w:szCs w:val="32"/>
        </w:rPr>
        <w:t>%。主要原因是</w:t>
      </w:r>
      <w:r>
        <w:rPr>
          <w:rFonts w:hint="eastAsia" w:ascii="仿宋" w:hAnsi="仿宋" w:eastAsia="仿宋" w:cs="仿宋"/>
          <w:color w:val="auto"/>
          <w:sz w:val="32"/>
          <w:szCs w:val="32"/>
          <w:lang w:val="en-US" w:eastAsia="zh-CN"/>
        </w:rPr>
        <w:t>2021年财政投资减少</w:t>
      </w:r>
      <w:r>
        <w:rPr>
          <w:rFonts w:hint="eastAsia" w:ascii="仿宋" w:hAnsi="仿宋" w:eastAsia="仿宋" w:cs="仿宋"/>
          <w:color w:val="auto"/>
          <w:sz w:val="32"/>
          <w:szCs w:val="32"/>
        </w:rPr>
        <w:t>。</w:t>
      </w:r>
    </w:p>
    <w:p>
      <w:pPr>
        <w:pStyle w:val="3"/>
        <w:rPr>
          <w:rFonts w:hint="eastAsia" w:ascii="仿宋" w:hAnsi="仿宋" w:eastAsia="仿宋" w:cs="仿宋"/>
          <w:b/>
          <w:bCs w:val="0"/>
          <w:lang w:val="en-US" w:eastAsia="zh-CN"/>
        </w:rPr>
      </w:pPr>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4228.56</w:t>
      </w:r>
      <w:r>
        <w:rPr>
          <w:rFonts w:hint="eastAsia" w:ascii="仿宋_GB2312"/>
          <w:color w:val="auto"/>
          <w:szCs w:val="32"/>
        </w:rPr>
        <w:t>万元，其中：财政拨款收入</w:t>
      </w:r>
      <w:r>
        <w:rPr>
          <w:rFonts w:hint="eastAsia" w:ascii="仿宋_GB2312"/>
          <w:color w:val="auto"/>
          <w:szCs w:val="32"/>
          <w:lang w:val="en-US" w:eastAsia="zh-CN"/>
        </w:rPr>
        <w:t>4228.56</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%。（可附图说明）</w:t>
      </w:r>
    </w:p>
    <w:p>
      <w:pPr>
        <w:pStyle w:val="3"/>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keepNext w:val="0"/>
        <w:keepLines w:val="0"/>
        <w:pageBreakBefore w:val="0"/>
        <w:kinsoku/>
        <w:wordWrap/>
        <w:overflowPunct/>
        <w:topLinePunct w:val="0"/>
        <w:autoSpaceDE/>
        <w:autoSpaceDN/>
        <w:bidi w:val="0"/>
        <w:adjustRightInd/>
        <w:snapToGrid/>
        <w:spacing w:line="660" w:lineRule="exact"/>
        <w:ind w:firstLine="640"/>
        <w:rPr>
          <w:rFonts w:hint="default" w:ascii="仿宋" w:hAnsi="仿宋" w:eastAsia="仿宋" w:cs="仿宋"/>
          <w:b/>
          <w:bCs/>
          <w:color w:val="auto"/>
          <w:sz w:val="32"/>
          <w:szCs w:val="32"/>
          <w:lang w:val="en-US" w:eastAsia="zh-CN"/>
        </w:rPr>
      </w:pPr>
      <w:bookmarkStart w:id="17" w:name="_Toc2142"/>
      <w:bookmarkStart w:id="18" w:name="_Toc4614"/>
      <w:r>
        <w:rPr>
          <w:rFonts w:hint="eastAsia" w:ascii="华文仿宋" w:hAnsi="华文仿宋" w:eastAsia="华文仿宋" w:cs="华文仿宋"/>
          <w:color w:val="000000" w:themeColor="text1"/>
          <w:sz w:val="32"/>
          <w:szCs w:val="32"/>
          <w:shd w:val="clear" w:color="auto" w:fill="auto"/>
          <w:lang w:val="en-US" w:eastAsia="zh-CN"/>
          <w14:textFill>
            <w14:solidFill>
              <w14:schemeClr w14:val="tx1"/>
            </w14:solidFill>
          </w14:textFill>
        </w:rPr>
        <w:t>静乐县水利局</w:t>
      </w:r>
      <w:r>
        <w:rPr>
          <w:rFonts w:hint="eastAsia" w:ascii="仿宋" w:hAnsi="仿宋" w:eastAsia="仿宋" w:cs="仿宋"/>
          <w:color w:val="auto"/>
          <w:sz w:val="32"/>
          <w:szCs w:val="32"/>
        </w:rPr>
        <w:t>20</w:t>
      </w:r>
      <w:r>
        <w:rPr>
          <w:rFonts w:hint="eastAsia" w:ascii="仿宋" w:hAnsi="仿宋" w:eastAsia="仿宋" w:cs="仿宋"/>
          <w:color w:val="auto"/>
          <w:sz w:val="32"/>
          <w:szCs w:val="32"/>
          <w:lang w:val="en-US" w:eastAsia="zh-CN"/>
        </w:rPr>
        <w:t>21</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支出</w:t>
      </w:r>
      <w:r>
        <w:rPr>
          <w:rFonts w:hint="eastAsia" w:ascii="仿宋" w:hAnsi="仿宋" w:eastAsia="仿宋" w:cs="仿宋"/>
          <w:color w:val="auto"/>
          <w:sz w:val="32"/>
          <w:szCs w:val="32"/>
        </w:rPr>
        <w:t>合计</w:t>
      </w:r>
      <w:r>
        <w:rPr>
          <w:rFonts w:hint="eastAsia" w:ascii="仿宋" w:hAnsi="仿宋" w:eastAsia="仿宋" w:cs="仿宋"/>
          <w:color w:val="auto"/>
          <w:sz w:val="32"/>
          <w:szCs w:val="32"/>
          <w:lang w:val="en-US" w:eastAsia="zh-CN"/>
        </w:rPr>
        <w:t>4228.56</w:t>
      </w:r>
      <w:r>
        <w:rPr>
          <w:rFonts w:hint="eastAsia" w:ascii="仿宋" w:hAnsi="仿宋" w:eastAsia="仿宋" w:cs="仿宋"/>
          <w:color w:val="auto"/>
          <w:sz w:val="32"/>
          <w:szCs w:val="32"/>
        </w:rPr>
        <w:t>万元，基本支出</w:t>
      </w:r>
      <w:r>
        <w:rPr>
          <w:rFonts w:hint="eastAsia" w:ascii="仿宋" w:hAnsi="仿宋" w:eastAsia="仿宋" w:cs="仿宋"/>
          <w:color w:val="auto"/>
          <w:sz w:val="32"/>
          <w:szCs w:val="32"/>
          <w:lang w:val="en-US" w:eastAsia="zh-CN"/>
        </w:rPr>
        <w:t>423.47</w:t>
      </w:r>
      <w:r>
        <w:rPr>
          <w:rFonts w:hint="eastAsia" w:ascii="仿宋" w:hAnsi="仿宋" w:eastAsia="仿宋" w:cs="仿宋"/>
          <w:color w:val="auto"/>
          <w:sz w:val="32"/>
          <w:szCs w:val="32"/>
        </w:rPr>
        <w:t>万元，占比</w:t>
      </w:r>
      <w:r>
        <w:rPr>
          <w:rFonts w:hint="eastAsia" w:ascii="仿宋" w:hAnsi="仿宋" w:eastAsia="仿宋" w:cs="仿宋"/>
          <w:color w:val="auto"/>
          <w:sz w:val="32"/>
          <w:szCs w:val="32"/>
          <w:lang w:val="en-US" w:eastAsia="zh-CN"/>
        </w:rPr>
        <w:t>10</w:t>
      </w:r>
      <w:r>
        <w:rPr>
          <w:rFonts w:hint="eastAsia" w:ascii="仿宋" w:hAnsi="仿宋" w:eastAsia="仿宋" w:cs="仿宋"/>
          <w:color w:val="auto"/>
          <w:sz w:val="32"/>
          <w:szCs w:val="32"/>
        </w:rPr>
        <w:t>%；项目支出</w:t>
      </w:r>
      <w:r>
        <w:rPr>
          <w:rFonts w:hint="eastAsia" w:ascii="仿宋" w:hAnsi="仿宋" w:eastAsia="仿宋" w:cs="仿宋"/>
          <w:color w:val="auto"/>
          <w:sz w:val="32"/>
          <w:szCs w:val="32"/>
          <w:lang w:val="en-US" w:eastAsia="zh-CN"/>
        </w:rPr>
        <w:t>3805.09</w:t>
      </w:r>
      <w:r>
        <w:rPr>
          <w:rFonts w:hint="eastAsia" w:ascii="仿宋" w:hAnsi="仿宋" w:eastAsia="仿宋" w:cs="仿宋"/>
          <w:color w:val="auto"/>
          <w:sz w:val="32"/>
          <w:szCs w:val="32"/>
        </w:rPr>
        <w:t>万元，占比</w:t>
      </w:r>
      <w:r>
        <w:rPr>
          <w:rFonts w:hint="eastAsia" w:ascii="仿宋" w:hAnsi="仿宋" w:eastAsia="仿宋" w:cs="仿宋"/>
          <w:color w:val="auto"/>
          <w:sz w:val="32"/>
          <w:szCs w:val="32"/>
          <w:lang w:val="en-US" w:eastAsia="zh-CN"/>
        </w:rPr>
        <w:t>90</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较2020年总支出10227.86万元，减少5999.3</w:t>
      </w:r>
      <w:r>
        <w:rPr>
          <w:rFonts w:hint="eastAsia" w:ascii="仿宋" w:hAnsi="仿宋" w:eastAsia="仿宋" w:cs="仿宋"/>
          <w:color w:val="auto"/>
          <w:sz w:val="32"/>
          <w:szCs w:val="32"/>
        </w:rPr>
        <w:t>万元，</w:t>
      </w:r>
      <w:r>
        <w:rPr>
          <w:rFonts w:hint="eastAsia" w:ascii="仿宋" w:hAnsi="仿宋" w:eastAsia="仿宋" w:cs="仿宋"/>
          <w:color w:val="auto"/>
          <w:sz w:val="32"/>
          <w:szCs w:val="32"/>
          <w:lang w:val="en-US" w:eastAsia="zh-CN"/>
        </w:rPr>
        <w:t>下降60</w:t>
      </w:r>
      <w:r>
        <w:rPr>
          <w:rFonts w:hint="eastAsia" w:ascii="仿宋" w:hAnsi="仿宋" w:eastAsia="仿宋" w:cs="仿宋"/>
          <w:color w:val="auto"/>
          <w:sz w:val="32"/>
          <w:szCs w:val="32"/>
        </w:rPr>
        <w:t>%。主要原因是</w:t>
      </w:r>
      <w:r>
        <w:rPr>
          <w:rFonts w:hint="eastAsia" w:ascii="仿宋" w:hAnsi="仿宋" w:eastAsia="仿宋" w:cs="仿宋"/>
          <w:color w:val="auto"/>
          <w:sz w:val="32"/>
          <w:szCs w:val="32"/>
          <w:lang w:val="en-US" w:eastAsia="zh-CN"/>
        </w:rPr>
        <w:t>2020年项目支出减少</w:t>
      </w:r>
      <w:r>
        <w:rPr>
          <w:rFonts w:hint="eastAsia" w:ascii="仿宋" w:hAnsi="仿宋" w:eastAsia="仿宋" w:cs="仿宋"/>
          <w:color w:val="auto"/>
          <w:sz w:val="32"/>
          <w:szCs w:val="32"/>
        </w:rPr>
        <w:t>。</w:t>
      </w:r>
    </w:p>
    <w:p>
      <w:pPr>
        <w:pStyle w:val="3"/>
        <w:rPr>
          <w:rFonts w:hint="eastAsia" w:ascii="仿宋" w:hAnsi="仿宋" w:eastAsia="仿宋" w:cs="仿宋"/>
          <w:b/>
          <w:bCs w:val="0"/>
          <w:lang w:val="en-US" w:eastAsia="zh-CN"/>
        </w:rPr>
      </w:pPr>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4228.56</w:t>
      </w:r>
      <w:r>
        <w:rPr>
          <w:rFonts w:hint="eastAsia" w:ascii="仿宋_GB2312"/>
          <w:color w:val="auto"/>
          <w:szCs w:val="32"/>
        </w:rPr>
        <w:t>万元、支出总计</w:t>
      </w:r>
      <w:r>
        <w:rPr>
          <w:rFonts w:hint="eastAsia" w:ascii="仿宋_GB2312"/>
          <w:color w:val="auto"/>
          <w:szCs w:val="32"/>
          <w:lang w:val="en-US" w:eastAsia="zh-CN"/>
        </w:rPr>
        <w:t>4228.56</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 w:hAnsi="仿宋" w:eastAsia="仿宋" w:cs="仿宋"/>
          <w:color w:val="auto"/>
          <w:sz w:val="32"/>
          <w:szCs w:val="32"/>
          <w:lang w:val="en-US" w:eastAsia="zh-CN"/>
        </w:rPr>
        <w:t>减少5999.3</w:t>
      </w:r>
      <w:r>
        <w:rPr>
          <w:rFonts w:hint="eastAsia" w:ascii="仿宋_GB2312"/>
          <w:color w:val="auto"/>
          <w:szCs w:val="32"/>
        </w:rPr>
        <w:t>万元，下降</w:t>
      </w:r>
      <w:r>
        <w:rPr>
          <w:rFonts w:hint="eastAsia" w:ascii="仿宋_GB2312"/>
          <w:color w:val="auto"/>
          <w:szCs w:val="32"/>
          <w:lang w:val="en-US" w:eastAsia="zh-CN"/>
        </w:rPr>
        <w:t>60</w:t>
      </w:r>
      <w:r>
        <w:rPr>
          <w:rFonts w:hint="eastAsia" w:ascii="仿宋_GB2312"/>
          <w:color w:val="auto"/>
          <w:szCs w:val="32"/>
        </w:rPr>
        <w:t>%，财政拨款支出总计</w:t>
      </w:r>
      <w:r>
        <w:rPr>
          <w:rFonts w:hint="eastAsia" w:ascii="仿宋" w:hAnsi="仿宋" w:eastAsia="仿宋" w:cs="仿宋"/>
          <w:color w:val="auto"/>
          <w:sz w:val="32"/>
          <w:szCs w:val="32"/>
          <w:lang w:val="en-US" w:eastAsia="zh-CN"/>
        </w:rPr>
        <w:t>减少5999.3</w:t>
      </w:r>
      <w:r>
        <w:rPr>
          <w:rFonts w:hint="eastAsia" w:ascii="仿宋_GB2312"/>
          <w:color w:val="auto"/>
          <w:szCs w:val="32"/>
        </w:rPr>
        <w:t>万元，下降</w:t>
      </w:r>
      <w:r>
        <w:rPr>
          <w:rFonts w:hint="eastAsia" w:ascii="仿宋_GB2312"/>
          <w:color w:val="auto"/>
          <w:szCs w:val="32"/>
          <w:lang w:val="en-US" w:eastAsia="zh-CN"/>
        </w:rPr>
        <w:t>60</w:t>
      </w:r>
      <w:r>
        <w:rPr>
          <w:rFonts w:hint="eastAsia" w:ascii="仿宋_GB2312"/>
          <w:color w:val="auto"/>
          <w:szCs w:val="32"/>
        </w:rPr>
        <w:t>%。</w:t>
      </w:r>
      <w:r>
        <w:rPr>
          <w:rFonts w:hint="eastAsia" w:ascii="仿宋" w:hAnsi="仿宋" w:eastAsia="仿宋" w:cs="仿宋"/>
          <w:color w:val="auto"/>
          <w:sz w:val="32"/>
          <w:szCs w:val="32"/>
        </w:rPr>
        <w:t>主要原因是</w:t>
      </w:r>
      <w:r>
        <w:rPr>
          <w:rFonts w:hint="eastAsia" w:ascii="仿宋" w:hAnsi="仿宋" w:eastAsia="仿宋" w:cs="仿宋"/>
          <w:color w:val="auto"/>
          <w:sz w:val="32"/>
          <w:szCs w:val="32"/>
          <w:lang w:val="en-US" w:eastAsia="zh-CN"/>
        </w:rPr>
        <w:t>2021年财政投资减少</w:t>
      </w:r>
      <w:r>
        <w:rPr>
          <w:rFonts w:hint="eastAsia" w:ascii="仿宋_GB2312"/>
          <w:color w:val="auto"/>
          <w:szCs w:val="32"/>
        </w:rPr>
        <w:t>。</w:t>
      </w:r>
    </w:p>
    <w:p>
      <w:pPr>
        <w:pStyle w:val="3"/>
        <w:rPr>
          <w:rFonts w:hint="eastAsia" w:ascii="仿宋" w:hAnsi="仿宋" w:eastAsia="仿宋" w:cs="仿宋"/>
          <w:b/>
          <w:bCs w:val="0"/>
          <w:lang w:val="en-US" w:eastAsia="zh-CN"/>
        </w:rPr>
      </w:pPr>
      <w:bookmarkStart w:id="19" w:name="_Toc9341"/>
      <w:bookmarkStart w:id="20" w:name="_Toc650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4228.56</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5999.3</w:t>
      </w:r>
      <w:r>
        <w:rPr>
          <w:rFonts w:hint="eastAsia" w:ascii="仿宋_GB2312"/>
          <w:color w:val="auto"/>
          <w:szCs w:val="32"/>
        </w:rPr>
        <w:t>万元，下降</w:t>
      </w:r>
      <w:r>
        <w:rPr>
          <w:rFonts w:hint="eastAsia" w:ascii="仿宋_GB2312"/>
          <w:color w:val="auto"/>
          <w:szCs w:val="32"/>
          <w:lang w:val="en-US" w:eastAsia="zh-CN"/>
        </w:rPr>
        <w:t>60</w:t>
      </w:r>
      <w:r>
        <w:rPr>
          <w:rFonts w:hint="eastAsia" w:ascii="仿宋_GB2312"/>
          <w:color w:val="auto"/>
          <w:szCs w:val="32"/>
        </w:rPr>
        <w:t>%。</w:t>
      </w:r>
      <w:r>
        <w:rPr>
          <w:rFonts w:hint="eastAsia" w:ascii="仿宋" w:hAnsi="仿宋" w:eastAsia="仿宋" w:cs="仿宋"/>
          <w:color w:val="auto"/>
          <w:sz w:val="32"/>
          <w:szCs w:val="32"/>
        </w:rPr>
        <w:t>主要原因是</w:t>
      </w:r>
      <w:r>
        <w:rPr>
          <w:rFonts w:hint="eastAsia" w:ascii="仿宋" w:hAnsi="仿宋" w:eastAsia="仿宋" w:cs="仿宋"/>
          <w:color w:val="auto"/>
          <w:sz w:val="32"/>
          <w:szCs w:val="32"/>
          <w:lang w:val="en-US" w:eastAsia="zh-CN"/>
        </w:rPr>
        <w:t>2021年财政投资减少</w:t>
      </w:r>
      <w:r>
        <w:rPr>
          <w:rFonts w:hint="eastAsia" w:ascii="仿宋_GB2312"/>
          <w:color w:val="auto"/>
          <w:szCs w:val="32"/>
        </w:rPr>
        <w:t>。其中，</w:t>
      </w:r>
      <w:r>
        <w:rPr>
          <w:rFonts w:hint="eastAsia" w:ascii="仿宋_GB2312"/>
          <w:color w:val="auto"/>
          <w:szCs w:val="32"/>
          <w:lang w:val="en-US" w:eastAsia="zh-CN"/>
        </w:rPr>
        <w:t>政府性基金预算支出12</w:t>
      </w:r>
      <w:r>
        <w:rPr>
          <w:rFonts w:hint="eastAsia" w:ascii="仿宋_GB2312"/>
          <w:color w:val="auto"/>
          <w:szCs w:val="32"/>
        </w:rPr>
        <w:t>万元，占比</w:t>
      </w:r>
      <w:r>
        <w:rPr>
          <w:rFonts w:hint="eastAsia" w:ascii="仿宋_GB2312"/>
          <w:color w:val="auto"/>
          <w:szCs w:val="32"/>
          <w:lang w:val="en-US" w:eastAsia="zh-CN"/>
        </w:rPr>
        <w:t>0.28</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4228.56</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社会</w:t>
      </w:r>
      <w:r>
        <w:rPr>
          <w:rFonts w:ascii="仿宋_GB2312"/>
          <w:b/>
          <w:color w:val="auto"/>
          <w:szCs w:val="32"/>
        </w:rPr>
        <w:t>保障和就业（</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12</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0.28</w:t>
      </w:r>
      <w:r>
        <w:rPr>
          <w:rFonts w:ascii="仿宋_GB2312"/>
          <w:color w:val="auto"/>
          <w:szCs w:val="32"/>
        </w:rPr>
        <w:t>%；</w:t>
      </w:r>
      <w:r>
        <w:rPr>
          <w:rFonts w:hint="eastAsia" w:ascii="仿宋_GB2312"/>
          <w:b/>
          <w:color w:val="auto"/>
          <w:szCs w:val="32"/>
        </w:rPr>
        <w:t>农林水</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4216.56</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99.62</w:t>
      </w:r>
      <w:r>
        <w:rPr>
          <w:rFonts w:ascii="仿宋_GB2312"/>
          <w:color w:val="auto"/>
          <w:szCs w:val="32"/>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w:t>
      </w:r>
      <w:r>
        <w:rPr>
          <w:rFonts w:hint="eastAsia"/>
          <w:color w:val="auto"/>
          <w:szCs w:val="32"/>
        </w:rPr>
        <w:t>款支出年初预算</w:t>
      </w:r>
      <w:r>
        <w:rPr>
          <w:rFonts w:hint="eastAsia"/>
          <w:color w:val="auto"/>
          <w:szCs w:val="32"/>
          <w:lang w:val="en-US" w:eastAsia="zh-CN"/>
        </w:rPr>
        <w:t>4181.24</w:t>
      </w:r>
      <w:r>
        <w:rPr>
          <w:rFonts w:hint="eastAsia"/>
          <w:color w:val="auto"/>
          <w:szCs w:val="32"/>
        </w:rPr>
        <w:t>万元，</w:t>
      </w:r>
      <w:r>
        <w:rPr>
          <w:rFonts w:hint="eastAsia"/>
          <w:color w:val="auto"/>
          <w:szCs w:val="32"/>
          <w:lang w:val="en-US" w:eastAsia="zh-CN"/>
        </w:rPr>
        <w:t>本年调整预算数4228.56万元。</w:t>
      </w:r>
      <w:r>
        <w:rPr>
          <w:rFonts w:hint="eastAsia"/>
          <w:color w:val="auto"/>
          <w:szCs w:val="32"/>
        </w:rPr>
        <w:t>支出决算</w:t>
      </w:r>
      <w:r>
        <w:rPr>
          <w:rFonts w:hint="eastAsia"/>
          <w:color w:val="auto"/>
          <w:szCs w:val="32"/>
          <w:lang w:val="en-US" w:eastAsia="zh-CN"/>
        </w:rPr>
        <w:t>4228.56</w:t>
      </w:r>
      <w:r>
        <w:rPr>
          <w:rFonts w:hint="eastAsia"/>
          <w:color w:val="auto"/>
          <w:szCs w:val="32"/>
        </w:rPr>
        <w:t>万元，完成</w:t>
      </w:r>
      <w:r>
        <w:rPr>
          <w:rFonts w:hint="eastAsia"/>
          <w:color w:val="auto"/>
          <w:szCs w:val="32"/>
          <w:lang w:val="en-US" w:eastAsia="zh-CN"/>
        </w:rPr>
        <w:t>本</w:t>
      </w:r>
      <w:r>
        <w:rPr>
          <w:rFonts w:hint="eastAsia"/>
          <w:color w:val="auto"/>
          <w:szCs w:val="32"/>
        </w:rPr>
        <w:t>年</w:t>
      </w:r>
      <w:r>
        <w:rPr>
          <w:rFonts w:hint="eastAsia"/>
          <w:color w:val="auto"/>
          <w:szCs w:val="32"/>
          <w:lang w:val="en-US" w:eastAsia="zh-CN"/>
        </w:rPr>
        <w:t>调整</w:t>
      </w:r>
      <w:r>
        <w:rPr>
          <w:rFonts w:hint="eastAsia"/>
          <w:color w:val="auto"/>
          <w:szCs w:val="32"/>
        </w:rPr>
        <w:t>预算的</w:t>
      </w:r>
      <w:r>
        <w:rPr>
          <w:rFonts w:hint="eastAsia"/>
          <w:color w:val="auto"/>
          <w:szCs w:val="32"/>
          <w:lang w:val="en-US" w:eastAsia="zh-CN"/>
        </w:rPr>
        <w:t>100</w:t>
      </w:r>
      <w:r>
        <w:rPr>
          <w:color w:val="auto"/>
          <w:szCs w:val="32"/>
        </w:rPr>
        <w:t>%</w:t>
      </w:r>
      <w:r>
        <w:rPr>
          <w:rFonts w:hint="eastAsia"/>
          <w:color w:val="auto"/>
          <w:szCs w:val="32"/>
        </w:rPr>
        <w:t>。其中</w:t>
      </w:r>
      <w:r>
        <w:rPr>
          <w:rFonts w:hint="eastAsia"/>
          <w:szCs w:val="32"/>
        </w:rPr>
        <w:t>：</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208</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社会保障和就业支出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106</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w:t>
            </w:r>
          </w:p>
        </w:tc>
        <w:tc>
          <w:tcPr>
            <w:tcW w:w="1393" w:type="dxa"/>
            <w:vAlign w:val="top"/>
          </w:tcPr>
          <w:p>
            <w:pPr>
              <w:ind w:left="0" w:leftChars="0" w:firstLine="0" w:firstLineChars="0"/>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-88.68%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20822</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大中型水库移民后期扶持基金支出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106</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w:t>
            </w:r>
          </w:p>
        </w:tc>
        <w:tc>
          <w:tcPr>
            <w:tcW w:w="1393" w:type="dxa"/>
            <w:vAlign w:val="top"/>
          </w:tcPr>
          <w:p>
            <w:pPr>
              <w:ind w:left="0" w:leftChars="0" w:firstLine="0" w:firstLineChars="0"/>
              <w:jc w:val="righ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-88.68%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2082202</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基础设施建设和经济发展</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106</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w:t>
            </w:r>
          </w:p>
        </w:tc>
        <w:tc>
          <w:tcPr>
            <w:tcW w:w="1393" w:type="dxa"/>
            <w:vAlign w:val="top"/>
          </w:tcPr>
          <w:p>
            <w:pPr>
              <w:ind w:left="0" w:leftChars="0" w:firstLine="0" w:firstLineChars="0"/>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-88.68%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农林水支出</w:t>
            </w:r>
          </w:p>
        </w:tc>
        <w:tc>
          <w:tcPr>
            <w:tcW w:w="1876" w:type="dxa"/>
            <w:vAlign w:val="top"/>
          </w:tcPr>
          <w:p>
            <w:pPr>
              <w:jc w:val="righ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6782.2455</w:t>
            </w:r>
          </w:p>
        </w:tc>
        <w:tc>
          <w:tcPr>
            <w:tcW w:w="1684"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4216.58</w:t>
            </w:r>
          </w:p>
        </w:tc>
        <w:tc>
          <w:tcPr>
            <w:tcW w:w="1393" w:type="dxa"/>
            <w:vAlign w:val="top"/>
          </w:tcPr>
          <w:p>
            <w:pPr>
              <w:ind w:left="0" w:leftChars="0" w:firstLine="0" w:firstLineChars="0"/>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-37.83%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21301</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农业农村</w:t>
            </w:r>
          </w:p>
        </w:tc>
        <w:tc>
          <w:tcPr>
            <w:tcW w:w="1876" w:type="dxa"/>
            <w:vAlign w:val="center"/>
          </w:tcPr>
          <w:p>
            <w:pPr>
              <w:keepNext w:val="0"/>
              <w:keepLines w:val="0"/>
              <w:widowControl/>
              <w:suppressLineNumbers w:val="0"/>
              <w:jc w:val="right"/>
              <w:textAlignment w:val="center"/>
              <w:rPr>
                <w:rFonts w:hint="eastAsia" w:ascii="仿宋" w:hAnsi="仿宋" w:eastAsia="仿宋" w:cs="仿宋"/>
                <w:i w:val="0"/>
                <w:color w:val="auto"/>
                <w:kern w:val="0"/>
                <w:sz w:val="24"/>
                <w:szCs w:val="24"/>
                <w:u w:val="none"/>
                <w:lang w:val="en-US" w:eastAsia="zh-CN" w:bidi="ar"/>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1291.58</w:t>
            </w:r>
          </w:p>
        </w:tc>
        <w:tc>
          <w:tcPr>
            <w:tcW w:w="1393"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2130104</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事业运行</w:t>
            </w:r>
          </w:p>
        </w:tc>
        <w:tc>
          <w:tcPr>
            <w:tcW w:w="1876" w:type="dxa"/>
            <w:vAlign w:val="center"/>
          </w:tcPr>
          <w:p>
            <w:pPr>
              <w:keepNext w:val="0"/>
              <w:keepLines w:val="0"/>
              <w:widowControl/>
              <w:suppressLineNumbers w:val="0"/>
              <w:jc w:val="right"/>
              <w:textAlignment w:val="center"/>
              <w:rPr>
                <w:rFonts w:hint="eastAsia" w:ascii="仿宋" w:hAnsi="仿宋" w:eastAsia="仿宋" w:cs="仿宋"/>
                <w:i w:val="0"/>
                <w:color w:val="auto"/>
                <w:kern w:val="0"/>
                <w:sz w:val="24"/>
                <w:szCs w:val="24"/>
                <w:u w:val="none"/>
                <w:lang w:val="en-US" w:eastAsia="zh-CN" w:bidi="ar"/>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72.87</w:t>
            </w:r>
          </w:p>
        </w:tc>
        <w:tc>
          <w:tcPr>
            <w:tcW w:w="1393"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2130122</w:t>
            </w:r>
          </w:p>
        </w:tc>
        <w:tc>
          <w:tcPr>
            <w:tcW w:w="2479" w:type="dxa"/>
            <w:vAlign w:val="top"/>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农业生产发展</w:t>
            </w:r>
          </w:p>
        </w:tc>
        <w:tc>
          <w:tcPr>
            <w:tcW w:w="1876" w:type="dxa"/>
            <w:vAlign w:val="center"/>
          </w:tcPr>
          <w:p>
            <w:pPr>
              <w:keepNext w:val="0"/>
              <w:keepLines w:val="0"/>
              <w:widowControl/>
              <w:suppressLineNumbers w:val="0"/>
              <w:jc w:val="right"/>
              <w:textAlignment w:val="center"/>
              <w:rPr>
                <w:rFonts w:hint="eastAsia" w:ascii="仿宋" w:hAnsi="仿宋" w:eastAsia="仿宋" w:cs="仿宋"/>
                <w:i w:val="0"/>
                <w:color w:val="auto"/>
                <w:kern w:val="0"/>
                <w:sz w:val="24"/>
                <w:szCs w:val="24"/>
                <w:u w:val="none"/>
                <w:lang w:val="en-US" w:eastAsia="zh-CN" w:bidi="ar"/>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0.8</w:t>
            </w:r>
          </w:p>
        </w:tc>
        <w:tc>
          <w:tcPr>
            <w:tcW w:w="1393"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2130199</w:t>
            </w:r>
          </w:p>
        </w:tc>
        <w:tc>
          <w:tcPr>
            <w:tcW w:w="2479" w:type="dxa"/>
            <w:vAlign w:val="top"/>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其他农业农村支出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82.6</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1217.91</w:t>
            </w:r>
          </w:p>
        </w:tc>
        <w:tc>
          <w:tcPr>
            <w:tcW w:w="1393" w:type="dxa"/>
            <w:vAlign w:val="top"/>
          </w:tcPr>
          <w:p>
            <w:pPr>
              <w:ind w:left="0" w:leftChars="0" w:firstLine="0" w:firstLineChars="0"/>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+1374.48%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21303</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水利</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6027.2455</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1534.08</w:t>
            </w:r>
          </w:p>
        </w:tc>
        <w:tc>
          <w:tcPr>
            <w:tcW w:w="1393" w:type="dxa"/>
            <w:vAlign w:val="top"/>
          </w:tcPr>
          <w:p>
            <w:pPr>
              <w:ind w:left="0" w:leftChars="0" w:firstLine="0" w:firstLineChars="0"/>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-74.55%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2130301</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行政运行</w:t>
            </w:r>
          </w:p>
        </w:tc>
        <w:tc>
          <w:tcPr>
            <w:tcW w:w="1876" w:type="dxa"/>
            <w:vAlign w:val="top"/>
          </w:tcPr>
          <w:p>
            <w:pPr>
              <w:jc w:val="right"/>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387.3094</w:t>
            </w:r>
          </w:p>
        </w:tc>
        <w:tc>
          <w:tcPr>
            <w:tcW w:w="1684"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315.6</w:t>
            </w:r>
          </w:p>
        </w:tc>
        <w:tc>
          <w:tcPr>
            <w:tcW w:w="1393" w:type="dxa"/>
            <w:vAlign w:val="top"/>
          </w:tcPr>
          <w:p>
            <w:pPr>
              <w:ind w:left="0" w:leftChars="0" w:firstLine="0" w:firstLineChars="0"/>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2130304</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 水利行业业务管理</w:t>
            </w:r>
          </w:p>
        </w:tc>
        <w:tc>
          <w:tcPr>
            <w:tcW w:w="1876"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4.03</w:t>
            </w:r>
          </w:p>
        </w:tc>
        <w:tc>
          <w:tcPr>
            <w:tcW w:w="1684"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4.03</w:t>
            </w:r>
          </w:p>
        </w:tc>
        <w:tc>
          <w:tcPr>
            <w:tcW w:w="1393" w:type="dxa"/>
            <w:vAlign w:val="top"/>
          </w:tcPr>
          <w:p>
            <w:pPr>
              <w:jc w:val="righ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2130314</w:t>
            </w:r>
          </w:p>
        </w:tc>
        <w:tc>
          <w:tcPr>
            <w:tcW w:w="2479" w:type="dxa"/>
            <w:vAlign w:val="top"/>
          </w:tcPr>
          <w:p>
            <w:pPr>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防汛</w:t>
            </w:r>
          </w:p>
        </w:tc>
        <w:tc>
          <w:tcPr>
            <w:tcW w:w="1876"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4.5</w:t>
            </w:r>
          </w:p>
        </w:tc>
        <w:tc>
          <w:tcPr>
            <w:tcW w:w="1684"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4.48</w:t>
            </w:r>
          </w:p>
        </w:tc>
        <w:tc>
          <w:tcPr>
            <w:tcW w:w="1393" w:type="dxa"/>
            <w:vAlign w:val="top"/>
          </w:tcPr>
          <w:p>
            <w:pPr>
              <w:ind w:left="0" w:leftChars="0" w:firstLine="0" w:firstLineChars="0"/>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2130335</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 农村人畜饮水</w:t>
            </w:r>
          </w:p>
        </w:tc>
        <w:tc>
          <w:tcPr>
            <w:tcW w:w="1876" w:type="dxa"/>
            <w:vAlign w:val="top"/>
          </w:tcPr>
          <w:p>
            <w:pPr>
              <w:jc w:val="right"/>
              <w:rPr>
                <w:rFonts w:hint="eastAsia" w:ascii="仿宋" w:hAnsi="仿宋" w:eastAsia="仿宋" w:cs="仿宋"/>
                <w:color w:val="auto"/>
                <w:sz w:val="24"/>
                <w:szCs w:val="24"/>
              </w:rPr>
            </w:pPr>
          </w:p>
        </w:tc>
        <w:tc>
          <w:tcPr>
            <w:tcW w:w="1684"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273</w:t>
            </w:r>
          </w:p>
        </w:tc>
        <w:tc>
          <w:tcPr>
            <w:tcW w:w="1393"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2130399</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其他水利支出</w:t>
            </w:r>
          </w:p>
        </w:tc>
        <w:tc>
          <w:tcPr>
            <w:tcW w:w="1876" w:type="dxa"/>
            <w:vAlign w:val="top"/>
          </w:tcPr>
          <w:p>
            <w:pPr>
              <w:jc w:val="right"/>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4701.4061</w:t>
            </w:r>
          </w:p>
        </w:tc>
        <w:tc>
          <w:tcPr>
            <w:tcW w:w="1684"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936.97</w:t>
            </w:r>
          </w:p>
        </w:tc>
        <w:tc>
          <w:tcPr>
            <w:tcW w:w="1393" w:type="dxa"/>
            <w:vAlign w:val="top"/>
          </w:tcPr>
          <w:p>
            <w:pPr>
              <w:ind w:left="0" w:leftChars="0" w:firstLine="0" w:firstLineChars="0"/>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21305</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扶贫</w:t>
            </w:r>
          </w:p>
        </w:tc>
        <w:tc>
          <w:tcPr>
            <w:tcW w:w="1876"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672.4</w:t>
            </w:r>
          </w:p>
        </w:tc>
        <w:tc>
          <w:tcPr>
            <w:tcW w:w="1684"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802.33</w:t>
            </w:r>
          </w:p>
        </w:tc>
        <w:tc>
          <w:tcPr>
            <w:tcW w:w="1393" w:type="dxa"/>
            <w:vAlign w:val="top"/>
          </w:tcPr>
          <w:p>
            <w:pPr>
              <w:ind w:left="0" w:leftChars="0" w:firstLine="0" w:firstLineChars="0"/>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2130599</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其他扶贫支出</w:t>
            </w:r>
          </w:p>
        </w:tc>
        <w:tc>
          <w:tcPr>
            <w:tcW w:w="1876"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672.4</w:t>
            </w:r>
          </w:p>
        </w:tc>
        <w:tc>
          <w:tcPr>
            <w:tcW w:w="1684"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802.33</w:t>
            </w:r>
          </w:p>
        </w:tc>
        <w:tc>
          <w:tcPr>
            <w:tcW w:w="1393" w:type="dxa"/>
            <w:vAlign w:val="top"/>
          </w:tcPr>
          <w:p>
            <w:pPr>
              <w:ind w:left="0" w:leftChars="0" w:firstLine="0" w:firstLineChars="0"/>
              <w:jc w:val="righ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+19.32%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21307</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农村综合改革</w:t>
            </w:r>
          </w:p>
        </w:tc>
        <w:tc>
          <w:tcPr>
            <w:tcW w:w="1876" w:type="dxa"/>
            <w:vAlign w:val="top"/>
          </w:tcPr>
          <w:p>
            <w:pPr>
              <w:jc w:val="right"/>
              <w:rPr>
                <w:rFonts w:hint="eastAsia" w:ascii="仿宋" w:hAnsi="仿宋" w:eastAsia="仿宋" w:cs="仿宋"/>
                <w:color w:val="auto"/>
                <w:sz w:val="24"/>
                <w:szCs w:val="24"/>
              </w:rPr>
            </w:pPr>
          </w:p>
        </w:tc>
        <w:tc>
          <w:tcPr>
            <w:tcW w:w="1684"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332</w:t>
            </w:r>
          </w:p>
        </w:tc>
        <w:tc>
          <w:tcPr>
            <w:tcW w:w="1393"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2130701</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对村级公益事业建设的补助</w:t>
            </w:r>
          </w:p>
        </w:tc>
        <w:tc>
          <w:tcPr>
            <w:tcW w:w="1876" w:type="dxa"/>
            <w:vAlign w:val="top"/>
          </w:tcPr>
          <w:p>
            <w:pPr>
              <w:jc w:val="right"/>
              <w:rPr>
                <w:rFonts w:hint="eastAsia" w:ascii="仿宋" w:hAnsi="仿宋" w:eastAsia="仿宋" w:cs="仿宋"/>
                <w:color w:val="auto"/>
                <w:sz w:val="24"/>
                <w:szCs w:val="24"/>
              </w:rPr>
            </w:pPr>
          </w:p>
        </w:tc>
        <w:tc>
          <w:tcPr>
            <w:tcW w:w="1684"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332</w:t>
            </w:r>
          </w:p>
        </w:tc>
        <w:tc>
          <w:tcPr>
            <w:tcW w:w="1393" w:type="dxa"/>
            <w:vAlign w:val="top"/>
          </w:tcPr>
          <w:p>
            <w:pPr>
              <w:jc w:val="righ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21399</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其他农林水支出</w:t>
            </w:r>
          </w:p>
        </w:tc>
        <w:tc>
          <w:tcPr>
            <w:tcW w:w="1876" w:type="dxa"/>
            <w:vAlign w:val="top"/>
          </w:tcPr>
          <w:p>
            <w:pPr>
              <w:jc w:val="right"/>
              <w:rPr>
                <w:rFonts w:hint="eastAsia" w:ascii="仿宋" w:hAnsi="仿宋" w:eastAsia="仿宋" w:cs="仿宋"/>
                <w:color w:val="auto"/>
                <w:sz w:val="24"/>
                <w:szCs w:val="24"/>
              </w:rPr>
            </w:pPr>
          </w:p>
        </w:tc>
        <w:tc>
          <w:tcPr>
            <w:tcW w:w="1684"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256.58</w:t>
            </w:r>
          </w:p>
        </w:tc>
        <w:tc>
          <w:tcPr>
            <w:tcW w:w="1393" w:type="dxa"/>
            <w:vAlign w:val="top"/>
          </w:tcPr>
          <w:p>
            <w:pPr>
              <w:jc w:val="righ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2139999</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其他农林水支出</w:t>
            </w:r>
          </w:p>
        </w:tc>
        <w:tc>
          <w:tcPr>
            <w:tcW w:w="1876" w:type="dxa"/>
            <w:vAlign w:val="top"/>
          </w:tcPr>
          <w:p>
            <w:pPr>
              <w:jc w:val="right"/>
              <w:rPr>
                <w:rFonts w:hint="eastAsia" w:ascii="仿宋" w:hAnsi="仿宋" w:eastAsia="仿宋" w:cs="仿宋"/>
                <w:color w:val="auto"/>
                <w:sz w:val="24"/>
                <w:szCs w:val="24"/>
              </w:rPr>
            </w:pPr>
          </w:p>
        </w:tc>
        <w:tc>
          <w:tcPr>
            <w:tcW w:w="1684" w:type="dxa"/>
            <w:vAlign w:val="top"/>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256.58</w:t>
            </w:r>
          </w:p>
        </w:tc>
        <w:tc>
          <w:tcPr>
            <w:tcW w:w="1393" w:type="dxa"/>
            <w:vAlign w:val="top"/>
          </w:tcPr>
          <w:p>
            <w:pPr>
              <w:jc w:val="righ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+100%</w:t>
            </w:r>
          </w:p>
        </w:tc>
      </w:tr>
    </w:tbl>
    <w:p>
      <w:pPr>
        <w:numPr>
          <w:ilvl w:val="0"/>
          <w:numId w:val="1"/>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21</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  计</w:t>
            </w:r>
          </w:p>
        </w:tc>
        <w:tc>
          <w:tcPr>
            <w:tcW w:w="1837" w:type="dxa"/>
            <w:vAlign w:val="center"/>
          </w:tcPr>
          <w:p>
            <w:pPr>
              <w:jc w:val="left"/>
              <w:rPr>
                <w:rFonts w:hint="eastAsia" w:ascii="仿宋" w:hAnsi="仿宋" w:eastAsia="仿宋" w:cs="仿宋"/>
                <w:color w:val="auto"/>
                <w:sz w:val="24"/>
                <w:szCs w:val="24"/>
                <w:lang w:val="en-US" w:eastAsia="zh-CN"/>
              </w:rPr>
            </w:pPr>
          </w:p>
        </w:tc>
        <w:tc>
          <w:tcPr>
            <w:tcW w:w="2071" w:type="dxa"/>
            <w:vAlign w:val="center"/>
          </w:tcPr>
          <w:p>
            <w:pPr>
              <w:jc w:val="left"/>
              <w:rPr>
                <w:rFonts w:hint="eastAsia" w:ascii="仿宋" w:hAnsi="仿宋" w:eastAsia="仿宋" w:cs="仿宋"/>
                <w:color w:val="auto"/>
                <w:sz w:val="24"/>
                <w:szCs w:val="24"/>
                <w:lang w:val="en-US" w:eastAsia="zh-CN"/>
              </w:rPr>
            </w:pPr>
          </w:p>
        </w:tc>
        <w:tc>
          <w:tcPr>
            <w:tcW w:w="1956" w:type="dxa"/>
            <w:vAlign w:val="center"/>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工资福利支出</w:t>
            </w:r>
          </w:p>
        </w:tc>
        <w:tc>
          <w:tcPr>
            <w:tcW w:w="1837" w:type="dxa"/>
            <w:vAlign w:val="center"/>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371.9846</w:t>
            </w:r>
          </w:p>
        </w:tc>
        <w:tc>
          <w:tcPr>
            <w:tcW w:w="2071" w:type="dxa"/>
            <w:vAlign w:val="center"/>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388.47</w:t>
            </w:r>
          </w:p>
        </w:tc>
        <w:tc>
          <w:tcPr>
            <w:tcW w:w="1956" w:type="dxa"/>
            <w:vAlign w:val="center"/>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商品服务支出</w:t>
            </w:r>
          </w:p>
        </w:tc>
        <w:tc>
          <w:tcPr>
            <w:tcW w:w="1837" w:type="dxa"/>
            <w:vAlign w:val="center"/>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15.3248</w:t>
            </w:r>
          </w:p>
        </w:tc>
        <w:tc>
          <w:tcPr>
            <w:tcW w:w="2071" w:type="dxa"/>
            <w:vAlign w:val="center"/>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35</w:t>
            </w:r>
          </w:p>
        </w:tc>
        <w:tc>
          <w:tcPr>
            <w:tcW w:w="1956" w:type="dxa"/>
            <w:vAlign w:val="center"/>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+128.46%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对个人和家庭的补助</w:t>
            </w:r>
          </w:p>
        </w:tc>
        <w:tc>
          <w:tcPr>
            <w:tcW w:w="1837" w:type="dxa"/>
            <w:vAlign w:val="center"/>
          </w:tcPr>
          <w:p>
            <w:pPr>
              <w:jc w:val="right"/>
              <w:rPr>
                <w:rFonts w:hint="eastAsia" w:ascii="仿宋" w:hAnsi="仿宋" w:eastAsia="仿宋" w:cs="仿宋"/>
                <w:color w:val="auto"/>
                <w:sz w:val="24"/>
                <w:szCs w:val="24"/>
                <w:lang w:val="en-US" w:eastAsia="zh-CN"/>
              </w:rPr>
            </w:pPr>
          </w:p>
        </w:tc>
        <w:tc>
          <w:tcPr>
            <w:tcW w:w="2071" w:type="dxa"/>
            <w:vAlign w:val="center"/>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12.24</w:t>
            </w:r>
          </w:p>
        </w:tc>
        <w:tc>
          <w:tcPr>
            <w:tcW w:w="1956" w:type="dxa"/>
            <w:vAlign w:val="center"/>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资本性支出</w:t>
            </w:r>
          </w:p>
        </w:tc>
        <w:tc>
          <w:tcPr>
            <w:tcW w:w="1837" w:type="dxa"/>
            <w:vAlign w:val="center"/>
          </w:tcPr>
          <w:p>
            <w:pPr>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9840.5461</w:t>
            </w:r>
          </w:p>
        </w:tc>
        <w:tc>
          <w:tcPr>
            <w:tcW w:w="2071" w:type="dxa"/>
            <w:vAlign w:val="center"/>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3693.36</w:t>
            </w:r>
          </w:p>
        </w:tc>
        <w:tc>
          <w:tcPr>
            <w:tcW w:w="1956" w:type="dxa"/>
            <w:vAlign w:val="center"/>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-62.47%</w:t>
            </w: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w:t>
      </w:r>
      <w:r>
        <w:rPr>
          <w:rFonts w:ascii="仿宋_GB2312"/>
          <w:color w:val="auto"/>
          <w:szCs w:val="32"/>
        </w:rPr>
        <w:t>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4228.56</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388.47</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人员工资保险</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35</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val="en-US" w:eastAsia="zh-CN"/>
        </w:rPr>
        <w:t>公用经费等</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3693.36</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ascii="仿宋" w:hAnsi="仿宋" w:eastAsia="仿宋" w:cs="仿宋"/>
          <w:color w:val="auto"/>
          <w:sz w:val="32"/>
          <w:szCs w:val="32"/>
        </w:rPr>
      </w:pPr>
      <w:r>
        <w:rPr>
          <w:rFonts w:hint="eastAsia" w:ascii="仿宋" w:hAnsi="仿宋" w:eastAsia="仿宋" w:cs="仿宋"/>
          <w:color w:val="auto"/>
          <w:sz w:val="32"/>
          <w:szCs w:val="32"/>
        </w:rPr>
        <w:t>20</w:t>
      </w:r>
      <w:r>
        <w:rPr>
          <w:rFonts w:hint="eastAsia" w:ascii="仿宋" w:hAnsi="仿宋" w:eastAsia="仿宋" w:cs="仿宋"/>
          <w:color w:val="auto"/>
          <w:sz w:val="32"/>
          <w:szCs w:val="32"/>
          <w:lang w:val="en-US" w:eastAsia="zh-CN"/>
        </w:rPr>
        <w:t>21</w:t>
      </w:r>
      <w:r>
        <w:rPr>
          <w:rFonts w:hint="eastAsia" w:ascii="仿宋" w:hAnsi="仿宋" w:eastAsia="仿宋" w:cs="仿宋"/>
          <w:color w:val="auto"/>
          <w:sz w:val="32"/>
          <w:szCs w:val="32"/>
        </w:rPr>
        <w:t>年度，“三公”经费财政拨款支出决算为</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万元，</w:t>
      </w:r>
      <w:r>
        <w:rPr>
          <w:rFonts w:hint="eastAsia" w:ascii="仿宋" w:hAnsi="仿宋" w:eastAsia="仿宋" w:cs="仿宋"/>
          <w:color w:val="auto"/>
          <w:sz w:val="32"/>
          <w:szCs w:val="32"/>
          <w:lang w:val="en-US" w:eastAsia="zh-CN"/>
        </w:rPr>
        <w:t>较2020年无变化</w:t>
      </w:r>
      <w:r>
        <w:rPr>
          <w:rFonts w:hint="eastAsia" w:ascii="仿宋" w:hAnsi="仿宋" w:eastAsia="仿宋" w:cs="仿宋"/>
          <w:color w:val="auto"/>
          <w:sz w:val="32"/>
          <w:szCs w:val="32"/>
        </w:rPr>
        <w:t>。其中：因公出国（境）费支出决算</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万元，占比</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%；公务用车购置及运行费支出决算</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万元，占比</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较</w:t>
      </w:r>
      <w:r>
        <w:rPr>
          <w:rFonts w:hint="eastAsia" w:ascii="仿宋" w:hAnsi="仿宋" w:eastAsia="仿宋" w:cs="仿宋"/>
          <w:color w:val="auto"/>
          <w:sz w:val="32"/>
          <w:szCs w:val="32"/>
        </w:rPr>
        <w:t>上年</w:t>
      </w:r>
      <w:r>
        <w:rPr>
          <w:rFonts w:hint="eastAsia" w:ascii="仿宋" w:hAnsi="仿宋" w:eastAsia="仿宋" w:cs="仿宋"/>
          <w:color w:val="auto"/>
          <w:sz w:val="32"/>
          <w:szCs w:val="32"/>
          <w:lang w:val="en-US" w:eastAsia="zh-CN"/>
        </w:rPr>
        <w:t>无变化</w:t>
      </w:r>
      <w:r>
        <w:rPr>
          <w:rFonts w:hint="eastAsia" w:ascii="仿宋" w:hAnsi="仿宋" w:eastAsia="仿宋" w:cs="仿宋"/>
          <w:color w:val="auto"/>
          <w:sz w:val="32"/>
          <w:szCs w:val="32"/>
        </w:rPr>
        <w:t>；公务接待费支出决算</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万元，占比</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rPr>
        <w:t>%。具体情况如下：</w:t>
      </w:r>
    </w:p>
    <w:p>
      <w:pPr>
        <w:pStyle w:val="8"/>
        <w:tabs>
          <w:tab w:val="left" w:pos="5760"/>
        </w:tabs>
        <w:spacing w:before="0" w:beforeAutospacing="0" w:after="0" w:afterAutospacing="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我单位2021年</w:t>
      </w:r>
      <w:r>
        <w:rPr>
          <w:rFonts w:hint="eastAsia" w:ascii="仿宋" w:hAnsi="仿宋" w:eastAsia="仿宋" w:cs="仿宋"/>
          <w:color w:val="auto"/>
          <w:sz w:val="32"/>
          <w:szCs w:val="32"/>
        </w:rPr>
        <w:t>公务用车购置及运行维护费</w:t>
      </w:r>
      <w:r>
        <w:rPr>
          <w:rFonts w:hint="eastAsia" w:ascii="仿宋" w:hAnsi="仿宋" w:eastAsia="仿宋" w:cs="仿宋"/>
          <w:color w:val="auto"/>
          <w:sz w:val="32"/>
          <w:szCs w:val="32"/>
          <w:lang w:val="en-US" w:eastAsia="zh-CN"/>
        </w:rPr>
        <w:t>年初预算数2万元，与上年相比无变化。</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default" w:eastAsia="宋体"/>
                <w:color w:val="000000"/>
                <w:sz w:val="28"/>
                <w:szCs w:val="28"/>
                <w:lang w:val="en-US" w:eastAsia="zh-CN"/>
              </w:rPr>
            </w:pPr>
            <w:r>
              <w:rPr>
                <w:rFonts w:hint="eastAsia" w:eastAsia="宋体"/>
                <w:color w:val="000000"/>
                <w:sz w:val="28"/>
                <w:szCs w:val="28"/>
                <w:lang w:val="en-US" w:eastAsia="zh-CN"/>
              </w:rPr>
              <w:t>2</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2</w:t>
            </w:r>
          </w:p>
        </w:tc>
        <w:tc>
          <w:tcPr>
            <w:tcW w:w="1418" w:type="dxa"/>
            <w:vAlign w:val="top"/>
          </w:tcPr>
          <w:p>
            <w:pPr>
              <w:pStyle w:val="8"/>
              <w:jc w:val="right"/>
              <w:rPr>
                <w:rFonts w:hint="eastAsia" w:eastAsia="宋体"/>
                <w:color w:val="000000"/>
                <w:sz w:val="28"/>
                <w:szCs w:val="28"/>
                <w:lang w:val="en-US" w:eastAsia="zh-CN"/>
              </w:rPr>
            </w:pPr>
          </w:p>
        </w:tc>
      </w:tr>
    </w:tbl>
    <w:p>
      <w:pPr>
        <w:pStyle w:val="8"/>
        <w:spacing w:before="0" w:beforeAutospacing="0" w:after="0" w:afterAutospacing="0"/>
        <w:ind w:left="0" w:leftChars="0" w:firstLine="0" w:firstLineChars="0"/>
        <w:rPr>
          <w:rFonts w:hint="eastAsia"/>
          <w:b/>
          <w:szCs w:val="32"/>
        </w:rPr>
      </w:pPr>
    </w:p>
    <w:p>
      <w:pPr>
        <w:pStyle w:val="3"/>
        <w:keepNext/>
        <w:keepLines/>
        <w:pageBreakBefore w:val="0"/>
        <w:widowControl w:val="0"/>
        <w:kinsoku/>
        <w:wordWrap/>
        <w:overflowPunct/>
        <w:topLinePunct w:val="0"/>
        <w:autoSpaceDE/>
        <w:autoSpaceDN/>
        <w:bidi w:val="0"/>
        <w:adjustRightInd/>
        <w:snapToGrid/>
        <w:spacing w:before="0" w:after="0" w:line="413" w:lineRule="auto"/>
        <w:textAlignment w:val="auto"/>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35</w:t>
      </w:r>
      <w:r>
        <w:rPr>
          <w:rFonts w:hint="eastAsia" w:ascii="仿宋_GB2312" w:hAnsi="宋体"/>
          <w:szCs w:val="32"/>
        </w:rPr>
        <w:t>万元，比20</w:t>
      </w:r>
      <w:r>
        <w:rPr>
          <w:rFonts w:hint="eastAsia" w:ascii="仿宋_GB2312" w:hAnsi="宋体"/>
          <w:szCs w:val="32"/>
          <w:lang w:val="en-US" w:eastAsia="zh-CN"/>
        </w:rPr>
        <w:t>20</w:t>
      </w:r>
      <w:r>
        <w:rPr>
          <w:rFonts w:hint="eastAsia" w:ascii="仿宋_GB2312" w:hAnsi="宋体"/>
          <w:szCs w:val="32"/>
        </w:rPr>
        <w:t>年增加</w:t>
      </w:r>
      <w:r>
        <w:rPr>
          <w:rFonts w:hint="eastAsia" w:ascii="仿宋_GB2312" w:hAnsi="宋体"/>
          <w:szCs w:val="32"/>
          <w:lang w:val="en-US" w:eastAsia="zh-CN"/>
        </w:rPr>
        <w:t>19.68</w:t>
      </w:r>
      <w:r>
        <w:rPr>
          <w:rFonts w:hint="eastAsia" w:ascii="仿宋_GB2312" w:hAnsi="宋体"/>
          <w:szCs w:val="32"/>
        </w:rPr>
        <w:t>万元，增长</w:t>
      </w:r>
      <w:r>
        <w:rPr>
          <w:rFonts w:hint="eastAsia" w:ascii="仿宋_GB2312" w:hAnsi="宋体"/>
          <w:szCs w:val="32"/>
          <w:lang w:val="en-US" w:eastAsia="zh-CN"/>
        </w:rPr>
        <w:t>128.46</w:t>
      </w:r>
      <w:r>
        <w:rPr>
          <w:rFonts w:hint="eastAsia" w:ascii="仿宋_GB2312" w:hAnsi="宋体"/>
          <w:szCs w:val="32"/>
        </w:rPr>
        <w:t>%。主要原因是：</w:t>
      </w:r>
      <w:r>
        <w:rPr>
          <w:rFonts w:hint="eastAsia" w:ascii="仿宋_GB2312" w:hAnsi="宋体"/>
          <w:szCs w:val="32"/>
          <w:lang w:val="en-US" w:eastAsia="zh-CN"/>
        </w:rPr>
        <w:t>工会福利费用增加，其中包含公务员车补费用。</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1264.81</w:t>
      </w:r>
      <w:r>
        <w:rPr>
          <w:rFonts w:hint="eastAsia" w:ascii="仿宋_GB2312"/>
          <w:color w:val="auto"/>
          <w:szCs w:val="32"/>
        </w:rPr>
        <w:t>万元，其中：政府采购货物支出</w:t>
      </w:r>
      <w:r>
        <w:rPr>
          <w:rFonts w:hint="eastAsia" w:ascii="仿宋_GB2312"/>
          <w:color w:val="auto"/>
          <w:szCs w:val="32"/>
          <w:lang w:val="en-US" w:eastAsia="zh-CN"/>
        </w:rPr>
        <w:t>174.15</w:t>
      </w:r>
      <w:r>
        <w:rPr>
          <w:rFonts w:hint="eastAsia" w:ascii="仿宋_GB2312"/>
          <w:color w:val="auto"/>
          <w:szCs w:val="32"/>
        </w:rPr>
        <w:t>万元、政府采购工程支出</w:t>
      </w:r>
      <w:r>
        <w:rPr>
          <w:rFonts w:hint="eastAsia" w:ascii="仿宋_GB2312"/>
          <w:color w:val="auto"/>
          <w:szCs w:val="32"/>
          <w:lang w:val="en-US" w:eastAsia="zh-CN"/>
        </w:rPr>
        <w:t>834.62</w:t>
      </w:r>
      <w:r>
        <w:rPr>
          <w:rFonts w:hint="eastAsia" w:ascii="仿宋_GB2312"/>
          <w:color w:val="auto"/>
          <w:szCs w:val="32"/>
        </w:rPr>
        <w:t>万元、政府采购服务支出</w:t>
      </w:r>
      <w:r>
        <w:rPr>
          <w:rFonts w:hint="eastAsia" w:ascii="仿宋_GB2312"/>
          <w:color w:val="auto"/>
          <w:szCs w:val="32"/>
          <w:lang w:val="en-US" w:eastAsia="zh-CN"/>
        </w:rPr>
        <w:t>256.04</w:t>
      </w:r>
      <w:r>
        <w:rPr>
          <w:rFonts w:hint="eastAsia" w:ascii="仿宋_GB2312"/>
          <w:color w:val="auto"/>
          <w:szCs w:val="32"/>
        </w:rPr>
        <w:t>万元。</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szCs w:val="32"/>
        </w:rPr>
      </w:pPr>
      <w:r>
        <w:rPr>
          <w:rFonts w:hint="eastAsia" w:ascii="仿宋_GB2312"/>
          <w:szCs w:val="32"/>
        </w:rPr>
        <w:t>截至20</w:t>
      </w:r>
      <w:r>
        <w:rPr>
          <w:rFonts w:hint="eastAsia" w:ascii="仿宋_GB2312"/>
          <w:szCs w:val="32"/>
          <w:lang w:val="en-US" w:eastAsia="zh-CN"/>
        </w:rPr>
        <w:t>21</w:t>
      </w:r>
      <w:r>
        <w:rPr>
          <w:rFonts w:hint="eastAsia" w:ascii="仿宋_GB2312"/>
          <w:szCs w:val="32"/>
        </w:rPr>
        <w:t>年12月31日，本部门共有车辆</w:t>
      </w:r>
      <w:r>
        <w:rPr>
          <w:rFonts w:hint="eastAsia" w:ascii="仿宋_GB2312"/>
          <w:color w:val="auto"/>
          <w:szCs w:val="32"/>
          <w:lang w:val="en-US" w:eastAsia="zh-CN"/>
        </w:rPr>
        <w:t>2</w:t>
      </w:r>
      <w:r>
        <w:rPr>
          <w:rFonts w:hint="eastAsia" w:ascii="仿宋_GB2312"/>
          <w:szCs w:val="32"/>
        </w:rPr>
        <w:t>辆。其中，其他用车</w:t>
      </w:r>
      <w:r>
        <w:rPr>
          <w:rFonts w:hint="eastAsia" w:ascii="仿宋_GB2312"/>
          <w:szCs w:val="32"/>
          <w:lang w:val="en-US" w:eastAsia="zh-CN"/>
        </w:rPr>
        <w:t>2</w:t>
      </w:r>
      <w:r>
        <w:rPr>
          <w:rFonts w:hint="eastAsia" w:ascii="仿宋_GB2312"/>
          <w:szCs w:val="32"/>
        </w:rPr>
        <w:t>辆，其他用车主要是</w:t>
      </w:r>
      <w:r>
        <w:rPr>
          <w:rFonts w:hint="eastAsia" w:ascii="仿宋_GB2312"/>
          <w:szCs w:val="32"/>
          <w:lang w:val="en-US" w:eastAsia="zh-CN"/>
        </w:rPr>
        <w:t>抗旱服务费公车1辆、水利局公务用车1辆，主要用于下乡等工作</w:t>
      </w:r>
      <w:r>
        <w:rPr>
          <w:rFonts w:hint="eastAsia" w:ascii="仿宋_GB2312"/>
          <w:szCs w:val="32"/>
        </w:rPr>
        <w:t>。</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numPr>
          <w:ilvl w:val="0"/>
          <w:numId w:val="0"/>
        </w:num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（1）预算绩效管理工作开展情况。</w:t>
      </w:r>
    </w:p>
    <w:p>
      <w:pPr>
        <w:spacing w:line="580" w:lineRule="exact"/>
        <w:ind w:firstLine="640"/>
        <w:rPr>
          <w:rFonts w:hint="eastAsia" w:ascii="仿宋_GB2312" w:hAnsi="宋体"/>
          <w:szCs w:val="32"/>
          <w:lang w:val="en-US" w:eastAsia="zh-CN"/>
        </w:rPr>
      </w:pPr>
      <w:r>
        <w:rPr>
          <w:rFonts w:hint="eastAsia" w:ascii="仿宋_GB2312" w:hAnsi="宋体"/>
          <w:szCs w:val="32"/>
          <w:lang w:val="en-US" w:eastAsia="zh-CN"/>
        </w:rPr>
        <w:t>根据预算绩效管理要求，我单位组织对2021年度县级财政预算安排的专项资金类和200万元以上的经费补助类34个项目支出全面开展绩效自评，涉及预算资金4216.56万元，占一般公共预算项目支出总额的99.72%。组织对2021年度大中型水库移民后期扶持项目1个政府性基金预算项目支出开展绩效自评，共涉及预算资金12万元，占政府性基金预算项目支出总额的0.28%。</w:t>
      </w:r>
    </w:p>
    <w:p>
      <w:pPr>
        <w:numPr>
          <w:ilvl w:val="0"/>
          <w:numId w:val="0"/>
        </w:numPr>
        <w:ind w:left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w:t>
      </w:r>
      <w:r>
        <w:rPr>
          <w:rFonts w:hint="eastAsia" w:ascii="仿宋_GB2312" w:hAnsi="仿宋_GB2312" w:cs="仿宋_GB2312"/>
          <w:b/>
          <w:bCs/>
          <w:sz w:val="32"/>
          <w:szCs w:val="32"/>
          <w:lang w:val="en-US" w:eastAsia="zh-CN"/>
        </w:rPr>
        <w:t>2</w:t>
      </w:r>
      <w:r>
        <w:rPr>
          <w:rFonts w:hint="eastAsia" w:ascii="仿宋_GB2312" w:hAnsi="仿宋_GB2312" w:eastAsia="仿宋_GB2312" w:cs="仿宋_GB2312"/>
          <w:b/>
          <w:bCs/>
          <w:sz w:val="32"/>
          <w:szCs w:val="32"/>
          <w:lang w:val="en-US" w:eastAsia="zh-CN"/>
        </w:rPr>
        <w:t>）部门决算中项目绩效自评结果。</w:t>
      </w:r>
    </w:p>
    <w:p>
      <w:pPr>
        <w:spacing w:line="580" w:lineRule="exact"/>
        <w:ind w:firstLine="640"/>
        <w:rPr>
          <w:rFonts w:hint="eastAsia" w:ascii="仿宋_GB2312"/>
          <w:color w:val="auto"/>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color w:val="auto"/>
          <w:szCs w:val="32"/>
          <w:lang w:val="en-US" w:eastAsia="zh-CN"/>
        </w:rPr>
        <w:t>汾河静乐县城段综合治理配套项目绩效自评综述：根据年初设定的绩效目标，项目自评得分为78.28分。全年预算数为497.63万元，执行数为378.63万元，完成预算的76.08%。项目绩效目标完成情况：一是模袋混凝土拆除重建格宾石笼顺坝工程、排水工程、生态池两侧防护工程、西碾河河口整治工程、湿地池及生态池换填淤泥工程。发现的主要问题及原因：无。下一步改进措施：无。</w:t>
      </w:r>
    </w:p>
    <w:p>
      <w:pPr>
        <w:spacing w:line="580" w:lineRule="exact"/>
        <w:ind w:firstLine="640"/>
        <w:rPr>
          <w:rFonts w:hint="eastAsia" w:ascii="仿宋_GB2312"/>
          <w:color w:val="auto"/>
          <w:szCs w:val="32"/>
          <w:lang w:val="en-US" w:eastAsia="zh-CN"/>
        </w:rPr>
      </w:pPr>
      <w:r>
        <w:rPr>
          <w:rFonts w:hint="eastAsia" w:ascii="仿宋_GB2312"/>
          <w:color w:val="auto"/>
          <w:szCs w:val="32"/>
        </w:rPr>
        <w:t>东碾河河道治理工程（漫岩村至青龙庄段）前期费用</w:t>
      </w:r>
      <w:r>
        <w:rPr>
          <w:rFonts w:hint="eastAsia" w:ascii="仿宋_GB2312"/>
          <w:color w:val="auto"/>
          <w:szCs w:val="32"/>
          <w:lang w:val="en-US" w:eastAsia="zh-CN"/>
        </w:rPr>
        <w:t>绩效自评综述：根据年初设定的绩效目标，项目自评得分为90分。全年预算数为33.56万元，执行数为33.56万元，完成预算的100%。项目绩效目标完成情况：</w:t>
      </w:r>
      <w:r>
        <w:rPr>
          <w:rFonts w:hint="eastAsia" w:ascii="仿宋_GB2312"/>
          <w:color w:val="auto"/>
          <w:szCs w:val="32"/>
          <w:lang w:eastAsia="zh-CN"/>
        </w:rPr>
        <w:t>东碾河河道治理工程（漫岩村至青龙庄段）工程实施能有效提高河道行洪能力及防洪标准</w:t>
      </w:r>
      <w:r>
        <w:rPr>
          <w:rFonts w:hint="eastAsia" w:ascii="仿宋_GB2312"/>
          <w:color w:val="auto"/>
          <w:szCs w:val="32"/>
          <w:lang w:val="en-US" w:eastAsia="zh-CN"/>
        </w:rPr>
        <w:t>。发现的主要问题及原因：无。下一步改进措施：无。</w:t>
      </w:r>
    </w:p>
    <w:p>
      <w:pPr>
        <w:spacing w:line="580" w:lineRule="exact"/>
        <w:ind w:firstLine="640"/>
        <w:rPr>
          <w:rFonts w:hint="eastAsia" w:ascii="仿宋_GB2312"/>
          <w:color w:val="auto"/>
          <w:szCs w:val="32"/>
          <w:lang w:val="en-US" w:eastAsia="zh-CN"/>
        </w:rPr>
      </w:pPr>
      <w:r>
        <w:rPr>
          <w:rFonts w:hint="eastAsia" w:ascii="仿宋_GB2312"/>
          <w:color w:val="auto"/>
          <w:szCs w:val="32"/>
        </w:rPr>
        <w:t>汾河静乐县城段生态综合治理工程</w:t>
      </w:r>
      <w:r>
        <w:rPr>
          <w:rFonts w:hint="eastAsia" w:ascii="仿宋_GB2312"/>
          <w:color w:val="auto"/>
          <w:szCs w:val="32"/>
          <w:lang w:val="en-US" w:eastAsia="zh-CN"/>
        </w:rPr>
        <w:t>绩效自评综述：根据年初设定的绩效目标，项目自评得分为100分。全年预算数为200万元，执行数为185.73万元，完成预算的92.87%。项目绩效目标完成情况：</w:t>
      </w:r>
      <w:r>
        <w:rPr>
          <w:rFonts w:hint="eastAsia" w:ascii="仿宋_GB2312"/>
          <w:color w:val="auto"/>
          <w:szCs w:val="32"/>
          <w:lang w:eastAsia="zh-CN"/>
        </w:rPr>
        <w:t>生态河道是一个包括水体在内的湿地系统，在维持生态平衡、增加观赏性、保持生物多样性以及涵养水源、降解污染调节气候、补充地下水、控制土壤侵蚀等方面均起到重要作用。汾河静乐县城段生态综合治理工程，是按照河流水流特征和湿地特性进行建设，应用生态系统中水体和物种共生、物质循环的前提下充分发挥资源的生产潜力，防止环境的在污染，获得净化水质与资源化的最佳效益。达成以”人、城市、生态、文化“未主题的河流生态工程区。</w:t>
      </w:r>
      <w:r>
        <w:rPr>
          <w:rFonts w:hint="eastAsia" w:ascii="仿宋_GB2312"/>
          <w:color w:val="auto"/>
          <w:szCs w:val="32"/>
          <w:lang w:val="en-US" w:eastAsia="zh-CN"/>
        </w:rPr>
        <w:t>发现的主要问题及原因：无。下一步改进措施：无。</w:t>
      </w:r>
    </w:p>
    <w:p>
      <w:pPr>
        <w:spacing w:line="580" w:lineRule="exact"/>
        <w:ind w:firstLine="640"/>
        <w:rPr>
          <w:rFonts w:hint="eastAsia" w:ascii="仿宋_GB2312"/>
          <w:color w:val="auto"/>
          <w:szCs w:val="32"/>
          <w:lang w:val="en-US" w:eastAsia="zh-CN"/>
        </w:rPr>
      </w:pPr>
      <w:r>
        <w:rPr>
          <w:rFonts w:hint="eastAsia" w:ascii="仿宋_GB2312"/>
          <w:color w:val="auto"/>
          <w:szCs w:val="32"/>
        </w:rPr>
        <w:t>静汾生态公园项目</w:t>
      </w:r>
      <w:r>
        <w:rPr>
          <w:rFonts w:hint="eastAsia" w:ascii="仿宋_GB2312"/>
          <w:color w:val="auto"/>
          <w:szCs w:val="32"/>
          <w:lang w:val="en-US" w:eastAsia="zh-CN"/>
        </w:rPr>
        <w:t>绩效自评综述：根据年初设定的绩效目标，项目自评得分为100分。全年预算数为500万元，执行数为500万元，完成预算的100%。项目绩效目标完成情况：绿化面积、园林工程等主题工程以完工。发现的主要问题及原因：无。下一步改进措施：</w:t>
      </w:r>
      <w:r>
        <w:rPr>
          <w:rFonts w:hint="eastAsia" w:ascii="仿宋_GB2312"/>
          <w:color w:val="auto"/>
          <w:szCs w:val="32"/>
          <w:lang w:eastAsia="zh-CN"/>
        </w:rPr>
        <w:t>根据实际情况制定绩效目标，按时保质保量完成</w:t>
      </w:r>
      <w:r>
        <w:rPr>
          <w:rFonts w:hint="eastAsia" w:ascii="仿宋_GB2312"/>
          <w:color w:val="auto"/>
          <w:szCs w:val="32"/>
          <w:lang w:val="en-US" w:eastAsia="zh-CN"/>
        </w:rPr>
        <w:t>。</w:t>
      </w:r>
    </w:p>
    <w:p>
      <w:pPr>
        <w:spacing w:line="580" w:lineRule="exact"/>
        <w:ind w:firstLine="640"/>
        <w:rPr>
          <w:rFonts w:hint="eastAsia" w:ascii="仿宋_GB2312"/>
          <w:color w:val="auto"/>
          <w:szCs w:val="32"/>
          <w:lang w:val="en-US" w:eastAsia="zh-CN"/>
        </w:rPr>
      </w:pPr>
      <w:r>
        <w:rPr>
          <w:rFonts w:hint="eastAsia" w:ascii="仿宋_GB2312"/>
          <w:color w:val="auto"/>
          <w:szCs w:val="32"/>
        </w:rPr>
        <w:t>静乐县中庄乡盆子水村田园综合体试点节水灌溉工程</w:t>
      </w:r>
      <w:r>
        <w:rPr>
          <w:rFonts w:hint="eastAsia" w:ascii="仿宋_GB2312"/>
          <w:color w:val="auto"/>
          <w:szCs w:val="32"/>
          <w:lang w:val="en-US" w:eastAsia="zh-CN"/>
        </w:rPr>
        <w:t>绩效自评综述：根据年初设定的绩效目标，项目自评得分为99.39分。全年预算数为273.09万元，执行数为256.58万元，完成预算的93.95%。项目绩效目标完成情况：</w:t>
      </w:r>
      <w:r>
        <w:rPr>
          <w:rFonts w:hint="eastAsia" w:ascii="仿宋_GB2312"/>
          <w:color w:val="auto"/>
          <w:szCs w:val="32"/>
          <w:lang w:eastAsia="zh-CN"/>
        </w:rPr>
        <w:t>滴灌节水项目发展节水灌溉面积100亩，新建机井眼1座，新购水泵1台套，新建蓄水池1座，管道7.44km,，输变电线路1.5km</w:t>
      </w:r>
      <w:r>
        <w:rPr>
          <w:rFonts w:hint="eastAsia" w:ascii="仿宋_GB2312"/>
          <w:color w:val="auto"/>
          <w:szCs w:val="32"/>
          <w:lang w:val="en-US" w:eastAsia="zh-CN"/>
        </w:rPr>
        <w:t>。发现的主要问题及原因：无。下一步改进措施：</w:t>
      </w:r>
      <w:r>
        <w:rPr>
          <w:rFonts w:hint="eastAsia" w:ascii="仿宋_GB2312"/>
          <w:color w:val="auto"/>
          <w:szCs w:val="32"/>
          <w:lang w:eastAsia="zh-CN"/>
        </w:rPr>
        <w:t>根据实际情况制定绩效目标，按时保质保量完成</w:t>
      </w:r>
      <w:r>
        <w:rPr>
          <w:rFonts w:hint="eastAsia" w:ascii="仿宋_GB2312"/>
          <w:color w:val="auto"/>
          <w:szCs w:val="32"/>
          <w:lang w:val="en-US" w:eastAsia="zh-CN"/>
        </w:rPr>
        <w:t>。</w:t>
      </w:r>
    </w:p>
    <w:p>
      <w:pPr>
        <w:spacing w:line="580" w:lineRule="exact"/>
        <w:ind w:firstLine="640"/>
        <w:rPr>
          <w:rFonts w:hint="eastAsia" w:ascii="仿宋_GB2312"/>
          <w:color w:val="auto"/>
          <w:szCs w:val="32"/>
          <w:lang w:val="en-US" w:eastAsia="zh-CN"/>
        </w:rPr>
      </w:pPr>
      <w:r>
        <w:rPr>
          <w:rFonts w:hint="eastAsia" w:ascii="仿宋_GB2312"/>
          <w:color w:val="auto"/>
          <w:szCs w:val="32"/>
        </w:rPr>
        <w:t>水旱灾害防御补助资金项目</w:t>
      </w:r>
      <w:r>
        <w:rPr>
          <w:rFonts w:hint="eastAsia" w:ascii="仿宋_GB2312"/>
          <w:color w:val="auto"/>
          <w:szCs w:val="32"/>
          <w:lang w:val="en-US" w:eastAsia="zh-CN"/>
        </w:rPr>
        <w:t>绩效自评综述：根据年初设定的绩效目标，项目自评得分为100分。全年预算数为13万元，执行数为13万元，完成预算的100%。项目绩效目标完成情况：</w:t>
      </w:r>
      <w:r>
        <w:rPr>
          <w:rFonts w:hint="eastAsia" w:ascii="仿宋_GB2312"/>
          <w:color w:val="auto"/>
          <w:szCs w:val="32"/>
          <w:lang w:eastAsia="zh-CN"/>
        </w:rPr>
        <w:t>全面提升水旱灾害防御能力水平，切实做好水旱灾害防御工作，最大程度地降低水旱灾害对国民经济发展造成的影响和损失</w:t>
      </w:r>
      <w:r>
        <w:rPr>
          <w:rFonts w:hint="eastAsia" w:ascii="仿宋_GB2312"/>
          <w:color w:val="auto"/>
          <w:szCs w:val="32"/>
          <w:lang w:val="en-US" w:eastAsia="zh-CN"/>
        </w:rPr>
        <w:t>。发现的主要问题及原因：无。下一步改进措施：无。</w:t>
      </w:r>
    </w:p>
    <w:p>
      <w:pPr>
        <w:spacing w:line="580" w:lineRule="exact"/>
        <w:ind w:firstLine="640"/>
        <w:rPr>
          <w:rFonts w:hint="eastAsia" w:ascii="仿宋_GB2312"/>
          <w:color w:val="auto"/>
          <w:szCs w:val="32"/>
          <w:lang w:val="en-US" w:eastAsia="zh-CN"/>
        </w:rPr>
      </w:pPr>
      <w:r>
        <w:rPr>
          <w:rFonts w:hint="eastAsia" w:ascii="仿宋_GB2312"/>
          <w:color w:val="auto"/>
          <w:szCs w:val="32"/>
        </w:rPr>
        <w:t>农村饮水安全巩固提升工程</w:t>
      </w:r>
      <w:r>
        <w:rPr>
          <w:rFonts w:hint="eastAsia" w:ascii="仿宋_GB2312"/>
          <w:color w:val="auto"/>
          <w:szCs w:val="32"/>
          <w:lang w:val="en-US" w:eastAsia="zh-CN"/>
        </w:rPr>
        <w:t>绩效自评综述：根据年初设定的绩效目标，项目自评得分为100分。全年预算数为120万元，执行数为120万元，完成预算的100%。项目绩效目标完成情况：</w:t>
      </w:r>
      <w:r>
        <w:rPr>
          <w:rFonts w:hint="eastAsia" w:ascii="仿宋_GB2312"/>
          <w:color w:val="auto"/>
          <w:szCs w:val="32"/>
          <w:lang w:eastAsia="zh-CN"/>
        </w:rPr>
        <w:t>佛堂山、孟家洼水源井及配套项目</w:t>
      </w:r>
      <w:r>
        <w:rPr>
          <w:rFonts w:hint="eastAsia" w:ascii="仿宋_GB2312"/>
          <w:color w:val="auto"/>
          <w:szCs w:val="32"/>
          <w:lang w:val="en-US" w:eastAsia="zh-CN"/>
        </w:rPr>
        <w:t>。发现的主要问题及原因：无。下一步改进措施：无。</w:t>
      </w:r>
    </w:p>
    <w:p>
      <w:pPr>
        <w:spacing w:line="580" w:lineRule="exact"/>
        <w:ind w:firstLine="640"/>
        <w:rPr>
          <w:rFonts w:hint="eastAsia" w:ascii="仿宋_GB2312"/>
          <w:color w:val="auto"/>
          <w:szCs w:val="32"/>
          <w:lang w:val="en-US" w:eastAsia="zh-CN"/>
        </w:rPr>
      </w:pPr>
      <w:r>
        <w:rPr>
          <w:rFonts w:hint="eastAsia" w:ascii="仿宋_GB2312"/>
          <w:color w:val="auto"/>
          <w:szCs w:val="32"/>
        </w:rPr>
        <w:t>烟草捐助静乐县农村饮水安全巩固提升工程</w:t>
      </w:r>
      <w:r>
        <w:rPr>
          <w:rFonts w:hint="eastAsia" w:ascii="仿宋_GB2312"/>
          <w:color w:val="auto"/>
          <w:szCs w:val="32"/>
          <w:lang w:val="en-US" w:eastAsia="zh-CN"/>
        </w:rPr>
        <w:t>绩效自评综述：根据年初设定的绩效目标，项目自评得分为90.94分。全年预算数为1500万元，执行数为141.1万元，完成预算的9.41%。项目绩效目标完成情况：</w:t>
      </w:r>
      <w:r>
        <w:rPr>
          <w:rFonts w:hint="eastAsia" w:ascii="仿宋_GB2312"/>
          <w:color w:val="auto"/>
          <w:szCs w:val="32"/>
          <w:lang w:eastAsia="zh-CN"/>
        </w:rPr>
        <w:t>1.提高各村饮水安全保障2。加快农村水费计量基础设施保障3.强化农村供水工程运行管理</w:t>
      </w:r>
      <w:r>
        <w:rPr>
          <w:rFonts w:hint="eastAsia" w:ascii="仿宋_GB2312"/>
          <w:color w:val="auto"/>
          <w:szCs w:val="32"/>
          <w:lang w:val="en-US" w:eastAsia="zh-CN"/>
        </w:rPr>
        <w:t>。发现的主要问题及原因：无。下一步改进措施：无。</w:t>
      </w:r>
    </w:p>
    <w:p>
      <w:pPr>
        <w:numPr>
          <w:ilvl w:val="0"/>
          <w:numId w:val="1"/>
        </w:numPr>
        <w:ind w:left="0" w:leftChars="0"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部门评价项目绩效评价结果。</w:t>
      </w:r>
      <w:r>
        <w:rPr>
          <w:rFonts w:hint="eastAsia" w:ascii="仿宋_GB2312" w:hAnsi="仿宋_GB2312" w:cs="仿宋_GB2312"/>
          <w:b w:val="0"/>
          <w:bCs w:val="0"/>
          <w:sz w:val="32"/>
          <w:szCs w:val="32"/>
          <w:lang w:val="en-US" w:eastAsia="zh-CN"/>
        </w:rPr>
        <w:t>本单位重点项目</w:t>
      </w:r>
      <w:r>
        <w:rPr>
          <w:rFonts w:hint="eastAsia" w:ascii="仿宋_GB2312" w:hAnsi="仿宋_GB2312" w:eastAsia="仿宋_GB2312" w:cs="仿宋_GB2312"/>
          <w:sz w:val="32"/>
          <w:szCs w:val="32"/>
          <w:lang w:val="en-US" w:eastAsia="zh-CN"/>
        </w:rPr>
        <w:t>评价报告向社会公开。</w:t>
      </w:r>
    </w:p>
    <w:p>
      <w:pPr>
        <w:numPr>
          <w:numId w:val="0"/>
        </w:numPr>
        <w:ind w:leftChars="200"/>
        <w:rPr>
          <w:rFonts w:hint="eastAsia" w:ascii="仿宋_GB2312" w:hAnsi="仿宋_GB2312" w:eastAsia="仿宋_GB2312" w:cs="仿宋_GB2312"/>
          <w:sz w:val="32"/>
          <w:szCs w:val="32"/>
          <w:lang w:val="en-US" w:eastAsia="zh-CN"/>
        </w:rPr>
      </w:pPr>
      <w:r>
        <w:rPr>
          <w:rFonts w:hint="eastAsia" w:ascii="仿宋_GB2312" w:hAnsi="仿宋_GB2312" w:cs="仿宋_GB2312"/>
          <w:b w:val="0"/>
          <w:bCs w:val="0"/>
          <w:sz w:val="32"/>
          <w:szCs w:val="32"/>
          <w:lang w:val="en-US" w:eastAsia="zh-CN"/>
        </w:rPr>
        <w:t>（本单位重点项目</w:t>
      </w:r>
      <w:r>
        <w:rPr>
          <w:rFonts w:hint="eastAsia" w:ascii="仿宋_GB2312" w:hAnsi="仿宋_GB2312" w:eastAsia="仿宋_GB2312" w:cs="仿宋_GB2312"/>
          <w:sz w:val="32"/>
          <w:szCs w:val="32"/>
          <w:lang w:val="en-US" w:eastAsia="zh-CN"/>
        </w:rPr>
        <w:t>评价报告</w:t>
      </w:r>
      <w:r>
        <w:rPr>
          <w:rFonts w:hint="eastAsia" w:ascii="仿宋_GB2312" w:hAnsi="仿宋_GB2312" w:cs="仿宋_GB2312"/>
          <w:sz w:val="32"/>
          <w:szCs w:val="32"/>
          <w:lang w:val="en-US" w:eastAsia="zh-CN"/>
        </w:rPr>
        <w:t>以附件形式</w:t>
      </w:r>
      <w:r>
        <w:rPr>
          <w:rFonts w:hint="eastAsia" w:ascii="仿宋_GB2312" w:hAnsi="仿宋_GB2312" w:eastAsia="仿宋_GB2312" w:cs="仿宋_GB2312"/>
          <w:sz w:val="32"/>
          <w:szCs w:val="32"/>
          <w:lang w:val="en-US" w:eastAsia="zh-CN"/>
        </w:rPr>
        <w:t>向社会公开</w:t>
      </w:r>
      <w:r>
        <w:rPr>
          <w:rFonts w:hint="eastAsia" w:ascii="仿宋_GB2312" w:hAnsi="仿宋_GB2312" w:cs="仿宋_GB2312"/>
          <w:sz w:val="32"/>
          <w:szCs w:val="32"/>
          <w:lang w:val="en-US" w:eastAsia="zh-CN"/>
        </w:rPr>
        <w:t>）</w:t>
      </w:r>
    </w:p>
    <w:p>
      <w:pPr>
        <w:numPr>
          <w:ilvl w:val="0"/>
          <w:numId w:val="0"/>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hAnsi="仿宋_GB2312" w:eastAsia="仿宋_GB2312" w:cs="仿宋_GB2312"/>
          <w:b/>
          <w:bCs/>
          <w:sz w:val="32"/>
          <w:szCs w:val="32"/>
          <w:lang w:val="en-US" w:eastAsia="zh-CN"/>
        </w:rPr>
        <w:t>（</w:t>
      </w:r>
      <w:r>
        <w:rPr>
          <w:rFonts w:hint="eastAsia" w:ascii="仿宋_GB2312" w:hAnsi="仿宋_GB2312" w:cs="仿宋_GB2312"/>
          <w:b/>
          <w:bCs/>
          <w:sz w:val="32"/>
          <w:szCs w:val="32"/>
          <w:lang w:val="en-US" w:eastAsia="zh-CN"/>
        </w:rPr>
        <w:t>4</w:t>
      </w:r>
      <w:r>
        <w:rPr>
          <w:rFonts w:hint="eastAsia" w:ascii="仿宋_GB2312" w:hAnsi="仿宋_GB2312" w:eastAsia="仿宋_GB2312" w:cs="仿宋_GB2312"/>
          <w:b/>
          <w:bCs/>
          <w:sz w:val="32"/>
          <w:szCs w:val="32"/>
          <w:lang w:val="en-US" w:eastAsia="zh-CN"/>
        </w:rPr>
        <w:t>）</w:t>
      </w:r>
      <w:r>
        <w:rPr>
          <w:rFonts w:hint="eastAsia" w:ascii="仿宋_GB2312"/>
          <w:b/>
          <w:szCs w:val="32"/>
        </w:rPr>
        <w:t>其他需要说明的事项</w:t>
      </w:r>
      <w:bookmarkEnd w:id="30"/>
      <w:bookmarkEnd w:id="31"/>
      <w:r>
        <w:rPr>
          <w:rFonts w:hint="eastAsia" w:ascii="仿宋_GB2312"/>
          <w:b/>
          <w:szCs w:val="32"/>
          <w:lang w:val="en-US" w:eastAsia="zh-CN"/>
        </w:rPr>
        <w:t xml:space="preserve">   </w:t>
      </w:r>
      <w:bookmarkStart w:id="33" w:name="_GoBack"/>
      <w:bookmarkEnd w:id="33"/>
      <w:r>
        <w:rPr>
          <w:rFonts w:hint="eastAsia" w:ascii="仿宋_GB2312"/>
          <w:b/>
          <w:szCs w:val="32"/>
          <w:lang w:val="en-US" w:eastAsia="zh-CN"/>
        </w:rPr>
        <w:t>无</w:t>
      </w:r>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left="0" w:leftChars="0" w:firstLine="0" w:firstLineChars="0"/>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静乐县水利局</w:t>
      </w:r>
    </w:p>
    <w:p>
      <w:pPr>
        <w:ind w:firstLine="4480" w:firstLineChars="14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A4CC00"/>
    <w:multiLevelType w:val="singleLevel"/>
    <w:tmpl w:val="60A4CC0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YjBhZjc1N2UwNzkyZDE4NTZiMmNmYmZhN2E5NTMifQ=="/>
  </w:docVars>
  <w:rsids>
    <w:rsidRoot w:val="495520D0"/>
    <w:rsid w:val="03696819"/>
    <w:rsid w:val="03A33F17"/>
    <w:rsid w:val="07EA643F"/>
    <w:rsid w:val="11F057D4"/>
    <w:rsid w:val="16654CDD"/>
    <w:rsid w:val="178D3EF4"/>
    <w:rsid w:val="1A4675F5"/>
    <w:rsid w:val="1A4A5C33"/>
    <w:rsid w:val="25B0269D"/>
    <w:rsid w:val="2701594C"/>
    <w:rsid w:val="27426717"/>
    <w:rsid w:val="2BC768EC"/>
    <w:rsid w:val="37943B50"/>
    <w:rsid w:val="3821117E"/>
    <w:rsid w:val="3E154C15"/>
    <w:rsid w:val="42C12CEC"/>
    <w:rsid w:val="44401A62"/>
    <w:rsid w:val="495520D0"/>
    <w:rsid w:val="4A012068"/>
    <w:rsid w:val="4C985A14"/>
    <w:rsid w:val="4F02783C"/>
    <w:rsid w:val="53A30631"/>
    <w:rsid w:val="5A7C4F26"/>
    <w:rsid w:val="5B4D1521"/>
    <w:rsid w:val="5D78440B"/>
    <w:rsid w:val="5EC01F6A"/>
    <w:rsid w:val="610A7DCA"/>
    <w:rsid w:val="63AB51DF"/>
    <w:rsid w:val="649C6DC9"/>
    <w:rsid w:val="715A78E4"/>
    <w:rsid w:val="730643E8"/>
    <w:rsid w:val="7761744D"/>
    <w:rsid w:val="7B8538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6047</Words>
  <Characters>6920</Characters>
  <Lines>0</Lines>
  <Paragraphs>0</Paragraphs>
  <TotalTime>2</TotalTime>
  <ScaleCrop>false</ScaleCrop>
  <LinksUpToDate>false</LinksUpToDate>
  <CharactersWithSpaces>7000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2022-08-03T02:51:24Z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97F70DD84AB84DCD81D4013CA8917684</vt:lpwstr>
  </property>
</Properties>
</file>