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bookmarkStart w:id="0" w:name="_Toc21118"/>
      <w:bookmarkStart w:id="1" w:name="_Toc31071"/>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静乐县丰润镇人民政府</w:t>
      </w: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lang w:val="en-US" w:eastAsia="zh-CN"/>
          <w14:textFill>
            <w14:solidFill>
              <w14:schemeClr w14:val="tx1"/>
            </w14:solidFill>
          </w14:textFill>
        </w:rPr>
        <w:fldChar w:fldCharType="separate"/>
      </w: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14:textFill>
            <w14:solidFill>
              <w14:schemeClr w14:val="tx1"/>
            </w14:solidFill>
          </w14:textFill>
        </w:rPr>
        <w:t>第一部分  概况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_Toc31140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一、本部门职责</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_Toc4461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二、机构设置情况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第二部分  2021年度部门决算报表（附表）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_Toc12749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第三部分  2021年度部门决算情况说明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_Toc29325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一、收入支出决算总体情况说明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_Toc437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二、收入决算情况说明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_Toc16754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三、支出决算情况说明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_Toc22098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四、财政拨款收入支出决算总体情况说明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_Toc2142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五、一般公共预算财政拨款支出决算情况说明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_Toc6501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六、一般公共预算财政拨款基本支出决算情况说明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_Toc17728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七、一般公共预算财政拨款“三公”经费支出决算情况说明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_Toc26508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八、其他重要事项情况说明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_Toc1792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_GB2312" w:eastAsia="仿宋_GB2312"/>
          <w:color w:val="000000" w:themeColor="text1"/>
          <w:szCs w:val="32"/>
          <w:lang w:val="en-US" w:eastAsia="zh-CN"/>
          <w14:textFill>
            <w14:solidFill>
              <w14:schemeClr w14:val="tx1"/>
            </w14:solidFill>
          </w14:textFill>
        </w:rPr>
        <w:t xml:space="preserve">（四） </w:t>
      </w:r>
      <w:r>
        <w:rPr>
          <w:rFonts w:hint="eastAsia" w:ascii="仿宋_GB2312"/>
          <w:color w:val="000000" w:themeColor="text1"/>
          <w:szCs w:val="32"/>
          <w14:textFill>
            <w14:solidFill>
              <w14:schemeClr w14:val="tx1"/>
            </w14:solidFill>
          </w14:textFill>
        </w:rPr>
        <w:t>其他需要说明的事项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_Toc28108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第四部分  名词解释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_Toc8545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14:textFill>
            <w14:solidFill>
              <w14:schemeClr w14:val="tx1"/>
            </w14:solidFill>
          </w14:textFill>
        </w:rPr>
      </w:pPr>
      <w:bookmarkStart w:id="3" w:name="_Toc23288"/>
      <w:bookmarkStart w:id="4" w:name="_Toc31140"/>
      <w:r>
        <w:rPr>
          <w:rFonts w:hint="eastAsia"/>
          <w:color w:val="000000" w:themeColor="text1"/>
          <w:sz w:val="36"/>
          <w:szCs w:val="36"/>
          <w14:textFill>
            <w14:solidFill>
              <w14:schemeClr w14:val="tx1"/>
            </w14:solidFill>
          </w14:textFill>
        </w:rPr>
        <w:t>第一部分  概况</w:t>
      </w:r>
      <w:bookmarkEnd w:id="3"/>
      <w:bookmarkEnd w:id="4"/>
    </w:p>
    <w:p>
      <w:pPr>
        <w:pStyle w:val="3"/>
        <w:numPr>
          <w:ilvl w:val="0"/>
          <w:numId w:val="1"/>
        </w:numPr>
        <w:rPr>
          <w:rFonts w:hint="eastAsia" w:ascii="仿宋" w:hAnsi="仿宋" w:eastAsia="仿宋" w:cs="仿宋"/>
          <w:b w:val="0"/>
          <w:bCs/>
          <w:color w:val="000000" w:themeColor="text1"/>
          <w14:textFill>
            <w14:solidFill>
              <w14:schemeClr w14:val="tx1"/>
            </w14:solidFill>
          </w14:textFill>
        </w:rPr>
      </w:pPr>
      <w:bookmarkStart w:id="5" w:name="_Toc4461"/>
      <w:bookmarkStart w:id="6" w:name="_Toc24066"/>
      <w:r>
        <w:rPr>
          <w:rFonts w:hint="eastAsia" w:ascii="仿宋" w:hAnsi="仿宋" w:eastAsia="仿宋" w:cs="仿宋"/>
          <w:b w:val="0"/>
          <w:bCs/>
          <w:color w:val="000000" w:themeColor="text1"/>
          <w14:textFill>
            <w14:solidFill>
              <w14:schemeClr w14:val="tx1"/>
            </w14:solidFill>
          </w14:textFill>
        </w:rPr>
        <w:t>本部门职责</w:t>
      </w:r>
      <w:bookmarkEnd w:id="5"/>
      <w:bookmarkEnd w:id="6"/>
    </w:p>
    <w:p>
      <w:pPr>
        <w:pStyle w:val="8"/>
        <w:spacing w:before="0" w:beforeAutospacing="0" w:after="0" w:afterAutospacing="0"/>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宣传、贯彻、执行和落实党在农村的各项方针政策，履行党的基层组织和国家基层政权的职责。指导农村村民自治，保障农民的民主政治权利，协调各方利益，解决各方矛盾，化解各方纠纷。</w:t>
      </w:r>
    </w:p>
    <w:p>
      <w:pPr>
        <w:pStyle w:val="8"/>
        <w:spacing w:before="0" w:beforeAutospacing="0" w:after="0" w:afterAutospacing="0"/>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积极推进农村市场经济体系建设，科学制定本地产业发展规划，为推进农村产业结构调整，加快农村产业经营步伐，改善农村和农民生活条件，提供政策服务，营造发展环境。</w:t>
      </w:r>
    </w:p>
    <w:p>
      <w:pPr>
        <w:numPr>
          <w:numId w:val="0"/>
        </w:numPr>
        <w:rPr>
          <w:rFonts w:hint="eastAsia"/>
        </w:rPr>
      </w:pPr>
      <w:r>
        <w:rPr>
          <w:rFonts w:hint="eastAsia" w:ascii="仿宋_GB2312" w:eastAsia="仿宋_GB2312"/>
          <w:color w:val="000000" w:themeColor="text1"/>
          <w:sz w:val="32"/>
          <w:szCs w:val="32"/>
          <w14:textFill>
            <w14:solidFill>
              <w14:schemeClr w14:val="tx1"/>
            </w14:solidFill>
          </w14:textFill>
        </w:rPr>
        <w:t>积极推进农村社会化服务建设，大力发展农村社会公益事业，为农民提供科学技术，劳动就业、市场信息等公共服务和公共产品。</w:t>
      </w:r>
      <w:bookmarkStart w:id="31" w:name="_GoBack"/>
      <w:bookmarkEnd w:id="31"/>
    </w:p>
    <w:p>
      <w:pPr>
        <w:pStyle w:val="3"/>
        <w:rPr>
          <w:rFonts w:hint="eastAsia" w:ascii="仿宋" w:hAnsi="仿宋" w:eastAsia="仿宋" w:cs="仿宋"/>
          <w:b w:val="0"/>
          <w:bCs/>
          <w:color w:val="000000" w:themeColor="text1"/>
          <w14:textFill>
            <w14:solidFill>
              <w14:schemeClr w14:val="tx1"/>
            </w14:solidFill>
          </w14:textFill>
        </w:rPr>
      </w:pPr>
      <w:bookmarkStart w:id="7" w:name="_Toc9155"/>
      <w:bookmarkStart w:id="8" w:name="_Toc275"/>
      <w:r>
        <w:rPr>
          <w:rFonts w:hint="eastAsia" w:ascii="仿宋" w:hAnsi="仿宋" w:eastAsia="仿宋" w:cs="仿宋"/>
          <w:b w:val="0"/>
          <w:bCs/>
          <w:color w:val="000000" w:themeColor="text1"/>
          <w14:textFill>
            <w14:solidFill>
              <w14:schemeClr w14:val="tx1"/>
            </w14:solidFill>
          </w14:textFill>
        </w:rPr>
        <w:t>二、机构设置情况</w:t>
      </w:r>
      <w:bookmarkEnd w:id="7"/>
      <w:bookmarkEnd w:id="8"/>
    </w:p>
    <w:p>
      <w:pPr>
        <w:pStyle w:val="2"/>
        <w:rPr>
          <w:rFonts w:hint="eastAsia"/>
          <w:b/>
          <w:bCs w:val="0"/>
          <w:color w:val="000000" w:themeColor="text1"/>
          <w:sz w:val="36"/>
          <w:szCs w:val="36"/>
          <w:lang w:val="en-US" w:eastAsia="zh-CN"/>
          <w14:textFill>
            <w14:solidFill>
              <w14:schemeClr w14:val="tx1"/>
            </w14:solidFill>
          </w14:textFill>
        </w:rPr>
      </w:pPr>
      <w:bookmarkStart w:id="9" w:name="_Toc12749"/>
      <w:r>
        <w:rPr>
          <w:rFonts w:hint="eastAsia"/>
          <w:b/>
          <w:color w:val="000000" w:themeColor="text1"/>
          <w:sz w:val="36"/>
          <w:szCs w:val="36"/>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一、收入支出决算总表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二、收入决算表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三、支出决算表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四、财政拨款收入支出决算总表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五、一般公共预算财政拨款支出决算表（一）</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六、一般公共预算财政拨款支出决算表（二）</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七、一般公共预算财政拨款“三公”经费支出决算表</w:t>
      </w:r>
    </w:p>
    <w:p>
      <w:pPr>
        <w:ind w:firstLine="640"/>
        <w:rPr>
          <w:rFonts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十、部门决算公开相关信息统计表</w:t>
      </w:r>
      <w:bookmarkStart w:id="10" w:name="_Toc29325"/>
    </w:p>
    <w:p>
      <w:pPr>
        <w:ind w:firstLine="640"/>
        <w:rPr>
          <w:rFonts w:hint="eastAsia" w:ascii="仿宋_GB2312" w:hAnsi="楷体"/>
          <w:color w:val="000000" w:themeColor="text1"/>
          <w:szCs w:val="32"/>
          <w14:textFill>
            <w14:solidFill>
              <w14:schemeClr w14:val="tx1"/>
            </w14:solidFill>
          </w14:textFill>
        </w:rPr>
      </w:pPr>
    </w:p>
    <w:p>
      <w:pPr>
        <w:ind w:firstLine="640"/>
        <w:rPr>
          <w:rFonts w:hint="eastAsia" w:ascii="仿宋_GB2312" w:hAnsi="楷体"/>
          <w:color w:val="000000" w:themeColor="text1"/>
          <w:szCs w:val="32"/>
          <w:lang w:val="en-US" w:eastAsia="zh-CN"/>
          <w14:textFill>
            <w14:solidFill>
              <w14:schemeClr w14:val="tx1"/>
            </w14:solidFill>
          </w14:textFill>
        </w:rPr>
      </w:pP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r>
        <w:rPr>
          <w:rFonts w:hint="eastAsia"/>
          <w:b/>
          <w:color w:val="000000" w:themeColor="text1"/>
          <w:sz w:val="36"/>
          <w:szCs w:val="36"/>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w:t>
      </w:r>
      <w:r>
        <w:rPr>
          <w:rFonts w:hint="eastAsia" w:ascii="仿宋_GB2312"/>
          <w:color w:val="000000" w:themeColor="text1"/>
          <w:szCs w:val="32"/>
          <w:lang w:val="en-US" w:eastAsia="zh-CN"/>
          <w14:textFill>
            <w14:solidFill>
              <w14:schemeClr w14:val="tx1"/>
            </w14:solidFill>
          </w14:textFill>
        </w:rPr>
        <w:t>增长518.96</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增长25.34</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val="en-US" w:eastAsia="zh-CN"/>
          <w14:textFill>
            <w14:solidFill>
              <w14:schemeClr w14:val="tx1"/>
            </w14:solidFill>
          </w14:textFill>
        </w:rPr>
        <w:t>增长518.96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增长25.34</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机构改革人员支出增加，以及项目经费增加</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3" w:name="_Toc17404"/>
      <w:bookmarkStart w:id="14" w:name="_Toc16754"/>
      <w:r>
        <w:rPr>
          <w:rFonts w:hint="eastAsia" w:ascii="仿宋" w:hAnsi="仿宋" w:eastAsia="仿宋" w:cs="仿宋"/>
          <w:b/>
          <w:bCs w:val="0"/>
          <w:color w:val="000000" w:themeColor="text1"/>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%；上级补助收入</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562.97</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21.93</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2004.09</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90.07</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7" w:name="_Toc4614"/>
      <w:bookmarkStart w:id="18" w:name="_Toc2142"/>
      <w:r>
        <w:rPr>
          <w:rFonts w:hint="eastAsia" w:ascii="仿宋" w:hAnsi="仿宋" w:eastAsia="仿宋" w:cs="仿宋"/>
          <w:b/>
          <w:bCs w:val="0"/>
          <w:color w:val="000000" w:themeColor="text1"/>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w:t>
      </w:r>
      <w:r>
        <w:rPr>
          <w:rFonts w:hint="eastAsia" w:ascii="仿宋_GB2312"/>
          <w:color w:val="000000" w:themeColor="text1"/>
          <w:szCs w:val="32"/>
          <w:lang w:val="en-US" w:eastAsia="zh-CN"/>
          <w14:textFill>
            <w14:solidFill>
              <w14:schemeClr w14:val="tx1"/>
            </w14:solidFill>
          </w14:textFill>
        </w:rPr>
        <w:t>518.96</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增长25.34</w:t>
      </w:r>
      <w:r>
        <w:rPr>
          <w:rFonts w:hint="eastAsia" w:ascii="仿宋_GB2312"/>
          <w:color w:val="000000" w:themeColor="text1"/>
          <w:szCs w:val="32"/>
          <w14:textFill>
            <w14:solidFill>
              <w14:schemeClr w14:val="tx1"/>
            </w14:solidFill>
          </w14:textFill>
        </w:rPr>
        <w:t>%，财政拨款支出总计</w:t>
      </w:r>
      <w:r>
        <w:rPr>
          <w:rFonts w:hint="eastAsia" w:ascii="仿宋_GB2312"/>
          <w:color w:val="000000" w:themeColor="text1"/>
          <w:szCs w:val="32"/>
          <w:lang w:val="en-US" w:eastAsia="zh-CN"/>
          <w14:textFill>
            <w14:solidFill>
              <w14:schemeClr w14:val="tx1"/>
            </w14:solidFill>
          </w14:textFill>
        </w:rPr>
        <w:t>增长518.96</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增长25.34</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机构改革人员支出增加，以及项目经费增加</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9" w:name="_Toc6501"/>
      <w:bookmarkStart w:id="20" w:name="_Toc9341"/>
      <w:r>
        <w:rPr>
          <w:rFonts w:hint="eastAsia" w:ascii="仿宋" w:hAnsi="仿宋" w:eastAsia="仿宋" w:cs="仿宋"/>
          <w:b/>
          <w:bCs w:val="0"/>
          <w:color w:val="000000" w:themeColor="text1"/>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w:t>
      </w:r>
      <w:r>
        <w:rPr>
          <w:rFonts w:hint="eastAsia" w:ascii="仿宋_GB2312"/>
          <w:color w:val="000000" w:themeColor="text1"/>
          <w:szCs w:val="32"/>
          <w:lang w:val="en-US" w:eastAsia="zh-CN"/>
          <w14:textFill>
            <w14:solidFill>
              <w14:schemeClr w14:val="tx1"/>
            </w14:solidFill>
          </w14:textFill>
        </w:rPr>
        <w:t>518.96</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增长25.34</w:t>
      </w:r>
      <w:r>
        <w:rPr>
          <w:rFonts w:hint="eastAsia" w:ascii="仿宋_GB2312"/>
          <w:color w:val="000000" w:themeColor="text1"/>
          <w:szCs w:val="32"/>
          <w14:textFill>
            <w14:solidFill>
              <w14:schemeClr w14:val="tx1"/>
            </w14:solidFill>
          </w14:textFill>
        </w:rPr>
        <w:t>%。主要原因是是</w:t>
      </w:r>
      <w:r>
        <w:rPr>
          <w:rFonts w:hint="eastAsia" w:ascii="仿宋_GB2312"/>
          <w:color w:val="000000" w:themeColor="text1"/>
          <w:szCs w:val="32"/>
          <w:lang w:val="en-US" w:eastAsia="zh-CN"/>
          <w14:textFill>
            <w14:solidFill>
              <w14:schemeClr w14:val="tx1"/>
            </w14:solidFill>
          </w14:textFill>
        </w:rPr>
        <w:t>机构改革人员支出增加，以及项目经费增加</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ascii="仿宋_GB2312"/>
          <w:b/>
          <w:color w:val="000000" w:themeColor="text1"/>
          <w:szCs w:val="32"/>
          <w14:textFill>
            <w14:solidFill>
              <w14:schemeClr w14:val="tx1"/>
            </w14:solidFill>
          </w14:textFill>
        </w:rPr>
        <w:t>一般公共服务（</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700.99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27.31</w:t>
      </w:r>
      <w:r>
        <w:rPr>
          <w:rFonts w:ascii="仿宋_GB2312"/>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社会</w:t>
      </w:r>
      <w:r>
        <w:rPr>
          <w:rFonts w:ascii="仿宋_GB2312"/>
          <w:b/>
          <w:color w:val="000000" w:themeColor="text1"/>
          <w:szCs w:val="32"/>
          <w14:textFill>
            <w14:solidFill>
              <w14:schemeClr w14:val="tx1"/>
            </w14:solidFill>
          </w14:textFill>
        </w:rPr>
        <w:t>保障和就业（</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5.85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0.23</w:t>
      </w:r>
      <w:r>
        <w:rPr>
          <w:rFonts w:ascii="仿宋_GB2312"/>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36.75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1.43</w:t>
      </w:r>
      <w:r>
        <w:rPr>
          <w:rFonts w:ascii="仿宋_GB2312"/>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节能</w:t>
      </w:r>
      <w:r>
        <w:rPr>
          <w:rFonts w:ascii="仿宋_GB2312"/>
          <w:b/>
          <w:color w:val="000000" w:themeColor="text1"/>
          <w:szCs w:val="32"/>
          <w14:textFill>
            <w14:solidFill>
              <w14:schemeClr w14:val="tx1"/>
            </w14:solidFill>
          </w14:textFill>
        </w:rPr>
        <w:t>环保（</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261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10.17</w:t>
      </w:r>
      <w:r>
        <w:rPr>
          <w:rFonts w:ascii="仿宋_GB2312"/>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农林水</w:t>
      </w:r>
      <w:r>
        <w:rPr>
          <w:rFonts w:ascii="仿宋_GB2312"/>
          <w:b/>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1562.47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60.87</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ascii="仿宋_GB2312"/>
          <w:color w:val="000000" w:themeColor="text1"/>
          <w:szCs w:val="32"/>
          <w:lang w:val="en-US" w:eastAsia="zh-CN"/>
          <w14:textFill>
            <w14:solidFill>
              <w14:schemeClr w14:val="tx1"/>
            </w14:solidFill>
          </w14:textFill>
        </w:rPr>
        <w:t>2567.06</w:t>
      </w:r>
      <w:r>
        <w:rPr>
          <w:rFonts w:hint="eastAsia"/>
          <w:color w:val="000000" w:themeColor="text1"/>
          <w:szCs w:val="32"/>
          <w14:textFill>
            <w14:solidFill>
              <w14:schemeClr w14:val="tx1"/>
            </w14:solidFill>
          </w14:textFill>
        </w:rPr>
        <w:t>万元，支出决算</w:t>
      </w:r>
      <w:r>
        <w:rPr>
          <w:rFonts w:hint="eastAsia" w:ascii="仿宋_GB2312"/>
          <w:color w:val="000000" w:themeColor="text1"/>
          <w:szCs w:val="32"/>
          <w:lang w:val="en-US" w:eastAsia="zh-CN"/>
          <w14:textFill>
            <w14:solidFill>
              <w14:schemeClr w14:val="tx1"/>
            </w14:solidFill>
          </w14:textFill>
        </w:rPr>
        <w:t>2567.06</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100</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3113"/>
        <w:gridCol w:w="1242"/>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3113" w:type="dxa"/>
            <w:vAlign w:val="top"/>
          </w:tcPr>
          <w:p>
            <w:pPr>
              <w:widowControl/>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242" w:type="dxa"/>
            <w:vAlign w:val="top"/>
          </w:tcPr>
          <w:p>
            <w:pPr>
              <w:widowControl/>
              <w:ind w:left="0" w:leftChars="0" w:firstLine="0" w:firstLineChars="0"/>
              <w:jc w:val="left"/>
              <w:rPr>
                <w:rFonts w:hint="eastAsia"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val="en-US" w:eastAsia="zh-CN"/>
                <w14:textFill>
                  <w14:solidFill>
                    <w14:schemeClr w14:val="tx1"/>
                  </w14:solidFill>
                </w14:textFill>
              </w:rPr>
              <w:t>2020年</w:t>
            </w:r>
          </w:p>
        </w:tc>
        <w:tc>
          <w:tcPr>
            <w:tcW w:w="1684" w:type="dxa"/>
            <w:vAlign w:val="top"/>
          </w:tcPr>
          <w:p>
            <w:pPr>
              <w:widowControl/>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eastAsia="宋体" w:cs="Arial"/>
                <w:b/>
                <w:color w:val="000000" w:themeColor="text1"/>
                <w:kern w:val="0"/>
                <w:sz w:val="24"/>
                <w:szCs w:val="24"/>
                <w:lang w:val="en-US" w:eastAsia="zh-CN"/>
                <w14:textFill>
                  <w14:solidFill>
                    <w14:schemeClr w14:val="tx1"/>
                  </w14:solidFill>
                </w14:textFill>
              </w:rPr>
              <w:t>2021年</w:t>
            </w:r>
          </w:p>
        </w:tc>
        <w:tc>
          <w:tcPr>
            <w:tcW w:w="1393" w:type="dxa"/>
            <w:vAlign w:val="top"/>
          </w:tcPr>
          <w:p>
            <w:pPr>
              <w:widowControl/>
              <w:ind w:left="0" w:leftChars="0" w:firstLine="0" w:firstLineChars="0"/>
              <w:jc w:val="left"/>
              <w:rPr>
                <w:rFonts w:hint="eastAsia" w:ascii="宋体" w:hAnsi="宋体" w:eastAsia="宋体" w:cs="Arial"/>
                <w:b/>
                <w:color w:val="000000" w:themeColor="text1"/>
                <w:kern w:val="0"/>
                <w:sz w:val="24"/>
                <w:szCs w:val="24"/>
                <w:lang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w:t>
            </w:r>
          </w:p>
        </w:tc>
        <w:tc>
          <w:tcPr>
            <w:tcW w:w="3113"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一般公共服务支出</w:t>
            </w:r>
          </w:p>
        </w:tc>
        <w:tc>
          <w:tcPr>
            <w:tcW w:w="1242"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669.84</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700.99</w:t>
            </w:r>
          </w:p>
        </w:tc>
        <w:tc>
          <w:tcPr>
            <w:tcW w:w="1393"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lef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205</w:t>
            </w:r>
          </w:p>
        </w:tc>
        <w:tc>
          <w:tcPr>
            <w:tcW w:w="3113"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教育支出</w:t>
            </w:r>
          </w:p>
        </w:tc>
        <w:tc>
          <w:tcPr>
            <w:tcW w:w="1242"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3.79</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393" w:type="dxa"/>
            <w:vAlign w:val="top"/>
          </w:tcPr>
          <w:p>
            <w:pPr>
              <w:jc w:val="righ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lef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206</w:t>
            </w:r>
          </w:p>
        </w:tc>
        <w:tc>
          <w:tcPr>
            <w:tcW w:w="3113" w:type="dxa"/>
            <w:vAlign w:val="center"/>
          </w:tcPr>
          <w:p>
            <w:pPr>
              <w:keepNext w:val="0"/>
              <w:keepLines w:val="0"/>
              <w:widowControl/>
              <w:suppressLineNumbers w:val="0"/>
              <w:ind w:firstLine="48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科学技术支出</w:t>
            </w:r>
          </w:p>
        </w:tc>
        <w:tc>
          <w:tcPr>
            <w:tcW w:w="1242"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393"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lef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208</w:t>
            </w:r>
          </w:p>
        </w:tc>
        <w:tc>
          <w:tcPr>
            <w:tcW w:w="3113"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社会保障和就业支出</w:t>
            </w:r>
          </w:p>
        </w:tc>
        <w:tc>
          <w:tcPr>
            <w:tcW w:w="1242"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684" w:type="dxa"/>
            <w:vAlign w:val="top"/>
          </w:tcPr>
          <w:p>
            <w:pPr>
              <w:ind w:firstLine="720" w:firstLineChars="300"/>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5.85</w:t>
            </w:r>
          </w:p>
        </w:tc>
        <w:tc>
          <w:tcPr>
            <w:tcW w:w="1393"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w:t>
            </w:r>
          </w:p>
        </w:tc>
        <w:tc>
          <w:tcPr>
            <w:tcW w:w="311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卫生健康支出</w:t>
            </w:r>
          </w:p>
        </w:tc>
        <w:tc>
          <w:tcPr>
            <w:tcW w:w="1242" w:type="dxa"/>
            <w:vAlign w:val="center"/>
          </w:tcPr>
          <w:p>
            <w:pPr>
              <w:keepNext w:val="0"/>
              <w:keepLines w:val="0"/>
              <w:widowControl/>
              <w:suppressLineNumbers w:val="0"/>
              <w:jc w:val="right"/>
              <w:textAlignment w:val="center"/>
              <w:rPr>
                <w:rFonts w:hint="default" w:ascii="仿宋" w:hAnsi="仿宋" w:eastAsia="仿宋" w:cs="仿宋"/>
                <w:i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t>3</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36.75</w:t>
            </w:r>
          </w:p>
        </w:tc>
        <w:tc>
          <w:tcPr>
            <w:tcW w:w="1393"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211</w:t>
            </w:r>
          </w:p>
        </w:tc>
        <w:tc>
          <w:tcPr>
            <w:tcW w:w="311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节能环保支出</w:t>
            </w:r>
          </w:p>
        </w:tc>
        <w:tc>
          <w:tcPr>
            <w:tcW w:w="1242"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t>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261</w:t>
            </w:r>
          </w:p>
        </w:tc>
        <w:tc>
          <w:tcPr>
            <w:tcW w:w="1393"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212</w:t>
            </w:r>
          </w:p>
        </w:tc>
        <w:tc>
          <w:tcPr>
            <w:tcW w:w="311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城乡社区支出</w:t>
            </w:r>
          </w:p>
        </w:tc>
        <w:tc>
          <w:tcPr>
            <w:tcW w:w="1242"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t>116.16</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393"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213</w:t>
            </w:r>
          </w:p>
        </w:tc>
        <w:tc>
          <w:tcPr>
            <w:tcW w:w="311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农林水支出</w:t>
            </w:r>
          </w:p>
        </w:tc>
        <w:tc>
          <w:tcPr>
            <w:tcW w:w="1242"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i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t>1238.31</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1562.47</w:t>
            </w:r>
          </w:p>
        </w:tc>
        <w:tc>
          <w:tcPr>
            <w:tcW w:w="1393"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224</w:t>
            </w:r>
          </w:p>
        </w:tc>
        <w:tc>
          <w:tcPr>
            <w:tcW w:w="311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灾害防治及应急管理支出</w:t>
            </w:r>
          </w:p>
        </w:tc>
        <w:tc>
          <w:tcPr>
            <w:tcW w:w="1242"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393"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2"/>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lang w:val="en-US" w:eastAsia="zh-CN"/>
                <w14:textFill>
                  <w14:solidFill>
                    <w14:schemeClr w14:val="tx1"/>
                  </w14:solidFill>
                </w14:textFill>
              </w:rPr>
              <w:t>科目</w:t>
            </w:r>
            <w:r>
              <w:rPr>
                <w:rFonts w:hint="eastAsia" w:ascii="仿宋" w:hAnsi="仿宋" w:eastAsia="仿宋" w:cs="仿宋"/>
                <w:b/>
                <w:color w:val="000000" w:themeColor="text1"/>
                <w:kern w:val="0"/>
                <w:sz w:val="28"/>
                <w:szCs w:val="28"/>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lang w:val="en-US"/>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2048.10</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2567.06</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373.78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474.03</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271.98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592.14</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84.79</w:t>
            </w:r>
          </w:p>
        </w:tc>
        <w:tc>
          <w:tcPr>
            <w:tcW w:w="207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332.89</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292.60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679.55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900</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default" w:ascii="仿宋" w:hAnsi="仿宋" w:eastAsia="仿宋" w:cs="仿宋"/>
                <w:b/>
                <w:bCs/>
                <w:color w:val="000000" w:themeColor="text1"/>
                <w:kern w:val="0"/>
                <w:sz w:val="28"/>
                <w:szCs w:val="28"/>
                <w:lang w:val="en-US" w:eastAsia="zh-CN"/>
                <w14:textFill>
                  <w14:solidFill>
                    <w14:schemeClr w14:val="tx1"/>
                  </w14:solidFill>
                </w14:textFill>
              </w:rPr>
            </w:pPr>
            <w:r>
              <w:rPr>
                <w:rFonts w:hint="eastAsia" w:ascii="仿宋" w:hAnsi="仿宋" w:eastAsia="仿宋" w:cs="仿宋"/>
                <w:b/>
                <w:bCs/>
                <w:color w:val="000000" w:themeColor="text1"/>
                <w:kern w:val="0"/>
                <w:sz w:val="28"/>
                <w:szCs w:val="28"/>
                <w:lang w:val="en-US" w:eastAsia="zh-CN"/>
                <w14:textFill>
                  <w14:solidFill>
                    <w14:schemeClr w14:val="tx1"/>
                  </w14:solidFill>
                </w14:textFill>
              </w:rPr>
              <w:t>对企业补助</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638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268</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-57.99</w:t>
            </w:r>
          </w:p>
        </w:tc>
      </w:tr>
    </w:tbl>
    <w:p>
      <w:pPr>
        <w:spacing w:line="580" w:lineRule="exact"/>
        <w:ind w:left="0" w:leftChars="0" w:firstLine="0" w:firstLineChars="0"/>
        <w:rPr>
          <w:rFonts w:hint="eastAsia"/>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1" w:name="_Toc17728"/>
      <w:bookmarkStart w:id="22" w:name="_Toc841"/>
      <w:r>
        <w:rPr>
          <w:rFonts w:hint="eastAsia" w:ascii="仿宋" w:hAnsi="仿宋" w:eastAsia="仿宋" w:cs="仿宋"/>
          <w:b/>
          <w:bCs w:val="0"/>
          <w:color w:val="000000" w:themeColor="text1"/>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2567.06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474.60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val="en-US" w:eastAsia="zh-CN"/>
          <w14:textFill>
            <w14:solidFill>
              <w14:schemeClr w14:val="tx1"/>
            </w14:solidFill>
          </w14:textFill>
        </w:rPr>
        <w:t>工资福利、社保费等</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88.37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lang w:val="en-US" w:eastAsia="zh-CN"/>
          <w14:textFill>
            <w14:solidFill>
              <w14:schemeClr w14:val="tx1"/>
            </w14:solidFill>
          </w14:textFill>
        </w:rPr>
        <w:t>机关运行办公费、印刷费等</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2004.10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3" w:name="_Toc26508"/>
      <w:bookmarkStart w:id="24" w:name="_Toc2304"/>
      <w:r>
        <w:rPr>
          <w:rFonts w:hint="eastAsia" w:ascii="仿宋" w:hAnsi="仿宋" w:eastAsia="仿宋" w:cs="仿宋"/>
          <w:b/>
          <w:bCs w:val="0"/>
          <w:color w:val="000000" w:themeColor="text1"/>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b/>
          <w:color w:val="000000" w:themeColor="text1"/>
          <w:szCs w:val="32"/>
          <w14:textFill>
            <w14:solidFill>
              <w14:schemeClr w14:val="tx1"/>
            </w14:solidFill>
          </w14:textFill>
        </w:rPr>
        <w:t>本部门无三公经费。</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5" w:name="_Toc9078"/>
      <w:bookmarkStart w:id="26" w:name="_Toc1792"/>
      <w:r>
        <w:rPr>
          <w:rFonts w:hint="eastAsia" w:ascii="仿宋" w:hAnsi="仿宋" w:eastAsia="仿宋" w:cs="仿宋"/>
          <w:b/>
          <w:bCs w:val="0"/>
          <w:color w:val="000000" w:themeColor="text1"/>
          <w:lang w:val="en-US" w:eastAsia="zh-CN"/>
          <w14:textFill>
            <w14:solidFill>
              <w14:schemeClr w14:val="tx1"/>
            </w14:solidFill>
          </w14:textFill>
        </w:rPr>
        <w:t>八、其他重要事项情况说明</w:t>
      </w:r>
      <w:bookmarkEnd w:id="25"/>
      <w:bookmarkEnd w:id="26"/>
    </w:p>
    <w:p>
      <w:pPr>
        <w:rPr>
          <w:rFonts w:hint="eastAsia"/>
          <w:b/>
          <w:bCs/>
          <w:color w:val="000000" w:themeColor="text1"/>
          <w14:textFill>
            <w14:solidFill>
              <w14:schemeClr w14:val="tx1"/>
            </w14:solidFill>
          </w14:textFill>
        </w:rPr>
      </w:pPr>
      <w:bookmarkStart w:id="27" w:name="_Toc23407"/>
      <w:r>
        <w:rPr>
          <w:rFonts w:hint="eastAsia"/>
          <w:b/>
          <w:bCs/>
          <w:color w:val="000000" w:themeColor="text1"/>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年本</w:t>
      </w:r>
      <w:r>
        <w:rPr>
          <w:rFonts w:hint="eastAsia" w:ascii="仿宋_GB2312" w:hAnsi="宋体"/>
          <w:color w:val="000000" w:themeColor="text1"/>
          <w:szCs w:val="32"/>
          <w:lang w:val="en-US" w:eastAsia="zh-CN"/>
          <w14:textFill>
            <w14:solidFill>
              <w14:schemeClr w14:val="tx1"/>
            </w14:solidFill>
          </w14:textFill>
        </w:rPr>
        <w:t>单位</w:t>
      </w:r>
      <w:r>
        <w:rPr>
          <w:rFonts w:hint="eastAsia" w:ascii="仿宋_GB2312" w:hAnsi="宋体"/>
          <w:color w:val="000000" w:themeColor="text1"/>
          <w:szCs w:val="32"/>
          <w14:textFill>
            <w14:solidFill>
              <w14:schemeClr w14:val="tx1"/>
            </w14:solidFill>
          </w14:textFill>
        </w:rPr>
        <w:t>机关运行经费支出</w:t>
      </w:r>
      <w:r>
        <w:rPr>
          <w:rFonts w:hint="eastAsia" w:ascii="仿宋_GB2312" w:hAnsi="宋体"/>
          <w:color w:val="000000" w:themeColor="text1"/>
          <w:szCs w:val="32"/>
          <w:lang w:val="en-US" w:eastAsia="zh-CN"/>
          <w14:textFill>
            <w14:solidFill>
              <w14:schemeClr w14:val="tx1"/>
            </w14:solidFill>
          </w14:textFill>
        </w:rPr>
        <w:t>88.37</w:t>
      </w:r>
      <w:r>
        <w:rPr>
          <w:rFonts w:hint="eastAsia" w:ascii="仿宋_GB2312" w:hAnsi="宋体"/>
          <w:color w:val="000000" w:themeColor="text1"/>
          <w:szCs w:val="32"/>
          <w14:textFill>
            <w14:solidFill>
              <w14:schemeClr w14:val="tx1"/>
            </w14:solidFill>
          </w14:textFill>
        </w:rPr>
        <w:t>万元（与部门决算中行政单位和参照公务员法管理的事业单位一般公共预算财政拨款基本支出中公用经费之和保持一致），比20</w:t>
      </w:r>
      <w:r>
        <w:rPr>
          <w:rFonts w:hint="eastAsia" w:ascii="仿宋_GB2312" w:hAnsi="宋体"/>
          <w:color w:val="000000" w:themeColor="text1"/>
          <w:szCs w:val="32"/>
          <w:lang w:val="en-US" w:eastAsia="zh-CN"/>
          <w14:textFill>
            <w14:solidFill>
              <w14:schemeClr w14:val="tx1"/>
            </w14:solidFill>
          </w14:textFill>
        </w:rPr>
        <w:t>20</w:t>
      </w:r>
      <w:r>
        <w:rPr>
          <w:rFonts w:hint="eastAsia" w:ascii="仿宋_GB2312" w:hAnsi="宋体"/>
          <w:color w:val="000000" w:themeColor="text1"/>
          <w:szCs w:val="32"/>
          <w14:textFill>
            <w14:solidFill>
              <w14:schemeClr w14:val="tx1"/>
            </w14:solidFill>
          </w14:textFill>
        </w:rPr>
        <w:t>年减少</w:t>
      </w:r>
      <w:r>
        <w:rPr>
          <w:rFonts w:hint="eastAsia" w:ascii="仿宋_GB2312" w:hAnsi="宋体"/>
          <w:color w:val="000000" w:themeColor="text1"/>
          <w:szCs w:val="32"/>
          <w:lang w:val="en-US" w:eastAsia="zh-CN"/>
          <w14:textFill>
            <w14:solidFill>
              <w14:schemeClr w14:val="tx1"/>
            </w14:solidFill>
          </w14:textFill>
        </w:rPr>
        <w:t>18.04</w:t>
      </w:r>
      <w:r>
        <w:rPr>
          <w:rFonts w:hint="eastAsia" w:ascii="仿宋_GB2312" w:hAnsi="宋体"/>
          <w:color w:val="000000" w:themeColor="text1"/>
          <w:szCs w:val="32"/>
          <w14:textFill>
            <w14:solidFill>
              <w14:schemeClr w14:val="tx1"/>
            </w14:solidFill>
          </w14:textFill>
        </w:rPr>
        <w:t>万元，降低</w:t>
      </w:r>
      <w:r>
        <w:rPr>
          <w:rFonts w:hint="eastAsia" w:ascii="仿宋_GB2312" w:hAnsi="宋体"/>
          <w:color w:val="000000" w:themeColor="text1"/>
          <w:szCs w:val="32"/>
          <w:lang w:val="en-US" w:eastAsia="zh-CN"/>
          <w14:textFill>
            <w14:solidFill>
              <w14:schemeClr w14:val="tx1"/>
            </w14:solidFill>
          </w14:textFill>
        </w:rPr>
        <w:t>20.41</w:t>
      </w:r>
      <w:r>
        <w:rPr>
          <w:rFonts w:hint="eastAsia" w:ascii="仿宋_GB2312" w:hAnsi="宋体"/>
          <w:color w:val="000000" w:themeColor="text1"/>
          <w:szCs w:val="32"/>
          <w14:textFill>
            <w14:solidFill>
              <w14:schemeClr w14:val="tx1"/>
            </w14:solidFill>
          </w14:textFill>
        </w:rPr>
        <w:t>%。主要原因是：</w:t>
      </w:r>
      <w:r>
        <w:rPr>
          <w:rFonts w:hint="eastAsia" w:ascii="仿宋_GB2312" w:hAnsi="宋体"/>
          <w:color w:val="000000" w:themeColor="text1"/>
          <w:szCs w:val="32"/>
          <w:lang w:val="en-US" w:eastAsia="zh-CN"/>
          <w14:textFill>
            <w14:solidFill>
              <w14:schemeClr w14:val="tx1"/>
            </w14:solidFill>
          </w14:textFill>
        </w:rPr>
        <w:t>压缩开支，节约经费。</w:t>
      </w:r>
    </w:p>
    <w:p>
      <w:pPr>
        <w:rPr>
          <w:rFonts w:hint="eastAsia"/>
          <w:b/>
          <w:bCs/>
          <w:color w:val="000000" w:themeColor="text1"/>
          <w14:textFill>
            <w14:solidFill>
              <w14:schemeClr w14:val="tx1"/>
            </w14:solidFill>
          </w14:textFill>
        </w:rPr>
      </w:pPr>
      <w:bookmarkStart w:id="28" w:name="_Toc16103"/>
      <w:r>
        <w:rPr>
          <w:rFonts w:hint="eastAsia"/>
          <w:b/>
          <w:bCs/>
          <w:color w:val="000000" w:themeColor="text1"/>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年度，政府采购支出总额</w:t>
      </w:r>
      <w:r>
        <w:rPr>
          <w:rFonts w:hint="eastAsia" w:ascii="仿宋_GB2312"/>
          <w:color w:val="000000" w:themeColor="text1"/>
          <w:szCs w:val="32"/>
          <w:lang w:val="en-US" w:eastAsia="zh-CN"/>
          <w14:textFill>
            <w14:solidFill>
              <w14:schemeClr w14:val="tx1"/>
            </w14:solidFill>
          </w14:textFill>
        </w:rPr>
        <w:t>742</w:t>
      </w:r>
      <w:r>
        <w:rPr>
          <w:rFonts w:hint="eastAsia" w:ascii="仿宋_GB2312"/>
          <w:color w:val="000000" w:themeColor="text1"/>
          <w:szCs w:val="32"/>
          <w14:textFill>
            <w14:solidFill>
              <w14:schemeClr w14:val="tx1"/>
            </w14:solidFill>
          </w14:textFill>
        </w:rPr>
        <w:t>万元，其中：政府采购工程支出</w:t>
      </w:r>
      <w:r>
        <w:rPr>
          <w:rFonts w:hint="eastAsia" w:ascii="仿宋_GB2312"/>
          <w:color w:val="000000" w:themeColor="text1"/>
          <w:szCs w:val="32"/>
          <w:lang w:val="en-US" w:eastAsia="zh-CN"/>
          <w14:textFill>
            <w14:solidFill>
              <w14:schemeClr w14:val="tx1"/>
            </w14:solidFill>
          </w14:textFill>
        </w:rPr>
        <w:t>481</w:t>
      </w:r>
      <w:r>
        <w:rPr>
          <w:rFonts w:hint="eastAsia" w:ascii="仿宋_GB2312"/>
          <w:color w:val="000000" w:themeColor="text1"/>
          <w:szCs w:val="32"/>
          <w14:textFill>
            <w14:solidFill>
              <w14:schemeClr w14:val="tx1"/>
            </w14:solidFill>
          </w14:textFill>
        </w:rPr>
        <w:t>万元、政府采购服务支出</w:t>
      </w:r>
      <w:r>
        <w:rPr>
          <w:rFonts w:hint="eastAsia" w:ascii="仿宋_GB2312"/>
          <w:color w:val="000000" w:themeColor="text1"/>
          <w:szCs w:val="32"/>
          <w:lang w:val="en-US" w:eastAsia="zh-CN"/>
          <w14:textFill>
            <w14:solidFill>
              <w14:schemeClr w14:val="tx1"/>
            </w14:solidFill>
          </w14:textFill>
        </w:rPr>
        <w:t>261</w:t>
      </w:r>
      <w:r>
        <w:rPr>
          <w:rFonts w:hint="eastAsia" w:ascii="仿宋_GB2312"/>
          <w:color w:val="000000" w:themeColor="text1"/>
          <w:szCs w:val="32"/>
          <w14:textFill>
            <w14:solidFill>
              <w14:schemeClr w14:val="tx1"/>
            </w14:solidFill>
          </w14:textFill>
        </w:rPr>
        <w:t>万元。政府采</w:t>
      </w:r>
    </w:p>
    <w:p>
      <w:pPr>
        <w:rPr>
          <w:rFonts w:hint="eastAsia"/>
          <w:b/>
          <w:bCs/>
          <w:color w:val="000000" w:themeColor="text1"/>
          <w14:textFill>
            <w14:solidFill>
              <w14:schemeClr w14:val="tx1"/>
            </w14:solidFill>
          </w14:textFill>
        </w:rPr>
      </w:pPr>
      <w:bookmarkStart w:id="29" w:name="_Toc19975"/>
      <w:r>
        <w:rPr>
          <w:rFonts w:hint="eastAsia"/>
          <w:b/>
          <w:bCs/>
          <w:color w:val="000000" w:themeColor="text1"/>
          <w14:textFill>
            <w14:solidFill>
              <w14:schemeClr w14:val="tx1"/>
            </w14:solidFill>
          </w14:textFill>
        </w:rPr>
        <w:t>（三）国有资产占用情况说明</w:t>
      </w:r>
      <w:bookmarkEnd w:id="29"/>
    </w:p>
    <w:p>
      <w:pPr>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无</w:t>
      </w:r>
    </w:p>
    <w:p>
      <w:pPr>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四）</w:t>
      </w:r>
      <w:r>
        <w:rPr>
          <w:rFonts w:hint="eastAsia"/>
          <w:b/>
          <w:bCs/>
          <w:color w:val="000000" w:themeColor="text1"/>
          <w14:textFill>
            <w14:solidFill>
              <w14:schemeClr w14:val="tx1"/>
            </w14:solidFill>
          </w14:textFill>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723" w:firstLineChars="200"/>
        <w:textAlignment w:val="auto"/>
        <w:rPr>
          <w:rFonts w:hint="eastAsia"/>
          <w:b/>
          <w:color w:val="000000" w:themeColor="text1"/>
          <w:sz w:val="36"/>
          <w:szCs w:val="36"/>
          <w:lang w:val="en-US" w:eastAsia="zh-CN"/>
          <w14:textFill>
            <w14:solidFill>
              <w14:schemeClr w14:val="tx1"/>
            </w14:solidFill>
          </w14:textFill>
        </w:rPr>
      </w:pPr>
      <w:bookmarkStart w:id="30" w:name="_Toc8545"/>
      <w:r>
        <w:rPr>
          <w:rFonts w:hint="eastAsia"/>
          <w:b/>
          <w:color w:val="000000" w:themeColor="text1"/>
          <w:sz w:val="36"/>
          <w:szCs w:val="36"/>
          <w:lang w:val="en-US" w:eastAsia="zh-CN"/>
          <w14:textFill>
            <w14:solidFill>
              <w14:schemeClr w14:val="tx1"/>
            </w14:solidFill>
          </w14:textFill>
        </w:rPr>
        <w:t>无</w:t>
      </w: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r>
        <w:rPr>
          <w:rFonts w:hint="eastAsia"/>
          <w:b/>
          <w:color w:val="000000" w:themeColor="text1"/>
          <w:sz w:val="36"/>
          <w:szCs w:val="36"/>
          <w:lang w:val="en-US" w:eastAsia="zh-CN"/>
          <w14:textFill>
            <w14:solidFill>
              <w14:schemeClr w14:val="tx1"/>
            </w14:solidFill>
          </w14:textFill>
        </w:rPr>
        <w:t>第四部分  名词解释</w:t>
      </w:r>
      <w:bookmarkEnd w:id="30"/>
    </w:p>
    <w:p>
      <w:pPr>
        <w:spacing w:line="580" w:lineRule="exact"/>
        <w:ind w:firstLine="640"/>
        <w:rPr>
          <w:rFonts w:hint="eastAsia"/>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一、</w:t>
      </w:r>
      <w:r>
        <w:rPr>
          <w:rFonts w:hint="eastAsia" w:ascii="仿宋_GB2312"/>
          <w:b/>
          <w:color w:val="000000" w:themeColor="text1"/>
          <w:szCs w:val="32"/>
          <w14:textFill>
            <w14:solidFill>
              <w14:schemeClr w14:val="tx1"/>
            </w14:solidFill>
          </w14:textFill>
        </w:rPr>
        <w:t>财政拨款收入：</w:t>
      </w:r>
      <w:r>
        <w:rPr>
          <w:rFonts w:hint="eastAsia" w:ascii="仿宋_GB2312"/>
          <w:color w:val="000000" w:themeColor="text1"/>
          <w:szCs w:val="32"/>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二、</w:t>
      </w:r>
      <w:r>
        <w:rPr>
          <w:rFonts w:hint="eastAsia" w:ascii="仿宋_GB2312"/>
          <w:b/>
          <w:color w:val="000000" w:themeColor="text1"/>
          <w:szCs w:val="32"/>
          <w14:textFill>
            <w14:solidFill>
              <w14:schemeClr w14:val="tx1"/>
            </w14:solidFill>
          </w14:textFill>
        </w:rPr>
        <w:t>事业收入：</w:t>
      </w:r>
      <w:r>
        <w:rPr>
          <w:rFonts w:hint="eastAsia" w:ascii="仿宋_GB2312"/>
          <w:color w:val="000000" w:themeColor="text1"/>
          <w:szCs w:val="32"/>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三、</w:t>
      </w:r>
      <w:r>
        <w:rPr>
          <w:rFonts w:hint="eastAsia" w:ascii="仿宋_GB2312"/>
          <w:b/>
          <w:color w:val="000000" w:themeColor="text1"/>
          <w:szCs w:val="32"/>
          <w14:textFill>
            <w14:solidFill>
              <w14:schemeClr w14:val="tx1"/>
            </w14:solidFill>
          </w14:textFill>
        </w:rPr>
        <w:t>经营收入：</w:t>
      </w:r>
      <w:r>
        <w:rPr>
          <w:rFonts w:hint="eastAsia" w:ascii="仿宋_GB2312"/>
          <w:color w:val="000000" w:themeColor="text1"/>
          <w:szCs w:val="32"/>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四、</w:t>
      </w:r>
      <w:r>
        <w:rPr>
          <w:rFonts w:hint="eastAsia" w:ascii="仿宋_GB2312"/>
          <w:b/>
          <w:color w:val="000000" w:themeColor="text1"/>
          <w:szCs w:val="32"/>
          <w14:textFill>
            <w14:solidFill>
              <w14:schemeClr w14:val="tx1"/>
            </w14:solidFill>
          </w14:textFill>
        </w:rPr>
        <w:t>其他收入：</w:t>
      </w:r>
      <w:r>
        <w:rPr>
          <w:rFonts w:hint="eastAsia" w:ascii="仿宋_GB2312"/>
          <w:color w:val="000000" w:themeColor="text1"/>
          <w:szCs w:val="32"/>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五、</w:t>
      </w:r>
      <w:r>
        <w:rPr>
          <w:rFonts w:hint="eastAsia" w:ascii="仿宋_GB2312"/>
          <w:b/>
          <w:color w:val="000000" w:themeColor="text1"/>
          <w:szCs w:val="32"/>
          <w14:textFill>
            <w14:solidFill>
              <w14:schemeClr w14:val="tx1"/>
            </w14:solidFill>
          </w14:textFill>
        </w:rPr>
        <w:t>年初结转和结余：</w:t>
      </w:r>
      <w:r>
        <w:rPr>
          <w:rFonts w:hint="eastAsia" w:ascii="仿宋_GB2312"/>
          <w:color w:val="000000" w:themeColor="text1"/>
          <w:szCs w:val="32"/>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六、</w:t>
      </w:r>
      <w:r>
        <w:rPr>
          <w:rFonts w:hint="eastAsia" w:ascii="仿宋_GB2312"/>
          <w:b/>
          <w:color w:val="000000" w:themeColor="text1"/>
          <w:szCs w:val="32"/>
          <w14:textFill>
            <w14:solidFill>
              <w14:schemeClr w14:val="tx1"/>
            </w14:solidFill>
          </w14:textFill>
        </w:rPr>
        <w:t>基本支出：</w:t>
      </w:r>
      <w:r>
        <w:rPr>
          <w:rFonts w:hint="eastAsia" w:ascii="仿宋_GB2312"/>
          <w:color w:val="000000" w:themeColor="text1"/>
          <w:szCs w:val="32"/>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七、项目支出：</w:t>
      </w:r>
      <w:r>
        <w:rPr>
          <w:rFonts w:hint="eastAsia" w:ascii="仿宋_GB2312"/>
          <w:color w:val="000000" w:themeColor="text1"/>
          <w:szCs w:val="32"/>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八、“三公”经费：</w:t>
      </w:r>
      <w:r>
        <w:rPr>
          <w:rFonts w:hint="eastAsia" w:ascii="仿宋_GB2312"/>
          <w:color w:val="000000" w:themeColor="text1"/>
          <w:szCs w:val="32"/>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九、机关运行经费：</w:t>
      </w:r>
      <w:r>
        <w:rPr>
          <w:rFonts w:hint="eastAsia" w:ascii="仿宋_GB2312"/>
          <w:color w:val="000000" w:themeColor="text1"/>
          <w:szCs w:val="32"/>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                          静乐县丰润镇人民政府</w:t>
      </w:r>
    </w:p>
    <w:p>
      <w:pPr>
        <w:ind w:firstLine="4800" w:firstLineChars="1500"/>
        <w:rPr>
          <w:rFonts w:hint="eastAsia" w:eastAsia="仿宋_GB2312"/>
          <w:lang w:val="en-US" w:eastAsia="zh-CN"/>
        </w:rPr>
      </w:pPr>
      <w:r>
        <w:rPr>
          <w:rFonts w:hint="eastAsia"/>
          <w:color w:val="000000" w:themeColor="text1"/>
          <w:lang w:val="en-US" w:eastAsia="zh-CN"/>
          <w14:textFill>
            <w14:solidFill>
              <w14:schemeClr w14:val="tx1"/>
            </w14:solidFill>
          </w14:textFill>
        </w:rPr>
        <w:t>二〇二二</w:t>
      </w:r>
      <w:r>
        <w:rPr>
          <w:rFonts w:hint="eastAsia"/>
          <w:lang w:val="en-US" w:eastAsia="zh-CN"/>
        </w:rPr>
        <w:t>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6E18D"/>
    <w:multiLevelType w:val="singleLevel"/>
    <w:tmpl w:val="6326E18D"/>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GQ2OGRjNzRlMjMxNWYwYmM2NGZjZjNmMGM5NTEifQ=="/>
  </w:docVars>
  <w:rsids>
    <w:rsidRoot w:val="495520D0"/>
    <w:rsid w:val="00C64A8B"/>
    <w:rsid w:val="03696819"/>
    <w:rsid w:val="16654CDD"/>
    <w:rsid w:val="1A4A5C33"/>
    <w:rsid w:val="1FBA63B0"/>
    <w:rsid w:val="2701594C"/>
    <w:rsid w:val="27426717"/>
    <w:rsid w:val="285040B5"/>
    <w:rsid w:val="37943B50"/>
    <w:rsid w:val="3821117E"/>
    <w:rsid w:val="42C12CEC"/>
    <w:rsid w:val="44401A62"/>
    <w:rsid w:val="495520D0"/>
    <w:rsid w:val="4A012068"/>
    <w:rsid w:val="50890AE8"/>
    <w:rsid w:val="53A30631"/>
    <w:rsid w:val="5EC01F6A"/>
    <w:rsid w:val="63AB51DF"/>
    <w:rsid w:val="649C6DC9"/>
    <w:rsid w:val="715A78E4"/>
    <w:rsid w:val="76D32BB0"/>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2230</Words>
  <Characters>2688</Characters>
  <Lines>0</Lines>
  <Paragraphs>0</Paragraphs>
  <ScaleCrop>false</ScaleCrop>
  <LinksUpToDate>false</LinksUpToDate>
  <CharactersWithSpaces>2759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2022-09-18T09:13:00Z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8E82D85D551743B6840F01DEDEE9B944</vt:lpwstr>
  </property>
</Properties>
</file>