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1325" w:leftChars="0" w:hanging="1325" w:hangingChars="300"/>
        <w:rPr>
          <w:rFonts w:hint="eastAsia" w:ascii="华文中宋" w:hAnsi="华文中宋" w:eastAsia="华文中宋"/>
          <w:color w:val="000000" w:themeColor="text1"/>
          <w:sz w:val="44"/>
          <w:szCs w:val="44"/>
          <w:lang w:val="en-US" w:eastAsia="zh-CN"/>
          <w14:textFill>
            <w14:solidFill>
              <w14:schemeClr w14:val="tx1"/>
            </w14:solidFill>
          </w14:textFill>
        </w:rPr>
      </w:pPr>
      <w:bookmarkStart w:id="0" w:name="_Toc32048"/>
      <w:bookmarkStart w:id="1" w:name="_Toc31071"/>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静乐县人民代表大会常务委员会办公室</w:t>
      </w: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firstLine="640" w:firstLineChars="200"/>
        <w:jc w:val="left"/>
        <w:rPr>
          <w:rFonts w:hint="eastAsia" w:ascii="仿宋" w:hAnsi="仿宋" w:eastAsia="仿宋" w:cs="仿宋"/>
          <w:b w:val="0"/>
          <w:bCs/>
          <w:sz w:val="32"/>
          <w:szCs w:val="32"/>
        </w:rPr>
      </w:pPr>
      <w:bookmarkStart w:id="5" w:name="_Toc24066"/>
      <w:bookmarkStart w:id="6" w:name="_Toc4461"/>
      <w:r>
        <w:rPr>
          <w:rFonts w:hint="eastAsia" w:ascii="仿宋" w:hAnsi="仿宋" w:eastAsia="仿宋" w:cs="仿宋"/>
          <w:b w:val="0"/>
          <w:bCs/>
          <w:sz w:val="32"/>
          <w:szCs w:val="32"/>
        </w:rPr>
        <w:t>一、本部门职责</w:t>
      </w:r>
      <w:bookmarkEnd w:id="5"/>
      <w:bookmarkEnd w:id="6"/>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0" w:lineRule="auto"/>
        <w:ind w:right="0" w:firstLine="640" w:firstLineChars="200"/>
        <w:jc w:val="left"/>
        <w:rPr>
          <w:rFonts w:hint="eastAsia"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1.县人大常委会是县人民代表大会的常设机关，对本级人民代表大会负责并报告工作。</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2.在本行政区域内，保证宪法、法律、行政法规和上级人民代表大会及其常委会决议的遵守和执行；</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3.领导、主持县人民代表大会代表的选举；</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4.召集县人民代表大会会议；</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讨论、决定本县内的政治、经济、教育、科学、文化、卫生、环境和资源保护、民政、民族等工作的重大事项；</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5.根据县人民政府的建议，决定对本县内的国民经济和社会发展计划、预算的部分变更；</w:t>
      </w:r>
      <w:bookmarkStart w:id="31" w:name="_GoBack"/>
      <w:bookmarkEnd w:id="31"/>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6.监督县人民政府、人民法院和人民检察院的工作，联系县人民代表大会代表，受理人民群众对上述机关和国家工作人员的申诉和意见；</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7.撤销镇人民代表大会及人大主席团的不适当的决议；撤销县人民政府的不适当的决议和命令；</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8.在县人民代表大会闭会期间，决定副县长的个别任免；</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9.在县长和人民法院院长、人民检察院检察长因故不能担任职务的时候，从县人民政府、人民法院、人民检察院副职领导人员中决定代理的人选。决定代理检察长，须报市人民检察院和人大常委会备案；</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10.根据县长的提名，决定县人民政府办公室主任、各序列局局长的任免；按照人民法院组织法和人民检察院组织法的规定，任免人民法院副院长、庭长、副庭长、审判委员会委员、审判员，任免人民检察院副检察长、检察委员会委员、检察员；</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11.在县人民代表大会闭会期间，决定撤销个别副县长；</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12.决定撤销由它任命的县人民政府其他组成人员和人民法院副院长、庭长、副庭长、审判委员会委员、审判员，人民检察院副检察长、检察委员会委员、检察员；</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13.在县人民代表大会闭会期间，补选市人民代表大会出缺的代表和罢免个别代表；</w:t>
      </w:r>
      <w:r>
        <w:rPr>
          <w:rFonts w:hint="eastAsia" w:ascii="仿宋_GB2312" w:hAnsi="Times New Roman" w:eastAsia="仿宋_GB2312" w:cstheme="minorBidi"/>
          <w:kern w:val="2"/>
          <w:sz w:val="32"/>
          <w:szCs w:val="32"/>
          <w:lang w:val="en-US" w:eastAsia="zh-CN" w:bidi="ar-SA"/>
        </w:rPr>
        <w:br w:type="textWrapping"/>
      </w:r>
      <w:r>
        <w:rPr>
          <w:rFonts w:hint="eastAsia" w:ascii="仿宋_GB2312" w:hAnsi="Times New Roman" w:eastAsia="仿宋_GB2312" w:cstheme="minorBidi"/>
          <w:kern w:val="2"/>
          <w:sz w:val="32"/>
          <w:szCs w:val="32"/>
          <w:lang w:val="en-US" w:eastAsia="zh-CN" w:bidi="ar-SA"/>
        </w:rPr>
        <w:t>　　14.决定授予地方的荣誉称号等。</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Chars="200" w:right="0" w:rightChars="0" w:firstLine="640" w:firstLineChars="200"/>
        <w:rPr>
          <w:rFonts w:hint="eastAsia" w:ascii="仿宋_GB2312" w:hAnsi="Times New Roman" w:eastAsia="仿宋_GB2312" w:cstheme="minorBidi"/>
          <w:kern w:val="2"/>
          <w:sz w:val="32"/>
          <w:szCs w:val="32"/>
          <w:lang w:val="en-US" w:eastAsia="zh-CN" w:bidi="ar-SA"/>
        </w:rPr>
      </w:pPr>
      <w:bookmarkStart w:id="7" w:name="_Toc9155"/>
      <w:bookmarkStart w:id="8" w:name="_Toc275"/>
      <w:r>
        <w:rPr>
          <w:rFonts w:hint="eastAsia" w:ascii="仿宋_GB2312" w:hAnsi="Times New Roman" w:eastAsia="仿宋_GB2312" w:cstheme="minorBidi"/>
          <w:kern w:val="2"/>
          <w:sz w:val="32"/>
          <w:szCs w:val="32"/>
          <w:lang w:val="en-US" w:eastAsia="zh-CN" w:bidi="ar-SA"/>
        </w:rPr>
        <w:t>二、机构设置情况</w:t>
      </w:r>
      <w:bookmarkEnd w:id="7"/>
      <w:bookmarkEnd w:id="8"/>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Chars="200" w:right="0" w:rightChars="0" w:firstLine="640" w:firstLineChars="200"/>
        <w:rPr>
          <w:rFonts w:hint="eastAsia"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人大常委会人员编制20人，其中公务员编制15人，工勤人员2人，事业人员3人。内设办公室、财经工作委员会、法制工作委员会、农村工作委员会、教科文卫委员会、人事工作委员会，办公室下设有信息中心。</w:t>
      </w:r>
    </w:p>
    <w:p>
      <w:pPr>
        <w:pStyle w:val="3"/>
        <w:ind w:left="0" w:leftChars="0" w:firstLine="0" w:firstLineChars="0"/>
        <w:rPr>
          <w:rFonts w:hint="eastAsia" w:ascii="仿宋" w:hAnsi="仿宋" w:eastAsia="仿宋" w:cs="仿宋"/>
          <w:b w:val="0"/>
          <w:bCs/>
          <w:sz w:val="32"/>
          <w:szCs w:val="32"/>
        </w:rPr>
      </w:pP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 w:hAnsi="仿宋" w:eastAsia="仿宋" w:cs="仿宋"/>
          <w:szCs w:val="32"/>
        </w:rPr>
      </w:pPr>
      <w:r>
        <w:rPr>
          <w:rFonts w:hint="eastAsia" w:ascii="仿宋" w:hAnsi="仿宋" w:eastAsia="仿宋" w:cs="仿宋"/>
          <w:szCs w:val="32"/>
        </w:rPr>
        <w:t>20</w:t>
      </w:r>
      <w:r>
        <w:rPr>
          <w:rFonts w:hint="eastAsia" w:ascii="仿宋" w:hAnsi="仿宋" w:eastAsia="仿宋" w:cs="仿宋"/>
          <w:szCs w:val="32"/>
          <w:lang w:val="en-US" w:eastAsia="zh-CN"/>
        </w:rPr>
        <w:t>21</w:t>
      </w:r>
      <w:r>
        <w:rPr>
          <w:rFonts w:hint="eastAsia" w:ascii="仿宋" w:hAnsi="仿宋" w:eastAsia="仿宋" w:cs="仿宋"/>
          <w:szCs w:val="32"/>
        </w:rPr>
        <w:t>年度收入总计</w:t>
      </w:r>
      <w:r>
        <w:rPr>
          <w:rFonts w:hint="eastAsia" w:ascii="仿宋" w:hAnsi="仿宋" w:eastAsia="仿宋" w:cs="仿宋"/>
          <w:szCs w:val="32"/>
          <w:lang w:val="en-US" w:eastAsia="zh-CN"/>
        </w:rPr>
        <w:t>401.40</w:t>
      </w:r>
      <w:r>
        <w:rPr>
          <w:rFonts w:hint="eastAsia" w:ascii="仿宋" w:hAnsi="仿宋" w:eastAsia="仿宋" w:cs="仿宋"/>
          <w:szCs w:val="32"/>
        </w:rPr>
        <w:t>万元、支出总计</w:t>
      </w:r>
      <w:r>
        <w:rPr>
          <w:rFonts w:hint="eastAsia" w:ascii="仿宋" w:hAnsi="仿宋" w:eastAsia="仿宋" w:cs="仿宋"/>
          <w:szCs w:val="32"/>
          <w:lang w:val="en-US" w:eastAsia="zh-CN"/>
        </w:rPr>
        <w:t>401.40</w:t>
      </w:r>
      <w:r>
        <w:rPr>
          <w:rFonts w:hint="eastAsia" w:ascii="仿宋" w:hAnsi="仿宋" w:eastAsia="仿宋" w:cs="仿宋"/>
          <w:szCs w:val="32"/>
        </w:rPr>
        <w:t>万元。与20</w:t>
      </w:r>
      <w:r>
        <w:rPr>
          <w:rFonts w:hint="eastAsia" w:ascii="仿宋" w:hAnsi="仿宋" w:eastAsia="仿宋" w:cs="仿宋"/>
          <w:szCs w:val="32"/>
          <w:lang w:val="en-US" w:eastAsia="zh-CN"/>
        </w:rPr>
        <w:t>20</w:t>
      </w:r>
      <w:r>
        <w:rPr>
          <w:rFonts w:hint="eastAsia" w:ascii="仿宋" w:hAnsi="仿宋" w:eastAsia="仿宋" w:cs="仿宋"/>
          <w:szCs w:val="32"/>
        </w:rPr>
        <w:t>年相比，收入总计</w:t>
      </w:r>
      <w:r>
        <w:rPr>
          <w:rFonts w:hint="eastAsia" w:ascii="仿宋" w:hAnsi="仿宋" w:eastAsia="仿宋" w:cs="仿宋"/>
          <w:color w:val="000000" w:themeColor="text1"/>
          <w:szCs w:val="32"/>
          <w:lang w:val="en-US" w:eastAsia="zh-CN"/>
          <w14:textFill>
            <w14:solidFill>
              <w14:schemeClr w14:val="tx1"/>
            </w14:solidFill>
          </w14:textFill>
        </w:rPr>
        <w:t>增长54.23</w:t>
      </w:r>
      <w:r>
        <w:rPr>
          <w:rFonts w:hint="eastAsia" w:ascii="仿宋" w:hAnsi="仿宋" w:eastAsia="仿宋" w:cs="仿宋"/>
          <w:color w:val="000000" w:themeColor="text1"/>
          <w:szCs w:val="32"/>
          <w14:textFill>
            <w14:solidFill>
              <w14:schemeClr w14:val="tx1"/>
            </w14:solidFill>
          </w14:textFill>
        </w:rPr>
        <w:t>万元，</w:t>
      </w:r>
      <w:r>
        <w:rPr>
          <w:rFonts w:hint="eastAsia" w:ascii="仿宋" w:hAnsi="仿宋" w:eastAsia="仿宋" w:cs="仿宋"/>
          <w:color w:val="000000" w:themeColor="text1"/>
          <w:szCs w:val="32"/>
          <w:lang w:val="en-US" w:eastAsia="zh-CN"/>
          <w14:textFill>
            <w14:solidFill>
              <w14:schemeClr w14:val="tx1"/>
            </w14:solidFill>
          </w14:textFill>
        </w:rPr>
        <w:t>增长15.6</w:t>
      </w:r>
      <w:r>
        <w:rPr>
          <w:rFonts w:hint="eastAsia" w:ascii="仿宋" w:hAnsi="仿宋" w:eastAsia="仿宋" w:cs="仿宋"/>
          <w:color w:val="000000" w:themeColor="text1"/>
          <w:szCs w:val="32"/>
          <w14:textFill>
            <w14:solidFill>
              <w14:schemeClr w14:val="tx1"/>
            </w14:solidFill>
          </w14:textFill>
        </w:rPr>
        <w:t>%，支出总计</w:t>
      </w:r>
      <w:r>
        <w:rPr>
          <w:rFonts w:hint="eastAsia" w:ascii="仿宋" w:hAnsi="仿宋" w:eastAsia="仿宋" w:cs="仿宋"/>
          <w:color w:val="000000" w:themeColor="text1"/>
          <w:szCs w:val="32"/>
          <w:lang w:val="en-US" w:eastAsia="zh-CN"/>
          <w14:textFill>
            <w14:solidFill>
              <w14:schemeClr w14:val="tx1"/>
            </w14:solidFill>
          </w14:textFill>
        </w:rPr>
        <w:t>增长54.23</w:t>
      </w:r>
      <w:r>
        <w:rPr>
          <w:rFonts w:hint="eastAsia" w:ascii="仿宋" w:hAnsi="仿宋" w:eastAsia="仿宋" w:cs="仿宋"/>
          <w:color w:val="000000" w:themeColor="text1"/>
          <w:szCs w:val="32"/>
          <w14:textFill>
            <w14:solidFill>
              <w14:schemeClr w14:val="tx1"/>
            </w14:solidFill>
          </w14:textFill>
        </w:rPr>
        <w:t>万元，</w:t>
      </w:r>
      <w:r>
        <w:rPr>
          <w:rFonts w:hint="eastAsia" w:ascii="仿宋" w:hAnsi="仿宋" w:eastAsia="仿宋" w:cs="仿宋"/>
          <w:color w:val="000000" w:themeColor="text1"/>
          <w:szCs w:val="32"/>
          <w:lang w:val="en-US" w:eastAsia="zh-CN"/>
          <w14:textFill>
            <w14:solidFill>
              <w14:schemeClr w14:val="tx1"/>
            </w14:solidFill>
          </w14:textFill>
        </w:rPr>
        <w:t>增长15.6</w:t>
      </w:r>
      <w:r>
        <w:rPr>
          <w:rFonts w:hint="eastAsia" w:ascii="仿宋" w:hAnsi="仿宋" w:eastAsia="仿宋" w:cs="仿宋"/>
          <w:color w:val="000000" w:themeColor="text1"/>
          <w:szCs w:val="32"/>
          <w14:textFill>
            <w14:solidFill>
              <w14:schemeClr w14:val="tx1"/>
            </w14:solidFill>
          </w14:textFill>
        </w:rPr>
        <w:t>%。主要原因是</w:t>
      </w:r>
      <w:r>
        <w:rPr>
          <w:rFonts w:hint="eastAsia" w:ascii="仿宋" w:hAnsi="仿宋" w:eastAsia="仿宋" w:cs="仿宋"/>
          <w:color w:val="000000" w:themeColor="text1"/>
          <w:szCs w:val="32"/>
          <w:lang w:val="en-US" w:eastAsia="zh-CN"/>
          <w14:textFill>
            <w14:solidFill>
              <w14:schemeClr w14:val="tx1"/>
            </w14:solidFill>
          </w14:textFill>
        </w:rPr>
        <w:t>2021年县、</w:t>
      </w:r>
      <w:r>
        <w:rPr>
          <w:rFonts w:hint="eastAsia" w:ascii="仿宋" w:hAnsi="仿宋" w:eastAsia="仿宋" w:cs="仿宋"/>
          <w:szCs w:val="32"/>
          <w:lang w:val="en-US" w:eastAsia="zh-CN"/>
        </w:rPr>
        <w:t>乡两级人大代表换届增加换届经费17.14万元，县人大代表交通、通信补贴增加21万元，会议费增加6.44万元，人员经费</w:t>
      </w:r>
      <w:r>
        <w:rPr>
          <w:rFonts w:hint="eastAsia" w:ascii="仿宋" w:hAnsi="仿宋" w:eastAsia="仿宋" w:cs="仿宋"/>
          <w:szCs w:val="32"/>
        </w:rPr>
        <w:t>。</w:t>
      </w:r>
    </w:p>
    <w:p>
      <w:pPr>
        <w:pStyle w:val="3"/>
        <w:rPr>
          <w:rFonts w:hint="default"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szCs w:val="32"/>
          <w:lang w:val="en-US" w:eastAsia="zh-CN"/>
        </w:rPr>
        <w:t>401.40</w:t>
      </w:r>
      <w:r>
        <w:rPr>
          <w:rFonts w:hint="eastAsia" w:ascii="仿宋_GB2312"/>
          <w:szCs w:val="32"/>
        </w:rPr>
        <w:t>万元，其中：财政拨款收入</w:t>
      </w:r>
      <w:r>
        <w:rPr>
          <w:rFonts w:hint="eastAsia" w:ascii="仿宋_GB2312"/>
          <w:szCs w:val="32"/>
          <w:lang w:val="en-US" w:eastAsia="zh-CN"/>
        </w:rPr>
        <w:t>401.40</w:t>
      </w:r>
      <w:r>
        <w:rPr>
          <w:rFonts w:hint="eastAsia" w:ascii="仿宋_GB2312"/>
          <w:szCs w:val="32"/>
        </w:rPr>
        <w:t>万元，占比</w:t>
      </w:r>
      <w:r>
        <w:rPr>
          <w:rFonts w:hint="eastAsia" w:ascii="仿宋_GB2312"/>
          <w:szCs w:val="32"/>
          <w:lang w:val="en-US" w:eastAsia="zh-CN"/>
        </w:rPr>
        <w:t>100</w:t>
      </w:r>
      <w:r>
        <w:rPr>
          <w:rFonts w:hint="eastAsia" w:ascii="仿宋_GB2312"/>
          <w:szCs w:val="32"/>
        </w:rPr>
        <w:t>%；上级补助收入</w:t>
      </w:r>
      <w:r>
        <w:rPr>
          <w:rFonts w:hint="eastAsia" w:ascii="仿宋_GB2312"/>
          <w:szCs w:val="32"/>
          <w:lang w:val="en-US" w:eastAsia="zh-CN"/>
        </w:rPr>
        <w:t>无</w:t>
      </w:r>
      <w:r>
        <w:rPr>
          <w:rFonts w:hint="eastAsia" w:ascii="仿宋_GB2312"/>
          <w:szCs w:val="32"/>
        </w:rPr>
        <w:t>；事业收入</w:t>
      </w:r>
      <w:r>
        <w:rPr>
          <w:rFonts w:hint="eastAsia" w:ascii="仿宋_GB2312"/>
          <w:szCs w:val="32"/>
          <w:lang w:val="en-US" w:eastAsia="zh-CN"/>
        </w:rPr>
        <w:t>无；</w:t>
      </w:r>
      <w:r>
        <w:rPr>
          <w:rFonts w:hint="eastAsia" w:ascii="仿宋_GB2312"/>
          <w:szCs w:val="32"/>
        </w:rPr>
        <w:t>经营收入</w:t>
      </w:r>
      <w:r>
        <w:rPr>
          <w:rFonts w:hint="eastAsia" w:ascii="仿宋_GB2312"/>
          <w:szCs w:val="32"/>
          <w:lang w:val="en-US" w:eastAsia="zh-CN"/>
        </w:rPr>
        <w:t>无；</w:t>
      </w:r>
      <w:r>
        <w:rPr>
          <w:rFonts w:hint="eastAsia" w:ascii="仿宋_GB2312"/>
          <w:szCs w:val="32"/>
        </w:rPr>
        <w:t>附属单位上缴收入</w:t>
      </w:r>
      <w:r>
        <w:rPr>
          <w:rFonts w:hint="eastAsia" w:ascii="仿宋_GB2312"/>
          <w:szCs w:val="32"/>
          <w:lang w:val="en-US" w:eastAsia="zh-CN"/>
        </w:rPr>
        <w:t>无</w:t>
      </w:r>
      <w:r>
        <w:rPr>
          <w:rFonts w:hint="eastAsia" w:ascii="仿宋_GB2312"/>
          <w:szCs w:val="32"/>
        </w:rPr>
        <w:t>万元；其他收入</w:t>
      </w:r>
      <w:r>
        <w:rPr>
          <w:rFonts w:hint="eastAsia" w:ascii="仿宋_GB2312"/>
          <w:szCs w:val="32"/>
          <w:lang w:val="en-US" w:eastAsia="zh-CN"/>
        </w:rPr>
        <w:t>无</w:t>
      </w:r>
      <w:r>
        <w:rPr>
          <w:rFonts w:hint="eastAsia" w:ascii="仿宋_GB2312"/>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szCs w:val="32"/>
          <w:lang w:val="en-US" w:eastAsia="zh-CN"/>
        </w:rPr>
        <w:t>401.40</w:t>
      </w:r>
      <w:r>
        <w:rPr>
          <w:rFonts w:hint="eastAsia" w:ascii="仿宋_GB2312"/>
          <w:szCs w:val="32"/>
        </w:rPr>
        <w:t>万元，其中：基本支出</w:t>
      </w:r>
      <w:r>
        <w:rPr>
          <w:rFonts w:hint="eastAsia" w:ascii="仿宋_GB2312"/>
          <w:szCs w:val="32"/>
          <w:lang w:val="en-US" w:eastAsia="zh-CN"/>
        </w:rPr>
        <w:t>288.97</w:t>
      </w:r>
      <w:r>
        <w:rPr>
          <w:rFonts w:hint="eastAsia" w:ascii="仿宋_GB2312"/>
          <w:szCs w:val="32"/>
        </w:rPr>
        <w:t>万元，占比</w:t>
      </w:r>
      <w:r>
        <w:rPr>
          <w:rFonts w:hint="eastAsia" w:ascii="仿宋_GB2312"/>
          <w:szCs w:val="32"/>
          <w:lang w:val="en-US" w:eastAsia="zh-CN"/>
        </w:rPr>
        <w:t>72</w:t>
      </w:r>
      <w:r>
        <w:rPr>
          <w:rFonts w:hint="eastAsia" w:ascii="仿宋_GB2312"/>
          <w:szCs w:val="32"/>
        </w:rPr>
        <w:t>%；项目支出</w:t>
      </w:r>
      <w:r>
        <w:rPr>
          <w:rFonts w:hint="eastAsia" w:ascii="仿宋_GB2312"/>
          <w:szCs w:val="32"/>
          <w:lang w:val="en-US" w:eastAsia="zh-CN"/>
        </w:rPr>
        <w:t>112.42</w:t>
      </w:r>
      <w:r>
        <w:rPr>
          <w:rFonts w:hint="eastAsia" w:ascii="仿宋_GB2312"/>
          <w:szCs w:val="32"/>
        </w:rPr>
        <w:t>万元，占比</w:t>
      </w:r>
      <w:r>
        <w:rPr>
          <w:rFonts w:hint="eastAsia" w:ascii="仿宋_GB2312"/>
          <w:szCs w:val="32"/>
          <w:lang w:val="en-US" w:eastAsia="zh-CN"/>
        </w:rPr>
        <w:t>28</w:t>
      </w:r>
      <w:r>
        <w:rPr>
          <w:rFonts w:hint="eastAsia" w:ascii="仿宋_GB2312"/>
          <w:szCs w:val="32"/>
        </w:rPr>
        <w:t>%，上缴上级支出</w:t>
      </w:r>
      <w:r>
        <w:rPr>
          <w:rFonts w:hint="eastAsia" w:ascii="仿宋_GB2312"/>
          <w:szCs w:val="32"/>
          <w:lang w:val="en-US" w:eastAsia="zh-CN"/>
        </w:rPr>
        <w:t>无，</w:t>
      </w:r>
      <w:r>
        <w:rPr>
          <w:rFonts w:hint="eastAsia" w:ascii="仿宋_GB2312"/>
          <w:szCs w:val="32"/>
        </w:rPr>
        <w:t>经营支</w:t>
      </w:r>
      <w:r>
        <w:rPr>
          <w:rFonts w:hint="eastAsia" w:ascii="仿宋_GB2312"/>
          <w:szCs w:val="32"/>
          <w:lang w:val="en-US" w:eastAsia="zh-CN"/>
        </w:rPr>
        <w:t>出无</w:t>
      </w:r>
      <w:r>
        <w:rPr>
          <w:rFonts w:hint="eastAsia" w:ascii="仿宋_GB2312"/>
          <w:szCs w:val="32"/>
        </w:rPr>
        <w:t>，对附属单位补助支出</w:t>
      </w:r>
      <w:r>
        <w:rPr>
          <w:rFonts w:hint="eastAsia" w:ascii="仿宋_GB2312"/>
          <w:szCs w:val="32"/>
          <w:lang w:val="en-US" w:eastAsia="zh-CN"/>
        </w:rPr>
        <w:t>无</w:t>
      </w:r>
      <w:r>
        <w:rPr>
          <w:rFonts w:hint="eastAsia" w:ascii="仿宋_GB2312"/>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szCs w:val="32"/>
          <w:lang w:val="en-US" w:eastAsia="zh-CN"/>
        </w:rPr>
        <w:t>401.40</w:t>
      </w:r>
      <w:r>
        <w:rPr>
          <w:rFonts w:hint="eastAsia" w:ascii="仿宋_GB2312"/>
          <w:szCs w:val="32"/>
        </w:rPr>
        <w:t>万元、支出总计</w:t>
      </w:r>
      <w:r>
        <w:rPr>
          <w:rFonts w:hint="eastAsia" w:ascii="仿宋_GB2312"/>
          <w:szCs w:val="32"/>
          <w:lang w:val="en-US" w:eastAsia="zh-CN"/>
        </w:rPr>
        <w:t>401.40</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hint="eastAsia" w:ascii="仿宋_GB2312"/>
          <w:color w:val="000000" w:themeColor="text1"/>
          <w:szCs w:val="32"/>
          <w:lang w:val="en-US" w:eastAsia="zh-CN"/>
          <w14:textFill>
            <w14:solidFill>
              <w14:schemeClr w14:val="tx1"/>
            </w14:solidFill>
          </w14:textFill>
        </w:rPr>
        <w:t>增长54.23</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增长15.6</w:t>
      </w:r>
      <w:r>
        <w:rPr>
          <w:rFonts w:hint="eastAsia" w:ascii="仿宋_GB2312"/>
          <w:color w:val="000000" w:themeColor="text1"/>
          <w:szCs w:val="32"/>
          <w14:textFill>
            <w14:solidFill>
              <w14:schemeClr w14:val="tx1"/>
            </w14:solidFill>
          </w14:textFill>
        </w:rPr>
        <w:t>%，财政拨款支出总计</w:t>
      </w:r>
      <w:r>
        <w:rPr>
          <w:rFonts w:hint="eastAsia" w:ascii="仿宋_GB2312"/>
          <w:color w:val="000000" w:themeColor="text1"/>
          <w:szCs w:val="32"/>
          <w:lang w:val="en-US" w:eastAsia="zh-CN"/>
          <w14:textFill>
            <w14:solidFill>
              <w14:schemeClr w14:val="tx1"/>
            </w14:solidFill>
          </w14:textFill>
        </w:rPr>
        <w:t>增长54.23</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增长15.6</w:t>
      </w:r>
      <w:r>
        <w:rPr>
          <w:rFonts w:hint="eastAsia" w:ascii="仿宋_GB2312"/>
          <w:szCs w:val="32"/>
        </w:rPr>
        <w:t>%。主要原因</w:t>
      </w:r>
      <w:r>
        <w:rPr>
          <w:rFonts w:hint="eastAsia" w:ascii="仿宋_GB2312"/>
          <w:szCs w:val="32"/>
          <w:lang w:val="en-US" w:eastAsia="zh-CN"/>
        </w:rPr>
        <w:t>一是2021年新调入7人，人员经费较上年增加；二是2021年县、乡两级人大换届，增加换届经费；三是2021年人大代表交通、通信补贴标准提高，人大代表交通、通信补贴较上年增加；四是2021年人代会有换届选举事项，会议费较上年增加</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401.40</w:t>
      </w:r>
      <w:r>
        <w:rPr>
          <w:rFonts w:hint="eastAsia" w:ascii="仿宋_GB2312"/>
          <w:szCs w:val="32"/>
        </w:rPr>
        <w:t>万元，占本年支出合计的</w:t>
      </w:r>
      <w:r>
        <w:rPr>
          <w:rFonts w:hint="eastAsia" w:ascii="仿宋_GB2312"/>
          <w:szCs w:val="32"/>
          <w:lang w:val="en-US" w:eastAsia="zh-CN"/>
        </w:rPr>
        <w:t>100</w:t>
      </w:r>
      <w:r>
        <w:rPr>
          <w:rFonts w:hint="eastAsia" w:ascii="仿宋_GB2312"/>
          <w:color w:val="000000" w:themeColor="text1"/>
          <w:szCs w:val="32"/>
          <w14:textFill>
            <w14:solidFill>
              <w14:schemeClr w14:val="tx1"/>
            </w14:solidFill>
          </w14:textFill>
        </w:rPr>
        <w:t>%</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color w:val="000000" w:themeColor="text1"/>
          <w:szCs w:val="32"/>
          <w:lang w:val="en-US" w:eastAsia="zh-CN"/>
          <w14:textFill>
            <w14:solidFill>
              <w14:schemeClr w14:val="tx1"/>
            </w14:solidFill>
          </w14:textFill>
        </w:rPr>
        <w:t>增加54.23</w:t>
      </w:r>
      <w:r>
        <w:rPr>
          <w:rFonts w:hint="eastAsia" w:ascii="仿宋_GB2312"/>
          <w:szCs w:val="32"/>
        </w:rPr>
        <w:t>万元，</w:t>
      </w:r>
      <w:r>
        <w:rPr>
          <w:rFonts w:hint="eastAsia" w:ascii="仿宋_GB2312"/>
          <w:color w:val="000000" w:themeColor="text1"/>
          <w:szCs w:val="32"/>
          <w:lang w:val="en-US" w:eastAsia="zh-CN"/>
          <w14:textFill>
            <w14:solidFill>
              <w14:schemeClr w14:val="tx1"/>
            </w14:solidFill>
          </w14:textFill>
        </w:rPr>
        <w:t>增长15.6</w:t>
      </w:r>
      <w:r>
        <w:rPr>
          <w:rFonts w:hint="eastAsia" w:ascii="仿宋_GB2312"/>
          <w:szCs w:val="32"/>
        </w:rPr>
        <w:t>%。主要原因是</w:t>
      </w:r>
      <w:r>
        <w:rPr>
          <w:rFonts w:hint="eastAsia" w:ascii="仿宋_GB2312"/>
          <w:szCs w:val="32"/>
          <w:lang w:val="en-US" w:eastAsia="zh-CN"/>
        </w:rPr>
        <w:t>2021年较上年增加7人，增加22.17万元，人大代表交通通信补贴标准提高增加，代表人数增加，支出增加21.3万元，增加县、乡两级人大代表换届经费支出8.9万元</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401.40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ascii="仿宋_GB2312"/>
          <w:b/>
          <w:color w:val="000000" w:themeColor="text1"/>
          <w:szCs w:val="32"/>
          <w14:textFill>
            <w14:solidFill>
              <w14:schemeClr w14:val="tx1"/>
            </w14:solidFill>
          </w14:textFill>
        </w:rPr>
        <w:t>一般公共服务（</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401.40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415.53</w:t>
      </w:r>
      <w:r>
        <w:rPr>
          <w:rFonts w:hint="eastAsia"/>
          <w:szCs w:val="32"/>
        </w:rPr>
        <w:t>万元，支出决算</w:t>
      </w:r>
      <w:r>
        <w:rPr>
          <w:rFonts w:hint="eastAsia"/>
          <w:szCs w:val="32"/>
          <w:lang w:val="en-US" w:eastAsia="zh-CN"/>
        </w:rPr>
        <w:t>401.40</w:t>
      </w:r>
      <w:r>
        <w:rPr>
          <w:rFonts w:hint="eastAsia"/>
          <w:szCs w:val="32"/>
        </w:rPr>
        <w:t>万元，完成年初预算的</w:t>
      </w:r>
      <w:r>
        <w:rPr>
          <w:rFonts w:hint="eastAsia"/>
          <w:szCs w:val="32"/>
          <w:lang w:val="en-US" w:eastAsia="zh-CN"/>
        </w:rPr>
        <w:t>96.6</w:t>
      </w:r>
      <w:r>
        <w:rPr>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一般公共服务支出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347.17</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401.40</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hint="eastAsia" w:ascii="仿宋" w:hAnsi="仿宋" w:eastAsia="仿宋" w:cs="仿宋"/>
                <w:color w:val="000000" w:themeColor="text1"/>
                <w:sz w:val="24"/>
                <w:szCs w:val="24"/>
                <w:lang w:val="en-US" w:eastAsia="zh-CN"/>
                <w14:textFill>
                  <w14:solidFill>
                    <w14:schemeClr w14:val="tx1"/>
                  </w14:solidFill>
                </w14:textFill>
              </w:rPr>
              <w:t>1</w:t>
            </w:r>
          </w:p>
        </w:tc>
        <w:tc>
          <w:tcPr>
            <w:tcW w:w="2479" w:type="dxa"/>
            <w:vAlign w:val="top"/>
          </w:tcPr>
          <w:p>
            <w:pPr>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人大</w:t>
            </w:r>
            <w:r>
              <w:rPr>
                <w:rFonts w:hint="eastAsia" w:ascii="仿宋" w:hAnsi="仿宋" w:eastAsia="仿宋" w:cs="仿宋"/>
                <w:color w:val="000000" w:themeColor="text1"/>
                <w:sz w:val="24"/>
                <w:szCs w:val="24"/>
                <w14:textFill>
                  <w14:solidFill>
                    <w14:schemeClr w14:val="tx1"/>
                  </w14:solidFill>
                </w14:textFill>
              </w:rPr>
              <w:t>事务</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347.17</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401.40</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01</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行政运行</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288.55</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302.39</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02</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一般行政管理事务</w:t>
            </w:r>
          </w:p>
        </w:tc>
        <w:tc>
          <w:tcPr>
            <w:tcW w:w="1876" w:type="dxa"/>
            <w:vAlign w:val="top"/>
          </w:tcPr>
          <w:p>
            <w:pPr>
              <w:ind w:firstLine="1200" w:firstLineChars="500"/>
              <w:jc w:val="left"/>
              <w:rPr>
                <w:rFonts w:hint="default" w:ascii="仿宋" w:hAnsi="仿宋" w:eastAsia="仿宋" w:cs="仿宋"/>
                <w:color w:val="000000"/>
                <w:sz w:val="24"/>
                <w:szCs w:val="24"/>
                <w:lang w:val="en-US" w:eastAsia="zh-CN"/>
              </w:rPr>
            </w:pPr>
          </w:p>
        </w:tc>
        <w:tc>
          <w:tcPr>
            <w:tcW w:w="1684" w:type="dxa"/>
            <w:vAlign w:val="center"/>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17.14 </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0</w:t>
            </w:r>
            <w:r>
              <w:rPr>
                <w:rFonts w:hint="eastAsia" w:ascii="仿宋" w:hAnsi="仿宋" w:eastAsia="仿宋" w:cs="仿宋"/>
                <w:color w:val="000000" w:themeColor="text1"/>
                <w:sz w:val="24"/>
                <w:szCs w:val="24"/>
                <w:lang w:val="en-US" w:eastAsia="zh-CN"/>
                <w14:textFill>
                  <w14:solidFill>
                    <w14:schemeClr w14:val="tx1"/>
                  </w14:solidFill>
                </w14:textFill>
              </w:rPr>
              <w:t>4</w:t>
            </w:r>
          </w:p>
        </w:tc>
        <w:tc>
          <w:tcPr>
            <w:tcW w:w="2479"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人大会议</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27</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33.44</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0</w:t>
            </w:r>
            <w:r>
              <w:rPr>
                <w:rFonts w:hint="eastAsia" w:ascii="仿宋" w:hAnsi="仿宋" w:eastAsia="仿宋" w:cs="仿宋"/>
                <w:color w:val="000000" w:themeColor="text1"/>
                <w:sz w:val="24"/>
                <w:szCs w:val="24"/>
                <w:lang w:val="en-US" w:eastAsia="zh-CN"/>
                <w14:textFill>
                  <w14:solidFill>
                    <w14:schemeClr w14:val="tx1"/>
                  </w14:solidFill>
                </w14:textFill>
              </w:rPr>
              <w:t>8</w:t>
            </w:r>
          </w:p>
        </w:tc>
        <w:tc>
          <w:tcPr>
            <w:tcW w:w="2479"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代表工作</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31.62</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48.43</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53.2%</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347.17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401.40</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227.85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250.02</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109.16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109.66</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0.12</w:t>
            </w:r>
          </w:p>
        </w:tc>
        <w:tc>
          <w:tcPr>
            <w:tcW w:w="207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39.72</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10.04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80%</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288.97</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250.02</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val="en-US" w:eastAsia="zh-CN"/>
        </w:rPr>
        <w:t>人员工资，医疗保险、养老保险、公积金、工伤保险单位配套部分</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38.95</w:t>
      </w:r>
      <w:r>
        <w:rPr>
          <w:rFonts w:hint="eastAsia" w:ascii="仿宋_GB2312"/>
          <w:szCs w:val="32"/>
        </w:rPr>
        <w:t>万元</w:t>
      </w:r>
      <w:r>
        <w:rPr>
          <w:rFonts w:ascii="仿宋_GB2312"/>
          <w:szCs w:val="32"/>
        </w:rPr>
        <w:t>，主要包括</w:t>
      </w:r>
      <w:r>
        <w:rPr>
          <w:rFonts w:hint="eastAsia" w:ascii="仿宋_GB2312"/>
          <w:szCs w:val="32"/>
          <w:lang w:val="en-US" w:eastAsia="zh-CN"/>
        </w:rPr>
        <w:t>公用经费、公务用车运行维护费、工会、福利费</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112.43</w:t>
      </w:r>
      <w:r>
        <w:rPr>
          <w:rFonts w:hint="eastAsia" w:ascii="仿宋_GB2312"/>
          <w:szCs w:val="32"/>
        </w:rPr>
        <w:t>万元</w:t>
      </w:r>
      <w:r>
        <w:rPr>
          <w:rFonts w:hint="eastAsia" w:ascii="仿宋_GB2312"/>
          <w:szCs w:val="32"/>
          <w:lang w:eastAsia="zh-CN"/>
        </w:rPr>
        <w:t>，</w:t>
      </w:r>
      <w:r>
        <w:rPr>
          <w:rFonts w:hint="eastAsia" w:ascii="仿宋_GB2312"/>
          <w:szCs w:val="32"/>
          <w:lang w:val="en-US" w:eastAsia="zh-CN"/>
        </w:rPr>
        <w:t>主要包括会议费、代表交通通信、代表活动费、调研经费、县、乡换届经费、人大志编撰经费</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FF0000"/>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年度，“三公”经费财政拨款支出决算为</w:t>
      </w:r>
      <w:r>
        <w:rPr>
          <w:rFonts w:hint="eastAsia" w:ascii="仿宋_GB2312"/>
          <w:szCs w:val="32"/>
          <w:lang w:val="en-US" w:eastAsia="zh-CN"/>
        </w:rPr>
        <w:t>0.75</w:t>
      </w:r>
      <w:r>
        <w:rPr>
          <w:rFonts w:hint="eastAsia" w:ascii="仿宋_GB2312"/>
          <w:color w:val="000000" w:themeColor="text1"/>
          <w:szCs w:val="32"/>
          <w14:textFill>
            <w14:solidFill>
              <w14:schemeClr w14:val="tx1"/>
            </w14:solidFill>
          </w14:textFill>
        </w:rPr>
        <w:t>万元</w:t>
      </w:r>
      <w:r>
        <w:rPr>
          <w:rFonts w:hint="eastAsia" w:ascii="仿宋_GB2312"/>
          <w:szCs w:val="32"/>
        </w:rPr>
        <w:t>，比上年减少</w:t>
      </w:r>
      <w:r>
        <w:rPr>
          <w:rFonts w:hint="eastAsia" w:ascii="仿宋_GB2312"/>
          <w:szCs w:val="32"/>
          <w:lang w:val="en-US" w:eastAsia="zh-CN"/>
        </w:rPr>
        <w:t>3.04</w:t>
      </w:r>
      <w:r>
        <w:rPr>
          <w:rFonts w:hint="eastAsia" w:ascii="仿宋_GB2312"/>
          <w:szCs w:val="32"/>
        </w:rPr>
        <w:t>万元，下降</w:t>
      </w:r>
      <w:r>
        <w:rPr>
          <w:rFonts w:hint="eastAsia" w:ascii="仿宋_GB2312"/>
          <w:szCs w:val="32"/>
          <w:lang w:val="en-US" w:eastAsia="zh-CN"/>
        </w:rPr>
        <w:t>80</w:t>
      </w:r>
      <w:r>
        <w:rPr>
          <w:rFonts w:hint="eastAsia" w:ascii="仿宋_GB2312"/>
          <w:szCs w:val="32"/>
        </w:rPr>
        <w:t>%，原因是：</w:t>
      </w:r>
      <w:r>
        <w:rPr>
          <w:rFonts w:hint="eastAsia" w:ascii="仿宋_GB2312"/>
          <w:szCs w:val="32"/>
          <w:lang w:val="en-US" w:eastAsia="zh-CN"/>
        </w:rPr>
        <w:t>2020年公务用车运行维护费有结余资金，2021年公务用车运行维护费一部分支出从2020年结余资金中支出</w:t>
      </w:r>
      <w:r>
        <w:rPr>
          <w:rFonts w:hint="eastAsia" w:ascii="仿宋_GB2312"/>
          <w:szCs w:val="32"/>
        </w:rPr>
        <w:t>。其中：因公出国（境）费支出决算</w:t>
      </w:r>
      <w:r>
        <w:rPr>
          <w:rFonts w:hint="eastAsia" w:ascii="仿宋_GB2312"/>
          <w:szCs w:val="32"/>
          <w:lang w:val="en-US" w:eastAsia="zh-CN"/>
        </w:rPr>
        <w:t>无</w:t>
      </w:r>
      <w:r>
        <w:rPr>
          <w:rFonts w:hint="eastAsia" w:ascii="仿宋_GB2312"/>
          <w:szCs w:val="32"/>
        </w:rPr>
        <w:t>；公务用车购置及运行费支出决算</w:t>
      </w:r>
      <w:r>
        <w:rPr>
          <w:rFonts w:hint="eastAsia" w:ascii="仿宋_GB2312"/>
          <w:szCs w:val="32"/>
          <w:lang w:val="en-US" w:eastAsia="zh-CN"/>
        </w:rPr>
        <w:t>无</w:t>
      </w:r>
      <w:r>
        <w:rPr>
          <w:rFonts w:hint="eastAsia" w:ascii="仿宋_GB2312"/>
          <w:szCs w:val="32"/>
        </w:rPr>
        <w:t>；公务接待费支出决算</w:t>
      </w:r>
      <w:r>
        <w:rPr>
          <w:rFonts w:hint="eastAsia" w:ascii="仿宋_GB2312"/>
          <w:szCs w:val="32"/>
          <w:lang w:val="en-US" w:eastAsia="zh-CN"/>
        </w:rPr>
        <w:t>无</w:t>
      </w:r>
      <w:r>
        <w:rPr>
          <w:rFonts w:hint="eastAsia" w:ascii="仿宋_GB2312"/>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3.79</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0.75</w:t>
            </w:r>
          </w:p>
        </w:tc>
        <w:tc>
          <w:tcPr>
            <w:tcW w:w="1418"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-80%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27</w:t>
      </w:r>
      <w:r>
        <w:rPr>
          <w:rFonts w:hint="eastAsia" w:ascii="仿宋_GB2312" w:hAnsi="宋体"/>
          <w:szCs w:val="32"/>
        </w:rPr>
        <w:t>万元，比20</w:t>
      </w:r>
      <w:r>
        <w:rPr>
          <w:rFonts w:hint="eastAsia" w:ascii="仿宋_GB2312" w:hAnsi="宋体"/>
          <w:szCs w:val="32"/>
          <w:lang w:val="en-US" w:eastAsia="zh-CN"/>
        </w:rPr>
        <w:t>20</w:t>
      </w:r>
      <w:r>
        <w:rPr>
          <w:rFonts w:hint="eastAsia" w:ascii="仿宋_GB2312" w:hAnsi="宋体"/>
          <w:szCs w:val="32"/>
        </w:rPr>
        <w:t>年增加</w:t>
      </w:r>
      <w:r>
        <w:rPr>
          <w:rFonts w:hint="eastAsia" w:ascii="仿宋_GB2312" w:hAnsi="宋体"/>
          <w:szCs w:val="32"/>
          <w:lang w:val="en-US" w:eastAsia="zh-CN"/>
        </w:rPr>
        <w:t>7</w:t>
      </w:r>
      <w:r>
        <w:rPr>
          <w:rFonts w:hint="eastAsia" w:ascii="仿宋_GB2312" w:hAnsi="宋体"/>
          <w:szCs w:val="32"/>
        </w:rPr>
        <w:t>万元，增长</w:t>
      </w:r>
      <w:r>
        <w:rPr>
          <w:rFonts w:hint="eastAsia" w:ascii="仿宋_GB2312" w:hAnsi="宋体"/>
          <w:szCs w:val="32"/>
          <w:lang w:val="en-US" w:eastAsia="zh-CN"/>
        </w:rPr>
        <w:t>35</w:t>
      </w:r>
      <w:r>
        <w:rPr>
          <w:rFonts w:hint="eastAsia" w:ascii="仿宋_GB2312" w:hAnsi="宋体"/>
          <w:szCs w:val="32"/>
        </w:rPr>
        <w:t>%。主要原因是</w:t>
      </w:r>
      <w:r>
        <w:rPr>
          <w:rFonts w:hint="eastAsia" w:ascii="仿宋_GB2312" w:hAnsi="宋体"/>
          <w:szCs w:val="32"/>
          <w:lang w:val="en-US" w:eastAsia="zh-CN"/>
        </w:rPr>
        <w:t>2021年人大办调入7人，所以公用经费增加</w:t>
      </w:r>
      <w:r>
        <w:rPr>
          <w:rFonts w:hint="eastAsia" w:ascii="仿宋_GB2312" w:hAnsi="宋体"/>
          <w:szCs w:val="32"/>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30.96</w:t>
      </w:r>
      <w:r>
        <w:rPr>
          <w:rFonts w:hint="eastAsia" w:ascii="仿宋_GB2312"/>
          <w:szCs w:val="32"/>
        </w:rPr>
        <w:t>万元，其中：政府采购货物支出</w:t>
      </w:r>
      <w:r>
        <w:rPr>
          <w:rFonts w:hint="eastAsia" w:ascii="仿宋_GB2312"/>
          <w:szCs w:val="32"/>
          <w:lang w:val="en-US" w:eastAsia="zh-CN"/>
        </w:rPr>
        <w:t>1.96</w:t>
      </w:r>
      <w:r>
        <w:rPr>
          <w:rFonts w:hint="eastAsia" w:ascii="仿宋_GB2312"/>
          <w:szCs w:val="32"/>
        </w:rPr>
        <w:t>万元、政府采购工程支出</w:t>
      </w:r>
      <w:r>
        <w:rPr>
          <w:rFonts w:hint="eastAsia" w:ascii="仿宋_GB2312"/>
          <w:szCs w:val="32"/>
          <w:lang w:val="en-US" w:eastAsia="zh-CN"/>
        </w:rPr>
        <w:t>无</w:t>
      </w:r>
      <w:r>
        <w:rPr>
          <w:rFonts w:hint="eastAsia" w:ascii="仿宋_GB2312"/>
          <w:szCs w:val="32"/>
        </w:rPr>
        <w:t>、政府采购服务支出</w:t>
      </w:r>
      <w:r>
        <w:rPr>
          <w:rFonts w:hint="eastAsia" w:ascii="仿宋_GB2312"/>
          <w:szCs w:val="32"/>
          <w:lang w:val="en-US" w:eastAsia="zh-CN"/>
        </w:rPr>
        <w:t>29</w:t>
      </w:r>
      <w:r>
        <w:rPr>
          <w:rFonts w:hint="eastAsia" w:ascii="仿宋_GB2312"/>
          <w:szCs w:val="32"/>
        </w:rPr>
        <w:t>万元。政府采购授予中小企业合同金额</w:t>
      </w:r>
      <w:r>
        <w:rPr>
          <w:rFonts w:hint="eastAsia" w:ascii="仿宋_GB2312"/>
          <w:szCs w:val="32"/>
          <w:lang w:val="en-US" w:eastAsia="zh-CN"/>
        </w:rPr>
        <w:t>无</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年12月31日，本部门共有车辆</w:t>
      </w:r>
      <w:r>
        <w:rPr>
          <w:rFonts w:hint="eastAsia" w:ascii="仿宋_GB2312"/>
          <w:szCs w:val="32"/>
          <w:lang w:val="en-US" w:eastAsia="zh-CN"/>
        </w:rPr>
        <w:t>2</w:t>
      </w:r>
      <w:r>
        <w:rPr>
          <w:rFonts w:hint="eastAsia" w:ascii="仿宋_GB2312"/>
          <w:szCs w:val="32"/>
        </w:rPr>
        <w:t>辆。其中，主要领导干部用车</w:t>
      </w:r>
      <w:r>
        <w:rPr>
          <w:rFonts w:hint="eastAsia" w:ascii="仿宋_GB2312"/>
          <w:szCs w:val="32"/>
          <w:lang w:val="en-US" w:eastAsia="zh-CN"/>
        </w:rPr>
        <w:t>1</w:t>
      </w:r>
      <w:r>
        <w:rPr>
          <w:rFonts w:hint="eastAsia" w:ascii="仿宋_GB2312"/>
          <w:szCs w:val="32"/>
        </w:rPr>
        <w:t>辆、其他用车</w:t>
      </w:r>
      <w:r>
        <w:rPr>
          <w:rFonts w:hint="eastAsia" w:ascii="仿宋_GB2312"/>
          <w:szCs w:val="32"/>
          <w:lang w:val="en-US" w:eastAsia="zh-CN"/>
        </w:rPr>
        <w:t>1</w:t>
      </w:r>
      <w:r>
        <w:rPr>
          <w:rFonts w:hint="eastAsia" w:ascii="仿宋_GB2312"/>
          <w:szCs w:val="32"/>
        </w:rPr>
        <w:t>辆，其他用车主要是</w:t>
      </w:r>
      <w:r>
        <w:rPr>
          <w:rFonts w:hint="eastAsia" w:ascii="仿宋_GB2312"/>
          <w:szCs w:val="32"/>
          <w:lang w:val="en-US" w:eastAsia="zh-CN"/>
        </w:rPr>
        <w:t>公务用车</w:t>
      </w:r>
      <w:r>
        <w:rPr>
          <w:rFonts w:hint="eastAsia" w:ascii="仿宋_GB2312"/>
          <w:szCs w:val="32"/>
        </w:rPr>
        <w:t>；单价50万元（含）以上的通用设备</w:t>
      </w:r>
      <w:r>
        <w:rPr>
          <w:rFonts w:hint="eastAsia" w:ascii="仿宋_GB2312"/>
          <w:szCs w:val="32"/>
          <w:lang w:val="en-US" w:eastAsia="zh-CN"/>
        </w:rPr>
        <w:t>1</w:t>
      </w:r>
      <w:r>
        <w:rPr>
          <w:rFonts w:hint="eastAsia" w:ascii="仿宋_GB2312"/>
          <w:szCs w:val="32"/>
        </w:rPr>
        <w:t>套。</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2021年本单位无重点项目绩效目标</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p>
    <w:p>
      <w:pPr>
        <w:pStyle w:val="2"/>
        <w:ind w:left="0" w:leftChars="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单位名称：静乐县人民代表大会常务委员会办公室</w:t>
      </w:r>
    </w:p>
    <w:p>
      <w:pPr>
        <w:ind w:firstLine="3520" w:firstLineChars="11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5NmE0NzdkZjczYmZmMDA3YWY2ODYyZTViNDlmZDMifQ=="/>
  </w:docVars>
  <w:rsids>
    <w:rsidRoot w:val="495520D0"/>
    <w:rsid w:val="006B4666"/>
    <w:rsid w:val="03696819"/>
    <w:rsid w:val="061326C4"/>
    <w:rsid w:val="0B6C7FB9"/>
    <w:rsid w:val="117B4B42"/>
    <w:rsid w:val="15476B5E"/>
    <w:rsid w:val="15630ABF"/>
    <w:rsid w:val="16654CDD"/>
    <w:rsid w:val="17070EB2"/>
    <w:rsid w:val="1A4A5C33"/>
    <w:rsid w:val="1BF247F3"/>
    <w:rsid w:val="2701594C"/>
    <w:rsid w:val="27426717"/>
    <w:rsid w:val="30087837"/>
    <w:rsid w:val="341B59F9"/>
    <w:rsid w:val="35A80A4A"/>
    <w:rsid w:val="37943B50"/>
    <w:rsid w:val="3821117E"/>
    <w:rsid w:val="40603158"/>
    <w:rsid w:val="42C12CEC"/>
    <w:rsid w:val="443A2396"/>
    <w:rsid w:val="44401A62"/>
    <w:rsid w:val="47072FF7"/>
    <w:rsid w:val="495520D0"/>
    <w:rsid w:val="4A012068"/>
    <w:rsid w:val="533801CA"/>
    <w:rsid w:val="53A30631"/>
    <w:rsid w:val="5428374A"/>
    <w:rsid w:val="548308DD"/>
    <w:rsid w:val="57671164"/>
    <w:rsid w:val="5EC01F6A"/>
    <w:rsid w:val="63AB51DF"/>
    <w:rsid w:val="649C6DC9"/>
    <w:rsid w:val="6BB47DD3"/>
    <w:rsid w:val="6FFC3742"/>
    <w:rsid w:val="7032116D"/>
    <w:rsid w:val="715A78E4"/>
    <w:rsid w:val="75CF51C8"/>
    <w:rsid w:val="76A016FA"/>
    <w:rsid w:val="76F24D78"/>
    <w:rsid w:val="7761744D"/>
    <w:rsid w:val="7A772884"/>
    <w:rsid w:val="7BC4488E"/>
    <w:rsid w:val="7D545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4200</Words>
  <Characters>4724</Characters>
  <Lines>0</Lines>
  <Paragraphs>0</Paragraphs>
  <ScaleCrop>false</ScaleCrop>
  <LinksUpToDate>false</LinksUpToDate>
  <CharactersWithSpaces>4814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2022-08-22T09:08:10Z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05C027C6E0E2488D9C955526B94C4E50</vt:lpwstr>
  </property>
</Properties>
</file>