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auto"/>
          <w:sz w:val="44"/>
          <w:szCs w:val="44"/>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文学艺术工作者联合会（</w:t>
      </w:r>
      <w:r>
        <w:rPr>
          <w:rFonts w:hint="eastAsia" w:ascii="华文中宋" w:hAnsi="华文中宋" w:eastAsia="华文中宋"/>
          <w:color w:val="auto"/>
          <w:sz w:val="44"/>
          <w:szCs w:val="44"/>
          <w:lang w:val="en-US" w:eastAsia="zh-CN"/>
        </w:rPr>
        <w:t>单位</w:t>
      </w:r>
      <w:r>
        <w:rPr>
          <w:rFonts w:hint="eastAsia" w:ascii="华文中宋" w:hAnsi="华文中宋" w:eastAsia="华文中宋"/>
          <w:color w:val="auto"/>
          <w:sz w:val="44"/>
          <w:szCs w:val="44"/>
        </w:rPr>
        <w:t>）</w:t>
      </w:r>
    </w:p>
    <w:p>
      <w:pPr>
        <w:pStyle w:val="2"/>
        <w:ind w:left="0" w:leftChars="0" w:firstLine="0" w:firstLineChars="0"/>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5</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一、本部门职责</w:t>
      </w:r>
      <w:bookmarkEnd w:id="5"/>
      <w:bookmarkEnd w:id="6"/>
    </w:p>
    <w:p>
      <w:pPr>
        <w:pStyle w:val="3"/>
        <w:rPr>
          <w:rFonts w:hint="eastAsia" w:ascii="仿宋_GB2312" w:hAnsi="Times New Roman" w:eastAsia="仿宋_GB2312" w:cstheme="minorBidi"/>
          <w:b w:val="0"/>
          <w:color w:val="auto"/>
          <w:kern w:val="2"/>
          <w:sz w:val="32"/>
          <w:szCs w:val="32"/>
          <w:lang w:val="en-US" w:eastAsia="zh-CN" w:bidi="ar-SA"/>
        </w:rPr>
      </w:pPr>
      <w:r>
        <w:rPr>
          <w:rFonts w:hint="eastAsia" w:ascii="仿宋_GB2312" w:hAnsi="Times New Roman" w:eastAsia="仿宋_GB2312" w:cstheme="minorBidi"/>
          <w:b w:val="0"/>
          <w:color w:val="auto"/>
          <w:kern w:val="2"/>
          <w:sz w:val="32"/>
          <w:szCs w:val="32"/>
          <w:lang w:val="en-US" w:eastAsia="zh-CN" w:bidi="ar-SA"/>
        </w:rPr>
        <w:t>充分发挥党和政府与广大文艺家的桥梁和纽带作用，积极做好联络、服务、协调、指导工作，为繁荣静乐文学艺术做出应有贡献。</w:t>
      </w:r>
    </w:p>
    <w:p>
      <w:pPr>
        <w:pStyle w:val="3"/>
        <w:numPr>
          <w:ilvl w:val="0"/>
          <w:numId w:val="1"/>
        </w:numPr>
        <w:ind w:left="0" w:leftChars="0" w:firstLine="640" w:firstLineChars="200"/>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机构设置情况</w:t>
      </w:r>
      <w:bookmarkEnd w:id="7"/>
      <w:bookmarkEnd w:id="8"/>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文联参公事业编制5人。其中正科1人，副科1人，科员3人。单位实有6人，其中公务员2人，参公3人，事业人员1人。</w:t>
      </w:r>
    </w:p>
    <w:p>
      <w:pPr>
        <w:pStyle w:val="2"/>
        <w:ind w:left="0" w:leftChars="0" w:firstLine="0" w:firstLineChars="0"/>
        <w:jc w:val="center"/>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spacing w:line="580" w:lineRule="exact"/>
        <w:ind w:firstLine="640"/>
        <w:rPr>
          <w:rFonts w:hint="eastAsia" w:ascii="仿宋_GB2312"/>
          <w:color w:val="auto"/>
          <w:szCs w:val="32"/>
          <w:lang w:val="en-US" w:eastAsia="zh-CN"/>
        </w:rPr>
      </w:pPr>
      <w:bookmarkStart w:id="13" w:name="_Toc16754"/>
      <w:bookmarkStart w:id="14" w:name="_Toc17404"/>
      <w:r>
        <w:rPr>
          <w:rFonts w:hint="eastAsia" w:ascii="仿宋_GB2312"/>
          <w:color w:val="auto"/>
          <w:szCs w:val="32"/>
          <w:lang w:val="en-US" w:eastAsia="zh-CN"/>
        </w:rPr>
        <w:t>2021年度收入总计76.55998万元、支出总计76.55998万元。与2020年相比，收入总计减少11.14472元，减少12.7%，支出总计比上年减少11.14472元，减少12.7%。主要原因是印刷费减少。</w:t>
      </w:r>
    </w:p>
    <w:p>
      <w:pPr>
        <w:pStyle w:val="3"/>
        <w:rPr>
          <w:rFonts w:hint="eastAsia" w:ascii="仿宋" w:hAnsi="仿宋" w:eastAsia="仿宋" w:cs="仿宋"/>
          <w:b/>
          <w:bCs w:val="0"/>
          <w:color w:val="auto"/>
          <w:lang w:val="en-US" w:eastAsia="zh-CN"/>
        </w:rPr>
      </w:pPr>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本年收入合计76.55998万元，其中：财政拨款收入76.55998万元，占比100%；上级补助收入0万元，占比0%；事业收入0万元，占比0%；经营收入0万元，占比0%。附属单位上缴收入0万元，占比0%；其他收入0万元，占比0%。</w:t>
      </w:r>
    </w:p>
    <w:p>
      <w:pPr>
        <w:pStyle w:val="3"/>
        <w:ind w:left="0" w:leftChars="0" w:firstLine="643" w:firstLineChars="200"/>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本年支出合计76.55998万元，其中：基本支出55.55998万元，占比72.57%；项目支出21万元，占比27.43%，上缴上级支出0万元，占比0%，经营支出0万元，占比0%,对附属单位补助支出0万元，占比0%。</w:t>
      </w:r>
    </w:p>
    <w:p>
      <w:pPr>
        <w:spacing w:line="580" w:lineRule="exact"/>
        <w:ind w:firstLine="640"/>
        <w:rPr>
          <w:rFonts w:hint="eastAsia" w:ascii="仿宋_GB2312"/>
          <w:color w:val="auto"/>
          <w:szCs w:val="32"/>
        </w:rPr>
      </w:pPr>
    </w:p>
    <w:p>
      <w:pPr>
        <w:pStyle w:val="3"/>
        <w:rPr>
          <w:rFonts w:hint="eastAsia" w:ascii="仿宋" w:hAnsi="仿宋" w:eastAsia="仿宋" w:cs="仿宋"/>
          <w:b/>
          <w:bCs w:val="0"/>
          <w:color w:val="auto"/>
          <w:lang w:val="en-US" w:eastAsia="zh-CN"/>
        </w:rPr>
      </w:pPr>
      <w:bookmarkStart w:id="17" w:name="_Toc2142"/>
      <w:bookmarkStart w:id="18" w:name="_Toc4614"/>
      <w:r>
        <w:rPr>
          <w:rFonts w:hint="eastAsia" w:ascii="仿宋" w:hAnsi="仿宋" w:eastAsia="仿宋" w:cs="仿宋"/>
          <w:b/>
          <w:bCs w:val="0"/>
          <w:color w:val="auto"/>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color w:val="auto"/>
          <w:szCs w:val="32"/>
          <w:lang w:val="en-US" w:eastAsia="zh-CN"/>
        </w:rPr>
        <w:t>2021年度财政拨款收入总计76.55998万元、支出总计76.55998万元。与2020年相比，财政拨款收入总计减少11.14472万元，减少12.7%，财政拨款支出总计减少11.14472万元，减少12.7%。主要原因是印刷费减少。</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2021年度财政拨款支出76.55998万元，占本年支出合计的100%。与2020年相比，财政拨款支出减少11.14472万元，减少12.7%。主要原因是印刷费减少。其中，政府性基金预算支出0万元，占比0%。</w:t>
      </w:r>
    </w:p>
    <w:p>
      <w:pPr>
        <w:spacing w:line="580" w:lineRule="exact"/>
        <w:ind w:firstLine="640"/>
        <w:rPr>
          <w:rFonts w:hint="eastAsia" w:ascii="仿宋_GB2312"/>
          <w:color w:val="auto"/>
          <w:szCs w:val="32"/>
        </w:rPr>
      </w:pP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lang w:val="en-US" w:eastAsia="zh-CN"/>
        </w:rPr>
      </w:pPr>
      <w:r>
        <w:rPr>
          <w:rFonts w:hint="eastAsia" w:ascii="仿宋_GB2312"/>
          <w:color w:val="auto"/>
          <w:szCs w:val="32"/>
          <w:lang w:val="en-US" w:eastAsia="zh-CN"/>
        </w:rPr>
        <w:t>2021年度财政拨款支出76.55998万元，主要用于以下方面：一般公共服务（类）支出76.55998万元，占100%；</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年度财政拨款支出年初预算77</w:t>
      </w:r>
      <w:r>
        <w:rPr>
          <w:rFonts w:hint="eastAsia"/>
          <w:color w:val="auto"/>
          <w:szCs w:val="32"/>
          <w:lang w:val="en-US" w:eastAsia="zh-CN"/>
        </w:rPr>
        <w:t>.</w:t>
      </w:r>
      <w:r>
        <w:rPr>
          <w:rFonts w:hint="eastAsia"/>
          <w:color w:val="auto"/>
          <w:szCs w:val="32"/>
        </w:rPr>
        <w:t>7621万元，支出决算76</w:t>
      </w:r>
      <w:r>
        <w:rPr>
          <w:rFonts w:hint="eastAsia"/>
          <w:color w:val="auto"/>
          <w:szCs w:val="32"/>
          <w:lang w:val="en-US" w:eastAsia="zh-CN"/>
        </w:rPr>
        <w:t>.</w:t>
      </w:r>
      <w:r>
        <w:rPr>
          <w:rFonts w:hint="eastAsia"/>
          <w:color w:val="auto"/>
          <w:szCs w:val="32"/>
        </w:rPr>
        <w:t>55998万元，完成年初预算的</w:t>
      </w:r>
      <w:r>
        <w:rPr>
          <w:rFonts w:hint="eastAsia"/>
          <w:color w:val="auto"/>
          <w:szCs w:val="32"/>
          <w:lang w:val="en-US" w:eastAsia="zh-CN"/>
        </w:rPr>
        <w:t>98.45%</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widowControl/>
              <w:ind w:left="0" w:leftChars="0" w:firstLine="0" w:firstLineChars="0"/>
              <w:jc w:val="center"/>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center"/>
          </w:tcPr>
          <w:p>
            <w:pPr>
              <w:widowControl/>
              <w:ind w:left="0" w:leftChars="0" w:firstLine="0" w:firstLineChars="0"/>
              <w:jc w:val="center"/>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center"/>
          </w:tcPr>
          <w:p>
            <w:pPr>
              <w:widowControl/>
              <w:ind w:left="0" w:leftChars="0" w:firstLine="0" w:firstLineChars="0"/>
              <w:jc w:val="center"/>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center"/>
          </w:tcPr>
          <w:p>
            <w:pPr>
              <w:widowControl/>
              <w:ind w:left="0" w:leftChars="0" w:firstLine="0" w:firstLineChars="0"/>
              <w:jc w:val="center"/>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center"/>
          </w:tcPr>
          <w:p>
            <w:pPr>
              <w:widowControl/>
              <w:ind w:left="0" w:leftChars="0" w:firstLine="0" w:firstLineChars="0"/>
              <w:jc w:val="center"/>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201</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一般公共服务支出</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color w:val="auto"/>
                <w:spacing w:val="0"/>
                <w:w w:val="100"/>
                <w:sz w:val="28"/>
                <w:szCs w:val="28"/>
                <w:lang w:val="en-US" w:eastAsia="zh-CN"/>
              </w:rPr>
              <w:t>87.7047</w:t>
            </w:r>
          </w:p>
        </w:tc>
        <w:tc>
          <w:tcPr>
            <w:tcW w:w="1684" w:type="dxa"/>
            <w:vAlign w:val="center"/>
          </w:tcPr>
          <w:p>
            <w:pPr>
              <w:keepNext w:val="0"/>
              <w:keepLines w:val="0"/>
              <w:widowControl/>
              <w:suppressLineNumbers w:val="0"/>
              <w:ind w:left="0" w:leftChars="0"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76.55998</w:t>
            </w:r>
          </w:p>
        </w:tc>
        <w:tc>
          <w:tcPr>
            <w:tcW w:w="1393" w:type="dxa"/>
            <w:vAlign w:val="center"/>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_GB2312"/>
                <w:color w:val="auto"/>
                <w:sz w:val="28"/>
                <w:szCs w:val="28"/>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29</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8"/>
                <w:szCs w:val="28"/>
                <w:lang w:val="en-US" w:eastAsia="zh-CN"/>
              </w:rPr>
              <w:t>群众团体事务</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color w:val="auto"/>
                <w:spacing w:val="0"/>
                <w:w w:val="100"/>
                <w:sz w:val="28"/>
                <w:szCs w:val="28"/>
                <w:lang w:val="en-US" w:eastAsia="zh-CN"/>
              </w:rPr>
              <w:t>87.7047</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76.55998</w:t>
            </w:r>
          </w:p>
        </w:tc>
        <w:tc>
          <w:tcPr>
            <w:tcW w:w="1393" w:type="dxa"/>
            <w:vAlign w:val="center"/>
          </w:tcPr>
          <w:p>
            <w:pPr>
              <w:ind w:left="0" w:leftChars="0" w:firstLine="0" w:firstLineChars="0"/>
              <w:jc w:val="both"/>
              <w:rPr>
                <w:rFonts w:hint="eastAsia" w:ascii="仿宋" w:hAnsi="仿宋" w:eastAsia="仿宋" w:cs="仿宋"/>
                <w:color w:val="auto"/>
                <w:sz w:val="24"/>
                <w:szCs w:val="24"/>
              </w:rPr>
            </w:pPr>
            <w:r>
              <w:rPr>
                <w:rFonts w:hint="eastAsia" w:ascii="仿宋_GB2312"/>
                <w:color w:val="auto"/>
                <w:sz w:val="28"/>
                <w:szCs w:val="28"/>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2901</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4"/>
                <w:szCs w:val="24"/>
              </w:rPr>
              <w:t>行政运行</w:t>
            </w:r>
          </w:p>
        </w:tc>
        <w:tc>
          <w:tcPr>
            <w:tcW w:w="1876"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仿宋" w:hAnsi="仿宋" w:eastAsia="仿宋" w:cs="仿宋"/>
                <w:color w:val="auto"/>
                <w:spacing w:val="0"/>
                <w:w w:val="100"/>
                <w:sz w:val="28"/>
                <w:szCs w:val="28"/>
                <w:lang w:val="en-US" w:eastAsia="zh-CN"/>
              </w:rPr>
              <w:t>71.7047</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55.55998</w:t>
            </w:r>
          </w:p>
        </w:tc>
        <w:tc>
          <w:tcPr>
            <w:tcW w:w="1393" w:type="dxa"/>
            <w:vAlign w:val="center"/>
          </w:tcPr>
          <w:p>
            <w:pPr>
              <w:ind w:left="0" w:leftChars="0" w:firstLine="0" w:firstLineChars="0"/>
              <w:jc w:val="both"/>
              <w:rPr>
                <w:rFonts w:hint="default" w:ascii="仿宋" w:hAnsi="仿宋" w:eastAsia="仿宋" w:cs="仿宋"/>
                <w:color w:val="auto"/>
                <w:sz w:val="24"/>
                <w:szCs w:val="24"/>
                <w:lang w:val="en-US" w:eastAsia="zh-CN"/>
              </w:rPr>
            </w:pPr>
            <w:r>
              <w:rPr>
                <w:rFonts w:hint="eastAsia" w:ascii="仿宋" w:hAnsi="仿宋" w:eastAsia="仿宋" w:cs="仿宋"/>
                <w:color w:val="auto"/>
                <w:sz w:val="28"/>
                <w:szCs w:val="28"/>
                <w:lang w:val="en-US"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ind w:left="0" w:leftChars="0" w:firstLine="0" w:firstLineChars="0"/>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201</w:t>
            </w:r>
            <w:r>
              <w:rPr>
                <w:rFonts w:hint="eastAsia" w:ascii="仿宋" w:hAnsi="仿宋" w:eastAsia="仿宋" w:cs="仿宋"/>
                <w:color w:val="auto"/>
                <w:sz w:val="24"/>
                <w:szCs w:val="24"/>
                <w:lang w:val="en-US" w:eastAsia="zh-CN"/>
              </w:rPr>
              <w:t>2999</w:t>
            </w:r>
          </w:p>
        </w:tc>
        <w:tc>
          <w:tcPr>
            <w:tcW w:w="2479" w:type="dxa"/>
            <w:vAlign w:val="center"/>
          </w:tcPr>
          <w:p>
            <w:pPr>
              <w:ind w:left="0" w:leftChars="0" w:firstLine="0" w:firstLineChars="0"/>
              <w:jc w:val="center"/>
              <w:rPr>
                <w:rFonts w:hint="eastAsia" w:ascii="仿宋" w:hAnsi="仿宋" w:eastAsia="仿宋" w:cs="仿宋"/>
                <w:color w:val="auto"/>
                <w:sz w:val="24"/>
                <w:szCs w:val="24"/>
              </w:rPr>
            </w:pPr>
            <w:r>
              <w:rPr>
                <w:rFonts w:hint="eastAsia" w:ascii="仿宋" w:hAnsi="仿宋" w:eastAsia="仿宋" w:cs="仿宋"/>
                <w:color w:val="auto"/>
                <w:sz w:val="28"/>
                <w:szCs w:val="28"/>
              </w:rPr>
              <w:t>其他群众团体事务支出</w:t>
            </w:r>
          </w:p>
        </w:tc>
        <w:tc>
          <w:tcPr>
            <w:tcW w:w="1876" w:type="dxa"/>
            <w:vAlign w:val="center"/>
          </w:tcPr>
          <w:p>
            <w:pPr>
              <w:ind w:left="0" w:leftChars="0" w:firstLine="0" w:firstLineChars="0"/>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16</w:t>
            </w:r>
          </w:p>
        </w:tc>
        <w:tc>
          <w:tcPr>
            <w:tcW w:w="1684" w:type="dxa"/>
            <w:vAlign w:val="center"/>
          </w:tcPr>
          <w:p>
            <w:pPr>
              <w:ind w:left="0" w:leftChars="0" w:firstLine="0" w:firstLineChars="0"/>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21</w:t>
            </w:r>
          </w:p>
        </w:tc>
        <w:tc>
          <w:tcPr>
            <w:tcW w:w="1393" w:type="dxa"/>
            <w:vAlign w:val="center"/>
          </w:tcPr>
          <w:p>
            <w:pPr>
              <w:ind w:left="0" w:leftChars="0" w:firstLine="0" w:firstLineChars="0"/>
              <w:jc w:val="both"/>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31.25%</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87.7047</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76.55998</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_GB2312"/>
                <w:color w:val="auto"/>
                <w:sz w:val="28"/>
                <w:szCs w:val="28"/>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52.3839</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53</w:t>
            </w:r>
            <w:r>
              <w:rPr>
                <w:rFonts w:hint="eastAsia" w:ascii="仿宋" w:hAnsi="仿宋" w:eastAsia="仿宋" w:cs="仿宋"/>
                <w:color w:val="auto"/>
                <w:kern w:val="0"/>
                <w:sz w:val="28"/>
                <w:szCs w:val="28"/>
                <w:lang w:val="en-US" w:eastAsia="zh-CN"/>
              </w:rPr>
              <w:t>.</w:t>
            </w:r>
            <w:r>
              <w:rPr>
                <w:rFonts w:hint="eastAsia" w:ascii="仿宋" w:hAnsi="仿宋" w:eastAsia="仿宋" w:cs="仿宋"/>
                <w:color w:val="auto"/>
                <w:kern w:val="0"/>
                <w:sz w:val="28"/>
                <w:szCs w:val="28"/>
              </w:rPr>
              <w:t>5121</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35.3208</w:t>
            </w:r>
          </w:p>
        </w:tc>
        <w:tc>
          <w:tcPr>
            <w:tcW w:w="2071" w:type="dxa"/>
            <w:vAlign w:val="center"/>
          </w:tcPr>
          <w:p>
            <w:pPr>
              <w:keepNext w:val="0"/>
              <w:keepLines w:val="0"/>
              <w:widowControl/>
              <w:suppressLineNumbers w:val="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23.04788</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071"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0</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tabs>
                <w:tab w:val="left" w:pos="859"/>
              </w:tabs>
              <w:jc w:val="center"/>
              <w:rPr>
                <w:rFonts w:hint="default" w:ascii="仿宋" w:hAnsi="仿宋" w:eastAsia="仿宋" w:cs="仿宋"/>
                <w:color w:val="auto"/>
                <w:kern w:val="0"/>
                <w:sz w:val="28"/>
                <w:szCs w:val="28"/>
                <w:lang w:val="en-US" w:eastAsia="zh-CN"/>
              </w:rPr>
            </w:pPr>
          </w:p>
        </w:tc>
        <w:tc>
          <w:tcPr>
            <w:tcW w:w="2071" w:type="dxa"/>
            <w:vAlign w:val="center"/>
          </w:tcPr>
          <w:p>
            <w:pPr>
              <w:keepNext w:val="0"/>
              <w:keepLines w:val="0"/>
              <w:widowControl/>
              <w:suppressLineNumbers w:val="0"/>
              <w:jc w:val="center"/>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rPr>
        <w:t>55</w:t>
      </w:r>
      <w:r>
        <w:rPr>
          <w:rFonts w:hint="eastAsia" w:ascii="仿宋_GB2312"/>
          <w:color w:val="auto"/>
          <w:szCs w:val="32"/>
          <w:lang w:val="en-US" w:eastAsia="zh-CN"/>
        </w:rPr>
        <w:t>.</w:t>
      </w:r>
      <w:r>
        <w:rPr>
          <w:rFonts w:hint="eastAsia" w:ascii="仿宋_GB2312"/>
          <w:color w:val="auto"/>
          <w:szCs w:val="32"/>
        </w:rPr>
        <w:t>55998万元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rPr>
        <w:t>53</w:t>
      </w:r>
      <w:r>
        <w:rPr>
          <w:rFonts w:hint="eastAsia" w:ascii="仿宋_GB2312"/>
          <w:color w:val="auto"/>
          <w:szCs w:val="32"/>
          <w:lang w:val="en-US" w:eastAsia="zh-CN"/>
        </w:rPr>
        <w:t>.</w:t>
      </w:r>
      <w:r>
        <w:rPr>
          <w:rFonts w:hint="eastAsia" w:ascii="仿宋_GB2312"/>
          <w:color w:val="auto"/>
          <w:szCs w:val="32"/>
        </w:rPr>
        <w:t>5121万元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工资、医保、养老保险、住房公积金等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rPr>
        <w:t>2</w:t>
      </w:r>
      <w:r>
        <w:rPr>
          <w:rFonts w:hint="eastAsia" w:ascii="仿宋_GB2312"/>
          <w:color w:val="auto"/>
          <w:szCs w:val="32"/>
          <w:lang w:val="en-US" w:eastAsia="zh-CN"/>
        </w:rPr>
        <w:t>.</w:t>
      </w:r>
      <w:r>
        <w:rPr>
          <w:rFonts w:hint="eastAsia" w:ascii="仿宋_GB2312"/>
          <w:color w:val="auto"/>
          <w:szCs w:val="32"/>
        </w:rPr>
        <w:t>04788万元</w:t>
      </w:r>
      <w:r>
        <w:rPr>
          <w:rFonts w:ascii="仿宋_GB2312"/>
          <w:color w:val="auto"/>
          <w:szCs w:val="32"/>
        </w:rPr>
        <w:t>，主要包括</w:t>
      </w:r>
      <w:r>
        <w:rPr>
          <w:rFonts w:hint="eastAsia" w:ascii="仿宋_GB2312"/>
          <w:color w:val="auto"/>
          <w:szCs w:val="32"/>
          <w:lang w:eastAsia="zh-CN"/>
        </w:rPr>
        <w:t>办公费、劳务费、工会福利费等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21</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 w:val="32"/>
          <w:szCs w:val="32"/>
        </w:rPr>
      </w:pPr>
      <w:r>
        <w:rPr>
          <w:rFonts w:hint="eastAsia" w:ascii="仿宋_GB2312"/>
          <w:color w:val="auto"/>
          <w:sz w:val="32"/>
          <w:szCs w:val="32"/>
        </w:rPr>
        <w:t>20</w:t>
      </w:r>
      <w:r>
        <w:rPr>
          <w:rFonts w:hint="eastAsia" w:ascii="仿宋_GB2312"/>
          <w:color w:val="auto"/>
          <w:sz w:val="32"/>
          <w:szCs w:val="32"/>
          <w:lang w:val="en-US" w:eastAsia="zh-CN"/>
        </w:rPr>
        <w:t>21</w:t>
      </w:r>
      <w:r>
        <w:rPr>
          <w:rFonts w:hint="eastAsia" w:ascii="仿宋_GB2312"/>
          <w:color w:val="auto"/>
          <w:sz w:val="32"/>
          <w:szCs w:val="32"/>
        </w:rPr>
        <w:t>年度，</w:t>
      </w:r>
      <w:r>
        <w:rPr>
          <w:rFonts w:hint="eastAsia"/>
          <w:b w:val="0"/>
          <w:bCs/>
          <w:color w:val="auto"/>
          <w:sz w:val="32"/>
          <w:szCs w:val="32"/>
        </w:rPr>
        <w:t>本</w:t>
      </w:r>
      <w:r>
        <w:rPr>
          <w:rFonts w:hint="eastAsia"/>
          <w:b w:val="0"/>
          <w:bCs/>
          <w:color w:val="auto"/>
          <w:sz w:val="32"/>
          <w:szCs w:val="32"/>
          <w:lang w:val="en-US" w:eastAsia="zh-CN"/>
        </w:rPr>
        <w:t>单位</w:t>
      </w:r>
      <w:r>
        <w:rPr>
          <w:rFonts w:hint="eastAsia"/>
          <w:b w:val="0"/>
          <w:bCs/>
          <w:color w:val="auto"/>
          <w:sz w:val="32"/>
          <w:szCs w:val="32"/>
        </w:rPr>
        <w:t>无</w:t>
      </w:r>
      <w:r>
        <w:rPr>
          <w:rFonts w:hint="eastAsia"/>
          <w:color w:val="auto"/>
          <w:sz w:val="32"/>
          <w:szCs w:val="32"/>
        </w:rPr>
        <w:t>因公出国（境）费</w:t>
      </w:r>
      <w:r>
        <w:rPr>
          <w:rFonts w:hint="eastAsia"/>
          <w:color w:val="auto"/>
          <w:sz w:val="32"/>
          <w:szCs w:val="32"/>
          <w:lang w:eastAsia="zh-CN"/>
        </w:rPr>
        <w:t>、</w:t>
      </w:r>
      <w:r>
        <w:rPr>
          <w:rFonts w:hint="eastAsia"/>
          <w:color w:val="auto"/>
          <w:sz w:val="32"/>
          <w:szCs w:val="32"/>
        </w:rPr>
        <w:t>公务接待费</w:t>
      </w:r>
      <w:r>
        <w:rPr>
          <w:rFonts w:hint="eastAsia"/>
          <w:color w:val="auto"/>
          <w:sz w:val="32"/>
          <w:szCs w:val="32"/>
          <w:lang w:eastAsia="zh-CN"/>
        </w:rPr>
        <w:t>、</w:t>
      </w:r>
      <w:r>
        <w:rPr>
          <w:rFonts w:hint="eastAsia"/>
          <w:color w:val="auto"/>
          <w:sz w:val="32"/>
          <w:szCs w:val="32"/>
        </w:rPr>
        <w:t>公务用车购置及运行维护费</w:t>
      </w:r>
      <w:r>
        <w:rPr>
          <w:rFonts w:hint="eastAsia"/>
          <w:b w:val="0"/>
          <w:bCs/>
          <w:color w:val="auto"/>
          <w:sz w:val="32"/>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CellMar>
            <w:top w:w="0" w:type="dxa"/>
            <w:left w:w="108" w:type="dxa"/>
            <w:bottom w:w="0" w:type="dxa"/>
            <w:right w:w="108" w:type="dxa"/>
          </w:tblCellMar>
        </w:tblPrEx>
        <w:trPr>
          <w:jc w:val="center"/>
        </w:trPr>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0</w:t>
            </w: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eastAsia" w:eastAsia="仿宋_GB2312"/>
          <w:b/>
          <w:color w:val="auto"/>
          <w:szCs w:val="32"/>
          <w:lang w:eastAsia="zh-CN"/>
        </w:rPr>
      </w:pPr>
      <w:r>
        <w:rPr>
          <w:rFonts w:hint="eastAsia" w:ascii="仿宋_GB2312" w:hAnsi="宋体"/>
          <w:color w:val="auto"/>
          <w:szCs w:val="32"/>
        </w:rPr>
        <w:t>20</w:t>
      </w:r>
      <w:r>
        <w:rPr>
          <w:rFonts w:hint="eastAsia" w:ascii="仿宋_GB2312" w:hAnsi="宋体"/>
          <w:color w:val="auto"/>
          <w:szCs w:val="32"/>
          <w:lang w:val="en-US" w:eastAsia="zh-CN"/>
        </w:rPr>
        <w:t>21</w:t>
      </w:r>
      <w:r>
        <w:rPr>
          <w:rFonts w:hint="eastAsia" w:ascii="仿宋_GB2312" w:hAnsi="宋体"/>
          <w:color w:val="auto"/>
          <w:szCs w:val="32"/>
        </w:rPr>
        <w:t>年本</w:t>
      </w:r>
      <w:r>
        <w:rPr>
          <w:rFonts w:hint="eastAsia" w:ascii="仿宋_GB2312" w:hAnsi="宋体"/>
          <w:color w:val="auto"/>
          <w:szCs w:val="32"/>
          <w:lang w:val="en-US" w:eastAsia="zh-CN"/>
        </w:rPr>
        <w:t>单位</w:t>
      </w:r>
      <w:r>
        <w:rPr>
          <w:rFonts w:hint="eastAsia" w:ascii="仿宋_GB2312" w:hAnsi="宋体"/>
          <w:color w:val="auto"/>
          <w:szCs w:val="32"/>
        </w:rPr>
        <w:t>机关运行经费支出</w:t>
      </w:r>
      <w:r>
        <w:rPr>
          <w:rFonts w:hint="eastAsia" w:ascii="仿宋_GB2312" w:hAnsi="宋体"/>
          <w:color w:val="auto"/>
          <w:szCs w:val="32"/>
          <w:lang w:val="en-US" w:eastAsia="zh-CN"/>
        </w:rPr>
        <w:t>2.04788</w:t>
      </w:r>
      <w:r>
        <w:rPr>
          <w:rFonts w:hint="eastAsia" w:ascii="仿宋_GB2312" w:hAnsi="宋体"/>
          <w:color w:val="auto"/>
          <w:szCs w:val="32"/>
        </w:rPr>
        <w:t>万元，比20</w:t>
      </w:r>
      <w:r>
        <w:rPr>
          <w:rFonts w:hint="eastAsia" w:ascii="仿宋_GB2312" w:hAnsi="宋体"/>
          <w:color w:val="auto"/>
          <w:szCs w:val="32"/>
          <w:lang w:val="en-US" w:eastAsia="zh-CN"/>
        </w:rPr>
        <w:t>20</w:t>
      </w:r>
      <w:r>
        <w:rPr>
          <w:rFonts w:hint="eastAsia" w:ascii="仿宋_GB2312" w:hAnsi="宋体"/>
          <w:color w:val="auto"/>
          <w:szCs w:val="32"/>
        </w:rPr>
        <w:t>年减少17</w:t>
      </w:r>
      <w:r>
        <w:rPr>
          <w:rFonts w:hint="eastAsia" w:ascii="仿宋_GB2312" w:hAnsi="宋体"/>
          <w:color w:val="auto"/>
          <w:szCs w:val="32"/>
          <w:lang w:val="en-US" w:eastAsia="zh-CN"/>
        </w:rPr>
        <w:t>.</w:t>
      </w:r>
      <w:r>
        <w:rPr>
          <w:rFonts w:hint="eastAsia" w:ascii="仿宋_GB2312" w:hAnsi="宋体"/>
          <w:color w:val="auto"/>
          <w:szCs w:val="32"/>
        </w:rPr>
        <w:t>27292万元，降低</w:t>
      </w:r>
      <w:r>
        <w:rPr>
          <w:rFonts w:hint="eastAsia" w:ascii="仿宋_GB2312" w:hAnsi="宋体"/>
          <w:color w:val="auto"/>
          <w:szCs w:val="32"/>
          <w:lang w:val="en-US" w:eastAsia="zh-CN"/>
        </w:rPr>
        <w:t>89.4</w:t>
      </w:r>
      <w:r>
        <w:rPr>
          <w:rFonts w:hint="eastAsia" w:ascii="仿宋_GB2312" w:hAnsi="宋体"/>
          <w:color w:val="auto"/>
          <w:szCs w:val="32"/>
        </w:rPr>
        <w:t>%。主要原因是：</w:t>
      </w:r>
      <w:r>
        <w:rPr>
          <w:rFonts w:hint="eastAsia" w:ascii="仿宋_GB2312" w:hAnsi="宋体"/>
          <w:color w:val="auto"/>
          <w:szCs w:val="32"/>
          <w:lang w:eastAsia="zh-CN"/>
        </w:rPr>
        <w:t>上年机关运行经费里有印刷费。</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color w:val="auto"/>
          <w:sz w:val="32"/>
          <w:szCs w:val="32"/>
          <w:lang w:eastAsia="zh-CN"/>
        </w:rPr>
        <w:t>本单位无政府采购。</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color w:val="auto"/>
          <w:sz w:val="32"/>
          <w:szCs w:val="32"/>
          <w:lang w:val="en-US" w:eastAsia="zh-CN"/>
        </w:rPr>
      </w:pPr>
      <w:r>
        <w:rPr>
          <w:rFonts w:hint="eastAsia"/>
          <w:color w:val="auto"/>
          <w:sz w:val="32"/>
          <w:szCs w:val="32"/>
        </w:rPr>
        <w:t>1、车辆情况</w:t>
      </w:r>
      <w:r>
        <w:rPr>
          <w:rFonts w:hint="eastAsia"/>
          <w:color w:val="auto"/>
          <w:sz w:val="32"/>
          <w:szCs w:val="32"/>
          <w:lang w:eastAsia="zh-CN"/>
        </w:rPr>
        <w:t>：</w:t>
      </w:r>
      <w:r>
        <w:rPr>
          <w:rFonts w:hint="eastAsia"/>
          <w:color w:val="auto"/>
          <w:sz w:val="32"/>
          <w:szCs w:val="32"/>
          <w:lang w:val="en-US" w:eastAsia="zh-CN"/>
        </w:rPr>
        <w:t>静乐县文联无公车。</w:t>
      </w:r>
    </w:p>
    <w:p>
      <w:pPr>
        <w:spacing w:line="580" w:lineRule="exact"/>
        <w:ind w:firstLine="640"/>
        <w:rPr>
          <w:rFonts w:hint="eastAsia"/>
          <w:color w:val="auto"/>
          <w:sz w:val="32"/>
          <w:szCs w:val="32"/>
        </w:rPr>
      </w:pPr>
      <w:r>
        <w:rPr>
          <w:rFonts w:hint="eastAsia"/>
          <w:color w:val="auto"/>
          <w:sz w:val="32"/>
          <w:szCs w:val="32"/>
        </w:rPr>
        <w:t>2、房屋情况</w:t>
      </w:r>
      <w:r>
        <w:rPr>
          <w:rFonts w:hint="eastAsia"/>
          <w:color w:val="auto"/>
          <w:sz w:val="32"/>
          <w:szCs w:val="32"/>
          <w:lang w:eastAsia="zh-CN"/>
        </w:rPr>
        <w:t>：</w:t>
      </w:r>
      <w:r>
        <w:rPr>
          <w:rFonts w:hint="eastAsia"/>
          <w:color w:val="auto"/>
          <w:sz w:val="32"/>
          <w:szCs w:val="32"/>
          <w:lang w:val="en-US" w:eastAsia="zh-CN"/>
        </w:rPr>
        <w:t>静乐县文联无房产。借静乐县文化活动中心办公室办公。</w:t>
      </w:r>
    </w:p>
    <w:p>
      <w:pPr>
        <w:spacing w:line="580" w:lineRule="exact"/>
        <w:ind w:firstLine="640"/>
        <w:rPr>
          <w:rFonts w:hint="eastAsia"/>
          <w:color w:val="auto"/>
          <w:sz w:val="32"/>
          <w:szCs w:val="32"/>
          <w:lang w:val="en-US" w:eastAsia="zh-CN"/>
        </w:rPr>
      </w:pPr>
      <w:r>
        <w:rPr>
          <w:rFonts w:hint="eastAsia"/>
          <w:color w:val="auto"/>
          <w:sz w:val="32"/>
          <w:szCs w:val="32"/>
        </w:rPr>
        <w:t>3、其他国有资产占有使用情况</w:t>
      </w:r>
      <w:r>
        <w:rPr>
          <w:rFonts w:hint="eastAsia"/>
          <w:color w:val="auto"/>
          <w:sz w:val="32"/>
          <w:szCs w:val="32"/>
          <w:lang w:eastAsia="zh-CN"/>
        </w:rPr>
        <w:t>：</w:t>
      </w:r>
      <w:r>
        <w:rPr>
          <w:rFonts w:hint="eastAsia"/>
          <w:color w:val="auto"/>
          <w:sz w:val="32"/>
          <w:szCs w:val="32"/>
          <w:lang w:val="en-US" w:eastAsia="zh-CN"/>
        </w:rPr>
        <w:t>静乐县文联无</w:t>
      </w:r>
      <w:r>
        <w:rPr>
          <w:rFonts w:hint="eastAsia"/>
          <w:color w:val="auto"/>
          <w:sz w:val="32"/>
          <w:szCs w:val="32"/>
        </w:rPr>
        <w:t>其他国有资产</w:t>
      </w:r>
      <w:r>
        <w:rPr>
          <w:rFonts w:hint="eastAsia"/>
          <w:color w:val="auto"/>
          <w:sz w:val="32"/>
          <w:szCs w:val="32"/>
          <w:lang w:eastAsia="zh-CN"/>
        </w:rPr>
        <w:t>。</w:t>
      </w:r>
    </w:p>
    <w:p>
      <w:pPr>
        <w:spacing w:line="580" w:lineRule="exact"/>
        <w:ind w:firstLine="640"/>
        <w:rPr>
          <w:rFonts w:hint="eastAsia" w:ascii="仿宋_GB2312"/>
          <w:color w:val="auto"/>
          <w:szCs w:val="32"/>
        </w:rPr>
      </w:pP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3"/>
        </w:numPr>
        <w:ind w:firstLine="643" w:firstLineChars="200"/>
        <w:rPr>
          <w:rFonts w:hint="eastAsia" w:ascii="仿宋_GB2312" w:hAnsi="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r>
        <w:rPr>
          <w:rFonts w:hint="eastAsia" w:ascii="仿宋_GB2312" w:hAnsi="仿宋_GB2312" w:eastAsia="仿宋_GB2312" w:cs="仿宋_GB2312"/>
          <w:color w:val="auto"/>
          <w:sz w:val="32"/>
          <w:szCs w:val="32"/>
          <w:lang w:val="en-US" w:eastAsia="zh-CN"/>
        </w:rPr>
        <w:t>静乐县文联2021年度</w:t>
      </w:r>
      <w:r>
        <w:rPr>
          <w:rFonts w:hint="eastAsia" w:ascii="仿宋_GB2312" w:hAnsi="仿宋_GB2312" w:cs="仿宋_GB2312"/>
          <w:color w:val="auto"/>
          <w:sz w:val="32"/>
          <w:szCs w:val="32"/>
          <w:lang w:val="en-US" w:eastAsia="zh-CN"/>
        </w:rPr>
        <w:t>无县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eastAsia="仿宋_GB2312" w:cs="仿宋_GB2312"/>
          <w:color w:val="auto"/>
          <w:sz w:val="32"/>
          <w:szCs w:val="32"/>
          <w:lang w:val="en-US" w:eastAsia="zh-CN"/>
        </w:rPr>
        <w:t>和</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00万元以上的经费补助类项目支出</w:t>
      </w:r>
      <w:r>
        <w:rPr>
          <w:rFonts w:hint="eastAsia" w:ascii="仿宋_GB2312" w:hAnsi="仿宋_GB2312" w:cs="仿宋_GB2312"/>
          <w:color w:val="auto"/>
          <w:sz w:val="32"/>
          <w:szCs w:val="32"/>
          <w:lang w:val="en-US" w:eastAsia="zh-CN"/>
        </w:rPr>
        <w:t>。</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pStyle w:val="11"/>
        <w:rPr>
          <w:rFonts w:hint="eastAsia" w:ascii="仿宋_GB2312" w:hAnsi="仿宋_GB2312" w:eastAsia="仿宋_GB2312" w:cs="仿宋_GB2312"/>
          <w:color w:val="auto"/>
          <w:sz w:val="32"/>
          <w:szCs w:val="32"/>
          <w:lang w:val="en-US" w:eastAsia="zh-CN"/>
        </w:rPr>
      </w:pPr>
      <w:r>
        <w:rPr>
          <w:rFonts w:ascii="仿宋_GB2312" w:hAnsi="仿宋_GB2312" w:eastAsia="仿宋_GB2312" w:cs="仿宋_GB2312"/>
          <w:color w:val="auto"/>
          <w:sz w:val="32"/>
          <w:u w:val="none"/>
        </w:rPr>
        <w:t>文联《鹅城》杂志印刷费</w:t>
      </w:r>
      <w:r>
        <w:rPr>
          <w:rFonts w:hint="eastAsia" w:ascii="仿宋_GB2312" w:hAnsi="仿宋_GB2312" w:eastAsia="仿宋_GB2312" w:cs="仿宋_GB2312"/>
          <w:color w:val="auto"/>
          <w:sz w:val="32"/>
          <w:szCs w:val="32"/>
          <w:lang w:val="en-US" w:eastAsia="zh-CN"/>
        </w:rPr>
        <w:t>绩效自评综述：根据年初设定的绩效目标，项目自评得分为</w:t>
      </w:r>
      <w:r>
        <w:rPr>
          <w:rFonts w:hint="eastAsia"/>
          <w:color w:val="auto"/>
          <w:lang w:eastAsia="zh-CN"/>
        </w:rPr>
        <w:t>总得分</w:t>
      </w:r>
      <w:r>
        <w:rPr>
          <w:color w:val="auto"/>
          <w:u w:val="none"/>
        </w:rPr>
        <w:t>99.6</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16</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16</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rFonts w:hint="eastAsia" w:ascii="仿宋_GB2312" w:hAnsi="仿宋_GB2312" w:cs="仿宋_GB2312"/>
          <w:color w:val="auto"/>
          <w:sz w:val="32"/>
          <w:szCs w:val="32"/>
          <w:lang w:val="en-US" w:eastAsia="zh-CN"/>
        </w:rPr>
        <w:t>按原定数量编辑出版《鹅城》杂志</w:t>
      </w:r>
      <w:r>
        <w:rPr>
          <w:rFonts w:hint="eastAsia" w:ascii="仿宋_GB2312" w:hAnsi="仿宋_GB2312" w:eastAsia="仿宋_GB2312" w:cs="仿宋_GB2312"/>
          <w:color w:val="auto"/>
          <w:sz w:val="32"/>
          <w:szCs w:val="32"/>
          <w:lang w:val="en-US" w:eastAsia="zh-CN"/>
        </w:rPr>
        <w:t>；二是</w:t>
      </w:r>
      <w:r>
        <w:rPr>
          <w:rFonts w:hint="eastAsia" w:ascii="仿宋_GB2312" w:hAnsi="仿宋_GB2312" w:cs="仿宋_GB2312"/>
          <w:color w:val="auto"/>
          <w:sz w:val="32"/>
          <w:szCs w:val="32"/>
          <w:lang w:val="en-US" w:eastAsia="zh-CN"/>
        </w:rPr>
        <w:t>按原定质量编辑出版《鹅城》杂志</w:t>
      </w:r>
      <w:r>
        <w:rPr>
          <w:rFonts w:hint="eastAsia" w:ascii="仿宋_GB2312" w:hAnsi="仿宋_GB2312" w:eastAsia="仿宋_GB2312" w:cs="仿宋_GB2312"/>
          <w:color w:val="auto"/>
          <w:sz w:val="32"/>
          <w:szCs w:val="32"/>
          <w:lang w:val="en-US" w:eastAsia="zh-CN"/>
        </w:rPr>
        <w:t>。发现的主要问题及原因：</w:t>
      </w:r>
      <w:r>
        <w:rPr>
          <w:rFonts w:hint="eastAsia"/>
          <w:color w:val="auto"/>
          <w:lang w:eastAsia="zh-CN"/>
        </w:rPr>
        <w:t>未按计划日期出版，原因是供稿不够</w:t>
      </w:r>
      <w:r>
        <w:rPr>
          <w:rFonts w:hint="eastAsia" w:ascii="仿宋_GB2312" w:hAnsi="仿宋_GB2312" w:eastAsia="仿宋_GB2312" w:cs="仿宋_GB2312"/>
          <w:color w:val="auto"/>
          <w:sz w:val="32"/>
          <w:szCs w:val="32"/>
          <w:lang w:val="en-US" w:eastAsia="zh-CN"/>
        </w:rPr>
        <w:t>。下一步改进措施：</w:t>
      </w:r>
      <w:r>
        <w:rPr>
          <w:rFonts w:hint="eastAsia"/>
          <w:color w:val="auto"/>
          <w:lang w:eastAsia="zh-CN"/>
        </w:rPr>
        <w:t>扩大收集稿件范围</w:t>
      </w:r>
      <w:r>
        <w:rPr>
          <w:rFonts w:hint="eastAsia" w:ascii="仿宋_GB2312" w:hAnsi="仿宋_GB2312" w:eastAsia="仿宋_GB2312" w:cs="仿宋_GB2312"/>
          <w:color w:val="auto"/>
          <w:sz w:val="32"/>
          <w:szCs w:val="32"/>
          <w:lang w:val="en-US" w:eastAsia="zh-CN"/>
        </w:rPr>
        <w:t>。</w:t>
      </w:r>
    </w:p>
    <w:p>
      <w:pPr>
        <w:pStyle w:val="11"/>
        <w:rPr>
          <w:rFonts w:hint="eastAsia" w:ascii="仿宋_GB2312" w:hAnsi="仿宋_GB2312" w:eastAsia="仿宋_GB2312" w:cs="仿宋_GB2312"/>
          <w:color w:val="auto"/>
          <w:sz w:val="32"/>
          <w:szCs w:val="32"/>
          <w:lang w:val="en-US" w:eastAsia="zh-CN"/>
        </w:rPr>
      </w:pPr>
      <w:r>
        <w:rPr>
          <w:rFonts w:ascii="仿宋_GB2312" w:hAnsi="仿宋_GB2312" w:eastAsia="仿宋_GB2312" w:cs="仿宋_GB2312"/>
          <w:color w:val="auto"/>
          <w:sz w:val="32"/>
          <w:u w:val="none"/>
        </w:rPr>
        <w:t>文联《鹅城》杂志印刷费</w:t>
      </w:r>
      <w:r>
        <w:rPr>
          <w:rFonts w:hint="eastAsia" w:ascii="仿宋_GB2312" w:hAnsi="仿宋_GB2312" w:eastAsia="仿宋_GB2312" w:cs="仿宋_GB2312"/>
          <w:color w:val="auto"/>
          <w:sz w:val="32"/>
          <w:szCs w:val="32"/>
          <w:lang w:val="en-US" w:eastAsia="zh-CN"/>
        </w:rPr>
        <w:t>项目绩效自评综述：</w:t>
      </w:r>
      <w:r>
        <w:rPr>
          <w:rFonts w:hint="eastAsia"/>
          <w:color w:val="auto"/>
          <w:lang w:eastAsia="zh-CN"/>
        </w:rPr>
        <w:t>综合考虑预算执行情况、产出、效益、服务对象满意度各方面因素，通过数据采集及分析，最终评分结果：</w:t>
      </w:r>
      <w:r>
        <w:rPr>
          <w:color w:val="auto"/>
          <w:u w:val="none"/>
        </w:rPr>
        <w:t>文联《鹅城》杂志印刷费</w:t>
      </w:r>
      <w:r>
        <w:rPr>
          <w:rFonts w:hint="eastAsia"/>
          <w:color w:val="auto"/>
          <w:lang w:eastAsia="zh-CN"/>
        </w:rPr>
        <w:t>项目绩效自评价结果为:总得分</w:t>
      </w:r>
      <w:r>
        <w:rPr>
          <w:color w:val="auto"/>
          <w:u w:val="none"/>
        </w:rPr>
        <w:t>99.6</w:t>
      </w:r>
      <w:r>
        <w:rPr>
          <w:rFonts w:hint="eastAsia"/>
          <w:color w:val="auto"/>
          <w:lang w:eastAsia="zh-CN"/>
        </w:rPr>
        <w:t>分，属于"</w:t>
      </w:r>
      <w:r>
        <w:rPr>
          <w:color w:val="auto"/>
          <w:u w:val="none"/>
        </w:rPr>
        <w:t>优秀</w:t>
      </w:r>
      <w:r>
        <w:rPr>
          <w:rFonts w:hint="eastAsia"/>
          <w:color w:val="auto"/>
          <w:lang w:eastAsia="zh-CN"/>
        </w:rPr>
        <w:t>"。</w:t>
      </w:r>
    </w:p>
    <w:p>
      <w:pPr>
        <w:numPr>
          <w:ilvl w:val="0"/>
          <w:numId w:val="3"/>
        </w:numPr>
        <w:ind w:left="0" w:leftChars="0"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numId w:val="0"/>
        </w:numPr>
        <w:rPr>
          <w:rFonts w:hint="default"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我单位无部门评价项目绩效评价结果向社会公开。</w:t>
      </w:r>
      <w:bookmarkStart w:id="33" w:name="_GoBack"/>
      <w:bookmarkEnd w:id="33"/>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rPr>
        <w:t>其他需要说明的事项</w:t>
      </w:r>
      <w:bookmarkEnd w:id="30"/>
      <w:bookmarkEnd w:id="31"/>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静乐县文学艺术工作者联合会</w:t>
      </w:r>
    </w:p>
    <w:p>
      <w:pPr>
        <w:ind w:firstLine="4160" w:firstLineChars="13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0CE542"/>
    <w:multiLevelType w:val="singleLevel"/>
    <w:tmpl w:val="AB0CE542"/>
    <w:lvl w:ilvl="0" w:tentative="0">
      <w:start w:val="2"/>
      <w:numFmt w:val="chineseCounting"/>
      <w:suff w:val="nothing"/>
      <w:lvlText w:val="%1、"/>
      <w:lvlJc w:val="left"/>
      <w:rPr>
        <w:rFonts w:hint="eastAsia"/>
      </w:rPr>
    </w:lvl>
  </w:abstractNum>
  <w:abstractNum w:abstractNumId="1">
    <w:nsid w:val="B2162E10"/>
    <w:multiLevelType w:val="singleLevel"/>
    <w:tmpl w:val="B2162E10"/>
    <w:lvl w:ilvl="0" w:tentative="0">
      <w:start w:val="1"/>
      <w:numFmt w:val="decimal"/>
      <w:suff w:val="nothing"/>
      <w:lvlText w:val="（%1）"/>
      <w:lvlJc w:val="left"/>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3696819"/>
    <w:rsid w:val="05CD35A5"/>
    <w:rsid w:val="0F7B3E42"/>
    <w:rsid w:val="16654CDD"/>
    <w:rsid w:val="1A4A5C33"/>
    <w:rsid w:val="204A0F10"/>
    <w:rsid w:val="2701594C"/>
    <w:rsid w:val="27426717"/>
    <w:rsid w:val="335C2230"/>
    <w:rsid w:val="33F570B7"/>
    <w:rsid w:val="37943B50"/>
    <w:rsid w:val="3821117E"/>
    <w:rsid w:val="3F580AA2"/>
    <w:rsid w:val="42C12CEC"/>
    <w:rsid w:val="44401A62"/>
    <w:rsid w:val="481E3D1E"/>
    <w:rsid w:val="495520D0"/>
    <w:rsid w:val="4A012068"/>
    <w:rsid w:val="53A30631"/>
    <w:rsid w:val="54AD309E"/>
    <w:rsid w:val="558F74B9"/>
    <w:rsid w:val="58354DBE"/>
    <w:rsid w:val="5EC01F6A"/>
    <w:rsid w:val="5F5A18F2"/>
    <w:rsid w:val="634F10C4"/>
    <w:rsid w:val="63AB51DF"/>
    <w:rsid w:val="649C6DC9"/>
    <w:rsid w:val="6C5E3D47"/>
    <w:rsid w:val="715A78E4"/>
    <w:rsid w:val="72DF569C"/>
    <w:rsid w:val="76AE540A"/>
    <w:rsid w:val="7761744D"/>
    <w:rsid w:val="776E1B71"/>
    <w:rsid w:val="77E26566"/>
    <w:rsid w:val="78BF7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2759</Words>
  <Characters>3211</Characters>
  <Lines>0</Lines>
  <Paragraphs>0</Paragraphs>
  <TotalTime>14</TotalTime>
  <ScaleCrop>false</ScaleCrop>
  <LinksUpToDate>false</LinksUpToDate>
  <CharactersWithSpaces>3276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2022-08-03T01:53:48Z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93041D3564294B9AA56A700947D21907</vt:lpwstr>
  </property>
</Properties>
</file>