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华文中宋" w:hAnsi="华文中宋" w:eastAsia="华文中宋"/>
          <w:b/>
          <w:bCs/>
          <w:color w:val="auto"/>
          <w:sz w:val="44"/>
          <w:szCs w:val="44"/>
          <w:lang w:val="en-US" w:eastAsia="zh-CN"/>
        </w:rPr>
      </w:pPr>
      <w:bookmarkStart w:id="0" w:name="_Toc32048"/>
      <w:bookmarkStart w:id="1" w:name="_Toc31071"/>
      <w:bookmarkStart w:id="2" w:name="_Toc21118"/>
      <w:r>
        <w:rPr>
          <w:rFonts w:hint="eastAsia" w:ascii="华文中宋" w:hAnsi="华文中宋" w:eastAsia="华文中宋"/>
          <w:b/>
          <w:bCs/>
          <w:color w:val="auto"/>
          <w:sz w:val="44"/>
          <w:szCs w:val="44"/>
          <w:lang w:val="en-US" w:eastAsia="zh-CN"/>
        </w:rPr>
        <w:t>静乐县娑婆乡联合学区2021年度部门决算公开说明</w:t>
      </w:r>
      <w:bookmarkEnd w:id="0"/>
      <w:bookmarkEnd w:id="1"/>
      <w:bookmarkEnd w:id="2"/>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3"/>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4"/>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5" w:name="_Toc29220"/>
      <w:r>
        <w:rPr>
          <w:rFonts w:hint="eastAsia" w:ascii="仿宋" w:hAnsi="仿宋" w:eastAsia="仿宋" w:cs="仿宋"/>
          <w:b/>
          <w:bCs w:val="0"/>
        </w:rPr>
        <w:t>本单位职责</w:t>
      </w:r>
      <w:bookmarkEnd w:id="5"/>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1、执行上级教育主管部门的各项决定;</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2、实施发展规划拟订年度工作计划、财务预算和学校规章制度;</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3、聘任和解聘学校工作人员实施奖惩; </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4、组织教育教学、科学研究活动保证教育教学质量; </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5、负责学校日常管理工作;</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6、坚持依法办学遵守学校章程维护学校利益;</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7、合理配置学校“人、财、物、信息”资源有效行使学校重大事项和重大改革措施的决策权;</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8、及时向上级教育行政部门汇报学校工作;</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9、维护教职工利益保障教职工合法权益以教职工和学生的人生幸福和生命质量作为关注焦点建立信任消除焦虑;</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10、尊重教职工的主人翁地位和民主管理、民主监督的权利团结和依靠教职工办好学校。 </w:t>
      </w:r>
    </w:p>
    <w:p>
      <w:pPr>
        <w:numPr>
          <w:ilvl w:val="0"/>
          <w:numId w:val="0"/>
        </w:numPr>
        <w:rPr>
          <w:rFonts w:hint="eastAsia"/>
        </w:rPr>
      </w:pPr>
    </w:p>
    <w:p>
      <w:pPr>
        <w:pStyle w:val="4"/>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6" w:name="_Toc22162"/>
      <w:r>
        <w:rPr>
          <w:rFonts w:hint="eastAsia" w:ascii="仿宋" w:hAnsi="仿宋" w:eastAsia="仿宋" w:cs="仿宋"/>
          <w:b/>
          <w:bCs w:val="0"/>
        </w:rPr>
        <w:t>机构设置情况</w:t>
      </w:r>
      <w:bookmarkEnd w:id="6"/>
    </w:p>
    <w:p>
      <w:pPr>
        <w:numPr>
          <w:ilvl w:val="0"/>
          <w:numId w:val="0"/>
        </w:numPr>
        <w:ind w:firstLine="640" w:firstLineChars="200"/>
        <w:rPr>
          <w:rFonts w:hint="eastAsia"/>
          <w:sz w:val="30"/>
          <w:szCs w:val="30"/>
          <w:highlight w:val="none"/>
          <w:lang w:eastAsia="zh-CN"/>
        </w:rPr>
      </w:pPr>
      <w:bookmarkStart w:id="7" w:name="_Toc275"/>
      <w:bookmarkStart w:id="8" w:name="_Toc9155"/>
      <w:r>
        <w:rPr>
          <w:rFonts w:hint="eastAsia" w:ascii="仿宋" w:hAnsi="仿宋" w:eastAsia="仿宋" w:cs="仿宋"/>
          <w:color w:val="000000"/>
          <w:sz w:val="32"/>
          <w:szCs w:val="32"/>
          <w:lang w:val="en-US" w:eastAsia="zh-CN"/>
        </w:rPr>
        <w:t>娑婆乡联合学区</w:t>
      </w:r>
      <w:r>
        <w:rPr>
          <w:rFonts w:hint="eastAsia" w:ascii="仿宋_GB2312" w:hAnsi="仿宋_GB2312" w:eastAsia="仿宋_GB2312" w:cs="仿宋_GB2312"/>
          <w:color w:val="auto"/>
          <w:sz w:val="30"/>
          <w:szCs w:val="30"/>
          <w:highlight w:val="none"/>
          <w:lang w:val="en-US" w:eastAsia="zh-CN" w:bidi="ar-SA"/>
        </w:rPr>
        <w:t>编制</w:t>
      </w:r>
      <w:r>
        <w:rPr>
          <w:rFonts w:hint="eastAsia" w:ascii="仿宋_GB2312" w:hAnsi="仿宋_GB2312" w:cs="仿宋_GB2312"/>
          <w:color w:val="auto"/>
          <w:sz w:val="30"/>
          <w:szCs w:val="30"/>
          <w:highlight w:val="none"/>
          <w:lang w:val="en-US" w:eastAsia="zh-CN" w:bidi="ar-SA"/>
        </w:rPr>
        <w:t>3</w:t>
      </w:r>
      <w:r>
        <w:rPr>
          <w:rFonts w:hint="eastAsia" w:ascii="仿宋_GB2312" w:hAnsi="仿宋_GB2312" w:eastAsia="仿宋_GB2312" w:cs="仿宋_GB2312"/>
          <w:color w:val="auto"/>
          <w:sz w:val="30"/>
          <w:szCs w:val="30"/>
          <w:highlight w:val="none"/>
          <w:lang w:val="en-US" w:eastAsia="zh-CN" w:bidi="ar-SA"/>
        </w:rPr>
        <w:t>人实有3人。学区管辖学校</w:t>
      </w:r>
      <w:r>
        <w:rPr>
          <w:rFonts w:hint="eastAsia" w:ascii="仿宋_GB2312" w:hAnsi="仿宋_GB2312" w:cs="仿宋_GB2312"/>
          <w:color w:val="auto"/>
          <w:sz w:val="30"/>
          <w:szCs w:val="30"/>
          <w:highlight w:val="none"/>
          <w:lang w:val="en-US" w:eastAsia="zh-CN" w:bidi="ar-SA"/>
        </w:rPr>
        <w:t>为娑婆中心小学</w:t>
      </w:r>
      <w:r>
        <w:rPr>
          <w:rFonts w:hint="eastAsia" w:ascii="仿宋_GB2312" w:hAnsi="仿宋_GB2312" w:eastAsia="仿宋_GB2312" w:cs="仿宋_GB2312"/>
          <w:color w:val="auto"/>
          <w:sz w:val="30"/>
          <w:szCs w:val="30"/>
          <w:highlight w:val="none"/>
          <w:lang w:val="en-US" w:eastAsia="zh-CN" w:bidi="ar-SA"/>
        </w:rPr>
        <w:t>。</w:t>
      </w:r>
    </w:p>
    <w:bookmarkEnd w:id="7"/>
    <w:bookmarkEnd w:id="8"/>
    <w:p>
      <w:pPr>
        <w:pStyle w:val="3"/>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3"/>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4"/>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2021年度收入总计38.23万元、支出总计38.23万元。与2020年相比，2020年收入总计273.78万元,减少235.55万元，下降86%，支出总计减少235.55万元，下降86%。主要原因是城镇化发展加快，农村教师学生人数减少，人员和公用经费也相应减少。</w:t>
      </w:r>
    </w:p>
    <w:p>
      <w:pPr>
        <w:pStyle w:val="4"/>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szCs w:val="32"/>
          <w:lang w:val="en-US" w:eastAsia="zh-CN"/>
        </w:rPr>
      </w:pPr>
      <w:r>
        <w:rPr>
          <w:rFonts w:hint="eastAsia" w:ascii="仿宋_GB2312"/>
          <w:szCs w:val="32"/>
        </w:rPr>
        <w:t>本年收入合计</w:t>
      </w:r>
      <w:r>
        <w:rPr>
          <w:rFonts w:hint="eastAsia" w:ascii="仿宋" w:hAnsi="仿宋" w:eastAsia="仿宋" w:cs="仿宋"/>
          <w:b w:val="0"/>
          <w:bCs w:val="0"/>
          <w:color w:val="auto"/>
          <w:kern w:val="2"/>
          <w:sz w:val="32"/>
          <w:szCs w:val="32"/>
          <w:lang w:val="en-US" w:eastAsia="zh-CN" w:bidi="ar-SA"/>
        </w:rPr>
        <w:t>38.23万元</w:t>
      </w:r>
      <w:r>
        <w:rPr>
          <w:rFonts w:hint="eastAsia" w:ascii="仿宋_GB2312"/>
          <w:szCs w:val="32"/>
        </w:rPr>
        <w:t>，其中：财政拨款收入</w:t>
      </w:r>
      <w:r>
        <w:rPr>
          <w:rFonts w:hint="eastAsia" w:ascii="仿宋" w:hAnsi="仿宋" w:eastAsia="仿宋" w:cs="仿宋"/>
          <w:b w:val="0"/>
          <w:bCs w:val="0"/>
          <w:color w:val="auto"/>
          <w:kern w:val="2"/>
          <w:sz w:val="32"/>
          <w:szCs w:val="32"/>
          <w:lang w:val="en-US" w:eastAsia="zh-CN" w:bidi="ar-SA"/>
        </w:rPr>
        <w:t>38.23</w:t>
      </w:r>
      <w:r>
        <w:rPr>
          <w:rFonts w:hint="eastAsia" w:ascii="仿宋_GB2312" w:hAnsi="Times New Roman"/>
          <w:szCs w:val="32"/>
          <w:lang w:val="en-US" w:eastAsia="zh-CN"/>
        </w:rPr>
        <w:t>万元</w:t>
      </w:r>
      <w:r>
        <w:rPr>
          <w:rFonts w:hint="eastAsia" w:ascii="仿宋_GB2312" w:hAnsi="Times New Roman"/>
          <w:szCs w:val="32"/>
        </w:rPr>
        <w:t>，占比</w:t>
      </w:r>
      <w:r>
        <w:rPr>
          <w:rFonts w:hint="eastAsia" w:ascii="仿宋_GB2312" w:hAnsi="Times New Roman"/>
          <w:szCs w:val="32"/>
          <w:lang w:val="en-US" w:eastAsia="zh-CN"/>
        </w:rPr>
        <w:t>100</w:t>
      </w:r>
      <w:r>
        <w:rPr>
          <w:rFonts w:hint="eastAsia" w:ascii="仿宋_GB2312" w:hAnsi="Times New Roman"/>
          <w:szCs w:val="32"/>
        </w:rPr>
        <w:t>%</w:t>
      </w:r>
      <w:r>
        <w:rPr>
          <w:rFonts w:hint="eastAsia" w:ascii="仿宋_GB2312"/>
          <w:szCs w:val="32"/>
          <w:lang w:eastAsia="zh-CN"/>
        </w:rPr>
        <w:t>。</w:t>
      </w:r>
    </w:p>
    <w:p>
      <w:pPr>
        <w:pStyle w:val="4"/>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hAnsi="Times New Roman"/>
          <w:szCs w:val="32"/>
          <w:lang w:val="en-US" w:eastAsia="zh-CN"/>
        </w:rPr>
      </w:pPr>
      <w:r>
        <w:rPr>
          <w:rFonts w:hint="eastAsia" w:ascii="仿宋_GB2312" w:hAnsi="Times New Roman"/>
          <w:szCs w:val="32"/>
          <w:lang w:val="en-US" w:eastAsia="zh-CN"/>
        </w:rPr>
        <w:t>本年支出合计</w:t>
      </w:r>
      <w:r>
        <w:rPr>
          <w:rFonts w:hint="eastAsia" w:ascii="仿宋_GB2312"/>
          <w:szCs w:val="32"/>
          <w:lang w:val="en-US" w:eastAsia="zh-CN"/>
        </w:rPr>
        <w:t>38.23</w:t>
      </w:r>
      <w:r>
        <w:rPr>
          <w:rFonts w:hint="eastAsia" w:ascii="仿宋_GB2312" w:hAnsi="Times New Roman"/>
          <w:szCs w:val="32"/>
          <w:lang w:val="en-US" w:eastAsia="zh-CN"/>
        </w:rPr>
        <w:t>万元，其中：基本支出</w:t>
      </w:r>
      <w:r>
        <w:rPr>
          <w:rFonts w:hint="eastAsia" w:ascii="仿宋_GB2312"/>
          <w:szCs w:val="32"/>
          <w:lang w:val="en-US" w:eastAsia="zh-CN"/>
        </w:rPr>
        <w:t>37.15</w:t>
      </w:r>
      <w:r>
        <w:rPr>
          <w:rFonts w:hint="eastAsia" w:ascii="仿宋_GB2312" w:hAnsi="Times New Roman"/>
          <w:szCs w:val="32"/>
          <w:lang w:val="en-US" w:eastAsia="zh-CN"/>
        </w:rPr>
        <w:t>万元，占比</w:t>
      </w:r>
      <w:r>
        <w:rPr>
          <w:rFonts w:hint="eastAsia" w:ascii="仿宋_GB2312"/>
          <w:szCs w:val="32"/>
          <w:lang w:val="en-US" w:eastAsia="zh-CN"/>
        </w:rPr>
        <w:t>97</w:t>
      </w:r>
      <w:r>
        <w:rPr>
          <w:rFonts w:hint="eastAsia" w:ascii="仿宋_GB2312" w:hAnsi="Times New Roman"/>
          <w:szCs w:val="32"/>
          <w:lang w:val="en-US" w:eastAsia="zh-CN"/>
        </w:rPr>
        <w:t>%；项目支出</w:t>
      </w:r>
      <w:r>
        <w:rPr>
          <w:rFonts w:hint="eastAsia" w:ascii="仿宋_GB2312"/>
          <w:szCs w:val="32"/>
          <w:lang w:val="en-US" w:eastAsia="zh-CN"/>
        </w:rPr>
        <w:t>1.08</w:t>
      </w:r>
      <w:r>
        <w:rPr>
          <w:rFonts w:hint="eastAsia" w:ascii="仿宋_GB2312" w:hAnsi="Times New Roman"/>
          <w:szCs w:val="32"/>
          <w:lang w:val="en-US" w:eastAsia="zh-CN"/>
        </w:rPr>
        <w:t>万元，占比</w:t>
      </w:r>
      <w:r>
        <w:rPr>
          <w:rFonts w:hint="eastAsia" w:ascii="仿宋_GB2312"/>
          <w:szCs w:val="32"/>
          <w:lang w:val="en-US" w:eastAsia="zh-CN"/>
        </w:rPr>
        <w:t>3</w:t>
      </w:r>
      <w:r>
        <w:rPr>
          <w:rFonts w:hint="eastAsia" w:ascii="仿宋_GB2312" w:hAnsi="Times New Roman"/>
          <w:szCs w:val="32"/>
          <w:lang w:val="en-US" w:eastAsia="zh-CN"/>
        </w:rPr>
        <w:t>%。</w:t>
      </w:r>
    </w:p>
    <w:p>
      <w:pPr>
        <w:pStyle w:val="4"/>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hAnsi="Times New Roman"/>
          <w:szCs w:val="32"/>
          <w:lang w:val="en-US" w:eastAsia="zh-CN"/>
        </w:rPr>
      </w:pPr>
      <w:r>
        <w:rPr>
          <w:rFonts w:hint="eastAsia" w:ascii="仿宋_GB2312" w:hAnsi="Times New Roman"/>
          <w:szCs w:val="32"/>
          <w:lang w:val="en-US" w:eastAsia="zh-CN"/>
        </w:rPr>
        <w:t>2021年度财政拨款收入总计</w:t>
      </w:r>
      <w:r>
        <w:rPr>
          <w:rFonts w:hint="eastAsia" w:ascii="仿宋_GB2312"/>
          <w:szCs w:val="32"/>
          <w:lang w:val="en-US" w:eastAsia="zh-CN"/>
        </w:rPr>
        <w:t>38.23</w:t>
      </w:r>
      <w:r>
        <w:rPr>
          <w:rFonts w:hint="eastAsia" w:ascii="仿宋_GB2312" w:hAnsi="Times New Roman"/>
          <w:szCs w:val="32"/>
          <w:lang w:val="en-US" w:eastAsia="zh-CN"/>
        </w:rPr>
        <w:t>万元、支出总计</w:t>
      </w:r>
      <w:r>
        <w:rPr>
          <w:rFonts w:hint="eastAsia" w:ascii="仿宋_GB2312"/>
          <w:szCs w:val="32"/>
          <w:lang w:val="en-US" w:eastAsia="zh-CN"/>
        </w:rPr>
        <w:t>38.23</w:t>
      </w:r>
      <w:r>
        <w:rPr>
          <w:rFonts w:hint="eastAsia" w:ascii="仿宋_GB2312" w:hAnsi="Times New Roman"/>
          <w:szCs w:val="32"/>
          <w:lang w:val="en-US" w:eastAsia="zh-CN"/>
        </w:rPr>
        <w:t>万元。2020年财政拨款收入总计</w:t>
      </w:r>
      <w:r>
        <w:rPr>
          <w:rFonts w:hint="eastAsia" w:ascii="仿宋_GB2312"/>
          <w:szCs w:val="32"/>
          <w:lang w:val="en-US" w:eastAsia="zh-CN"/>
        </w:rPr>
        <w:t>273.78</w:t>
      </w:r>
      <w:r>
        <w:rPr>
          <w:rFonts w:hint="eastAsia" w:ascii="仿宋_GB2312" w:hAnsi="Times New Roman"/>
          <w:szCs w:val="32"/>
          <w:lang w:val="en-US" w:eastAsia="zh-CN"/>
        </w:rPr>
        <w:t>万元，2021年与2020年相比减少</w:t>
      </w:r>
      <w:r>
        <w:rPr>
          <w:rFonts w:hint="eastAsia" w:ascii="仿宋" w:hAnsi="仿宋" w:eastAsia="仿宋" w:cs="仿宋"/>
          <w:b w:val="0"/>
          <w:bCs w:val="0"/>
          <w:color w:val="auto"/>
          <w:kern w:val="2"/>
          <w:sz w:val="32"/>
          <w:szCs w:val="32"/>
          <w:lang w:val="en-US" w:eastAsia="zh-CN" w:bidi="ar-SA"/>
        </w:rPr>
        <w:t>235.55</w:t>
      </w:r>
      <w:r>
        <w:rPr>
          <w:rFonts w:hint="eastAsia" w:ascii="仿宋_GB2312" w:hAnsi="Times New Roman"/>
          <w:szCs w:val="32"/>
          <w:lang w:val="en-US" w:eastAsia="zh-CN"/>
        </w:rPr>
        <w:t>万元，下降</w:t>
      </w:r>
      <w:r>
        <w:rPr>
          <w:rFonts w:hint="eastAsia" w:ascii="仿宋_GB2312"/>
          <w:szCs w:val="32"/>
          <w:lang w:val="en-US" w:eastAsia="zh-CN"/>
        </w:rPr>
        <w:t>86</w:t>
      </w:r>
      <w:r>
        <w:rPr>
          <w:rFonts w:hint="eastAsia" w:ascii="仿宋_GB2312" w:hAnsi="Times New Roman"/>
          <w:szCs w:val="32"/>
          <w:lang w:val="en-US" w:eastAsia="zh-CN"/>
        </w:rPr>
        <w:t>%，2020年财政拨款支出总计</w:t>
      </w:r>
      <w:r>
        <w:rPr>
          <w:rFonts w:hint="eastAsia" w:ascii="仿宋_GB2312"/>
          <w:szCs w:val="32"/>
          <w:lang w:val="en-US" w:eastAsia="zh-CN"/>
        </w:rPr>
        <w:t>273.78</w:t>
      </w:r>
      <w:r>
        <w:rPr>
          <w:rFonts w:hint="eastAsia" w:ascii="仿宋_GB2312" w:hAnsi="Times New Roman"/>
          <w:szCs w:val="32"/>
          <w:lang w:val="en-US" w:eastAsia="zh-CN"/>
        </w:rPr>
        <w:t>万元，2021年与2020年相比减少</w:t>
      </w:r>
      <w:r>
        <w:rPr>
          <w:rFonts w:hint="eastAsia" w:ascii="仿宋_GB2312"/>
          <w:szCs w:val="32"/>
          <w:lang w:val="en-US" w:eastAsia="zh-CN"/>
        </w:rPr>
        <w:t>235.55</w:t>
      </w:r>
      <w:r>
        <w:rPr>
          <w:rFonts w:hint="eastAsia" w:ascii="仿宋_GB2312" w:hAnsi="Times New Roman"/>
          <w:szCs w:val="32"/>
          <w:lang w:val="en-US" w:eastAsia="zh-CN"/>
        </w:rPr>
        <w:t>万元，下降</w:t>
      </w:r>
      <w:r>
        <w:rPr>
          <w:rFonts w:hint="eastAsia" w:ascii="仿宋_GB2312"/>
          <w:szCs w:val="32"/>
          <w:lang w:val="en-US" w:eastAsia="zh-CN"/>
        </w:rPr>
        <w:t>86</w:t>
      </w:r>
      <w:r>
        <w:rPr>
          <w:rFonts w:hint="eastAsia" w:ascii="仿宋_GB2312" w:hAnsi="Times New Roman"/>
          <w:szCs w:val="32"/>
          <w:lang w:val="en-US" w:eastAsia="zh-CN"/>
        </w:rPr>
        <w:t>%，主要原因是城镇化发展加快，农村教师学生人数减少，人员和公用经费也相应减少。</w:t>
      </w:r>
    </w:p>
    <w:p>
      <w:pPr>
        <w:pStyle w:val="4"/>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hAnsi="Times New Roman"/>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38.23</w:t>
      </w:r>
      <w:r>
        <w:rPr>
          <w:rFonts w:hint="eastAsia" w:ascii="仿宋_GB2312"/>
          <w:szCs w:val="32"/>
        </w:rPr>
        <w:t>万元，占本年支出合计的</w:t>
      </w:r>
      <w:r>
        <w:rPr>
          <w:rFonts w:hint="eastAsia" w:ascii="仿宋_GB2312" w:hAnsi="Times New Roman"/>
          <w:szCs w:val="32"/>
          <w:lang w:val="en-US" w:eastAsia="zh-CN"/>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w:t>
      </w:r>
      <w:r>
        <w:rPr>
          <w:rFonts w:hint="eastAsia" w:ascii="仿宋_GB2312" w:hAnsi="Times New Roman"/>
          <w:szCs w:val="32"/>
          <w:lang w:val="en-US" w:eastAsia="zh-CN"/>
        </w:rPr>
        <w:t>2020年财政拨款支出总计</w:t>
      </w:r>
      <w:r>
        <w:rPr>
          <w:rFonts w:hint="eastAsia" w:ascii="仿宋_GB2312"/>
          <w:szCs w:val="32"/>
          <w:lang w:val="en-US" w:eastAsia="zh-CN"/>
        </w:rPr>
        <w:t>273.78</w:t>
      </w:r>
      <w:r>
        <w:rPr>
          <w:rFonts w:hint="eastAsia" w:ascii="仿宋_GB2312" w:hAnsi="Times New Roman"/>
          <w:szCs w:val="32"/>
          <w:lang w:val="en-US" w:eastAsia="zh-CN"/>
        </w:rPr>
        <w:t>万元，2021年与2020年相比减少</w:t>
      </w:r>
      <w:r>
        <w:rPr>
          <w:rFonts w:hint="eastAsia" w:ascii="仿宋_GB2312"/>
          <w:szCs w:val="32"/>
          <w:lang w:val="en-US" w:eastAsia="zh-CN"/>
        </w:rPr>
        <w:t>235.55</w:t>
      </w:r>
      <w:r>
        <w:rPr>
          <w:rFonts w:hint="eastAsia" w:ascii="仿宋_GB2312" w:hAnsi="Times New Roman"/>
          <w:szCs w:val="32"/>
          <w:lang w:val="en-US" w:eastAsia="zh-CN"/>
        </w:rPr>
        <w:t>万元，下降</w:t>
      </w:r>
      <w:r>
        <w:rPr>
          <w:rFonts w:hint="eastAsia" w:ascii="仿宋_GB2312"/>
          <w:szCs w:val="32"/>
          <w:lang w:val="en-US" w:eastAsia="zh-CN"/>
        </w:rPr>
        <w:t>86</w:t>
      </w:r>
      <w:r>
        <w:rPr>
          <w:rFonts w:hint="eastAsia" w:ascii="仿宋_GB2312" w:hAnsi="Times New Roman"/>
          <w:szCs w:val="32"/>
          <w:lang w:val="en-US" w:eastAsia="zh-CN"/>
        </w:rPr>
        <w:t>%，主要原因是城镇化发展加快，农村教师学生人数减少，人员和公用经费也相应减少。</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38.23</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rPr>
        <w:t>教育支出</w:t>
      </w:r>
      <w:r>
        <w:rPr>
          <w:rFonts w:hint="eastAsia" w:ascii="仿宋_GB2312"/>
          <w:color w:val="auto"/>
          <w:szCs w:val="32"/>
          <w:lang w:val="en-US" w:eastAsia="zh-CN"/>
        </w:rPr>
        <w:t>38.23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val="en-US"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年度财政拨款支出决算</w:t>
      </w:r>
      <w:r>
        <w:rPr>
          <w:rFonts w:hint="eastAsia" w:ascii="仿宋_GB2312"/>
          <w:color w:val="auto"/>
          <w:szCs w:val="32"/>
          <w:lang w:val="en-US" w:eastAsia="zh-CN"/>
        </w:rPr>
        <w:t>38.23</w:t>
      </w:r>
      <w:r>
        <w:rPr>
          <w:rFonts w:hint="eastAsia"/>
          <w:color w:val="auto"/>
          <w:szCs w:val="32"/>
        </w:rPr>
        <w:t>万元。其中：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ind w:left="0" w:leftChars="0" w:firstLine="0" w:firstLineChars="0"/>
        <w:jc w:val="left"/>
        <w:rPr>
          <w:rFonts w:hint="eastAsia" w:ascii="宋体" w:hAnsi="宋体" w:cs="Arial"/>
          <w:b/>
          <w:color w:val="000000"/>
          <w:kern w:val="0"/>
          <w:sz w:val="30"/>
          <w:szCs w:val="30"/>
        </w:rPr>
      </w:pP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 xml:space="preserve">年度支出功能科目分类对比表   </w:t>
      </w:r>
      <w:r>
        <w:rPr>
          <w:rFonts w:hint="eastAsia" w:ascii="宋体" w:hAnsi="宋体" w:cs="Arial"/>
          <w:b/>
          <w:color w:val="000000"/>
          <w:kern w:val="0"/>
          <w:sz w:val="30"/>
          <w:szCs w:val="30"/>
          <w:lang w:val="en-US" w:eastAsia="zh-CN"/>
        </w:rPr>
        <w:t xml:space="preserve">           </w:t>
      </w:r>
      <w:r>
        <w:rPr>
          <w:rFonts w:hint="eastAsia" w:ascii="宋体" w:hAnsi="宋体" w:cs="Arial"/>
          <w:b/>
          <w:color w:val="000000"/>
          <w:kern w:val="0"/>
          <w:sz w:val="30"/>
          <w:szCs w:val="30"/>
        </w:rPr>
        <w:t xml:space="preserve">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965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2905"/>
        <w:gridCol w:w="2085"/>
        <w:gridCol w:w="165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661" w:type="dxa"/>
            <w:tcBorders>
              <w:tl2br w:val="nil"/>
              <w:tr2bl w:val="nil"/>
            </w:tcBorders>
            <w:vAlign w:val="top"/>
          </w:tcPr>
          <w:p>
            <w:pPr>
              <w:widowControl/>
              <w:ind w:left="0" w:leftChars="0" w:firstLine="0" w:firstLineChars="0"/>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905" w:type="dxa"/>
            <w:tcBorders>
              <w:tl2br w:val="nil"/>
              <w:tr2bl w:val="nil"/>
            </w:tcBorders>
            <w:vAlign w:val="top"/>
          </w:tcPr>
          <w:p>
            <w:pPr>
              <w:widowControl/>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2085" w:type="dxa"/>
            <w:tcBorders>
              <w:tl2br w:val="nil"/>
              <w:tr2bl w:val="nil"/>
            </w:tcBorders>
            <w:vAlign w:val="top"/>
          </w:tcPr>
          <w:p>
            <w:pPr>
              <w:widowControl/>
              <w:jc w:val="center"/>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50" w:type="dxa"/>
            <w:tcBorders>
              <w:tl2br w:val="nil"/>
              <w:tr2bl w:val="nil"/>
            </w:tcBorders>
            <w:vAlign w:val="top"/>
          </w:tcPr>
          <w:p>
            <w:pPr>
              <w:widowControl/>
              <w:jc w:val="center"/>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50" w:type="dxa"/>
            <w:tcBorders>
              <w:tl2br w:val="nil"/>
              <w:tr2bl w:val="nil"/>
            </w:tcBorders>
            <w:vAlign w:val="top"/>
          </w:tcPr>
          <w:p>
            <w:pPr>
              <w:widowControl/>
              <w:ind w:left="0" w:leftChars="0" w:firstLine="0" w:firstLineChars="0"/>
              <w:jc w:val="center"/>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61"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905"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2085"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273.78</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i w:val="0"/>
                <w:iCs w:val="0"/>
                <w:color w:val="000000"/>
                <w:kern w:val="0"/>
                <w:sz w:val="24"/>
                <w:szCs w:val="24"/>
                <w:u w:val="none"/>
                <w:lang w:val="en-US" w:eastAsia="zh-CN" w:bidi="ar"/>
              </w:rPr>
            </w:pPr>
            <w:r>
              <w:rPr>
                <w:rFonts w:hint="eastAsia" w:ascii="新宋体" w:hAnsi="新宋体" w:eastAsia="新宋体" w:cs="新宋体"/>
                <w:b w:val="0"/>
                <w:bCs w:val="0"/>
                <w:i w:val="0"/>
                <w:iCs w:val="0"/>
                <w:color w:val="000000"/>
                <w:kern w:val="0"/>
                <w:sz w:val="24"/>
                <w:szCs w:val="24"/>
                <w:u w:val="none"/>
                <w:lang w:val="en-US" w:eastAsia="zh-CN" w:bidi="ar"/>
              </w:rPr>
              <w:t>38.23</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both"/>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661" w:type="dxa"/>
            <w:tcBorders>
              <w:tl2br w:val="nil"/>
              <w:tr2bl w:val="nil"/>
            </w:tcBorders>
            <w:vAlign w:val="top"/>
          </w:tcPr>
          <w:p>
            <w:pPr>
              <w:spacing w:line="480" w:lineRule="auto"/>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w:t>
            </w:r>
          </w:p>
        </w:tc>
        <w:tc>
          <w:tcPr>
            <w:tcW w:w="2905"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普通教育</w:t>
            </w:r>
          </w:p>
        </w:tc>
        <w:tc>
          <w:tcPr>
            <w:tcW w:w="2085" w:type="dxa"/>
            <w:tcBorders>
              <w:tl2br w:val="nil"/>
              <w:tr2bl w:val="nil"/>
            </w:tcBorders>
            <w:vAlign w:val="top"/>
          </w:tcPr>
          <w:p>
            <w:pPr>
              <w:spacing w:line="480" w:lineRule="auto"/>
              <w:ind w:firstLine="480" w:firstLineChars="200"/>
              <w:jc w:val="both"/>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273.78</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38.23</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both"/>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661" w:type="dxa"/>
            <w:tcBorders>
              <w:tl2br w:val="nil"/>
              <w:tr2bl w:val="nil"/>
            </w:tcBorders>
            <w:vAlign w:val="top"/>
          </w:tcPr>
          <w:p>
            <w:pPr>
              <w:spacing w:line="480" w:lineRule="auto"/>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202</w:t>
            </w:r>
          </w:p>
        </w:tc>
        <w:tc>
          <w:tcPr>
            <w:tcW w:w="2905"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小学教育</w:t>
            </w:r>
          </w:p>
        </w:tc>
        <w:tc>
          <w:tcPr>
            <w:tcW w:w="2085" w:type="dxa"/>
            <w:tcBorders>
              <w:tl2br w:val="nil"/>
              <w:tr2bl w:val="nil"/>
            </w:tcBorders>
            <w:vAlign w:val="top"/>
          </w:tcPr>
          <w:p>
            <w:pPr>
              <w:spacing w:line="480" w:lineRule="auto"/>
              <w:jc w:val="both"/>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273.78</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37.15</w:t>
            </w:r>
          </w:p>
        </w:tc>
        <w:tc>
          <w:tcPr>
            <w:tcW w:w="1350" w:type="dxa"/>
            <w:tcBorders>
              <w:tl2br w:val="nil"/>
              <w:tr2bl w:val="nil"/>
            </w:tcBorders>
            <w:vAlign w:val="bottom"/>
          </w:tcPr>
          <w:p>
            <w:pPr>
              <w:keepNext w:val="0"/>
              <w:keepLines w:val="0"/>
              <w:widowControl/>
              <w:suppressLineNumbers w:val="0"/>
              <w:spacing w:line="480" w:lineRule="auto"/>
              <w:jc w:val="both"/>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661" w:type="dxa"/>
            <w:tcBorders>
              <w:tl2br w:val="nil"/>
              <w:tr2bl w:val="nil"/>
            </w:tcBorders>
            <w:vAlign w:val="top"/>
          </w:tcPr>
          <w:p>
            <w:pPr>
              <w:spacing w:line="480" w:lineRule="auto"/>
              <w:jc w:val="both"/>
              <w:rPr>
                <w:rFonts w:hint="default" w:ascii="仿宋" w:hAnsi="仿宋" w:eastAsia="仿宋" w:cs="仿宋"/>
                <w:color w:val="auto"/>
                <w:sz w:val="24"/>
                <w:szCs w:val="24"/>
                <w:lang w:val="en-US"/>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299</w:t>
            </w:r>
          </w:p>
        </w:tc>
        <w:tc>
          <w:tcPr>
            <w:tcW w:w="2905" w:type="dxa"/>
            <w:tcBorders>
              <w:tl2br w:val="nil"/>
              <w:tr2bl w:val="nil"/>
            </w:tcBorders>
            <w:vAlign w:val="top"/>
          </w:tcPr>
          <w:p>
            <w:pPr>
              <w:spacing w:line="480" w:lineRule="auto"/>
              <w:ind w:left="0" w:leftChars="0" w:firstLine="240" w:firstLineChars="1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其他普通教育支出</w:t>
            </w:r>
          </w:p>
        </w:tc>
        <w:tc>
          <w:tcPr>
            <w:tcW w:w="2085" w:type="dxa"/>
            <w:tcBorders>
              <w:tl2br w:val="nil"/>
              <w:tr2bl w:val="nil"/>
            </w:tcBorders>
            <w:vAlign w:val="top"/>
          </w:tcPr>
          <w:p>
            <w:pPr>
              <w:spacing w:line="480" w:lineRule="auto"/>
              <w:jc w:val="both"/>
              <w:rPr>
                <w:rFonts w:hint="eastAsia" w:ascii="新宋体" w:hAnsi="新宋体" w:eastAsia="新宋体" w:cs="新宋体"/>
                <w:b w:val="0"/>
                <w:bCs w:val="0"/>
                <w:color w:val="000000"/>
                <w:sz w:val="24"/>
                <w:szCs w:val="24"/>
                <w:lang w:val="en-US" w:eastAsia="zh-CN"/>
              </w:rPr>
            </w:pP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1.08</w:t>
            </w:r>
          </w:p>
        </w:tc>
        <w:tc>
          <w:tcPr>
            <w:tcW w:w="1350" w:type="dxa"/>
            <w:tcBorders>
              <w:tl2br w:val="nil"/>
              <w:tr2bl w:val="nil"/>
            </w:tcBorders>
            <w:vAlign w:val="bottom"/>
          </w:tcPr>
          <w:p>
            <w:pPr>
              <w:keepNext w:val="0"/>
              <w:keepLines w:val="0"/>
              <w:widowControl/>
              <w:suppressLineNumbers w:val="0"/>
              <w:spacing w:line="480" w:lineRule="auto"/>
              <w:ind w:left="0" w:leftChars="0" w:firstLine="480" w:firstLineChars="200"/>
              <w:jc w:val="both"/>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100%</w:t>
            </w:r>
          </w:p>
        </w:tc>
      </w:tr>
    </w:tbl>
    <w:p>
      <w:pPr>
        <w:numPr>
          <w:ilvl w:val="0"/>
          <w:numId w:val="0"/>
        </w:numPr>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1"/>
        <w:tblW w:w="1066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9"/>
        <w:gridCol w:w="1832"/>
        <w:gridCol w:w="2066"/>
        <w:gridCol w:w="1951"/>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2869"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2"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66"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1"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c>
          <w:tcPr>
            <w:tcW w:w="1951" w:type="dxa"/>
            <w:vAlign w:val="top"/>
          </w:tcPr>
          <w:p>
            <w:pPr>
              <w:widowControl/>
              <w:jc w:val="left"/>
              <w:rPr>
                <w:rFonts w:hint="eastAsia" w:ascii="仿宋" w:hAnsi="仿宋" w:eastAsia="仿宋" w:cs="仿宋"/>
                <w:b/>
                <w:color w:val="000000"/>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  计</w:t>
            </w:r>
          </w:p>
        </w:tc>
        <w:tc>
          <w:tcPr>
            <w:tcW w:w="1832" w:type="dxa"/>
            <w:vAlign w:val="center"/>
          </w:tcPr>
          <w:p>
            <w:pPr>
              <w:spacing w:line="360" w:lineRule="auto"/>
              <w:ind w:left="0" w:leftChars="0" w:firstLine="480" w:firstLineChars="200"/>
              <w:jc w:val="left"/>
              <w:rPr>
                <w:rFonts w:hint="eastAsia" w:ascii="仿宋" w:hAnsi="仿宋" w:eastAsia="仿宋" w:cs="仿宋"/>
                <w:color w:val="auto"/>
                <w:sz w:val="24"/>
                <w:szCs w:val="24"/>
              </w:rPr>
            </w:pPr>
            <w:r>
              <w:rPr>
                <w:rFonts w:hint="eastAsia" w:ascii="新宋体" w:hAnsi="新宋体" w:eastAsia="新宋体" w:cs="新宋体"/>
                <w:b w:val="0"/>
                <w:bCs w:val="0"/>
                <w:color w:val="000000"/>
                <w:sz w:val="24"/>
                <w:szCs w:val="24"/>
                <w:lang w:val="en-US" w:eastAsia="zh-CN"/>
              </w:rPr>
              <w:t>273.78</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38.23</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-86%</w:t>
            </w:r>
          </w:p>
        </w:tc>
        <w:tc>
          <w:tcPr>
            <w:tcW w:w="1951" w:type="dxa"/>
            <w:vAlign w:val="bottom"/>
          </w:tcPr>
          <w:p>
            <w:pPr>
              <w:spacing w:line="360" w:lineRule="auto"/>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工资福利支出</w:t>
            </w:r>
          </w:p>
        </w:tc>
        <w:tc>
          <w:tcPr>
            <w:tcW w:w="1832"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264.7</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36.09</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-86%</w:t>
            </w:r>
          </w:p>
        </w:tc>
        <w:tc>
          <w:tcPr>
            <w:tcW w:w="1951" w:type="dxa"/>
            <w:vAlign w:val="bottom"/>
          </w:tcPr>
          <w:p>
            <w:pPr>
              <w:spacing w:line="360" w:lineRule="auto"/>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商品服务支出</w:t>
            </w:r>
          </w:p>
        </w:tc>
        <w:tc>
          <w:tcPr>
            <w:tcW w:w="1832"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9.02</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1.01</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-89%</w:t>
            </w:r>
          </w:p>
        </w:tc>
        <w:tc>
          <w:tcPr>
            <w:tcW w:w="1951" w:type="dxa"/>
            <w:vAlign w:val="bottom"/>
          </w:tcPr>
          <w:p>
            <w:pPr>
              <w:spacing w:line="360" w:lineRule="auto"/>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对个人和家庭的补助</w:t>
            </w:r>
          </w:p>
        </w:tc>
        <w:tc>
          <w:tcPr>
            <w:tcW w:w="1832"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0.06</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1.14</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94%</w:t>
            </w:r>
          </w:p>
        </w:tc>
        <w:tc>
          <w:tcPr>
            <w:tcW w:w="1951" w:type="dxa"/>
            <w:vAlign w:val="bottom"/>
          </w:tcPr>
          <w:p>
            <w:pPr>
              <w:spacing w:line="360" w:lineRule="auto"/>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2869" w:type="dxa"/>
            <w:vAlign w:val="center"/>
          </w:tcPr>
          <w:p>
            <w:pPr>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资本性支出</w:t>
            </w:r>
          </w:p>
        </w:tc>
        <w:tc>
          <w:tcPr>
            <w:tcW w:w="1832" w:type="dxa"/>
            <w:vAlign w:val="center"/>
          </w:tcPr>
          <w:p>
            <w:pPr>
              <w:spacing w:line="360" w:lineRule="auto"/>
              <w:jc w:val="left"/>
              <w:rPr>
                <w:rFonts w:hint="eastAsia" w:ascii="仿宋" w:hAnsi="仿宋" w:eastAsia="仿宋" w:cs="仿宋"/>
                <w:color w:val="auto"/>
                <w:sz w:val="24"/>
                <w:szCs w:val="24"/>
                <w:lang w:val="en-US" w:eastAsia="zh-CN"/>
              </w:rPr>
            </w:pPr>
          </w:p>
        </w:tc>
        <w:tc>
          <w:tcPr>
            <w:tcW w:w="2066" w:type="dxa"/>
            <w:vAlign w:val="center"/>
          </w:tcPr>
          <w:p>
            <w:pPr>
              <w:spacing w:line="360" w:lineRule="auto"/>
              <w:jc w:val="left"/>
              <w:rPr>
                <w:rFonts w:hint="eastAsia" w:ascii="仿宋" w:hAnsi="仿宋" w:eastAsia="仿宋" w:cs="仿宋"/>
                <w:color w:val="auto"/>
                <w:sz w:val="24"/>
                <w:szCs w:val="24"/>
              </w:rPr>
            </w:pPr>
          </w:p>
        </w:tc>
        <w:tc>
          <w:tcPr>
            <w:tcW w:w="1951" w:type="dxa"/>
            <w:vAlign w:val="bottom"/>
          </w:tcPr>
          <w:p>
            <w:pPr>
              <w:spacing w:line="360" w:lineRule="auto"/>
              <w:jc w:val="left"/>
              <w:rPr>
                <w:rFonts w:hint="eastAsia" w:ascii="仿宋" w:hAnsi="仿宋" w:eastAsia="仿宋" w:cs="仿宋"/>
                <w:color w:val="auto"/>
                <w:sz w:val="24"/>
                <w:szCs w:val="24"/>
                <w:lang w:val="en-US" w:eastAsia="zh-CN"/>
              </w:rPr>
            </w:pPr>
          </w:p>
        </w:tc>
        <w:tc>
          <w:tcPr>
            <w:tcW w:w="1951" w:type="dxa"/>
            <w:vAlign w:val="bottom"/>
          </w:tcPr>
          <w:p>
            <w:pPr>
              <w:spacing w:line="360" w:lineRule="auto"/>
              <w:jc w:val="left"/>
              <w:rPr>
                <w:rFonts w:hint="eastAsia" w:ascii="仿宋" w:hAnsi="仿宋" w:eastAsia="仿宋" w:cs="仿宋"/>
                <w:color w:val="auto"/>
                <w:sz w:val="24"/>
                <w:szCs w:val="24"/>
                <w:lang w:val="en-US" w:eastAsia="zh-CN"/>
              </w:rPr>
            </w:pPr>
          </w:p>
        </w:tc>
      </w:tr>
    </w:tbl>
    <w:p>
      <w:pPr>
        <w:spacing w:line="580" w:lineRule="exact"/>
        <w:ind w:left="0" w:leftChars="0" w:firstLine="0" w:firstLineChars="0"/>
        <w:rPr>
          <w:rFonts w:hint="eastAsia"/>
          <w:color w:val="FF0000"/>
          <w:szCs w:val="32"/>
        </w:rPr>
      </w:pPr>
    </w:p>
    <w:p>
      <w:pPr>
        <w:pStyle w:val="4"/>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auto"/>
          <w:szCs w:val="32"/>
          <w:lang w:val="en-US" w:eastAsia="zh-CN"/>
        </w:rPr>
        <w:t>38.23</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36.09</w:t>
      </w:r>
      <w:r>
        <w:rPr>
          <w:rFonts w:hint="eastAsia" w:ascii="仿宋_GB2312" w:hAnsi="Times New Roman"/>
          <w:szCs w:val="32"/>
        </w:rPr>
        <w:t>万元</w:t>
      </w:r>
      <w:r>
        <w:rPr>
          <w:rFonts w:ascii="仿宋_GB2312" w:hAnsi="Times New Roman"/>
          <w:szCs w:val="32"/>
        </w:rPr>
        <w:t>，</w:t>
      </w:r>
      <w:r>
        <w:rPr>
          <w:rFonts w:hint="eastAsia" w:ascii="仿宋_GB2312" w:hAnsi="Times New Roman"/>
          <w:szCs w:val="32"/>
        </w:rPr>
        <w:t>主要</w:t>
      </w:r>
      <w:r>
        <w:rPr>
          <w:rFonts w:ascii="仿宋_GB2312" w:hAnsi="Times New Roman"/>
          <w:szCs w:val="32"/>
        </w:rPr>
        <w:t>包括</w:t>
      </w:r>
      <w:r>
        <w:rPr>
          <w:rFonts w:hint="eastAsia" w:ascii="仿宋_GB2312" w:hAnsi="Times New Roman"/>
          <w:szCs w:val="32"/>
          <w:lang w:eastAsia="zh-CN"/>
        </w:rPr>
        <w:t>工资福利支出和对个人家庭补助支出</w:t>
      </w:r>
      <w:r>
        <w:rPr>
          <w:rFonts w:ascii="仿宋_GB2312" w:hAnsi="Times New Roman"/>
          <w:szCs w:val="32"/>
        </w:rPr>
        <w:t>；</w:t>
      </w:r>
      <w:r>
        <w:rPr>
          <w:rFonts w:hint="eastAsia" w:ascii="仿宋_GB2312" w:hAnsi="Times New Roman"/>
          <w:szCs w:val="32"/>
        </w:rPr>
        <w:t>公用</w:t>
      </w:r>
      <w:r>
        <w:rPr>
          <w:rFonts w:ascii="仿宋_GB2312" w:hAnsi="Times New Roman"/>
          <w:szCs w:val="32"/>
        </w:rPr>
        <w:t>经费</w:t>
      </w:r>
      <w:r>
        <w:rPr>
          <w:rFonts w:hint="eastAsia" w:ascii="仿宋_GB2312"/>
          <w:szCs w:val="32"/>
          <w:lang w:val="en-US" w:eastAsia="zh-CN"/>
        </w:rPr>
        <w:t>1.01</w:t>
      </w:r>
      <w:r>
        <w:rPr>
          <w:rFonts w:hint="eastAsia" w:ascii="仿宋_GB2312" w:hAnsi="Times New Roman"/>
          <w:szCs w:val="32"/>
        </w:rPr>
        <w:t>万元</w:t>
      </w:r>
      <w:r>
        <w:rPr>
          <w:rFonts w:ascii="仿宋_GB2312" w:hAnsi="Times New Roman"/>
          <w:szCs w:val="32"/>
        </w:rPr>
        <w:t>，主要包括</w:t>
      </w:r>
      <w:r>
        <w:rPr>
          <w:rFonts w:hint="eastAsia" w:ascii="仿宋_GB2312" w:hAnsi="Times New Roman"/>
          <w:szCs w:val="32"/>
          <w:lang w:eastAsia="zh-CN"/>
        </w:rPr>
        <w:t>福利工会费</w:t>
      </w:r>
      <w:r>
        <w:rPr>
          <w:rFonts w:ascii="仿宋_GB2312" w:hAnsi="Times New Roman"/>
          <w:szCs w:val="32"/>
        </w:rPr>
        <w:t>。</w:t>
      </w:r>
      <w:r>
        <w:rPr>
          <w:rFonts w:hint="eastAsia" w:ascii="仿宋_GB2312" w:hAnsi="Times New Roman"/>
          <w:szCs w:val="32"/>
        </w:rPr>
        <w:t>20</w:t>
      </w:r>
      <w:r>
        <w:rPr>
          <w:rFonts w:hint="eastAsia" w:ascii="仿宋_GB2312" w:hAnsi="Times New Roman"/>
          <w:szCs w:val="32"/>
          <w:lang w:val="en-US" w:eastAsia="zh-CN"/>
        </w:rPr>
        <w:t>21</w:t>
      </w:r>
      <w:r>
        <w:rPr>
          <w:rFonts w:hint="eastAsia" w:ascii="仿宋_GB2312" w:hAnsi="Times New Roman"/>
          <w:szCs w:val="32"/>
        </w:rPr>
        <w:t>年度</w:t>
      </w:r>
      <w:r>
        <w:rPr>
          <w:rFonts w:ascii="仿宋_GB2312" w:hAnsi="Times New Roman"/>
          <w:szCs w:val="32"/>
        </w:rPr>
        <w:t>财政拨款</w:t>
      </w:r>
      <w:r>
        <w:rPr>
          <w:rFonts w:hint="eastAsia" w:ascii="仿宋_GB2312" w:hAnsi="Times New Roman"/>
          <w:szCs w:val="32"/>
          <w:lang w:val="en-US" w:eastAsia="zh-CN"/>
        </w:rPr>
        <w:t>项目</w:t>
      </w:r>
      <w:r>
        <w:rPr>
          <w:rFonts w:ascii="仿宋_GB2312" w:hAnsi="Times New Roman"/>
          <w:szCs w:val="32"/>
        </w:rPr>
        <w:t>支出</w:t>
      </w:r>
      <w:r>
        <w:rPr>
          <w:rFonts w:hint="eastAsia" w:ascii="仿宋_GB2312"/>
          <w:szCs w:val="32"/>
          <w:lang w:val="en-US" w:eastAsia="zh-CN"/>
        </w:rPr>
        <w:t>1.08</w:t>
      </w:r>
      <w:r>
        <w:rPr>
          <w:rFonts w:hint="eastAsia" w:ascii="仿宋_GB2312"/>
          <w:szCs w:val="32"/>
        </w:rPr>
        <w:t>万元</w:t>
      </w:r>
      <w:r>
        <w:rPr>
          <w:rFonts w:hint="eastAsia" w:ascii="仿宋_GB2312"/>
          <w:szCs w:val="32"/>
          <w:lang w:eastAsia="zh-CN"/>
        </w:rPr>
        <w:t>。</w:t>
      </w:r>
    </w:p>
    <w:p>
      <w:pPr>
        <w:pStyle w:val="4"/>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 w:hAnsi="仿宋" w:eastAsia="仿宋" w:cs="仿宋"/>
          <w:color w:val="000000"/>
          <w:kern w:val="0"/>
          <w:sz w:val="32"/>
          <w:szCs w:val="32"/>
          <w:lang w:val="en-US" w:eastAsia="zh-CN" w:bidi="ar-SA"/>
        </w:rPr>
        <w:t>“三公”经费财政拨款支出决算为0元，其中：因公出国（境）费支出决算0元，占比0%；公务用车购置及运行费支出决算0元，占比0%；公务接待费支出决算0元，占比0%。</w:t>
      </w:r>
    </w:p>
    <w:p>
      <w:pPr>
        <w:pStyle w:val="9"/>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9"/>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9"/>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因公出国（境）费</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center"/>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公务接待费</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center"/>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9"/>
              <w:jc w:val="center"/>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center"/>
              <w:rPr>
                <w:rFonts w:hint="eastAsia" w:eastAsia="宋体"/>
                <w:color w:val="000000"/>
                <w:sz w:val="28"/>
                <w:szCs w:val="28"/>
                <w:lang w:val="en-US" w:eastAsia="zh-CN"/>
              </w:rPr>
            </w:pPr>
          </w:p>
        </w:tc>
      </w:tr>
    </w:tbl>
    <w:p>
      <w:pPr>
        <w:pStyle w:val="9"/>
        <w:spacing w:before="0" w:beforeAutospacing="0" w:after="0" w:afterAutospacing="0"/>
        <w:rPr>
          <w:rFonts w:hint="eastAsia"/>
          <w:b/>
          <w:szCs w:val="32"/>
        </w:rPr>
      </w:pPr>
    </w:p>
    <w:p>
      <w:pPr>
        <w:pStyle w:val="4"/>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w:t>
      </w:r>
      <w:r>
        <w:rPr>
          <w:rFonts w:hint="eastAsia" w:ascii="仿宋" w:hAnsi="仿宋" w:eastAsia="仿宋" w:cs="仿宋"/>
          <w:color w:val="000000"/>
          <w:kern w:val="0"/>
          <w:sz w:val="32"/>
          <w:szCs w:val="32"/>
          <w:lang w:val="en-US" w:eastAsia="zh-CN" w:bidi="ar-SA"/>
        </w:rPr>
        <w:t>本单位无机关运行经费的开支情况。</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hAnsi="Times New Roman"/>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w:t>
      </w:r>
      <w:r>
        <w:rPr>
          <w:rFonts w:hint="eastAsia" w:ascii="仿宋_GB2312" w:hAnsi="Times New Roman"/>
          <w:szCs w:val="32"/>
          <w:lang w:val="en-US" w:eastAsia="zh-CN"/>
        </w:rPr>
        <w:t>购支出总额</w:t>
      </w:r>
      <w:r>
        <w:rPr>
          <w:rFonts w:hint="eastAsia" w:ascii="仿宋_GB2312"/>
          <w:szCs w:val="32"/>
          <w:lang w:val="en-US" w:eastAsia="zh-CN"/>
        </w:rPr>
        <w:t>0</w:t>
      </w:r>
      <w:r>
        <w:rPr>
          <w:rFonts w:hint="eastAsia" w:ascii="仿宋_GB2312" w:hAnsi="Times New Roman"/>
          <w:szCs w:val="32"/>
          <w:lang w:val="en-US" w:eastAsia="zh-CN"/>
        </w:rPr>
        <w:t>万元，其中：政府采购货物支出</w:t>
      </w:r>
      <w:bookmarkStart w:id="33" w:name="_GoBack"/>
      <w:bookmarkEnd w:id="33"/>
      <w:r>
        <w:rPr>
          <w:rFonts w:hint="eastAsia" w:ascii="仿宋_GB2312" w:hAnsi="Times New Roman"/>
          <w:szCs w:val="32"/>
          <w:lang w:val="en-US" w:eastAsia="zh-CN"/>
        </w:rPr>
        <w:t>6万元、政府采购工程支出0万元、政府采购服务支出0万元。</w:t>
      </w:r>
    </w:p>
    <w:p>
      <w:pPr>
        <w:rPr>
          <w:rFonts w:hint="eastAsia"/>
          <w:b/>
          <w:bCs/>
        </w:rPr>
      </w:pPr>
      <w:bookmarkStart w:id="29" w:name="_Toc19975"/>
      <w:r>
        <w:rPr>
          <w:rFonts w:hint="eastAsia"/>
          <w:b/>
          <w:bCs/>
        </w:rPr>
        <w:t>（三）国有资产占用情况说明</w:t>
      </w:r>
      <w:bookmarkEnd w:id="29"/>
    </w:p>
    <w:p>
      <w:pPr>
        <w:pStyle w:val="9"/>
        <w:keepNext w:val="0"/>
        <w:keepLines w:val="0"/>
        <w:pageBreakBefore w:val="0"/>
        <w:numPr>
          <w:ilvl w:val="0"/>
          <w:numId w:val="0"/>
        </w:numPr>
        <w:kinsoku/>
        <w:wordWrap/>
        <w:overflowPunct/>
        <w:topLinePunct w:val="0"/>
        <w:autoSpaceDE/>
        <w:autoSpaceDN/>
        <w:bidi w:val="0"/>
        <w:adjustRightInd/>
        <w:snapToGrid/>
        <w:spacing w:line="360" w:lineRule="auto"/>
        <w:ind w:leftChars="0" w:firstLine="640" w:firstLineChars="200"/>
        <w:rPr>
          <w:rFonts w:hint="eastAsia"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截至2021年12月31日，截至2020年12月31日，我单位</w:t>
      </w:r>
      <w:r>
        <w:rPr>
          <w:rFonts w:hint="eastAsia" w:ascii="仿宋_GB2312" w:hAnsi="Times New Roman" w:cstheme="minorBidi"/>
          <w:kern w:val="2"/>
          <w:sz w:val="32"/>
          <w:szCs w:val="32"/>
          <w:lang w:val="en-US" w:eastAsia="zh-CN" w:bidi="ar-SA"/>
        </w:rPr>
        <w:t>已合并入康家会联合学区</w:t>
      </w:r>
      <w:r>
        <w:rPr>
          <w:rFonts w:hint="eastAsia" w:ascii="仿宋_GB2312" w:hAnsi="Times New Roman" w:eastAsia="仿宋_GB2312" w:cstheme="minorBidi"/>
          <w:kern w:val="2"/>
          <w:sz w:val="32"/>
          <w:szCs w:val="32"/>
          <w:lang w:val="en-US" w:eastAsia="zh-CN" w:bidi="ar-SA"/>
        </w:rPr>
        <w:t>。</w:t>
      </w:r>
    </w:p>
    <w:p>
      <w:pPr>
        <w:pStyle w:val="9"/>
        <w:keepNext w:val="0"/>
        <w:keepLines w:val="0"/>
        <w:pageBreakBefore w:val="0"/>
        <w:numPr>
          <w:ilvl w:val="0"/>
          <w:numId w:val="0"/>
        </w:numPr>
        <w:kinsoku/>
        <w:wordWrap/>
        <w:overflowPunct/>
        <w:topLinePunct w:val="0"/>
        <w:autoSpaceDE/>
        <w:autoSpaceDN/>
        <w:bidi w:val="0"/>
        <w:adjustRightInd/>
        <w:snapToGrid/>
        <w:spacing w:line="360" w:lineRule="auto"/>
        <w:ind w:leftChars="0" w:firstLine="640" w:firstLineChars="200"/>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本年度新增账面面积0.00平方米，账面原值0元；本年度处置账面面积0.00平方米，账面原值0元。</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本单位没有50万元以上的通用设备及100万元以上的专用设备。</w:t>
      </w:r>
    </w:p>
    <w:p>
      <w:pPr>
        <w:spacing w:line="580" w:lineRule="exact"/>
        <w:ind w:firstLine="640"/>
        <w:rPr>
          <w:rFonts w:hint="eastAsia" w:ascii="仿宋_GB2312"/>
          <w:szCs w:val="32"/>
        </w:rPr>
      </w:pPr>
    </w:p>
    <w:p>
      <w:pPr>
        <w:rPr>
          <w:rFonts w:hint="eastAsia"/>
          <w:b/>
          <w:bCs/>
          <w:highlight w:val="none"/>
        </w:rPr>
      </w:pPr>
      <w:r>
        <w:rPr>
          <w:rFonts w:hint="eastAsia"/>
          <w:b/>
          <w:bCs/>
          <w:highlight w:val="none"/>
          <w:lang w:eastAsia="zh-CN"/>
        </w:rPr>
        <w:t>（</w:t>
      </w:r>
      <w:r>
        <w:rPr>
          <w:rFonts w:hint="eastAsia"/>
          <w:b/>
          <w:bCs/>
          <w:highlight w:val="none"/>
          <w:lang w:val="en-US" w:eastAsia="zh-CN"/>
        </w:rPr>
        <w:t>四）</w:t>
      </w:r>
      <w:r>
        <w:rPr>
          <w:rFonts w:hint="eastAsia"/>
          <w:b/>
          <w:bCs/>
          <w:highlight w:val="none"/>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2021年本单位重点项目绩效目标情况自评说明，涉及金额等。</w:t>
      </w:r>
    </w:p>
    <w:p>
      <w:pPr>
        <w:numPr>
          <w:ilvl w:val="0"/>
          <w:numId w:val="0"/>
        </w:numPr>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（1）预算绩效管理工作开展情况。</w:t>
      </w:r>
      <w:r>
        <w:rPr>
          <w:rFonts w:hint="eastAsia" w:ascii="仿宋_GB2312" w:hAnsi="仿宋_GB2312" w:eastAsia="仿宋_GB2312" w:cs="仿宋_GB2312"/>
          <w:sz w:val="32"/>
          <w:szCs w:val="32"/>
          <w:highlight w:val="none"/>
          <w:lang w:val="en-US" w:eastAsia="zh-CN"/>
        </w:rPr>
        <w:t>应当按照如下格式说明：根据预算绩效管理要求，我部门组织对202</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年度</w:t>
      </w:r>
      <w:r>
        <w:rPr>
          <w:rFonts w:hint="eastAsia" w:ascii="仿宋_GB2312" w:hAnsi="仿宋_GB2312" w:cs="仿宋_GB2312"/>
          <w:sz w:val="32"/>
          <w:szCs w:val="32"/>
          <w:highlight w:val="none"/>
          <w:lang w:val="en-US" w:eastAsia="zh-CN"/>
        </w:rPr>
        <w:t>县</w:t>
      </w:r>
      <w:r>
        <w:rPr>
          <w:rFonts w:hint="eastAsia" w:ascii="仿宋_GB2312" w:hAnsi="仿宋_GB2312" w:eastAsia="仿宋_GB2312" w:cs="仿宋_GB2312"/>
          <w:sz w:val="32"/>
          <w:szCs w:val="32"/>
          <w:highlight w:val="none"/>
          <w:lang w:val="en-US" w:eastAsia="zh-CN"/>
        </w:rPr>
        <w:t>级财政预算安排的专项资金类和</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00万元以上的经费补助类</w:t>
      </w:r>
      <w:r>
        <w:rPr>
          <w:rFonts w:hint="eastAsia" w:ascii="仿宋_GB2312" w:hAnsi="仿宋_GB2312" w:cs="仿宋_GB2312"/>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个项目支出全面开展绩效自评，涉及预算资金</w:t>
      </w:r>
      <w:r>
        <w:rPr>
          <w:rFonts w:hint="eastAsia" w:ascii="仿宋_GB2312" w:hAnsi="仿宋_GB2312" w:cs="仿宋_GB2312"/>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万元，占一般公共预算项目支出总额的</w:t>
      </w:r>
      <w:r>
        <w:rPr>
          <w:rFonts w:hint="eastAsia" w:ascii="仿宋_GB2312" w:hAnsi="仿宋_GB2312" w:cs="仿宋_GB2312"/>
          <w:sz w:val="32"/>
          <w:szCs w:val="32"/>
          <w:highlight w:val="none"/>
          <w:lang w:val="en-US" w:eastAsia="zh-CN"/>
        </w:rPr>
        <w:t>0</w:t>
      </w:r>
      <w:r>
        <w:rPr>
          <w:rFonts w:hint="eastAsia" w:ascii="仿宋_GB2312" w:hAnsi="仿宋_GB2312" w:eastAsia="仿宋_GB2312" w:cs="仿宋_GB2312"/>
          <w:sz w:val="32"/>
          <w:szCs w:val="32"/>
          <w:highlight w:val="none"/>
          <w:lang w:val="en-US" w:eastAsia="zh-CN"/>
        </w:rPr>
        <w:t>%。组织对202</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年度等政府性基金预算项目支出开展绩效自评，共涉及预算资金</w:t>
      </w:r>
      <w:r>
        <w:rPr>
          <w:rFonts w:hint="eastAsia" w:ascii="仿宋_GB2312" w:hAnsi="仿宋_GB2312" w:cs="仿宋_GB2312"/>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万元，占政府性基金预算项目支出总额的</w:t>
      </w:r>
      <w:r>
        <w:rPr>
          <w:rFonts w:hint="eastAsia" w:ascii="仿宋_GB2312" w:hAnsi="仿宋_GB2312" w:cs="仿宋_GB2312"/>
          <w:sz w:val="32"/>
          <w:szCs w:val="32"/>
          <w:highlight w:val="none"/>
          <w:lang w:val="en-US" w:eastAsia="zh-CN"/>
        </w:rPr>
        <w:t>0</w:t>
      </w:r>
      <w:r>
        <w:rPr>
          <w:rFonts w:hint="eastAsia" w:ascii="仿宋_GB2312" w:hAnsi="仿宋_GB2312" w:eastAsia="仿宋_GB2312" w:cs="仿宋_GB2312"/>
          <w:sz w:val="32"/>
          <w:szCs w:val="32"/>
          <w:highlight w:val="none"/>
          <w:lang w:val="en-US" w:eastAsia="zh-CN"/>
        </w:rPr>
        <w:t>%。</w:t>
      </w:r>
    </w:p>
    <w:p>
      <w:pPr>
        <w:numPr>
          <w:ilvl w:val="0"/>
          <w:numId w:val="0"/>
        </w:numPr>
        <w:ind w:firstLine="643"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（2）部门决算中项目绩效自评结果。</w:t>
      </w:r>
      <w:r>
        <w:rPr>
          <w:rFonts w:hint="eastAsia" w:ascii="仿宋_GB2312" w:hAnsi="仿宋_GB2312" w:eastAsia="仿宋_GB2312" w:cs="仿宋_GB2312"/>
          <w:sz w:val="32"/>
          <w:szCs w:val="32"/>
          <w:highlight w:val="none"/>
          <w:lang w:val="en-US" w:eastAsia="zh-CN"/>
        </w:rPr>
        <w:t>部门</w:t>
      </w:r>
      <w:r>
        <w:rPr>
          <w:rFonts w:hint="eastAsia" w:ascii="仿宋_GB2312" w:hAnsi="仿宋_GB2312" w:cs="仿宋_GB2312"/>
          <w:sz w:val="32"/>
          <w:szCs w:val="32"/>
          <w:highlight w:val="none"/>
          <w:lang w:val="en-US" w:eastAsia="zh-CN"/>
        </w:rPr>
        <w:t>本单位无重点</w:t>
      </w:r>
      <w:r>
        <w:rPr>
          <w:rFonts w:hint="eastAsia" w:ascii="仿宋_GB2312" w:hAnsi="仿宋_GB2312" w:eastAsia="仿宋_GB2312" w:cs="仿宋_GB2312"/>
          <w:sz w:val="32"/>
          <w:szCs w:val="32"/>
          <w:highlight w:val="none"/>
          <w:lang w:val="en-US" w:eastAsia="zh-CN"/>
        </w:rPr>
        <w:t>项目向社会公开。</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w:t>
      </w:r>
      <w:r>
        <w:rPr>
          <w:rFonts w:hint="eastAsia" w:ascii="仿宋_GB2312" w:hAnsi="仿宋_GB2312" w:eastAsia="仿宋_GB2312" w:cs="仿宋_GB2312"/>
          <w:b/>
          <w:bCs/>
          <w:sz w:val="32"/>
          <w:szCs w:val="32"/>
          <w:highlight w:val="none"/>
          <w:lang w:val="en-US" w:eastAsia="zh-CN"/>
        </w:rPr>
        <w:t>部门评价项目绩效评价结果。</w:t>
      </w:r>
      <w:r>
        <w:rPr>
          <w:rFonts w:hint="eastAsia" w:ascii="仿宋_GB2312" w:hAnsi="仿宋_GB2312" w:cs="仿宋_GB2312"/>
          <w:b w:val="0"/>
          <w:bCs w:val="0"/>
          <w:sz w:val="32"/>
          <w:szCs w:val="32"/>
          <w:highlight w:val="none"/>
          <w:lang w:val="en-US" w:eastAsia="zh-CN"/>
        </w:rPr>
        <w:t>本单位重点项目</w:t>
      </w:r>
      <w:r>
        <w:rPr>
          <w:rFonts w:hint="eastAsia" w:ascii="仿宋_GB2312" w:hAnsi="仿宋_GB2312" w:eastAsia="仿宋_GB2312" w:cs="仿宋_GB2312"/>
          <w:sz w:val="32"/>
          <w:szCs w:val="32"/>
          <w:highlight w:val="none"/>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（绩效评价报告以附件形式公开）</w:t>
      </w:r>
    </w:p>
    <w:p>
      <w:pPr>
        <w:numPr>
          <w:ilvl w:val="0"/>
          <w:numId w:val="2"/>
        </w:numPr>
        <w:spacing w:line="580" w:lineRule="exact"/>
        <w:ind w:firstLine="643" w:firstLineChars="200"/>
        <w:outlineLvl w:val="0"/>
        <w:rPr>
          <w:rFonts w:hint="eastAsia" w:ascii="仿宋_GB2312" w:eastAsia="仿宋_GB2312"/>
          <w:b/>
          <w:szCs w:val="32"/>
          <w:highlight w:val="none"/>
          <w:lang w:val="en-US" w:eastAsia="zh-CN"/>
        </w:rPr>
      </w:pPr>
      <w:bookmarkStart w:id="30" w:name="_Toc28108"/>
      <w:bookmarkStart w:id="31" w:name="_Toc8450"/>
      <w:r>
        <w:rPr>
          <w:rFonts w:hint="eastAsia" w:ascii="仿宋_GB2312"/>
          <w:b/>
          <w:szCs w:val="32"/>
          <w:highlight w:val="none"/>
        </w:rPr>
        <w:t>其他需要说明的事项</w:t>
      </w:r>
      <w:bookmarkEnd w:id="30"/>
      <w:bookmarkEnd w:id="31"/>
    </w:p>
    <w:p>
      <w:pPr>
        <w:pStyle w:val="3"/>
        <w:ind w:left="0" w:leftChars="0" w:firstLine="0" w:firstLineChars="0"/>
        <w:jc w:val="center"/>
        <w:rPr>
          <w:rFonts w:hint="eastAsia"/>
          <w:b/>
          <w:sz w:val="36"/>
          <w:szCs w:val="36"/>
          <w:lang w:val="en-US" w:eastAsia="zh-CN"/>
        </w:rPr>
      </w:pPr>
      <w:bookmarkStart w:id="32" w:name="_Toc8545"/>
      <w:r>
        <w:rPr>
          <w:rFonts w:hint="eastAsia"/>
          <w:b/>
          <w:sz w:val="36"/>
          <w:szCs w:val="36"/>
          <w:highlight w:val="none"/>
          <w:lang w:val="en-US" w:eastAsia="zh-CN"/>
        </w:rPr>
        <w:t>第四部分  名词</w:t>
      </w:r>
      <w:r>
        <w:rPr>
          <w:rFonts w:hint="eastAsia"/>
          <w:b/>
          <w:sz w:val="36"/>
          <w:szCs w:val="36"/>
          <w:lang w:val="en-US" w:eastAsia="zh-CN"/>
        </w:rPr>
        <w:t>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单位名称：静乐县娑婆乡联合学区</w:t>
      </w:r>
    </w:p>
    <w:p>
      <w:pPr>
        <w:ind w:firstLine="4480" w:firstLineChars="14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AA4E"/>
    <w:multiLevelType w:val="singleLevel"/>
    <w:tmpl w:val="C386AA4E"/>
    <w:lvl w:ilvl="0" w:tentative="0">
      <w:start w:val="1"/>
      <w:numFmt w:val="chineseCounting"/>
      <w:suff w:val="nothing"/>
      <w:lvlText w:val="%1、"/>
      <w:lvlJc w:val="left"/>
      <w:rPr>
        <w:rFonts w:hint="eastAsia"/>
      </w:rPr>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hNDM2YjRhZjMwN2NjNjQ3NGI3YTc3NmFiNTkwMWMifQ=="/>
  </w:docVars>
  <w:rsids>
    <w:rsidRoot w:val="495520D0"/>
    <w:rsid w:val="01B20354"/>
    <w:rsid w:val="03696819"/>
    <w:rsid w:val="16654CDD"/>
    <w:rsid w:val="1A4A5C33"/>
    <w:rsid w:val="1A725691"/>
    <w:rsid w:val="1F69253B"/>
    <w:rsid w:val="2701594C"/>
    <w:rsid w:val="27426717"/>
    <w:rsid w:val="2C314FC5"/>
    <w:rsid w:val="343B1C6E"/>
    <w:rsid w:val="37943B50"/>
    <w:rsid w:val="3821117E"/>
    <w:rsid w:val="42C12CEC"/>
    <w:rsid w:val="44401A62"/>
    <w:rsid w:val="495520D0"/>
    <w:rsid w:val="4A012068"/>
    <w:rsid w:val="53A30631"/>
    <w:rsid w:val="57284A3F"/>
    <w:rsid w:val="5EC01F6A"/>
    <w:rsid w:val="63AB51DF"/>
    <w:rsid w:val="645E5CDB"/>
    <w:rsid w:val="649C6DC9"/>
    <w:rsid w:val="6D0A7605"/>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3097</Words>
  <Characters>3433</Characters>
  <Lines>0</Lines>
  <Paragraphs>0</Paragraphs>
  <ScaleCrop>false</ScaleCrop>
  <LinksUpToDate>false</LinksUpToDate>
  <CharactersWithSpaces>3527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2022-07-26T08:36:23Z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91A1DF8448E84EF280DE76F88FF77B7F</vt:lpwstr>
  </property>
</Properties>
</file>