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0" w:firstLineChars="0"/>
        <w:jc w:val="center"/>
        <w:textAlignment w:val="auto"/>
        <w:outlineLvl w:val="0"/>
        <w:rPr>
          <w:rFonts w:hint="eastAsia" w:ascii="华文中宋" w:hAnsi="华文中宋" w:eastAsia="华文中宋"/>
          <w:color w:val="auto"/>
          <w:sz w:val="44"/>
          <w:szCs w:val="44"/>
          <w:lang w:val="en-US" w:eastAsia="zh-CN"/>
        </w:rPr>
      </w:pPr>
      <w:bookmarkStart w:id="0" w:name="_Toc32048"/>
      <w:bookmarkStart w:id="1" w:name="_Toc31071"/>
      <w:bookmarkStart w:id="2" w:name="_Toc21118"/>
    </w:p>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0" w:firstLineChars="0"/>
        <w:jc w:val="center"/>
        <w:textAlignment w:val="auto"/>
        <w:outlineLvl w:val="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lang w:val="en-US" w:eastAsia="zh-CN"/>
        </w:rPr>
        <w:t>中国共产党静乐县委组织部</w:t>
      </w:r>
    </w:p>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0" w:firstLineChars="0"/>
        <w:jc w:val="center"/>
        <w:textAlignment w:val="auto"/>
        <w:outlineLvl w:val="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本部门职责</w:t>
      </w:r>
      <w:bookmarkEnd w:id="5"/>
      <w:bookmarkEnd w:id="6"/>
    </w:p>
    <w:p>
      <w:pPr>
        <w:ind w:firstLine="640"/>
        <w:rPr>
          <w:rFonts w:hint="eastAsia" w:ascii="仿宋_GB2312"/>
          <w:color w:val="auto"/>
          <w:sz w:val="32"/>
          <w:szCs w:val="32"/>
          <w:lang w:val="en-US" w:eastAsia="zh-CN"/>
        </w:rPr>
      </w:pPr>
      <w:r>
        <w:rPr>
          <w:rFonts w:hint="eastAsia" w:ascii="仿宋_GB2312"/>
          <w:color w:val="auto"/>
          <w:sz w:val="32"/>
          <w:szCs w:val="32"/>
          <w:lang w:val="en-US" w:eastAsia="zh-CN"/>
        </w:rPr>
        <w:t>中共静乐县委组织部是县委主管全县组织和干部工作的职能部门，是县委的主要职能部门之一，办事机构健全，组织工作规程严整，保障机制完备。县委组织部主要职责是，在县委的统一领导下，坚持贯彻党的组织工作路线、方针、政策，加强党的组织建设和干部思想作风建设，培养选拨任用干部，从组织上保证党的政治路线的实现，努力成为全县的党员之家、干部之家和人才之家。</w:t>
      </w:r>
    </w:p>
    <w:p>
      <w:pPr>
        <w:pStyle w:val="3"/>
        <w:keepNext/>
        <w:keepLines/>
        <w:pageBreakBefore w:val="0"/>
        <w:widowControl w:val="0"/>
        <w:numPr>
          <w:ilvl w:val="0"/>
          <w:numId w:val="1"/>
        </w:numPr>
        <w:kinsoku/>
        <w:wordWrap/>
        <w:overflowPunct/>
        <w:topLinePunct w:val="0"/>
        <w:autoSpaceDE/>
        <w:autoSpaceDN/>
        <w:bidi w:val="0"/>
        <w:adjustRightInd/>
        <w:snapToGrid/>
        <w:spacing w:before="20" w:beforeLines="0" w:after="2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ind w:firstLine="640"/>
        <w:rPr>
          <w:rFonts w:hint="eastAsia"/>
          <w:color w:val="auto"/>
        </w:rPr>
      </w:pPr>
      <w:r>
        <w:rPr>
          <w:rFonts w:hint="eastAsia" w:ascii="仿宋_GB2312"/>
          <w:color w:val="auto"/>
          <w:sz w:val="32"/>
          <w:szCs w:val="32"/>
          <w:lang w:val="en-US" w:eastAsia="zh-CN"/>
        </w:rPr>
        <w:t>组织部下设：办公室、干部室、组织室、综合室、公务员室。</w:t>
      </w:r>
      <w:r>
        <w:rPr>
          <w:rFonts w:hint="eastAsia" w:ascii="仿宋_GB2312"/>
          <w:color w:val="auto"/>
          <w:sz w:val="32"/>
          <w:szCs w:val="32"/>
          <w:lang w:eastAsia="zh-CN"/>
        </w:rPr>
        <w:t>组织部</w:t>
      </w:r>
      <w:r>
        <w:rPr>
          <w:rFonts w:hint="eastAsia" w:ascii="仿宋_GB2312" w:eastAsia="仿宋_GB2312"/>
          <w:color w:val="auto"/>
          <w:sz w:val="32"/>
          <w:szCs w:val="32"/>
        </w:rPr>
        <w:t>人员编制</w:t>
      </w:r>
      <w:r>
        <w:rPr>
          <w:rFonts w:hint="eastAsia" w:ascii="仿宋_GB2312"/>
          <w:color w:val="auto"/>
          <w:sz w:val="32"/>
          <w:szCs w:val="32"/>
          <w:lang w:val="en-US" w:eastAsia="zh-CN"/>
        </w:rPr>
        <w:t>26</w:t>
      </w:r>
      <w:r>
        <w:rPr>
          <w:rFonts w:hint="eastAsia" w:ascii="仿宋_GB2312" w:eastAsia="仿宋_GB2312"/>
          <w:color w:val="auto"/>
          <w:sz w:val="32"/>
          <w:szCs w:val="32"/>
        </w:rPr>
        <w:t>人，其中公务员编制</w:t>
      </w:r>
      <w:r>
        <w:rPr>
          <w:rFonts w:hint="eastAsia" w:ascii="仿宋_GB2312"/>
          <w:color w:val="auto"/>
          <w:sz w:val="32"/>
          <w:szCs w:val="32"/>
          <w:lang w:val="en-US" w:eastAsia="zh-CN"/>
        </w:rPr>
        <w:t>14</w:t>
      </w:r>
      <w:r>
        <w:rPr>
          <w:rFonts w:hint="eastAsia" w:ascii="仿宋_GB2312" w:eastAsia="仿宋_GB2312"/>
          <w:color w:val="auto"/>
          <w:sz w:val="32"/>
          <w:szCs w:val="32"/>
        </w:rPr>
        <w:t>人，工勤人员2人，事业人员</w:t>
      </w:r>
      <w:r>
        <w:rPr>
          <w:rFonts w:hint="eastAsia" w:ascii="仿宋_GB2312"/>
          <w:color w:val="auto"/>
          <w:sz w:val="32"/>
          <w:szCs w:val="32"/>
          <w:lang w:val="en-US" w:eastAsia="zh-CN"/>
        </w:rPr>
        <w:t>10</w:t>
      </w:r>
      <w:r>
        <w:rPr>
          <w:rFonts w:hint="eastAsia" w:ascii="仿宋_GB2312" w:eastAsia="仿宋_GB2312"/>
          <w:color w:val="auto"/>
          <w:sz w:val="32"/>
          <w:szCs w:val="32"/>
        </w:rPr>
        <w:t>人。单位实有人员</w:t>
      </w:r>
      <w:r>
        <w:rPr>
          <w:rFonts w:hint="eastAsia" w:ascii="仿宋_GB2312"/>
          <w:color w:val="auto"/>
          <w:sz w:val="32"/>
          <w:szCs w:val="32"/>
          <w:lang w:val="en-US" w:eastAsia="zh-CN"/>
        </w:rPr>
        <w:t>14</w:t>
      </w:r>
      <w:r>
        <w:rPr>
          <w:rFonts w:hint="eastAsia" w:ascii="仿宋_GB2312" w:eastAsia="仿宋_GB2312"/>
          <w:color w:val="auto"/>
          <w:sz w:val="32"/>
          <w:szCs w:val="32"/>
        </w:rPr>
        <w:t>人，公务员</w:t>
      </w:r>
      <w:r>
        <w:rPr>
          <w:rFonts w:hint="eastAsia" w:ascii="仿宋_GB2312"/>
          <w:color w:val="auto"/>
          <w:sz w:val="32"/>
          <w:szCs w:val="32"/>
          <w:lang w:val="en-US" w:eastAsia="zh-CN"/>
        </w:rPr>
        <w:t>10</w:t>
      </w:r>
      <w:r>
        <w:rPr>
          <w:rFonts w:hint="eastAsia" w:ascii="仿宋_GB2312" w:eastAsia="仿宋_GB2312"/>
          <w:color w:val="auto"/>
          <w:sz w:val="32"/>
          <w:szCs w:val="32"/>
        </w:rPr>
        <w:t>人，工勤</w:t>
      </w:r>
      <w:r>
        <w:rPr>
          <w:rFonts w:hint="eastAsia" w:ascii="仿宋_GB2312"/>
          <w:color w:val="auto"/>
          <w:sz w:val="32"/>
          <w:szCs w:val="32"/>
          <w:lang w:val="en-US" w:eastAsia="zh-CN"/>
        </w:rPr>
        <w:t>1</w:t>
      </w:r>
      <w:r>
        <w:rPr>
          <w:rFonts w:hint="eastAsia" w:ascii="仿宋_GB2312" w:eastAsia="仿宋_GB2312"/>
          <w:color w:val="auto"/>
          <w:sz w:val="32"/>
          <w:szCs w:val="32"/>
        </w:rPr>
        <w:t>人，事业人员</w:t>
      </w:r>
      <w:r>
        <w:rPr>
          <w:rFonts w:hint="eastAsia" w:ascii="仿宋_GB2312"/>
          <w:color w:val="auto"/>
          <w:sz w:val="32"/>
          <w:szCs w:val="32"/>
          <w:lang w:val="en-US" w:eastAsia="zh-CN"/>
        </w:rPr>
        <w:t>3</w:t>
      </w:r>
      <w:r>
        <w:rPr>
          <w:rFonts w:hint="eastAsia" w:ascii="仿宋_GB2312" w:eastAsia="仿宋_GB2312"/>
          <w:color w:val="auto"/>
          <w:sz w:val="32"/>
          <w:szCs w:val="32"/>
        </w:rPr>
        <w:t>人。</w:t>
      </w:r>
    </w:p>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361" w:firstLineChars="100"/>
        <w:jc w:val="center"/>
        <w:textAlignment w:val="auto"/>
        <w:outlineLvl w:val="0"/>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588.43</w:t>
      </w:r>
      <w:r>
        <w:rPr>
          <w:rFonts w:hint="eastAsia" w:ascii="仿宋_GB2312"/>
          <w:color w:val="auto"/>
          <w:szCs w:val="32"/>
        </w:rPr>
        <w:t>万元、支出总计</w:t>
      </w:r>
      <w:r>
        <w:rPr>
          <w:rFonts w:hint="eastAsia" w:ascii="仿宋_GB2312"/>
          <w:color w:val="auto"/>
          <w:szCs w:val="32"/>
          <w:lang w:val="en-US" w:eastAsia="zh-CN"/>
        </w:rPr>
        <w:t>588.43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143.1</w:t>
      </w:r>
      <w:r>
        <w:rPr>
          <w:rFonts w:hint="eastAsia" w:ascii="仿宋_GB2312"/>
          <w:color w:val="auto"/>
          <w:szCs w:val="32"/>
        </w:rPr>
        <w:t>万元，下降</w:t>
      </w:r>
      <w:r>
        <w:rPr>
          <w:rFonts w:hint="eastAsia" w:ascii="仿宋_GB2312"/>
          <w:color w:val="auto"/>
          <w:szCs w:val="32"/>
          <w:lang w:val="en-US" w:eastAsia="zh-CN"/>
        </w:rPr>
        <w:t>19.56</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143.1</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19.56</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本年驻村工作队和第一书记工作经费支出减少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588.43</w:t>
      </w:r>
      <w:r>
        <w:rPr>
          <w:rFonts w:hint="eastAsia" w:ascii="仿宋_GB2312"/>
          <w:color w:val="auto"/>
          <w:szCs w:val="32"/>
        </w:rPr>
        <w:t>万元，其中：财政拨款收入</w:t>
      </w:r>
      <w:r>
        <w:rPr>
          <w:rFonts w:hint="eastAsia" w:ascii="仿宋_GB2312"/>
          <w:color w:val="auto"/>
          <w:szCs w:val="32"/>
          <w:lang w:val="en-US" w:eastAsia="zh-CN"/>
        </w:rPr>
        <w:t>588.43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588.43</w:t>
      </w:r>
      <w:r>
        <w:rPr>
          <w:rFonts w:hint="eastAsia" w:ascii="仿宋_GB2312"/>
          <w:color w:val="auto"/>
          <w:szCs w:val="32"/>
        </w:rPr>
        <w:t>万元，其中：基本支出</w:t>
      </w:r>
      <w:r>
        <w:rPr>
          <w:rFonts w:hint="eastAsia" w:ascii="仿宋_GB2312"/>
          <w:color w:val="auto"/>
          <w:szCs w:val="32"/>
          <w:lang w:val="en-US" w:eastAsia="zh-CN"/>
        </w:rPr>
        <w:t>162.8</w:t>
      </w:r>
      <w:r>
        <w:rPr>
          <w:rFonts w:hint="eastAsia" w:ascii="仿宋_GB2312"/>
          <w:color w:val="auto"/>
          <w:szCs w:val="32"/>
        </w:rPr>
        <w:t>万元，占比</w:t>
      </w:r>
      <w:r>
        <w:rPr>
          <w:rFonts w:hint="eastAsia" w:ascii="仿宋_GB2312"/>
          <w:color w:val="auto"/>
          <w:szCs w:val="32"/>
          <w:lang w:val="en-US" w:eastAsia="zh-CN"/>
        </w:rPr>
        <w:t>27.67</w:t>
      </w:r>
      <w:r>
        <w:rPr>
          <w:rFonts w:hint="eastAsia" w:ascii="仿宋_GB2312"/>
          <w:color w:val="auto"/>
          <w:szCs w:val="32"/>
        </w:rPr>
        <w:t>%；项目支出</w:t>
      </w:r>
      <w:r>
        <w:rPr>
          <w:rFonts w:hint="eastAsia" w:ascii="仿宋_GB2312"/>
          <w:color w:val="auto"/>
          <w:szCs w:val="32"/>
          <w:lang w:val="en-US" w:eastAsia="zh-CN"/>
        </w:rPr>
        <w:t>425.64</w:t>
      </w:r>
      <w:r>
        <w:rPr>
          <w:rFonts w:hint="eastAsia" w:ascii="仿宋_GB2312"/>
          <w:color w:val="auto"/>
          <w:szCs w:val="32"/>
        </w:rPr>
        <w:t>万元，占比</w:t>
      </w:r>
      <w:r>
        <w:rPr>
          <w:rFonts w:hint="eastAsia" w:ascii="仿宋_GB2312"/>
          <w:color w:val="auto"/>
          <w:szCs w:val="32"/>
          <w:lang w:val="en-US" w:eastAsia="zh-CN"/>
        </w:rPr>
        <w:t>72.33</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588.43</w:t>
      </w:r>
      <w:r>
        <w:rPr>
          <w:rFonts w:hint="eastAsia" w:ascii="仿宋_GB2312"/>
          <w:color w:val="auto"/>
          <w:szCs w:val="32"/>
        </w:rPr>
        <w:t>万元、支出总计</w:t>
      </w:r>
      <w:r>
        <w:rPr>
          <w:rFonts w:hint="eastAsia" w:ascii="仿宋_GB2312"/>
          <w:color w:val="auto"/>
          <w:szCs w:val="32"/>
          <w:lang w:val="en-US" w:eastAsia="zh-CN"/>
        </w:rPr>
        <w:t>588.43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143.1</w:t>
      </w:r>
      <w:r>
        <w:rPr>
          <w:rFonts w:hint="eastAsia" w:ascii="仿宋_GB2312"/>
          <w:color w:val="auto"/>
          <w:szCs w:val="32"/>
        </w:rPr>
        <w:t>万元，下降</w:t>
      </w:r>
      <w:r>
        <w:rPr>
          <w:rFonts w:hint="eastAsia" w:ascii="仿宋_GB2312"/>
          <w:color w:val="auto"/>
          <w:szCs w:val="32"/>
          <w:lang w:val="en-US" w:eastAsia="zh-CN"/>
        </w:rPr>
        <w:t>19.56</w:t>
      </w:r>
      <w:r>
        <w:rPr>
          <w:rFonts w:hint="eastAsia" w:ascii="仿宋_GB2312"/>
          <w:color w:val="auto"/>
          <w:szCs w:val="32"/>
        </w:rPr>
        <w:t>%，财政拨款支出总计减少</w:t>
      </w:r>
      <w:r>
        <w:rPr>
          <w:rFonts w:hint="eastAsia" w:ascii="仿宋_GB2312"/>
          <w:color w:val="auto"/>
          <w:szCs w:val="32"/>
          <w:lang w:val="en-US" w:eastAsia="zh-CN"/>
        </w:rPr>
        <w:t>143.1</w:t>
      </w:r>
      <w:r>
        <w:rPr>
          <w:rFonts w:hint="eastAsia" w:ascii="仿宋_GB2312"/>
          <w:color w:val="auto"/>
          <w:szCs w:val="32"/>
        </w:rPr>
        <w:t>万元，下降</w:t>
      </w:r>
      <w:r>
        <w:rPr>
          <w:rFonts w:hint="eastAsia" w:ascii="仿宋_GB2312"/>
          <w:color w:val="auto"/>
          <w:szCs w:val="32"/>
          <w:lang w:val="en-US" w:eastAsia="zh-CN"/>
        </w:rPr>
        <w:t>19.56</w:t>
      </w:r>
      <w:r>
        <w:rPr>
          <w:rFonts w:hint="eastAsia" w:ascii="仿宋_GB2312"/>
          <w:color w:val="auto"/>
          <w:szCs w:val="32"/>
        </w:rPr>
        <w:t>%。主要原因是</w:t>
      </w:r>
      <w:r>
        <w:rPr>
          <w:rFonts w:hint="eastAsia" w:ascii="仿宋_GB2312"/>
          <w:color w:val="auto"/>
          <w:szCs w:val="32"/>
          <w:lang w:val="en-US" w:eastAsia="zh-CN"/>
        </w:rPr>
        <w:t>本年驻村工作队和第一书记工作经费支出减少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588.43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143.1</w:t>
      </w:r>
      <w:r>
        <w:rPr>
          <w:rFonts w:hint="eastAsia" w:ascii="仿宋_GB2312"/>
          <w:color w:val="auto"/>
          <w:szCs w:val="32"/>
        </w:rPr>
        <w:t>万元，下降</w:t>
      </w:r>
      <w:r>
        <w:rPr>
          <w:rFonts w:hint="eastAsia" w:ascii="仿宋_GB2312"/>
          <w:color w:val="auto"/>
          <w:szCs w:val="32"/>
          <w:lang w:val="en-US" w:eastAsia="zh-CN"/>
        </w:rPr>
        <w:t>19.56</w:t>
      </w:r>
      <w:r>
        <w:rPr>
          <w:rFonts w:hint="eastAsia" w:ascii="仿宋_GB2312"/>
          <w:color w:val="auto"/>
          <w:szCs w:val="32"/>
        </w:rPr>
        <w:t>%。主要原因是</w:t>
      </w:r>
      <w:r>
        <w:rPr>
          <w:rFonts w:hint="eastAsia" w:ascii="仿宋_GB2312"/>
          <w:color w:val="auto"/>
          <w:szCs w:val="32"/>
          <w:lang w:val="en-US" w:eastAsia="zh-CN"/>
        </w:rPr>
        <w:t>本年驻村工作队和第一书记工作经费支出减少</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588.43</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588.43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774.21</w:t>
      </w:r>
      <w:r>
        <w:rPr>
          <w:rFonts w:hint="eastAsia"/>
          <w:color w:val="auto"/>
          <w:szCs w:val="32"/>
        </w:rPr>
        <w:t>万元，支出决算</w:t>
      </w:r>
      <w:r>
        <w:rPr>
          <w:rFonts w:hint="eastAsia"/>
          <w:color w:val="auto"/>
          <w:szCs w:val="32"/>
          <w:lang w:val="en-US" w:eastAsia="zh-CN"/>
        </w:rPr>
        <w:t>588.43</w:t>
      </w:r>
      <w:r>
        <w:rPr>
          <w:rFonts w:hint="eastAsia"/>
          <w:color w:val="auto"/>
          <w:szCs w:val="32"/>
        </w:rPr>
        <w:t>万元，完成年初预算的</w:t>
      </w:r>
      <w:r>
        <w:rPr>
          <w:rFonts w:hint="eastAsia"/>
          <w:color w:val="auto"/>
          <w:szCs w:val="32"/>
          <w:lang w:val="en-US" w:eastAsia="zh-CN"/>
        </w:rPr>
        <w:t>76</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201</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一般公共服务支出</w:t>
            </w:r>
          </w:p>
        </w:tc>
        <w:tc>
          <w:tcPr>
            <w:tcW w:w="1876"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lang w:val="en-US" w:eastAsia="zh-CN"/>
              </w:rPr>
              <w:t>731.53</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588.43</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201</w:t>
            </w:r>
            <w:r>
              <w:rPr>
                <w:rFonts w:hint="eastAsia"/>
                <w:color w:val="auto"/>
                <w:sz w:val="24"/>
                <w:szCs w:val="20"/>
                <w:lang w:val="en-US" w:eastAsia="zh-CN"/>
              </w:rPr>
              <w:t>32</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lang w:eastAsia="zh-CN"/>
              </w:rPr>
              <w:t>组织</w:t>
            </w:r>
            <w:r>
              <w:rPr>
                <w:rFonts w:hint="eastAsia"/>
                <w:color w:val="auto"/>
                <w:sz w:val="24"/>
                <w:szCs w:val="20"/>
              </w:rPr>
              <w:t>事务</w:t>
            </w:r>
          </w:p>
        </w:tc>
        <w:tc>
          <w:tcPr>
            <w:tcW w:w="1876" w:type="dxa"/>
            <w:vAlign w:val="center"/>
          </w:tcPr>
          <w:p>
            <w:pPr>
              <w:ind w:firstLine="480" w:firstLineChars="200"/>
              <w:jc w:val="both"/>
              <w:rPr>
                <w:rFonts w:hint="eastAsia" w:ascii="仿宋" w:hAnsi="仿宋" w:eastAsia="仿宋" w:cs="仿宋"/>
                <w:color w:val="auto"/>
                <w:sz w:val="24"/>
                <w:szCs w:val="24"/>
              </w:rPr>
            </w:pPr>
            <w:r>
              <w:rPr>
                <w:rFonts w:hint="eastAsia"/>
                <w:color w:val="auto"/>
                <w:sz w:val="24"/>
                <w:szCs w:val="20"/>
                <w:lang w:val="en-US" w:eastAsia="zh-CN"/>
              </w:rPr>
              <w:t>731.53</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588.43</w:t>
            </w:r>
          </w:p>
        </w:tc>
        <w:tc>
          <w:tcPr>
            <w:tcW w:w="1393"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201</w:t>
            </w:r>
            <w:r>
              <w:rPr>
                <w:rFonts w:hint="eastAsia"/>
                <w:color w:val="auto"/>
                <w:sz w:val="24"/>
                <w:szCs w:val="20"/>
                <w:lang w:val="en-US" w:eastAsia="zh-CN"/>
              </w:rPr>
              <w:t>32</w:t>
            </w:r>
            <w:r>
              <w:rPr>
                <w:rFonts w:hint="eastAsia"/>
                <w:color w:val="auto"/>
                <w:sz w:val="24"/>
                <w:szCs w:val="20"/>
              </w:rPr>
              <w:t>01</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行政运行</w:t>
            </w:r>
          </w:p>
        </w:tc>
        <w:tc>
          <w:tcPr>
            <w:tcW w:w="1876" w:type="dxa"/>
            <w:vAlign w:val="center"/>
          </w:tcPr>
          <w:p>
            <w:pPr>
              <w:ind w:firstLine="480" w:firstLineChars="200"/>
              <w:jc w:val="both"/>
              <w:rPr>
                <w:rFonts w:hint="eastAsia" w:ascii="仿宋" w:hAnsi="仿宋" w:eastAsia="仿宋" w:cs="仿宋"/>
                <w:color w:val="auto"/>
                <w:sz w:val="24"/>
                <w:szCs w:val="24"/>
              </w:rPr>
            </w:pPr>
            <w:r>
              <w:rPr>
                <w:rFonts w:hint="eastAsia"/>
                <w:color w:val="auto"/>
                <w:sz w:val="24"/>
                <w:szCs w:val="20"/>
                <w:lang w:val="en-US" w:eastAsia="zh-CN"/>
              </w:rPr>
              <w:t>241.34</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199.58</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201</w:t>
            </w:r>
            <w:r>
              <w:rPr>
                <w:rFonts w:hint="eastAsia"/>
                <w:color w:val="auto"/>
                <w:sz w:val="24"/>
                <w:szCs w:val="20"/>
                <w:lang w:val="en-US" w:eastAsia="zh-CN"/>
              </w:rPr>
              <w:t>3202</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一般行政管理事务</w:t>
            </w:r>
          </w:p>
        </w:tc>
        <w:tc>
          <w:tcPr>
            <w:tcW w:w="1876" w:type="dxa"/>
            <w:vAlign w:val="center"/>
          </w:tcPr>
          <w:p>
            <w:pPr>
              <w:ind w:firstLine="720" w:firstLineChars="300"/>
              <w:jc w:val="both"/>
              <w:rPr>
                <w:rFonts w:hint="eastAsia" w:ascii="仿宋" w:hAnsi="仿宋" w:eastAsia="仿宋" w:cs="仿宋"/>
                <w:color w:val="auto"/>
                <w:sz w:val="24"/>
                <w:szCs w:val="24"/>
              </w:rPr>
            </w:pPr>
            <w:r>
              <w:rPr>
                <w:rFonts w:hint="eastAsia"/>
                <w:color w:val="auto"/>
                <w:sz w:val="24"/>
                <w:szCs w:val="20"/>
                <w:lang w:val="en-US" w:eastAsia="zh-CN"/>
              </w:rPr>
              <w:t>8.1</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31.15</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eastAsia" w:ascii="仿宋" w:hAnsi="仿宋" w:eastAsia="仿宋" w:cs="仿宋"/>
                <w:color w:val="auto"/>
                <w:sz w:val="24"/>
                <w:szCs w:val="24"/>
              </w:rPr>
            </w:pPr>
            <w:r>
              <w:rPr>
                <w:rFonts w:hint="eastAsia"/>
                <w:color w:val="auto"/>
                <w:sz w:val="24"/>
                <w:szCs w:val="20"/>
              </w:rPr>
              <w:t>201</w:t>
            </w:r>
            <w:r>
              <w:rPr>
                <w:rFonts w:hint="eastAsia"/>
                <w:color w:val="auto"/>
                <w:sz w:val="24"/>
                <w:szCs w:val="20"/>
                <w:lang w:val="en-US" w:eastAsia="zh-CN"/>
              </w:rPr>
              <w:t>3299</w:t>
            </w:r>
          </w:p>
        </w:tc>
        <w:tc>
          <w:tcPr>
            <w:tcW w:w="2479" w:type="dxa"/>
            <w:vAlign w:val="center"/>
          </w:tcPr>
          <w:p>
            <w:pPr>
              <w:ind w:left="0" w:leftChars="0" w:firstLine="0" w:firstLineChars="0"/>
              <w:jc w:val="center"/>
              <w:rPr>
                <w:rFonts w:hint="eastAsia" w:ascii="仿宋" w:hAnsi="仿宋" w:eastAsia="仿宋" w:cs="仿宋"/>
                <w:color w:val="auto"/>
                <w:sz w:val="24"/>
                <w:szCs w:val="24"/>
                <w:lang w:val="en-US" w:eastAsia="zh-CN"/>
              </w:rPr>
            </w:pPr>
            <w:r>
              <w:rPr>
                <w:rFonts w:hint="eastAsia"/>
                <w:color w:val="auto"/>
                <w:sz w:val="24"/>
                <w:szCs w:val="20"/>
                <w:lang w:val="en-US" w:eastAsia="zh-CN"/>
              </w:rPr>
              <w:t>其他组织事务支出</w:t>
            </w:r>
          </w:p>
        </w:tc>
        <w:tc>
          <w:tcPr>
            <w:tcW w:w="1876" w:type="dxa"/>
            <w:vAlign w:val="center"/>
          </w:tcPr>
          <w:p>
            <w:pPr>
              <w:ind w:firstLine="480" w:firstLineChars="200"/>
              <w:jc w:val="both"/>
              <w:rPr>
                <w:rFonts w:hint="eastAsia" w:ascii="仿宋" w:hAnsi="仿宋" w:eastAsia="仿宋" w:cs="仿宋"/>
                <w:i w:val="0"/>
                <w:color w:val="auto"/>
                <w:kern w:val="0"/>
                <w:sz w:val="22"/>
                <w:szCs w:val="22"/>
                <w:u w:val="none"/>
                <w:lang w:val="en-US" w:eastAsia="zh-CN" w:bidi="ar"/>
              </w:rPr>
            </w:pPr>
            <w:r>
              <w:rPr>
                <w:rFonts w:hint="eastAsia"/>
                <w:color w:val="auto"/>
                <w:sz w:val="24"/>
                <w:szCs w:val="20"/>
                <w:lang w:val="en-US" w:eastAsia="zh-CN"/>
              </w:rPr>
              <w:t>482.09</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357.7</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bookmarkStart w:id="33" w:name="_GoBack"/>
            <w:bookmarkEnd w:id="33"/>
            <w:r>
              <w:rPr>
                <w:rFonts w:hint="eastAsia" w:ascii="仿宋" w:hAnsi="仿宋" w:eastAsia="仿宋" w:cs="仿宋"/>
                <w:color w:val="auto"/>
                <w:sz w:val="24"/>
                <w:szCs w:val="24"/>
                <w:lang w:val="en-US" w:eastAsia="zh-CN"/>
              </w:rPr>
              <w:t>-25.8%</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ind w:firstLine="480" w:firstLineChars="200"/>
              <w:jc w:val="center"/>
              <w:rPr>
                <w:rFonts w:hint="eastAsia" w:ascii="仿宋" w:hAnsi="仿宋" w:eastAsia="仿宋" w:cs="仿宋"/>
                <w:color w:val="auto"/>
                <w:kern w:val="0"/>
                <w:sz w:val="28"/>
                <w:szCs w:val="28"/>
              </w:rPr>
            </w:pPr>
            <w:r>
              <w:rPr>
                <w:rFonts w:hint="eastAsia"/>
                <w:color w:val="auto"/>
                <w:sz w:val="24"/>
                <w:szCs w:val="20"/>
                <w:lang w:val="en-US" w:eastAsia="zh-CN"/>
              </w:rPr>
              <w:t>731.53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588.43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ind w:firstLine="480" w:firstLineChars="200"/>
              <w:jc w:val="center"/>
              <w:rPr>
                <w:rFonts w:hint="eastAsia" w:ascii="仿宋" w:hAnsi="仿宋" w:eastAsia="仿宋" w:cs="仿宋"/>
                <w:color w:val="auto"/>
                <w:kern w:val="0"/>
                <w:sz w:val="28"/>
                <w:szCs w:val="28"/>
              </w:rPr>
            </w:pPr>
            <w:r>
              <w:rPr>
                <w:rFonts w:hint="eastAsia"/>
                <w:color w:val="auto"/>
                <w:sz w:val="24"/>
                <w:szCs w:val="20"/>
                <w:lang w:val="en-US" w:eastAsia="zh-CN"/>
              </w:rPr>
              <w:t>161.69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143</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55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ind w:firstLine="480" w:firstLineChars="200"/>
              <w:jc w:val="center"/>
              <w:rPr>
                <w:rFonts w:hint="eastAsia" w:ascii="仿宋" w:hAnsi="仿宋" w:eastAsia="仿宋" w:cs="仿宋"/>
                <w:color w:val="auto"/>
                <w:kern w:val="0"/>
                <w:sz w:val="28"/>
                <w:szCs w:val="28"/>
              </w:rPr>
            </w:pPr>
            <w:r>
              <w:rPr>
                <w:rFonts w:hint="eastAsia"/>
                <w:color w:val="auto"/>
                <w:sz w:val="24"/>
                <w:szCs w:val="20"/>
                <w:lang w:val="en-US" w:eastAsia="zh-CN"/>
              </w:rPr>
              <w:t>232.93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106.45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ind w:firstLine="480" w:firstLineChars="200"/>
              <w:jc w:val="center"/>
              <w:rPr>
                <w:rFonts w:hint="eastAsia" w:ascii="仿宋" w:hAnsi="仿宋" w:eastAsia="仿宋" w:cs="仿宋"/>
                <w:color w:val="auto"/>
                <w:kern w:val="0"/>
                <w:sz w:val="28"/>
                <w:szCs w:val="28"/>
              </w:rPr>
            </w:pPr>
            <w:r>
              <w:rPr>
                <w:rFonts w:hint="eastAsia"/>
                <w:color w:val="auto"/>
                <w:sz w:val="24"/>
                <w:szCs w:val="20"/>
                <w:lang w:val="en-US" w:eastAsia="zh-CN"/>
              </w:rPr>
              <w:t>335.3</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338.43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162.8</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143.55</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人员工资及社保支出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19.25</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单位日常运行经费商品服务支出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425.64</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2</w:t>
      </w:r>
      <w:r>
        <w:rPr>
          <w:rFonts w:hint="eastAsia" w:ascii="仿宋_GB2312"/>
          <w:color w:val="auto"/>
          <w:szCs w:val="32"/>
        </w:rPr>
        <w:t>万元，，比上年减少</w:t>
      </w:r>
      <w:r>
        <w:rPr>
          <w:rFonts w:hint="eastAsia" w:ascii="仿宋_GB2312"/>
          <w:color w:val="auto"/>
          <w:szCs w:val="32"/>
          <w:lang w:val="en-US" w:eastAsia="zh-CN"/>
        </w:rPr>
        <w:t>1</w:t>
      </w:r>
      <w:r>
        <w:rPr>
          <w:rFonts w:hint="eastAsia" w:ascii="仿宋_GB2312"/>
          <w:color w:val="auto"/>
          <w:szCs w:val="32"/>
        </w:rPr>
        <w:t>万元，下降</w:t>
      </w:r>
      <w:r>
        <w:rPr>
          <w:rFonts w:hint="eastAsia" w:ascii="仿宋_GB2312"/>
          <w:color w:val="auto"/>
          <w:szCs w:val="32"/>
          <w:lang w:val="en-US" w:eastAsia="zh-CN"/>
        </w:rPr>
        <w:t>33.3</w:t>
      </w:r>
      <w:r>
        <w:rPr>
          <w:rFonts w:hint="eastAsia" w:ascii="仿宋_GB2312"/>
          <w:color w:val="auto"/>
          <w:szCs w:val="32"/>
        </w:rPr>
        <w:t>%，原因是：</w:t>
      </w:r>
      <w:r>
        <w:rPr>
          <w:rFonts w:hint="eastAsia" w:ascii="仿宋_GB2312"/>
          <w:color w:val="auto"/>
          <w:szCs w:val="32"/>
          <w:lang w:val="en-US" w:eastAsia="zh-CN"/>
        </w:rPr>
        <w:t>本年预算减少，节约经费</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万元；公务用车购置及运行费支出决算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3</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2</w:t>
            </w:r>
          </w:p>
        </w:tc>
        <w:tc>
          <w:tcPr>
            <w:tcW w:w="1418" w:type="dxa"/>
            <w:vAlign w:val="top"/>
          </w:tcPr>
          <w:p>
            <w:pPr>
              <w:pStyle w:val="8"/>
              <w:ind w:left="0" w:leftChars="0" w:firstLine="0" w:firstLineChars="0"/>
              <w:jc w:val="both"/>
              <w:rPr>
                <w:rFonts w:hint="eastAsia" w:eastAsia="宋体"/>
                <w:color w:val="auto"/>
                <w:sz w:val="28"/>
                <w:szCs w:val="28"/>
                <w:lang w:val="en-US" w:eastAsia="zh-CN"/>
              </w:rPr>
            </w:pPr>
            <w:r>
              <w:rPr>
                <w:rFonts w:hint="eastAsia" w:eastAsia="宋体"/>
                <w:color w:val="auto"/>
                <w:sz w:val="28"/>
                <w:szCs w:val="28"/>
                <w:lang w:val="en-US" w:eastAsia="zh-CN"/>
              </w:rPr>
              <w:t>-33.3%</w:t>
            </w:r>
          </w:p>
        </w:tc>
      </w:tr>
    </w:tbl>
    <w:p>
      <w:pPr>
        <w:pStyle w:val="8"/>
        <w:spacing w:before="0" w:beforeAutospacing="0" w:after="0" w:afterAutospacing="0"/>
        <w:ind w:left="0" w:leftChars="0" w:firstLine="0" w:firstLineChars="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lang w:val="en-US"/>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19.25</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51.93</w:t>
      </w:r>
      <w:r>
        <w:rPr>
          <w:rFonts w:hint="eastAsia" w:ascii="仿宋_GB2312" w:hAnsi="宋体"/>
          <w:color w:val="auto"/>
          <w:szCs w:val="32"/>
        </w:rPr>
        <w:t>万元，降低</w:t>
      </w:r>
      <w:r>
        <w:rPr>
          <w:rFonts w:hint="eastAsia" w:ascii="仿宋_GB2312" w:hAnsi="宋体"/>
          <w:color w:val="auto"/>
          <w:szCs w:val="32"/>
          <w:lang w:val="en-US" w:eastAsia="zh-CN"/>
        </w:rPr>
        <w:t>72.96</w:t>
      </w:r>
      <w:r>
        <w:rPr>
          <w:rFonts w:hint="eastAsia" w:ascii="仿宋_GB2312" w:hAnsi="宋体"/>
          <w:color w:val="auto"/>
          <w:szCs w:val="32"/>
        </w:rPr>
        <w:t>%。主要原因是：</w:t>
      </w:r>
      <w:r>
        <w:rPr>
          <w:rFonts w:hint="eastAsia" w:ascii="仿宋_GB2312" w:hAnsi="宋体"/>
          <w:color w:val="auto"/>
          <w:szCs w:val="32"/>
          <w:lang w:val="en-US" w:eastAsia="zh-CN"/>
        </w:rPr>
        <w:t>上年部分项目费报入基本支出。</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49.06</w:t>
      </w:r>
      <w:r>
        <w:rPr>
          <w:rFonts w:hint="eastAsia" w:ascii="仿宋_GB2312"/>
          <w:color w:val="auto"/>
          <w:szCs w:val="32"/>
        </w:rPr>
        <w:t>万元，其中：政府采购货物支出</w:t>
      </w:r>
      <w:r>
        <w:rPr>
          <w:rFonts w:hint="eastAsia" w:ascii="仿宋_GB2312"/>
          <w:color w:val="auto"/>
          <w:szCs w:val="32"/>
          <w:lang w:val="en-US" w:eastAsia="zh-CN"/>
        </w:rPr>
        <w:t>5.12</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43.93</w:t>
      </w:r>
      <w:r>
        <w:rPr>
          <w:rFonts w:hint="eastAsia" w:ascii="仿宋_GB2312"/>
          <w:color w:val="auto"/>
          <w:szCs w:val="32"/>
        </w:rPr>
        <w:t>万元。政府采购授予中小企业合同金额</w:t>
      </w:r>
      <w:r>
        <w:rPr>
          <w:rFonts w:hint="eastAsia" w:ascii="仿宋_GB2312"/>
          <w:color w:val="auto"/>
          <w:szCs w:val="32"/>
          <w:lang w:val="en-US" w:eastAsia="zh-CN"/>
        </w:rPr>
        <w:t>49.06</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49.06</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ind w:firstLine="640"/>
        <w:rPr>
          <w:rFonts w:hint="eastAsia" w:ascii="仿宋_GB2312" w:hAnsi="宋体" w:eastAsia="仿宋_GB2312" w:cs="宋体"/>
          <w:color w:val="auto"/>
          <w:kern w:val="0"/>
          <w:sz w:val="32"/>
          <w:szCs w:val="32"/>
          <w:lang w:val="en-US" w:eastAsia="zh-CN" w:bidi="ar-SA"/>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w:t>
      </w:r>
      <w:r>
        <w:rPr>
          <w:rFonts w:hint="eastAsia" w:ascii="仿宋_GB2312" w:hAnsi="宋体" w:eastAsia="仿宋_GB2312" w:cs="宋体"/>
          <w:color w:val="auto"/>
          <w:kern w:val="0"/>
          <w:sz w:val="32"/>
          <w:szCs w:val="32"/>
          <w:lang w:val="en-US" w:eastAsia="zh-CN" w:bidi="ar-SA"/>
        </w:rPr>
        <w:t>本部门共有车辆1辆，所有权属机关事务管理局，本单位仅有使用权，公务用车运行维护费由本单位支出。</w:t>
      </w:r>
    </w:p>
    <w:p>
      <w:pPr>
        <w:ind w:firstLine="640"/>
        <w:rPr>
          <w:rFonts w:hint="eastAsia" w:ascii="仿宋_GB2312" w:hAnsi="宋体" w:cs="宋体"/>
          <w:color w:val="auto"/>
          <w:kern w:val="0"/>
          <w:sz w:val="32"/>
          <w:szCs w:val="32"/>
          <w:lang w:val="en-US" w:eastAsia="zh-CN" w:bidi="ar-SA"/>
        </w:rPr>
      </w:pPr>
      <w:r>
        <w:rPr>
          <w:rFonts w:hint="eastAsia" w:ascii="仿宋_GB2312" w:hAnsi="宋体" w:cs="宋体"/>
          <w:color w:val="auto"/>
          <w:kern w:val="0"/>
          <w:sz w:val="32"/>
          <w:szCs w:val="32"/>
          <w:lang w:val="en-US" w:eastAsia="zh-CN" w:bidi="ar-SA"/>
        </w:rPr>
        <w:t>本单位账面无房屋建筑特资产，办公用房权属机关事务管理局。</w:t>
      </w:r>
    </w:p>
    <w:p>
      <w:pPr>
        <w:spacing w:line="580" w:lineRule="exact"/>
        <w:ind w:firstLine="640"/>
        <w:rPr>
          <w:rFonts w:hint="eastAsia" w:ascii="仿宋_GB2312"/>
          <w:color w:val="auto"/>
          <w:szCs w:val="32"/>
        </w:rPr>
      </w:pPr>
      <w:r>
        <w:rPr>
          <w:rFonts w:hint="eastAsia" w:ascii="仿宋_GB2312" w:hAnsi="宋体" w:cs="宋体"/>
          <w:color w:val="auto"/>
          <w:kern w:val="0"/>
          <w:sz w:val="32"/>
          <w:szCs w:val="32"/>
          <w:lang w:val="en-US" w:eastAsia="zh-CN" w:bidi="ar-SA"/>
        </w:rPr>
        <w:t>本单位账面无</w:t>
      </w:r>
      <w:r>
        <w:rPr>
          <w:rFonts w:hint="eastAsia" w:ascii="仿宋_GB2312"/>
          <w:color w:val="auto"/>
          <w:szCs w:val="32"/>
        </w:rPr>
        <w:t>单价50万元（含）以上的通用设备</w:t>
      </w:r>
      <w:r>
        <w:rPr>
          <w:rFonts w:hint="eastAsia" w:ascii="仿宋_GB2312"/>
          <w:color w:val="auto"/>
          <w:szCs w:val="32"/>
          <w:lang w:eastAsia="zh-CN"/>
        </w:rPr>
        <w:t>，</w:t>
      </w:r>
      <w:r>
        <w:rPr>
          <w:rFonts w:hint="eastAsia" w:ascii="仿宋_GB2312"/>
          <w:color w:val="auto"/>
          <w:szCs w:val="32"/>
        </w:rPr>
        <w:t>单价100万元（含）以上专用设备。</w:t>
      </w:r>
    </w:p>
    <w:p>
      <w:pPr>
        <w:rPr>
          <w:rFonts w:hint="eastAsia"/>
          <w:b/>
          <w:bCs/>
          <w:color w:val="auto"/>
          <w:highlight w:val="none"/>
        </w:rPr>
      </w:pPr>
      <w:r>
        <w:rPr>
          <w:rFonts w:hint="eastAsia"/>
          <w:b/>
          <w:bCs/>
          <w:color w:val="auto"/>
          <w:highlight w:val="none"/>
          <w:lang w:eastAsia="zh-CN"/>
        </w:rPr>
        <w:t>（</w:t>
      </w:r>
      <w:r>
        <w:rPr>
          <w:rFonts w:hint="eastAsia"/>
          <w:b/>
          <w:bCs/>
          <w:color w:val="auto"/>
          <w:highlight w:val="none"/>
          <w:lang w:val="en-US" w:eastAsia="zh-CN"/>
        </w:rPr>
        <w:t>四）</w:t>
      </w:r>
      <w:r>
        <w:rPr>
          <w:rFonts w:hint="eastAsia"/>
          <w:b/>
          <w:bCs/>
          <w:color w:val="auto"/>
          <w:highlight w:val="none"/>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lang w:val="en-US" w:eastAsia="zh-CN"/>
        </w:rPr>
      </w:pPr>
    </w:p>
    <w:p>
      <w:pPr>
        <w:numPr>
          <w:ilvl w:val="0"/>
          <w:numId w:val="3"/>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根据预算绩效管理要求，我部门组织对202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县</w:t>
      </w:r>
      <w:r>
        <w:rPr>
          <w:rFonts w:hint="eastAsia" w:ascii="仿宋_GB2312" w:hAnsi="仿宋_GB2312" w:eastAsia="仿宋_GB2312" w:cs="仿宋_GB2312"/>
          <w:color w:val="auto"/>
          <w:sz w:val="32"/>
          <w:szCs w:val="32"/>
          <w:highlight w:val="none"/>
          <w:lang w:val="en-US" w:eastAsia="zh-CN"/>
        </w:rPr>
        <w:t>级财政预算安排</w:t>
      </w:r>
      <w:r>
        <w:rPr>
          <w:rFonts w:hint="eastAsia" w:ascii="仿宋_GB2312" w:hAnsi="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lang w:val="en-US" w:eastAsia="zh-CN"/>
        </w:rPr>
        <w:t>个项目支出全面开展绩效自评，涉及预算资金</w:t>
      </w:r>
      <w:r>
        <w:rPr>
          <w:rFonts w:hint="eastAsia" w:ascii="仿宋_GB2312" w:hAnsi="仿宋_GB2312" w:cs="仿宋_GB2312"/>
          <w:color w:val="auto"/>
          <w:sz w:val="32"/>
          <w:szCs w:val="32"/>
          <w:highlight w:val="none"/>
          <w:lang w:val="en-US" w:eastAsia="zh-CN"/>
        </w:rPr>
        <w:t>425.64</w:t>
      </w:r>
      <w:r>
        <w:rPr>
          <w:rFonts w:hint="eastAsia" w:ascii="仿宋_GB2312" w:hAnsi="仿宋_GB2312" w:eastAsia="仿宋_GB2312" w:cs="仿宋_GB2312"/>
          <w:color w:val="auto"/>
          <w:sz w:val="32"/>
          <w:szCs w:val="32"/>
          <w:highlight w:val="none"/>
          <w:lang w:val="en-US" w:eastAsia="zh-CN"/>
        </w:rPr>
        <w:t>万元，占一般公共预算项目支出总额的</w:t>
      </w:r>
      <w:r>
        <w:rPr>
          <w:rFonts w:hint="eastAsia" w:ascii="仿宋_GB2312" w:hAnsi="仿宋_GB2312" w:cs="仿宋_GB2312"/>
          <w:color w:val="auto"/>
          <w:sz w:val="32"/>
          <w:szCs w:val="32"/>
          <w:highlight w:val="none"/>
          <w:lang w:val="en-US" w:eastAsia="zh-CN"/>
        </w:rPr>
        <w:t>72.33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我单位对</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第一书记待遇经费及驻村工作队生活补助2个超过100万元以上项目，对社会公示。</w:t>
      </w:r>
    </w:p>
    <w:p>
      <w:pPr>
        <w:numPr>
          <w:ilvl w:val="0"/>
          <w:numId w:val="3"/>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部门决算中项目绩效自评结果。</w:t>
      </w:r>
    </w:p>
    <w:p>
      <w:pPr>
        <w:numPr>
          <w:ilvl w:val="0"/>
          <w:numId w:val="0"/>
        </w:num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公开项目对应的绩效自评价评分表以附件形式公开</w:t>
      </w:r>
      <w:r>
        <w:rPr>
          <w:rFonts w:hint="eastAsia" w:ascii="仿宋_GB2312" w:hAnsi="仿宋_GB2312" w:cs="仿宋_GB2312"/>
          <w:color w:val="auto"/>
          <w:sz w:val="32"/>
          <w:szCs w:val="32"/>
          <w:highlight w:val="none"/>
          <w:lang w:val="en-US" w:eastAsia="zh-CN"/>
        </w:rPr>
        <w:t>。见附表。</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left="0" w:leftChars="0" w:firstLine="0" w:firstLineChars="0"/>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单位名称：中国共产党静乐县委组织部</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B44D7A"/>
    <w:multiLevelType w:val="singleLevel"/>
    <w:tmpl w:val="62B44D7A"/>
    <w:lvl w:ilvl="0" w:tentative="0">
      <w:start w:val="1"/>
      <w:numFmt w:val="chineseCounting"/>
      <w:suff w:val="nothing"/>
      <w:lvlText w:val="%1、"/>
      <w:lvlJc w:val="left"/>
    </w:lvl>
  </w:abstractNum>
  <w:abstractNum w:abstractNumId="3">
    <w:nsid w:val="62CD5575"/>
    <w:multiLevelType w:val="singleLevel"/>
    <w:tmpl w:val="62CD5575"/>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10BF615D"/>
    <w:rsid w:val="16654CDD"/>
    <w:rsid w:val="17CF5086"/>
    <w:rsid w:val="1A4A5C33"/>
    <w:rsid w:val="1C2654D6"/>
    <w:rsid w:val="1E7937A1"/>
    <w:rsid w:val="24B779DB"/>
    <w:rsid w:val="2701594C"/>
    <w:rsid w:val="27426717"/>
    <w:rsid w:val="37943B50"/>
    <w:rsid w:val="3821117E"/>
    <w:rsid w:val="40CD6793"/>
    <w:rsid w:val="42C12CEC"/>
    <w:rsid w:val="44401A62"/>
    <w:rsid w:val="45062919"/>
    <w:rsid w:val="495520D0"/>
    <w:rsid w:val="4A012068"/>
    <w:rsid w:val="4EFC1074"/>
    <w:rsid w:val="53A30631"/>
    <w:rsid w:val="566108CA"/>
    <w:rsid w:val="57DA2ED9"/>
    <w:rsid w:val="5EC01F6A"/>
    <w:rsid w:val="5FAD1002"/>
    <w:rsid w:val="63AB51DF"/>
    <w:rsid w:val="649C6DC9"/>
    <w:rsid w:val="6BA3433E"/>
    <w:rsid w:val="715A78E4"/>
    <w:rsid w:val="7761744D"/>
    <w:rsid w:val="7A1348D9"/>
    <w:rsid w:val="7EC73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2022-07-26T01:58:02Z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