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hint="eastAsia" w:ascii="华文中宋" w:hAnsi="华文中宋" w:eastAsia="华文中宋"/>
          <w:szCs w:val="44"/>
        </w:rPr>
      </w:pPr>
      <w:bookmarkStart w:id="0" w:name="_Toc31071"/>
      <w:bookmarkStart w:id="1" w:name="_Toc21118"/>
      <w:bookmarkStart w:id="2" w:name="_Toc32048"/>
      <w:r>
        <w:rPr>
          <w:rFonts w:hint="eastAsia" w:ascii="华文中宋" w:hAnsi="华文中宋" w:eastAsia="华文中宋"/>
          <w:szCs w:val="44"/>
        </w:rPr>
        <w:t>静乐县博物馆2021年度部门决算</w:t>
      </w:r>
    </w:p>
    <w:p>
      <w:pPr>
        <w:pStyle w:val="2"/>
        <w:ind w:firstLine="881"/>
        <w:jc w:val="center"/>
        <w:rPr>
          <w:rFonts w:ascii="华文中宋" w:hAnsi="华文中宋" w:eastAsia="华文中宋"/>
          <w:szCs w:val="44"/>
        </w:rPr>
      </w:pPr>
      <w:r>
        <w:rPr>
          <w:rFonts w:hint="eastAsia" w:ascii="华文中宋" w:hAnsi="华文中宋" w:eastAsia="华文中宋"/>
          <w:szCs w:val="44"/>
        </w:rPr>
        <w:t>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5</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6</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7</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23288"/>
      <w:bookmarkStart w:id="4" w:name="_Toc31140"/>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pStyle w:val="8"/>
        <w:spacing w:before="0" w:beforeAutospacing="0" w:after="0" w:afterAutospacing="0"/>
        <w:ind w:firstLine="480" w:firstLineChars="150"/>
        <w:rPr>
          <w:rFonts w:ascii="仿宋_GB2312"/>
          <w:color w:val="000000"/>
          <w:sz w:val="32"/>
          <w:szCs w:val="32"/>
        </w:rPr>
      </w:pPr>
      <w:r>
        <w:rPr>
          <w:rFonts w:hint="eastAsia" w:ascii="仿宋_GB2312"/>
          <w:color w:val="000000"/>
          <w:sz w:val="32"/>
          <w:szCs w:val="32"/>
        </w:rPr>
        <w:t>1、宣传贯彻执行党的各项法律、法规、方针、政策，严格依照《中华人民共和国文物保护法》、《博物馆管理办法》等法律法规，开展博物馆各项工作。</w:t>
      </w:r>
    </w:p>
    <w:p>
      <w:pPr>
        <w:pStyle w:val="8"/>
        <w:spacing w:before="0" w:beforeAutospacing="0" w:after="0" w:afterAutospacing="0"/>
        <w:ind w:firstLine="320" w:firstLineChars="100"/>
        <w:rPr>
          <w:rFonts w:ascii="仿宋_GB2312"/>
          <w:color w:val="000000"/>
          <w:sz w:val="32"/>
          <w:szCs w:val="32"/>
        </w:rPr>
      </w:pPr>
      <w:r>
        <w:rPr>
          <w:rFonts w:hint="eastAsia" w:ascii="仿宋_GB2312"/>
          <w:color w:val="000000"/>
          <w:sz w:val="32"/>
          <w:szCs w:val="32"/>
        </w:rPr>
        <w:t>2、负责对具有历史、艺术、科学价值的可移动文物的征集、研究、收藏、保管、陈列、展示，充实博物馆展品的内容，提高展品的内涵。对馆藏文物按有关规定进行妥善保管。采取有效措施，防火、防盗，确保文物安全。</w:t>
      </w:r>
    </w:p>
    <w:p>
      <w:pPr>
        <w:pStyle w:val="8"/>
        <w:spacing w:before="0" w:beforeAutospacing="0" w:after="0" w:afterAutospacing="0"/>
        <w:ind w:firstLine="320" w:firstLineChars="100"/>
        <w:rPr>
          <w:rFonts w:ascii="仿宋_GB2312"/>
          <w:color w:val="000000"/>
          <w:sz w:val="32"/>
          <w:szCs w:val="32"/>
        </w:rPr>
      </w:pPr>
      <w:r>
        <w:rPr>
          <w:rFonts w:hint="eastAsia" w:ascii="仿宋_GB2312"/>
          <w:color w:val="000000"/>
          <w:sz w:val="32"/>
          <w:szCs w:val="32"/>
        </w:rPr>
        <w:t>3、举办文物展出，发挥宣传窗口作用。为县域经济发展服务，推动我县旅游业发展。对各个时期遗址、历史建筑物进行保护，防止文物非法流通，打击文物犯罪活动，创造健康有序的文物保护环境。</w:t>
      </w:r>
    </w:p>
    <w:p>
      <w:pPr>
        <w:pStyle w:val="3"/>
        <w:numPr>
          <w:ilvl w:val="0"/>
          <w:numId w:val="1"/>
        </w:numPr>
        <w:ind w:firstLineChars="0"/>
        <w:rPr>
          <w:rFonts w:ascii="仿宋" w:hAnsi="仿宋" w:eastAsia="仿宋" w:cs="仿宋"/>
          <w:b w:val="0"/>
          <w:bCs/>
        </w:rPr>
      </w:pPr>
      <w:bookmarkStart w:id="7" w:name="_Toc275"/>
      <w:bookmarkStart w:id="8" w:name="_Toc9155"/>
      <w:r>
        <w:rPr>
          <w:rFonts w:hint="eastAsia" w:ascii="仿宋" w:hAnsi="仿宋" w:eastAsia="仿宋" w:cs="仿宋"/>
          <w:b w:val="0"/>
          <w:bCs/>
        </w:rPr>
        <w:t>机构设置情况</w:t>
      </w:r>
      <w:bookmarkEnd w:id="7"/>
      <w:bookmarkEnd w:id="8"/>
    </w:p>
    <w:p>
      <w:r>
        <w:rPr>
          <w:rFonts w:hint="eastAsia" w:ascii="仿宋_GB2312"/>
          <w:color w:val="000000"/>
          <w:szCs w:val="32"/>
        </w:rPr>
        <w:t>静乐县博物馆内设办公室、财务室、文物普查室，编制10人，现有在职职工14人</w:t>
      </w:r>
      <w:r>
        <w:rPr>
          <w:rFonts w:hint="eastAsia" w:ascii="仿宋_GB2312"/>
          <w:color w:val="000000"/>
          <w:szCs w:val="32"/>
          <w:lang w:eastAsia="zh-CN"/>
        </w:rPr>
        <w:t>。</w:t>
      </w: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8717"/>
      <w:bookmarkStart w:id="12" w:name="_Toc43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171.49万元、支出总计171.49万元。与2020年相比，收入总计减少181.72万元，下降105.96%，</w:t>
      </w:r>
      <w:r>
        <w:rPr>
          <w:rFonts w:ascii="仿宋_GB2312"/>
          <w:szCs w:val="32"/>
        </w:rPr>
        <w:t>支出总计减少</w:t>
      </w:r>
      <w:r>
        <w:rPr>
          <w:rFonts w:hint="eastAsia" w:ascii="仿宋_GB2312"/>
          <w:szCs w:val="32"/>
        </w:rPr>
        <w:t>181.72万元</w:t>
      </w:r>
      <w:r>
        <w:rPr>
          <w:rFonts w:ascii="仿宋_GB2312"/>
          <w:szCs w:val="32"/>
        </w:rPr>
        <w:t>，下降</w:t>
      </w:r>
      <w:r>
        <w:rPr>
          <w:rFonts w:hint="eastAsia" w:ascii="仿宋_GB2312"/>
          <w:szCs w:val="32"/>
        </w:rPr>
        <w:t>105.96</w:t>
      </w:r>
      <w:r>
        <w:rPr>
          <w:rFonts w:ascii="仿宋_GB2312"/>
          <w:szCs w:val="32"/>
        </w:rPr>
        <w:t>%</w:t>
      </w:r>
      <w:r>
        <w:rPr>
          <w:rFonts w:hint="eastAsia" w:ascii="仿宋_GB2312"/>
          <w:szCs w:val="32"/>
        </w:rPr>
        <w:t>。主要原因是2020年有消防工程项目支出。</w:t>
      </w:r>
    </w:p>
    <w:p>
      <w:pPr>
        <w:pStyle w:val="3"/>
        <w:ind w:firstLine="643"/>
        <w:rPr>
          <w:rFonts w:ascii="仿宋" w:hAnsi="仿宋" w:eastAsia="仿宋" w:cs="仿宋"/>
        </w:rPr>
      </w:pPr>
      <w:bookmarkStart w:id="13" w:name="_Toc17404"/>
      <w:bookmarkStart w:id="14" w:name="_Toc1675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本年收入合计171.49万元，其中：财政拨款收入171.49万元，占比100%；</w:t>
      </w:r>
      <w:r>
        <w:rPr>
          <w:rFonts w:ascii="仿宋_GB2312"/>
          <w:szCs w:val="32"/>
        </w:rPr>
        <w:t xml:space="preserve"> </w:t>
      </w:r>
    </w:p>
    <w:p>
      <w:pPr>
        <w:pStyle w:val="3"/>
        <w:ind w:firstLine="643"/>
        <w:rPr>
          <w:rFonts w:ascii="仿宋" w:hAnsi="仿宋" w:eastAsia="仿宋" w:cs="仿宋"/>
        </w:rPr>
      </w:pPr>
      <w:bookmarkStart w:id="15" w:name="_Toc9596"/>
      <w:bookmarkStart w:id="16" w:name="_Toc22098"/>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本年支出合计171.49万元，其中：基本支出123.28万元，占比71.89%；项目支出48.21万元，占比28.11%。</w:t>
      </w:r>
      <w:r>
        <w:rPr>
          <w:rFonts w:ascii="仿宋_GB2312"/>
          <w:szCs w:val="32"/>
        </w:rPr>
        <w:t xml:space="preserve"> </w:t>
      </w:r>
    </w:p>
    <w:p>
      <w:pPr>
        <w:pStyle w:val="3"/>
        <w:ind w:firstLine="643"/>
        <w:rPr>
          <w:rFonts w:ascii="仿宋" w:hAnsi="仿宋" w:eastAsia="仿宋" w:cs="仿宋"/>
        </w:rPr>
      </w:pPr>
      <w:bookmarkStart w:id="17" w:name="_Toc2142"/>
      <w:bookmarkStart w:id="18" w:name="_Toc4614"/>
      <w:r>
        <w:rPr>
          <w:rFonts w:hint="eastAsia" w:ascii="仿宋" w:hAnsi="仿宋" w:eastAsia="仿宋" w:cs="仿宋"/>
        </w:rPr>
        <w:t>四、财政拨款收入支出决算总体情况说明</w:t>
      </w:r>
      <w:bookmarkEnd w:id="17"/>
      <w:bookmarkEnd w:id="18"/>
    </w:p>
    <w:p>
      <w:pPr>
        <w:spacing w:line="580" w:lineRule="exact"/>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171.49万元、支出总计171.49万元。与2020年相比，财政拨款收入总计减少181.72万元，下降51.45%，财政拨款支出总计减少181.72万元，下降51.45%。主要原因是2020年度有消防工程项目款。</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spacing w:line="580" w:lineRule="exact"/>
        <w:ind w:firstLine="640"/>
        <w:rPr>
          <w:rFonts w:ascii="仿宋_GB2312"/>
          <w:szCs w:val="32"/>
        </w:rPr>
      </w:pPr>
      <w:r>
        <w:rPr>
          <w:rFonts w:hint="eastAsia" w:ascii="仿宋_GB2312"/>
          <w:szCs w:val="32"/>
        </w:rPr>
        <w:t>2021年度财政拨款支出171.49万元，占本年支出合计的100%。与2020年相比，财政拨款支出减少181.72万元，下降51.45%。主要原因是2020年度有消防工程项目款。无政府性基金预算支出。</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171.49万元</w:t>
      </w:r>
      <w:r>
        <w:rPr>
          <w:rFonts w:ascii="仿宋_GB2312"/>
          <w:szCs w:val="32"/>
        </w:rPr>
        <w:t>，主要用于以下方面：</w:t>
      </w:r>
      <w:r>
        <w:rPr>
          <w:rFonts w:hint="eastAsia" w:ascii="仿宋_GB2312"/>
          <w:szCs w:val="32"/>
        </w:rPr>
        <w:t>文化旅游体育与传媒支出171.49万元</w:t>
      </w:r>
      <w:r>
        <w:rPr>
          <w:rFonts w:ascii="仿宋_GB2312"/>
          <w:szCs w:val="32"/>
        </w:rPr>
        <w:t>，占</w:t>
      </w:r>
      <w:r>
        <w:rPr>
          <w:rFonts w:hint="eastAsia" w:ascii="仿宋_GB2312"/>
          <w:szCs w:val="32"/>
        </w:rPr>
        <w:t>100</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1年度财政拨款支出年初预算171.49万元，支出决算171.49万元，完成年初预算的100</w:t>
      </w:r>
      <w:r>
        <w:rPr>
          <w:szCs w:val="32"/>
        </w:rPr>
        <w:t>%</w:t>
      </w:r>
      <w:r>
        <w:rPr>
          <w:rFonts w:hint="eastAsia"/>
          <w:szCs w:val="32"/>
        </w:rPr>
        <w:t>。</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kern w:val="0"/>
          <w:sz w:val="30"/>
          <w:szCs w:val="30"/>
        </w:rPr>
      </w:pPr>
      <w:r>
        <w:rPr>
          <w:rFonts w:hint="eastAsia" w:ascii="仿宋_GB2312"/>
          <w:szCs w:val="32"/>
        </w:rPr>
        <w:t xml:space="preserve"> </w:t>
      </w:r>
      <w:r>
        <w:rPr>
          <w:rFonts w:ascii="宋体" w:hAnsi="宋体" w:cs="Arial"/>
          <w:b/>
          <w:kern w:val="0"/>
          <w:sz w:val="30"/>
          <w:szCs w:val="30"/>
        </w:rPr>
        <w:t>2</w:t>
      </w:r>
      <w:r>
        <w:rPr>
          <w:rFonts w:hint="eastAsia" w:ascii="宋体" w:hAnsi="宋体" w:cs="Arial"/>
          <w:b/>
          <w:kern w:val="0"/>
          <w:sz w:val="30"/>
          <w:szCs w:val="30"/>
        </w:rPr>
        <w:t>021年度支出功能科目分类对比表    单位：万元</w:t>
      </w:r>
    </w:p>
    <w:tbl>
      <w:tblPr>
        <w:tblStyle w:val="10"/>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585"/>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479"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876" w:type="dxa"/>
          </w:tcPr>
          <w:p>
            <w:pPr>
              <w:widowControl/>
              <w:ind w:firstLine="482"/>
              <w:jc w:val="left"/>
              <w:rPr>
                <w:rFonts w:ascii="宋体" w:hAnsi="宋体" w:eastAsia="宋体" w:cs="Arial"/>
                <w:b/>
                <w:kern w:val="0"/>
                <w:sz w:val="24"/>
                <w:szCs w:val="24"/>
              </w:rPr>
            </w:pPr>
            <w:r>
              <w:rPr>
                <w:rFonts w:hint="eastAsia" w:ascii="宋体" w:hAnsi="宋体" w:cs="Arial"/>
                <w:b/>
                <w:kern w:val="0"/>
                <w:sz w:val="24"/>
                <w:szCs w:val="24"/>
              </w:rPr>
              <w:t>2020年</w:t>
            </w:r>
          </w:p>
        </w:tc>
        <w:tc>
          <w:tcPr>
            <w:tcW w:w="1585" w:type="dxa"/>
          </w:tcPr>
          <w:p>
            <w:pPr>
              <w:widowControl/>
              <w:ind w:firstLine="482"/>
              <w:jc w:val="left"/>
              <w:rPr>
                <w:rFonts w:ascii="宋体" w:hAnsi="宋体" w:eastAsia="宋体" w:cs="Arial"/>
                <w:b/>
                <w:kern w:val="0"/>
                <w:sz w:val="24"/>
                <w:szCs w:val="24"/>
              </w:rPr>
            </w:pPr>
            <w:r>
              <w:rPr>
                <w:rFonts w:hint="eastAsia" w:ascii="宋体" w:hAnsi="宋体" w:eastAsia="宋体" w:cs="Arial"/>
                <w:b/>
                <w:kern w:val="0"/>
                <w:sz w:val="24"/>
                <w:szCs w:val="24"/>
              </w:rPr>
              <w:t>2021年</w:t>
            </w:r>
          </w:p>
        </w:tc>
        <w:tc>
          <w:tcPr>
            <w:tcW w:w="1492"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tcPr>
          <w:p>
            <w:pPr>
              <w:ind w:firstLine="360"/>
              <w:jc w:val="left"/>
              <w:rPr>
                <w:rFonts w:ascii="仿宋" w:hAnsi="仿宋" w:eastAsia="仿宋" w:cs="仿宋"/>
                <w:sz w:val="18"/>
                <w:szCs w:val="18"/>
              </w:rPr>
            </w:pPr>
            <w:r>
              <w:rPr>
                <w:rFonts w:hint="eastAsia" w:ascii="仿宋" w:hAnsi="仿宋" w:eastAsia="仿宋" w:cs="仿宋"/>
                <w:sz w:val="18"/>
                <w:szCs w:val="18"/>
              </w:rPr>
              <w:t>207</w:t>
            </w:r>
          </w:p>
        </w:tc>
        <w:tc>
          <w:tcPr>
            <w:tcW w:w="2479" w:type="dxa"/>
          </w:tcPr>
          <w:p>
            <w:pPr>
              <w:ind w:firstLine="0" w:firstLineChars="0"/>
              <w:jc w:val="center"/>
              <w:rPr>
                <w:rFonts w:ascii="仿宋" w:hAnsi="仿宋" w:eastAsia="仿宋" w:cs="仿宋"/>
                <w:sz w:val="18"/>
                <w:szCs w:val="18"/>
              </w:rPr>
            </w:pPr>
            <w:r>
              <w:rPr>
                <w:rFonts w:hint="eastAsia" w:ascii="仿宋" w:hAnsi="仿宋" w:eastAsia="仿宋" w:cs="仿宋"/>
                <w:sz w:val="18"/>
                <w:szCs w:val="18"/>
              </w:rPr>
              <w:t>文化旅游体育与传媒支出</w:t>
            </w:r>
          </w:p>
        </w:tc>
        <w:tc>
          <w:tcPr>
            <w:tcW w:w="1876"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353.21</w:t>
            </w:r>
          </w:p>
        </w:tc>
        <w:tc>
          <w:tcPr>
            <w:tcW w:w="1585"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171.49</w:t>
            </w:r>
          </w:p>
        </w:tc>
        <w:tc>
          <w:tcPr>
            <w:tcW w:w="1492" w:type="dxa"/>
          </w:tcPr>
          <w:p>
            <w:pPr>
              <w:ind w:firstLine="360"/>
              <w:jc w:val="left"/>
              <w:rPr>
                <w:rFonts w:ascii="仿宋" w:hAnsi="仿宋" w:eastAsia="仿宋" w:cs="仿宋"/>
                <w:sz w:val="18"/>
                <w:szCs w:val="18"/>
              </w:rPr>
            </w:pPr>
            <w:r>
              <w:rPr>
                <w:rFonts w:hint="eastAsia" w:ascii="仿宋" w:hAnsi="仿宋" w:eastAsia="仿宋" w:cs="仿宋"/>
                <w:sz w:val="18"/>
                <w:szCs w:val="18"/>
              </w:rPr>
              <w:t>-181.72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360"/>
              <w:jc w:val="left"/>
              <w:rPr>
                <w:rFonts w:ascii="仿宋" w:hAnsi="仿宋" w:eastAsia="仿宋" w:cs="仿宋"/>
                <w:sz w:val="18"/>
                <w:szCs w:val="18"/>
              </w:rPr>
            </w:pPr>
            <w:r>
              <w:rPr>
                <w:rFonts w:hint="eastAsia" w:ascii="仿宋" w:hAnsi="仿宋" w:eastAsia="仿宋" w:cs="仿宋"/>
                <w:sz w:val="18"/>
                <w:szCs w:val="18"/>
              </w:rPr>
              <w:t>2070204</w:t>
            </w:r>
          </w:p>
        </w:tc>
        <w:tc>
          <w:tcPr>
            <w:tcW w:w="2479" w:type="dxa"/>
          </w:tcPr>
          <w:p>
            <w:pPr>
              <w:ind w:firstLine="360"/>
              <w:jc w:val="left"/>
              <w:rPr>
                <w:rFonts w:ascii="仿宋" w:hAnsi="仿宋" w:eastAsia="仿宋" w:cs="仿宋"/>
                <w:sz w:val="18"/>
                <w:szCs w:val="18"/>
              </w:rPr>
            </w:pPr>
            <w:r>
              <w:rPr>
                <w:rFonts w:hint="eastAsia" w:ascii="仿宋" w:hAnsi="仿宋" w:eastAsia="仿宋" w:cs="仿宋"/>
                <w:sz w:val="18"/>
                <w:szCs w:val="18"/>
              </w:rPr>
              <w:t>文物</w:t>
            </w:r>
          </w:p>
        </w:tc>
        <w:tc>
          <w:tcPr>
            <w:tcW w:w="1876"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353.21</w:t>
            </w:r>
          </w:p>
        </w:tc>
        <w:tc>
          <w:tcPr>
            <w:tcW w:w="1585"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171.49</w:t>
            </w:r>
          </w:p>
        </w:tc>
        <w:tc>
          <w:tcPr>
            <w:tcW w:w="1492" w:type="dxa"/>
          </w:tcPr>
          <w:p>
            <w:pPr>
              <w:ind w:firstLine="420"/>
              <w:jc w:val="left"/>
              <w:rPr>
                <w:rFonts w:ascii="仿宋" w:hAnsi="仿宋" w:eastAsia="仿宋" w:cs="仿宋"/>
                <w:sz w:val="21"/>
                <w:szCs w:val="21"/>
              </w:rPr>
            </w:pPr>
            <w:r>
              <w:rPr>
                <w:rFonts w:hint="eastAsia" w:ascii="仿宋" w:hAnsi="仿宋" w:eastAsia="仿宋" w:cs="仿宋"/>
                <w:sz w:val="21"/>
                <w:szCs w:val="21"/>
              </w:rPr>
              <w:t>-181.72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360"/>
              <w:jc w:val="left"/>
              <w:rPr>
                <w:rFonts w:ascii="仿宋" w:hAnsi="仿宋" w:eastAsia="仿宋" w:cs="仿宋"/>
                <w:sz w:val="18"/>
                <w:szCs w:val="18"/>
              </w:rPr>
            </w:pPr>
            <w:r>
              <w:rPr>
                <w:rFonts w:hint="eastAsia" w:ascii="仿宋" w:hAnsi="仿宋" w:eastAsia="仿宋" w:cs="仿宋"/>
                <w:sz w:val="18"/>
                <w:szCs w:val="18"/>
              </w:rPr>
              <w:t>2070205</w:t>
            </w:r>
          </w:p>
        </w:tc>
        <w:tc>
          <w:tcPr>
            <w:tcW w:w="2479" w:type="dxa"/>
          </w:tcPr>
          <w:p>
            <w:pPr>
              <w:ind w:firstLine="360"/>
              <w:jc w:val="left"/>
              <w:rPr>
                <w:rFonts w:ascii="仿宋" w:hAnsi="仿宋" w:eastAsia="仿宋" w:cs="仿宋"/>
                <w:sz w:val="18"/>
                <w:szCs w:val="18"/>
              </w:rPr>
            </w:pPr>
            <w:r>
              <w:rPr>
                <w:rFonts w:hint="eastAsia" w:ascii="仿宋" w:hAnsi="仿宋" w:eastAsia="仿宋" w:cs="仿宋"/>
                <w:sz w:val="18"/>
                <w:szCs w:val="18"/>
              </w:rPr>
              <w:t>文物保护</w:t>
            </w:r>
          </w:p>
        </w:tc>
        <w:tc>
          <w:tcPr>
            <w:tcW w:w="1876"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203.33</w:t>
            </w:r>
          </w:p>
        </w:tc>
        <w:tc>
          <w:tcPr>
            <w:tcW w:w="1585" w:type="dxa"/>
            <w:vAlign w:val="center"/>
          </w:tcPr>
          <w:p>
            <w:pPr>
              <w:widowControl/>
              <w:ind w:firstLine="360"/>
              <w:jc w:val="center"/>
              <w:textAlignment w:val="center"/>
              <w:rPr>
                <w:rFonts w:ascii="仿宋" w:hAnsi="仿宋" w:eastAsia="仿宋" w:cs="仿宋"/>
                <w:sz w:val="18"/>
                <w:szCs w:val="18"/>
              </w:rPr>
            </w:pPr>
            <w:r>
              <w:rPr>
                <w:rFonts w:hint="eastAsia" w:ascii="仿宋" w:hAnsi="仿宋" w:eastAsia="仿宋" w:cs="仿宋"/>
                <w:sz w:val="18"/>
                <w:szCs w:val="18"/>
              </w:rPr>
              <w:t>29.52</w:t>
            </w:r>
          </w:p>
        </w:tc>
        <w:tc>
          <w:tcPr>
            <w:tcW w:w="1492" w:type="dxa"/>
          </w:tcPr>
          <w:p>
            <w:pPr>
              <w:ind w:firstLine="360"/>
              <w:jc w:val="left"/>
              <w:rPr>
                <w:rFonts w:ascii="仿宋" w:hAnsi="仿宋" w:eastAsia="仿宋" w:cs="仿宋"/>
                <w:sz w:val="18"/>
                <w:szCs w:val="18"/>
              </w:rPr>
            </w:pPr>
            <w:r>
              <w:rPr>
                <w:rFonts w:hint="eastAsia" w:ascii="仿宋" w:hAnsi="仿宋" w:eastAsia="仿宋" w:cs="仿宋"/>
                <w:sz w:val="18"/>
                <w:szCs w:val="18"/>
              </w:rPr>
              <w:t>-173.81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tcPr>
          <w:p>
            <w:pPr>
              <w:ind w:firstLine="360"/>
              <w:jc w:val="left"/>
              <w:rPr>
                <w:rFonts w:ascii="仿宋" w:hAnsi="仿宋" w:eastAsia="仿宋" w:cs="仿宋"/>
                <w:sz w:val="18"/>
                <w:szCs w:val="18"/>
              </w:rPr>
            </w:pPr>
            <w:r>
              <w:rPr>
                <w:rFonts w:hint="eastAsia" w:ascii="仿宋" w:hAnsi="仿宋" w:eastAsia="仿宋" w:cs="仿宋"/>
                <w:sz w:val="18"/>
                <w:szCs w:val="18"/>
              </w:rPr>
              <w:t>2010602</w:t>
            </w:r>
          </w:p>
        </w:tc>
        <w:tc>
          <w:tcPr>
            <w:tcW w:w="2479" w:type="dxa"/>
          </w:tcPr>
          <w:p>
            <w:pPr>
              <w:ind w:firstLine="0" w:firstLineChars="0"/>
              <w:jc w:val="left"/>
              <w:rPr>
                <w:rFonts w:ascii="仿宋" w:hAnsi="仿宋" w:eastAsia="仿宋" w:cs="仿宋"/>
                <w:sz w:val="18"/>
                <w:szCs w:val="18"/>
              </w:rPr>
            </w:pPr>
            <w:r>
              <w:rPr>
                <w:rFonts w:hint="eastAsia" w:ascii="仿宋" w:hAnsi="仿宋" w:eastAsia="仿宋" w:cs="仿宋"/>
                <w:sz w:val="18"/>
                <w:szCs w:val="18"/>
              </w:rPr>
              <w:t>博物馆</w:t>
            </w:r>
          </w:p>
        </w:tc>
        <w:tc>
          <w:tcPr>
            <w:tcW w:w="1876" w:type="dxa"/>
          </w:tcPr>
          <w:p>
            <w:pPr>
              <w:ind w:firstLine="360"/>
              <w:jc w:val="center"/>
              <w:rPr>
                <w:rFonts w:ascii="仿宋" w:hAnsi="仿宋" w:eastAsia="仿宋" w:cs="仿宋"/>
                <w:sz w:val="18"/>
                <w:szCs w:val="18"/>
              </w:rPr>
            </w:pPr>
            <w:r>
              <w:rPr>
                <w:rFonts w:hint="eastAsia" w:ascii="仿宋" w:hAnsi="仿宋" w:eastAsia="仿宋" w:cs="仿宋"/>
                <w:sz w:val="18"/>
                <w:szCs w:val="18"/>
              </w:rPr>
              <w:t>149.88</w:t>
            </w:r>
          </w:p>
        </w:tc>
        <w:tc>
          <w:tcPr>
            <w:tcW w:w="1585" w:type="dxa"/>
          </w:tcPr>
          <w:p>
            <w:pPr>
              <w:ind w:firstLine="540" w:firstLineChars="300"/>
              <w:jc w:val="center"/>
              <w:rPr>
                <w:rFonts w:ascii="仿宋" w:hAnsi="仿宋" w:eastAsia="仿宋" w:cs="仿宋"/>
                <w:sz w:val="18"/>
                <w:szCs w:val="18"/>
              </w:rPr>
            </w:pPr>
            <w:r>
              <w:rPr>
                <w:rFonts w:hint="eastAsia" w:ascii="仿宋" w:hAnsi="仿宋" w:eastAsia="仿宋" w:cs="仿宋"/>
                <w:sz w:val="18"/>
                <w:szCs w:val="18"/>
              </w:rPr>
              <w:t>141.97</w:t>
            </w:r>
          </w:p>
        </w:tc>
        <w:tc>
          <w:tcPr>
            <w:tcW w:w="1492" w:type="dxa"/>
          </w:tcPr>
          <w:p>
            <w:pPr>
              <w:ind w:firstLine="480"/>
              <w:jc w:val="left"/>
              <w:rPr>
                <w:rFonts w:ascii="仿宋" w:hAnsi="仿宋" w:eastAsia="仿宋" w:cs="仿宋"/>
                <w:sz w:val="24"/>
                <w:szCs w:val="24"/>
              </w:rPr>
            </w:pPr>
            <w:r>
              <w:rPr>
                <w:rFonts w:hint="eastAsia" w:ascii="仿宋" w:hAnsi="仿宋" w:eastAsia="仿宋" w:cs="仿宋"/>
                <w:sz w:val="24"/>
                <w:szCs w:val="24"/>
              </w:rPr>
              <w:t>-7.91</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kern w:val="0"/>
          <w:sz w:val="30"/>
          <w:szCs w:val="30"/>
        </w:rPr>
        <w:t>2020年度支出经济科目分类决算对比表      单位：万元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kern w:val="0"/>
                <w:sz w:val="28"/>
                <w:szCs w:val="28"/>
              </w:rPr>
            </w:pPr>
            <w:r>
              <w:rPr>
                <w:rFonts w:hint="eastAsia" w:ascii="仿宋" w:hAnsi="仿宋" w:eastAsia="仿宋" w:cs="仿宋"/>
                <w:b/>
                <w:kern w:val="0"/>
                <w:sz w:val="28"/>
                <w:szCs w:val="28"/>
              </w:rPr>
              <w:t>科目名称</w:t>
            </w:r>
          </w:p>
        </w:tc>
        <w:tc>
          <w:tcPr>
            <w:tcW w:w="1837"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2020年</w:t>
            </w:r>
          </w:p>
        </w:tc>
        <w:tc>
          <w:tcPr>
            <w:tcW w:w="2071"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2021年</w:t>
            </w:r>
          </w:p>
        </w:tc>
        <w:tc>
          <w:tcPr>
            <w:tcW w:w="1956" w:type="dxa"/>
          </w:tcPr>
          <w:p>
            <w:pPr>
              <w:widowControl/>
              <w:ind w:firstLine="482"/>
              <w:jc w:val="left"/>
              <w:rPr>
                <w:rFonts w:ascii="仿宋" w:hAnsi="仿宋" w:eastAsia="仿宋" w:cs="仿宋"/>
                <w:b/>
                <w:kern w:val="0"/>
                <w:sz w:val="28"/>
                <w:szCs w:val="28"/>
              </w:rPr>
            </w:pPr>
            <w:r>
              <w:rPr>
                <w:rFonts w:hint="eastAsia" w:ascii="仿宋" w:hAnsi="仿宋" w:eastAsia="仿宋" w:cs="仿宋"/>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353.21</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171.49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-51.45%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115.02</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117.22</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44.07</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51.85</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1.52</w:t>
            </w:r>
          </w:p>
        </w:tc>
        <w:tc>
          <w:tcPr>
            <w:tcW w:w="2071"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1.52</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192.6</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0.90</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kern w:val="0"/>
                <w:sz w:val="28"/>
                <w:szCs w:val="28"/>
              </w:rPr>
            </w:pPr>
          </w:p>
        </w:tc>
        <w:tc>
          <w:tcPr>
            <w:tcW w:w="1837" w:type="dxa"/>
            <w:vAlign w:val="center"/>
          </w:tcPr>
          <w:p>
            <w:pPr>
              <w:widowControl/>
              <w:ind w:firstLine="560"/>
              <w:jc w:val="right"/>
              <w:rPr>
                <w:rFonts w:ascii="仿宋" w:hAnsi="仿宋" w:eastAsia="仿宋" w:cs="仿宋"/>
                <w:kern w:val="0"/>
                <w:sz w:val="28"/>
                <w:szCs w:val="28"/>
              </w:rPr>
            </w:pP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p>
        </w:tc>
      </w:tr>
    </w:tbl>
    <w:p>
      <w:pPr>
        <w:spacing w:line="580" w:lineRule="exact"/>
        <w:ind w:firstLine="0" w:firstLineChars="0"/>
        <w:rPr>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123.27万元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117.28万元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工资福利支出，对个人家庭补助支出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6万元</w:t>
      </w:r>
      <w:r>
        <w:rPr>
          <w:rFonts w:ascii="仿宋_GB2312"/>
          <w:szCs w:val="32"/>
        </w:rPr>
        <w:t>，主要包括</w:t>
      </w:r>
      <w:r>
        <w:rPr>
          <w:rFonts w:hint="eastAsia" w:ascii="仿宋_GB2312"/>
          <w:szCs w:val="32"/>
        </w:rPr>
        <w:t>商品服务支出、资本性支出</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48.21万元。</w:t>
      </w:r>
    </w:p>
    <w:p>
      <w:pPr>
        <w:pStyle w:val="3"/>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firstLine="640"/>
        <w:rPr>
          <w:rFonts w:ascii="仿宋_GB2312"/>
          <w:szCs w:val="32"/>
        </w:rPr>
      </w:pPr>
      <w:r>
        <w:rPr>
          <w:rFonts w:hint="eastAsia" w:ascii="仿宋_GB2312"/>
          <w:szCs w:val="32"/>
        </w:rPr>
        <w:t>2021年度，“三公”经费财政拨款支出决算为0万元，，比上年减少0.82万元，下降100%。无因公出国（境）费；无公务用车购置及运行费；无公务接待费。</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sz w:val="32"/>
          <w:szCs w:val="32"/>
        </w:rPr>
        <w:t>2021年“三公”经费支出情况，分三项和202</w:t>
      </w:r>
      <w:r>
        <w:rPr>
          <w:rFonts w:hint="eastAsia" w:ascii="仿宋_GB2312"/>
          <w:color w:val="000000"/>
          <w:sz w:val="32"/>
          <w:szCs w:val="32"/>
        </w:rPr>
        <w:t>0年相比。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rPr>
                <w:rFonts w:eastAsia="宋体"/>
                <w:color w:val="000000"/>
                <w:sz w:val="28"/>
                <w:szCs w:val="28"/>
              </w:rPr>
            </w:pPr>
            <w:r>
              <w:rPr>
                <w:rFonts w:hint="eastAsia" w:eastAsia="宋体"/>
                <w:color w:val="000000"/>
                <w:sz w:val="28"/>
                <w:szCs w:val="28"/>
              </w:rPr>
              <w:t>0.81</w:t>
            </w:r>
          </w:p>
        </w:tc>
        <w:tc>
          <w:tcPr>
            <w:tcW w:w="1701" w:type="dxa"/>
          </w:tcPr>
          <w:p>
            <w:pPr>
              <w:pStyle w:val="8"/>
              <w:ind w:firstLine="560"/>
              <w:jc w:val="right"/>
              <w:rPr>
                <w:color w:val="000000"/>
                <w:sz w:val="28"/>
                <w:szCs w:val="28"/>
              </w:rPr>
            </w:pPr>
          </w:p>
        </w:tc>
        <w:tc>
          <w:tcPr>
            <w:tcW w:w="1418" w:type="dxa"/>
          </w:tcPr>
          <w:p>
            <w:pPr>
              <w:pStyle w:val="8"/>
              <w:ind w:firstLine="360"/>
              <w:jc w:val="right"/>
              <w:rPr>
                <w:rFonts w:eastAsia="宋体"/>
                <w:color w:val="000000"/>
                <w:sz w:val="18"/>
                <w:szCs w:val="18"/>
              </w:rPr>
            </w:pPr>
            <w:r>
              <w:rPr>
                <w:rFonts w:hint="eastAsia" w:eastAsia="宋体"/>
                <w:color w:val="000000"/>
                <w:sz w:val="18"/>
                <w:szCs w:val="18"/>
              </w:rPr>
              <w:t>-100%</w:t>
            </w: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9078"/>
      <w:bookmarkStart w:id="26" w:name="_Toc1792"/>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2021年本单位无机关运行经费</w:t>
      </w:r>
    </w:p>
    <w:p>
      <w:pPr>
        <w:ind w:firstLine="643"/>
        <w:rPr>
          <w:b/>
          <w:bCs/>
        </w:rPr>
      </w:pPr>
      <w:bookmarkStart w:id="28" w:name="_Toc16103"/>
      <w:r>
        <w:rPr>
          <w:rFonts w:hint="eastAsia"/>
          <w:b/>
          <w:bCs/>
        </w:rPr>
        <w:t>（二）政府采购情况说明</w:t>
      </w:r>
      <w:bookmarkEnd w:id="28"/>
    </w:p>
    <w:p>
      <w:pPr>
        <w:spacing w:line="580" w:lineRule="exact"/>
        <w:ind w:firstLine="640"/>
        <w:rPr>
          <w:rFonts w:ascii="仿宋_GB2312"/>
          <w:szCs w:val="32"/>
        </w:rPr>
      </w:pPr>
      <w:r>
        <w:rPr>
          <w:rFonts w:hint="eastAsia" w:ascii="仿宋_GB2312"/>
          <w:szCs w:val="32"/>
        </w:rPr>
        <w:t>2021年度，无政府采购支出。</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截至2021年12月31日，本单位共有其他车辆1辆。，其他用车主要是业务用车；无单价50万元（含）以上的通用设备，无单价100万元（含）以上专用设备。</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2021年本单位重点项目绩效目标情况自评说明，涉及金额等。</w:t>
      </w:r>
    </w:p>
    <w:p>
      <w:pPr>
        <w:pStyle w:val="11"/>
        <w:numPr>
          <w:ilvl w:val="0"/>
          <w:numId w:val="3"/>
        </w:numPr>
        <w:ind w:firstLineChars="0"/>
        <w:rPr>
          <w:rFonts w:ascii="仿宋_GB2312" w:hAnsi="仿宋_GB2312" w:cs="仿宋_GB2312"/>
          <w:szCs w:val="32"/>
        </w:rPr>
      </w:pPr>
      <w:r>
        <w:rPr>
          <w:rFonts w:hint="eastAsia" w:ascii="仿宋_GB2312" w:hAnsi="仿宋_GB2312" w:cs="仿宋_GB2312"/>
          <w:b/>
          <w:bCs/>
          <w:szCs w:val="32"/>
        </w:rPr>
        <w:t>预算绩效管理工作开展情况。</w:t>
      </w:r>
    </w:p>
    <w:p>
      <w:pPr>
        <w:ind w:left="643" w:firstLine="320" w:firstLineChars="100"/>
        <w:rPr>
          <w:rFonts w:ascii="仿宋_GB2312" w:hAnsi="仿宋_GB2312" w:cs="仿宋_GB2312"/>
          <w:szCs w:val="32"/>
        </w:rPr>
      </w:pPr>
      <w:r>
        <w:rPr>
          <w:rFonts w:hint="eastAsia" w:ascii="仿宋_GB2312" w:hAnsi="仿宋_GB2312" w:cs="仿宋_GB2312"/>
          <w:szCs w:val="32"/>
        </w:rPr>
        <w:t>我单位2021年度无县级财政预算安排的专项资金类和200万元以上的经费补助类项目。</w:t>
      </w:r>
    </w:p>
    <w:p>
      <w:pPr>
        <w:pStyle w:val="11"/>
        <w:numPr>
          <w:ilvl w:val="0"/>
          <w:numId w:val="3"/>
        </w:numPr>
        <w:ind w:firstLineChars="0"/>
        <w:rPr>
          <w:rFonts w:ascii="仿宋_GB2312" w:hAnsi="仿宋_GB2312" w:cs="仿宋_GB2312"/>
          <w:b/>
          <w:bCs/>
          <w:szCs w:val="32"/>
        </w:rPr>
      </w:pPr>
      <w:r>
        <w:rPr>
          <w:rFonts w:hint="eastAsia" w:ascii="仿宋_GB2312" w:hAnsi="仿宋_GB2312" w:cs="仿宋_GB2312"/>
          <w:b/>
          <w:bCs/>
          <w:szCs w:val="32"/>
        </w:rPr>
        <w:t>部门决算中项目绩效自评结果。</w:t>
      </w:r>
    </w:p>
    <w:p>
      <w:pPr>
        <w:ind w:left="643" w:firstLine="320" w:firstLineChars="100"/>
        <w:rPr>
          <w:rFonts w:ascii="仿宋_GB2312" w:hAnsi="仿宋_GB2312" w:cs="仿宋_GB2312"/>
          <w:szCs w:val="32"/>
        </w:rPr>
      </w:pPr>
      <w:r>
        <w:rPr>
          <w:rFonts w:hint="eastAsia" w:ascii="仿宋_GB2312" w:hAnsi="仿宋_GB2312" w:cs="仿宋_GB2312"/>
          <w:szCs w:val="32"/>
        </w:rPr>
        <w:t>本单位无县级财政预算安排的专项资金类和200万元以上的经费补助类项目</w:t>
      </w:r>
    </w:p>
    <w:p>
      <w:pPr>
        <w:pStyle w:val="11"/>
        <w:numPr>
          <w:ilvl w:val="0"/>
          <w:numId w:val="3"/>
        </w:numPr>
        <w:ind w:firstLineChars="0"/>
        <w:rPr>
          <w:rFonts w:ascii="仿宋_GB2312" w:hAnsi="仿宋_GB2312" w:cs="仿宋_GB2312"/>
          <w:b/>
          <w:bCs/>
          <w:szCs w:val="32"/>
        </w:rPr>
      </w:pPr>
      <w:r>
        <w:rPr>
          <w:rFonts w:hint="eastAsia" w:ascii="仿宋_GB2312" w:hAnsi="仿宋_GB2312" w:cs="仿宋_GB2312"/>
          <w:b/>
          <w:bCs/>
          <w:szCs w:val="32"/>
        </w:rPr>
        <w:t>部门评价项目绩效评价结果。</w:t>
      </w:r>
    </w:p>
    <w:p>
      <w:pPr>
        <w:ind w:left="643" w:firstLine="0" w:firstLineChars="0"/>
        <w:rPr>
          <w:rFonts w:ascii="仿宋_GB2312" w:hAnsi="仿宋_GB2312" w:cs="仿宋_GB2312"/>
          <w:szCs w:val="32"/>
        </w:rPr>
      </w:pPr>
      <w:r>
        <w:rPr>
          <w:rFonts w:hint="eastAsia" w:ascii="仿宋_GB2312" w:hAnsi="仿宋_GB2312" w:cs="仿宋_GB2312"/>
          <w:szCs w:val="32"/>
        </w:rPr>
        <w:t>本单位无重点项目评价报告向社会公开。</w:t>
      </w:r>
    </w:p>
    <w:p>
      <w:pPr>
        <w:numPr>
          <w:ilvl w:val="0"/>
          <w:numId w:val="4"/>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p>
    <w:p>
      <w:pPr>
        <w:spacing w:line="580" w:lineRule="exact"/>
        <w:ind w:left="643" w:firstLine="0" w:firstLineChars="0"/>
        <w:outlineLvl w:val="0"/>
        <w:rPr>
          <w:rFonts w:ascii="仿宋_GB2312"/>
          <w:b/>
          <w:szCs w:val="32"/>
        </w:rPr>
      </w:pPr>
      <w:r>
        <w:rPr>
          <w:rFonts w:hint="eastAsia" w:ascii="仿宋_GB2312"/>
          <w:b/>
          <w:szCs w:val="32"/>
        </w:rPr>
        <w:t>无</w:t>
      </w:r>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640"/>
        <w:rPr>
          <w:rFonts w:ascii="仿宋_GB2312"/>
          <w:szCs w:val="32"/>
        </w:rPr>
      </w:pPr>
      <w:r>
        <w:rPr>
          <w:rFonts w:hint="eastAsia" w:ascii="仿宋_GB2312"/>
          <w:szCs w:val="32"/>
        </w:rPr>
        <w:t xml:space="preserve">                             静乐县博物馆</w:t>
      </w:r>
    </w:p>
    <w:p>
      <w:pPr>
        <w:ind w:firstLine="4800" w:firstLineChars="1500"/>
      </w:pPr>
      <w:r>
        <w:rPr>
          <w:rFonts w:hint="eastAsia"/>
        </w:rPr>
        <w:t>二〇二二年六月</w:t>
      </w:r>
      <w:r>
        <w:rPr>
          <w:rFonts w:hint="eastAsia"/>
          <w:lang w:eastAsia="zh-CN"/>
        </w:rPr>
        <w:t>六</w:t>
      </w:r>
      <w:bookmarkStart w:id="33" w:name="_GoBack"/>
      <w:bookmarkEnd w:id="33"/>
      <w:r>
        <w:rPr>
          <w:rFonts w:hint="eastAsia"/>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D21F2"/>
    <w:multiLevelType w:val="multilevel"/>
    <w:tmpl w:val="13ED21F2"/>
    <w:lvl w:ilvl="0" w:tentative="0">
      <w:start w:val="1"/>
      <w:numFmt w:val="japaneseCounting"/>
      <w:lvlText w:val="%1、"/>
      <w:lvlJc w:val="left"/>
      <w:pPr>
        <w:ind w:left="1360"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47554B08"/>
    <w:multiLevelType w:val="multilevel"/>
    <w:tmpl w:val="47554B08"/>
    <w:lvl w:ilvl="0" w:tentative="0">
      <w:start w:val="1"/>
      <w:numFmt w:val="decimal"/>
      <w:lvlText w:val="（%1）"/>
      <w:lvlJc w:val="left"/>
      <w:pPr>
        <w:ind w:left="1723" w:hanging="1080"/>
      </w:pPr>
      <w:rPr>
        <w:rFonts w:hint="default"/>
        <w:b/>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520D0"/>
    <w:rsid w:val="001A6615"/>
    <w:rsid w:val="002E2583"/>
    <w:rsid w:val="0030381E"/>
    <w:rsid w:val="0030587E"/>
    <w:rsid w:val="00360092"/>
    <w:rsid w:val="004B644F"/>
    <w:rsid w:val="005B19B6"/>
    <w:rsid w:val="005E2F14"/>
    <w:rsid w:val="00625561"/>
    <w:rsid w:val="0068222F"/>
    <w:rsid w:val="0076165C"/>
    <w:rsid w:val="007A1F16"/>
    <w:rsid w:val="0087271C"/>
    <w:rsid w:val="00881C87"/>
    <w:rsid w:val="008B4E5F"/>
    <w:rsid w:val="00901674"/>
    <w:rsid w:val="0097422C"/>
    <w:rsid w:val="009C1943"/>
    <w:rsid w:val="00B57D19"/>
    <w:rsid w:val="00C807F5"/>
    <w:rsid w:val="00CF71C8"/>
    <w:rsid w:val="00D46C70"/>
    <w:rsid w:val="00DE4D2A"/>
    <w:rsid w:val="00DE770B"/>
    <w:rsid w:val="00E077A8"/>
    <w:rsid w:val="00E36930"/>
    <w:rsid w:val="00EC7C21"/>
    <w:rsid w:val="00F56753"/>
    <w:rsid w:val="03696819"/>
    <w:rsid w:val="16654CDD"/>
    <w:rsid w:val="1A4A5C33"/>
    <w:rsid w:val="2701594C"/>
    <w:rsid w:val="27426717"/>
    <w:rsid w:val="37943B50"/>
    <w:rsid w:val="3821117E"/>
    <w:rsid w:val="42C12CEC"/>
    <w:rsid w:val="44401A62"/>
    <w:rsid w:val="495520D0"/>
    <w:rsid w:val="4A012068"/>
    <w:rsid w:val="53A30631"/>
    <w:rsid w:val="5EC01F6A"/>
    <w:rsid w:val="63AB51DF"/>
    <w:rsid w:val="649C6DC9"/>
    <w:rsid w:val="668A1478"/>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9">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2601</Words>
  <Characters>1451</Characters>
  <Lines>12</Lines>
  <Paragraphs>8</Paragraphs>
  <TotalTime>0</TotalTime>
  <ScaleCrop>false</ScaleCrop>
  <LinksUpToDate>false</LinksUpToDate>
  <CharactersWithSpaces>4044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2022-06-26T03:36:00Z</dcterms:created>
  <dc:creator>lenovo</dc:creator>
  <cp:lastModifiedBy>FGK</cp:lastModifiedBy>
  <dcterms:modified xsi:type="dcterms:W3CDTF">2022-07-25T10:17:06Z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