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委员活动费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中国人民政治协商会议山西省静乐县委员会办公室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中国人民政治协商会议山西省静乐县委员会办公室-002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为充分发挥委员主体作用，确保委员活动经费保障，严格执行财经纪律和财务制度，组织委员参加学习、会议、调研、视察、考察等活动所发生的差旅费、会场租赁、车辆租赁、会议材料印刷、工作餐等费用。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委员视察根据委员人数，政协章程，视察列入本级预算，予以保障。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为充分发挥委员主体作用，确保委员活动经费保障，加强委员履职积极主动性。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严格按照有关财经纪律和财务制度执行，确定经费开支范围，经费审批报销程序，严格遵照执行。确保报账各类票据真实合法，符合财务制度，自觉接受财务审计监督。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按活动要求，确定活动人员的经费，各项开支列入预算，严格按照标准执行，确保委员活动保质保量完成。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为切实加强人民政协工作，充分发挥委员在活动中的积极性，保障活动顺利进行，工作圆满完成。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充分调动政协委员的积极性，保障委员活动产生的各项费用。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委员活动费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99.36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完成政协常委会课题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组织专委会和委员完成调研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社情民意质量提高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10（%）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宣传活动举办计划完成率（%）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委员积极性提升率%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委员积极性提高95%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提案转化率100%，提案督办答复率100%。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委员满意度%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委员满意度95%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充分发挥委员主体作用，确保委员活动经费保障，严格执行财经纪律和财务制度，组织委员参加学习、会议、调研、视察、考察等活动所发生的差旅费、会场租赁、车辆租赁、会议材料印刷、工作餐等费用。资金到位及时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委员积极性提高95%；提案转化率100%，提案督办答复率100%；组织专委会和委员完成调研：20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完成政协常委会课题5；社情民意质量提高10，宣传活动举办计划完成率100%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群众满意度98%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严格按照有关财经纪律和财务制度执行，确定经费开支范围，经费审批报销程序，严格遵照执行。确保报账各类票据真实合法，符合财务制度，自觉接受财务审计监督。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进一步发挥委员主体作用，加强委员履职积极主动性。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为充分发挥委员主体作用，确保委员活动经费保障，加强委员履职积极主动性。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完成政协常委会课题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组织专委会和委员完成调研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社情民意质量提高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10（%）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宣传活动举办计划完成率（%）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委员积极性提升率%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委员积极性提高95%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提案转化率100%，提案督办答复率100%。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委员满意度%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委员满意度95%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