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default" w:ascii="华文中宋" w:hAnsi="华文中宋" w:eastAsia="华文中宋"/>
          <w:color w:val="auto"/>
          <w:sz w:val="44"/>
          <w:szCs w:val="44"/>
          <w:lang w:val="en-US" w:eastAsia="zh-CN"/>
        </w:rPr>
      </w:pPr>
      <w:bookmarkStart w:id="0" w:name="_Toc21118"/>
      <w:bookmarkStart w:id="1" w:name="_Toc32048"/>
      <w:bookmarkStart w:id="2" w:name="_Toc31071"/>
      <w:r>
        <w:rPr>
          <w:rFonts w:hint="eastAsia" w:ascii="华文中宋" w:hAnsi="华文中宋" w:eastAsia="华文中宋"/>
          <w:color w:val="auto"/>
          <w:sz w:val="44"/>
          <w:szCs w:val="44"/>
          <w:lang w:val="en-US" w:eastAsia="zh-CN"/>
        </w:rPr>
        <w:t>中国共产党静乐县委员会办公室</w:t>
      </w:r>
    </w:p>
    <w:p>
      <w:pPr>
        <w:pStyle w:val="2"/>
        <w:ind w:left="0" w:leftChars="0" w:firstLine="0" w:firstLineChars="0"/>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7"/>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9</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9</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31140"/>
      <w:bookmarkStart w:id="4" w:name="_Toc23288"/>
      <w:r>
        <w:rPr>
          <w:rFonts w:hint="eastAsia"/>
          <w:color w:val="auto"/>
          <w:sz w:val="36"/>
          <w:szCs w:val="36"/>
        </w:rPr>
        <w:t>第一部分  概况</w:t>
      </w:r>
      <w:bookmarkEnd w:id="3"/>
      <w:bookmarkEnd w:id="4"/>
    </w:p>
    <w:p>
      <w:pPr>
        <w:pStyle w:val="3"/>
        <w:rPr>
          <w:rFonts w:hint="eastAsia" w:ascii="仿宋" w:hAnsi="仿宋" w:eastAsia="仿宋" w:cs="仿宋"/>
          <w:b/>
          <w:bCs w:val="0"/>
          <w:color w:val="auto"/>
        </w:rPr>
      </w:pPr>
      <w:bookmarkStart w:id="5" w:name="_Toc4461"/>
      <w:bookmarkStart w:id="6" w:name="_Toc24066"/>
      <w:r>
        <w:rPr>
          <w:rFonts w:hint="eastAsia" w:ascii="仿宋" w:hAnsi="仿宋" w:eastAsia="仿宋" w:cs="仿宋"/>
          <w:b/>
          <w:bCs w:val="0"/>
          <w:color w:val="auto"/>
        </w:rPr>
        <w:t>一、本部门职责</w:t>
      </w:r>
      <w:bookmarkEnd w:id="5"/>
      <w:bookmarkEnd w:id="6"/>
    </w:p>
    <w:p>
      <w:pPr>
        <w:pStyle w:val="9"/>
        <w:spacing w:before="0" w:beforeAutospacing="0" w:after="0" w:afterAutospacing="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1.向全县各级党委（党组）传达中央、省委、市委、县委的决策、指示以及工作部署，并督促检查贯彻落实情况。</w:t>
      </w:r>
    </w:p>
    <w:p>
      <w:pPr>
        <w:pStyle w:val="9"/>
        <w:spacing w:before="0" w:beforeAutospacing="0" w:after="0" w:afterAutospacing="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2.围绕县委的中心工作组织开展调查研究，收集、整理、反馈全县重要信息和动态，为县委决策提供参考依据。</w:t>
      </w:r>
    </w:p>
    <w:p>
      <w:pPr>
        <w:pStyle w:val="9"/>
        <w:spacing w:before="0" w:beforeAutospacing="0" w:after="0" w:afterAutospacing="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3.组织安排县委的各种会议和县委常委的各项公务活动；受理向县委的请示、报告。</w:t>
      </w:r>
    </w:p>
    <w:p>
      <w:pPr>
        <w:pStyle w:val="9"/>
        <w:spacing w:before="0" w:beforeAutospacing="0" w:after="0" w:afterAutospacing="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4.综合全县情况协助县委和县委领导起草、修改文稿，负责县委日常文、电、函的审核、制发和处理。</w:t>
      </w:r>
    </w:p>
    <w:p>
      <w:pPr>
        <w:pStyle w:val="9"/>
        <w:spacing w:before="0" w:beforeAutospacing="0" w:after="0" w:afterAutospacing="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5.督促办理县人大代表对县委及县委各部门工作的议案和县政协委员对县委及县委各部门工作的提案。</w:t>
      </w:r>
    </w:p>
    <w:p>
      <w:pPr>
        <w:pStyle w:val="9"/>
        <w:spacing w:before="0" w:beforeAutospacing="0" w:after="0" w:afterAutospacing="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6.负责党和国家、省委和省政府、市委和市政府、县委和县政府及要害部门与我县党政军机关机密要件的传递任务。</w:t>
      </w:r>
    </w:p>
    <w:p>
      <w:pPr>
        <w:pStyle w:val="9"/>
        <w:spacing w:before="0" w:beforeAutospacing="0" w:after="0" w:afterAutospacing="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7.负责县委密码工作领导组日常工作；管理全县通信和密码管理工作。</w:t>
      </w:r>
    </w:p>
    <w:p>
      <w:pPr>
        <w:pStyle w:val="9"/>
        <w:spacing w:before="0" w:beforeAutospacing="0" w:after="0" w:afterAutospacing="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8.负责县委保密委员会日常工作，依法管理全县保密工作。</w:t>
      </w:r>
    </w:p>
    <w:p>
      <w:pPr>
        <w:pStyle w:val="9"/>
        <w:spacing w:before="0" w:beforeAutospacing="0" w:after="0" w:afterAutospacing="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9.负责办理人民群众通过省委、市委、县委社情民意通道反应我县的有关问题、意见和建议。</w:t>
      </w:r>
    </w:p>
    <w:p>
      <w:pPr>
        <w:pStyle w:val="9"/>
        <w:spacing w:before="0" w:beforeAutospacing="0" w:after="0" w:afterAutospacing="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10.贯彻落实国家、省市有关档案工作法律法规，制定我县档案事业发展规划、计划，依法管理全县档案工作。</w:t>
      </w:r>
    </w:p>
    <w:p>
      <w:pPr>
        <w:pStyle w:val="9"/>
        <w:spacing w:before="0" w:beforeAutospacing="0" w:after="0" w:afterAutospacing="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11.负责全县党委系统信息化建设、管理工作。</w:t>
      </w:r>
    </w:p>
    <w:p>
      <w:pPr>
        <w:pStyle w:val="9"/>
        <w:spacing w:before="0" w:beforeAutospacing="0" w:after="0" w:afterAutospacing="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12.负责组织实施中央、省委市委发布的党内法规，统筹规划实施全县党内法规工作，承办县委领导地方立法的具体工作。</w:t>
      </w:r>
    </w:p>
    <w:p>
      <w:pPr>
        <w:pStyle w:val="9"/>
        <w:spacing w:before="0" w:beforeAutospacing="0" w:after="0" w:afterAutospacing="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13.负责联络协调县委议事协调机构办公室。</w:t>
      </w:r>
    </w:p>
    <w:p>
      <w:pPr>
        <w:pStyle w:val="9"/>
        <w:spacing w:before="0" w:beforeAutospacing="0" w:after="0" w:afterAutospacing="0"/>
        <w:ind w:firstLine="640" w:firstLineChars="200"/>
        <w:rPr>
          <w:rFonts w:hint="eastAsia"/>
          <w:color w:val="auto"/>
        </w:rPr>
      </w:pPr>
      <w:r>
        <w:rPr>
          <w:rFonts w:hint="eastAsia" w:ascii="仿宋" w:hAnsi="仿宋" w:eastAsia="仿宋" w:cs="仿宋"/>
          <w:color w:val="auto"/>
          <w:sz w:val="32"/>
          <w:szCs w:val="32"/>
          <w:lang w:val="en-US" w:eastAsia="zh-CN"/>
        </w:rPr>
        <w:t>14.完成县委交办的其他任务。</w:t>
      </w:r>
    </w:p>
    <w:p>
      <w:pPr>
        <w:pStyle w:val="3"/>
        <w:rPr>
          <w:rFonts w:hint="eastAsia" w:ascii="仿宋" w:hAnsi="仿宋" w:eastAsia="仿宋" w:cs="仿宋"/>
          <w:b/>
          <w:bCs w:val="0"/>
          <w:color w:val="auto"/>
        </w:rPr>
      </w:pPr>
      <w:bookmarkStart w:id="7" w:name="_Toc9155"/>
      <w:bookmarkStart w:id="8" w:name="_Toc275"/>
      <w:r>
        <w:rPr>
          <w:rFonts w:hint="eastAsia" w:ascii="仿宋" w:hAnsi="仿宋" w:eastAsia="仿宋" w:cs="仿宋"/>
          <w:b/>
          <w:bCs w:val="0"/>
          <w:color w:val="auto"/>
        </w:rPr>
        <w:t>二、机构设置情况</w:t>
      </w:r>
      <w:bookmarkEnd w:id="7"/>
      <w:bookmarkEnd w:id="8"/>
    </w:p>
    <w:p>
      <w:pPr>
        <w:pStyle w:val="9"/>
        <w:spacing w:before="0" w:beforeAutospacing="0" w:after="0" w:afterAutospacing="0"/>
        <w:ind w:left="0" w:leftChars="0" w:firstLine="640" w:firstLineChars="200"/>
        <w:rPr>
          <w:rFonts w:hint="eastAsia" w:ascii="仿宋_GB2312" w:eastAsia="仿宋_GB2312"/>
          <w:color w:val="auto"/>
          <w:sz w:val="32"/>
          <w:szCs w:val="32"/>
        </w:rPr>
      </w:pPr>
      <w:r>
        <w:rPr>
          <w:rFonts w:hint="eastAsia" w:ascii="仿宋_GB2312"/>
          <w:color w:val="auto"/>
          <w:sz w:val="32"/>
          <w:szCs w:val="32"/>
          <w:lang w:eastAsia="zh-CN"/>
        </w:rPr>
        <w:t>县委办</w:t>
      </w:r>
      <w:r>
        <w:rPr>
          <w:rFonts w:hint="eastAsia" w:ascii="仿宋_GB2312" w:eastAsia="仿宋_GB2312"/>
          <w:color w:val="auto"/>
          <w:sz w:val="32"/>
          <w:szCs w:val="32"/>
        </w:rPr>
        <w:t>人员编制</w:t>
      </w:r>
      <w:r>
        <w:rPr>
          <w:rFonts w:hint="eastAsia" w:ascii="仿宋_GB2312"/>
          <w:color w:val="auto"/>
          <w:sz w:val="32"/>
          <w:szCs w:val="32"/>
          <w:lang w:val="en-US" w:eastAsia="zh-CN"/>
        </w:rPr>
        <w:t>2</w:t>
      </w:r>
      <w:r>
        <w:rPr>
          <w:rFonts w:hint="eastAsia" w:ascii="仿宋_GB2312" w:eastAsia="仿宋_GB2312"/>
          <w:color w:val="auto"/>
          <w:sz w:val="32"/>
          <w:szCs w:val="32"/>
          <w:lang w:val="en-US" w:eastAsia="zh-CN"/>
        </w:rPr>
        <w:t>7</w:t>
      </w:r>
      <w:r>
        <w:rPr>
          <w:rFonts w:hint="eastAsia" w:ascii="仿宋_GB2312" w:eastAsia="仿宋_GB2312"/>
          <w:color w:val="auto"/>
          <w:sz w:val="32"/>
          <w:szCs w:val="32"/>
        </w:rPr>
        <w:t>人，其中公务员编制</w:t>
      </w:r>
      <w:r>
        <w:rPr>
          <w:rFonts w:hint="eastAsia" w:ascii="仿宋_GB2312"/>
          <w:color w:val="auto"/>
          <w:sz w:val="32"/>
          <w:szCs w:val="32"/>
          <w:lang w:val="en-US" w:eastAsia="zh-CN"/>
        </w:rPr>
        <w:t>17</w:t>
      </w:r>
      <w:r>
        <w:rPr>
          <w:rFonts w:hint="eastAsia" w:ascii="仿宋_GB2312" w:eastAsia="仿宋_GB2312"/>
          <w:color w:val="auto"/>
          <w:sz w:val="32"/>
          <w:szCs w:val="32"/>
        </w:rPr>
        <w:t>人，事业人员</w:t>
      </w:r>
      <w:r>
        <w:rPr>
          <w:rFonts w:hint="eastAsia" w:ascii="仿宋_GB2312"/>
          <w:color w:val="auto"/>
          <w:sz w:val="32"/>
          <w:szCs w:val="32"/>
          <w:lang w:val="en-US" w:eastAsia="zh-CN"/>
        </w:rPr>
        <w:t>10</w:t>
      </w:r>
      <w:r>
        <w:rPr>
          <w:rFonts w:hint="eastAsia" w:ascii="仿宋_GB2312" w:eastAsia="仿宋_GB2312"/>
          <w:color w:val="auto"/>
          <w:sz w:val="32"/>
          <w:szCs w:val="32"/>
        </w:rPr>
        <w:t>人。单位实有人员</w:t>
      </w:r>
      <w:r>
        <w:rPr>
          <w:rFonts w:hint="eastAsia" w:ascii="仿宋_GB2312"/>
          <w:color w:val="auto"/>
          <w:sz w:val="32"/>
          <w:szCs w:val="32"/>
          <w:lang w:val="en-US" w:eastAsia="zh-CN"/>
        </w:rPr>
        <w:t>20</w:t>
      </w:r>
      <w:r>
        <w:rPr>
          <w:rFonts w:hint="eastAsia" w:ascii="仿宋_GB2312" w:eastAsia="仿宋_GB2312"/>
          <w:color w:val="auto"/>
          <w:sz w:val="32"/>
          <w:szCs w:val="32"/>
        </w:rPr>
        <w:t>人，公务员人</w:t>
      </w:r>
      <w:r>
        <w:rPr>
          <w:rFonts w:hint="eastAsia" w:ascii="仿宋_GB2312"/>
          <w:color w:val="auto"/>
          <w:sz w:val="32"/>
          <w:szCs w:val="32"/>
          <w:lang w:val="en-US" w:eastAsia="zh-CN"/>
        </w:rPr>
        <w:t>11人</w:t>
      </w:r>
      <w:r>
        <w:rPr>
          <w:rFonts w:hint="eastAsia" w:ascii="仿宋_GB2312" w:eastAsia="仿宋_GB2312"/>
          <w:color w:val="auto"/>
          <w:sz w:val="32"/>
          <w:szCs w:val="32"/>
        </w:rPr>
        <w:t>，工勤</w:t>
      </w:r>
      <w:r>
        <w:rPr>
          <w:rFonts w:hint="eastAsia" w:ascii="仿宋_GB2312"/>
          <w:color w:val="auto"/>
          <w:sz w:val="32"/>
          <w:szCs w:val="32"/>
          <w:lang w:val="en-US" w:eastAsia="zh-CN"/>
        </w:rPr>
        <w:t>4</w:t>
      </w:r>
      <w:r>
        <w:rPr>
          <w:rFonts w:hint="eastAsia" w:ascii="仿宋_GB2312" w:eastAsia="仿宋_GB2312"/>
          <w:color w:val="auto"/>
          <w:sz w:val="32"/>
          <w:szCs w:val="32"/>
        </w:rPr>
        <w:t>人，事业人员</w:t>
      </w:r>
      <w:r>
        <w:rPr>
          <w:rFonts w:hint="eastAsia" w:ascii="仿宋_GB2312"/>
          <w:color w:val="auto"/>
          <w:sz w:val="32"/>
          <w:szCs w:val="32"/>
          <w:lang w:val="en-US" w:eastAsia="zh-CN"/>
        </w:rPr>
        <w:t>5</w:t>
      </w:r>
      <w:r>
        <w:rPr>
          <w:rFonts w:hint="eastAsia" w:ascii="仿宋_GB2312" w:eastAsia="仿宋_GB2312"/>
          <w:color w:val="auto"/>
          <w:sz w:val="32"/>
          <w:szCs w:val="32"/>
        </w:rPr>
        <w:t>人。</w:t>
      </w:r>
    </w:p>
    <w:p>
      <w:pPr>
        <w:pStyle w:val="9"/>
        <w:spacing w:before="0" w:beforeAutospacing="0" w:after="0" w:afterAutospacing="0"/>
        <w:ind w:left="0" w:leftChars="0" w:firstLine="640" w:firstLineChars="200"/>
        <w:rPr>
          <w:rFonts w:hint="eastAsia" w:ascii="仿宋_GB2312" w:hAnsi="楷体"/>
          <w:color w:val="auto"/>
          <w:szCs w:val="32"/>
        </w:rPr>
      </w:pPr>
      <w:r>
        <w:rPr>
          <w:rFonts w:hint="eastAsia" w:ascii="仿宋_GB2312" w:eastAsia="仿宋_GB2312"/>
          <w:color w:val="auto"/>
          <w:sz w:val="32"/>
          <w:szCs w:val="32"/>
        </w:rPr>
        <w:t>内设股室有：（1）</w:t>
      </w:r>
      <w:r>
        <w:rPr>
          <w:rFonts w:hint="eastAsia" w:ascii="仿宋_GB2312"/>
          <w:color w:val="auto"/>
          <w:sz w:val="32"/>
          <w:szCs w:val="32"/>
          <w:lang w:eastAsia="zh-CN"/>
        </w:rPr>
        <w:t>综合办公室</w:t>
      </w:r>
      <w:r>
        <w:rPr>
          <w:rFonts w:hint="eastAsia" w:ascii="仿宋_GB2312" w:eastAsia="仿宋_GB2312"/>
          <w:color w:val="auto"/>
          <w:sz w:val="32"/>
          <w:szCs w:val="32"/>
        </w:rPr>
        <w:t xml:space="preserve"> （2）</w:t>
      </w:r>
      <w:r>
        <w:rPr>
          <w:rFonts w:hint="eastAsia" w:ascii="仿宋_GB2312"/>
          <w:color w:val="auto"/>
          <w:sz w:val="32"/>
          <w:szCs w:val="32"/>
          <w:lang w:eastAsia="zh-CN"/>
        </w:rPr>
        <w:t>督查室</w:t>
      </w:r>
      <w:r>
        <w:rPr>
          <w:rFonts w:hint="eastAsia" w:ascii="仿宋_GB2312" w:eastAsia="仿宋_GB2312"/>
          <w:color w:val="auto"/>
          <w:sz w:val="32"/>
          <w:szCs w:val="32"/>
        </w:rPr>
        <w:t>（3）</w:t>
      </w:r>
      <w:r>
        <w:rPr>
          <w:rFonts w:hint="eastAsia" w:ascii="仿宋_GB2312"/>
          <w:color w:val="auto"/>
          <w:sz w:val="32"/>
          <w:szCs w:val="32"/>
          <w:lang w:eastAsia="zh-CN"/>
        </w:rPr>
        <w:t>秘书室</w:t>
      </w:r>
      <w:r>
        <w:rPr>
          <w:rFonts w:hint="eastAsia" w:ascii="仿宋_GB2312" w:eastAsia="仿宋_GB2312"/>
          <w:color w:val="auto"/>
          <w:sz w:val="32"/>
          <w:szCs w:val="32"/>
        </w:rPr>
        <w:t>（4）</w:t>
      </w:r>
      <w:r>
        <w:rPr>
          <w:rFonts w:hint="eastAsia" w:ascii="仿宋_GB2312"/>
          <w:color w:val="auto"/>
          <w:sz w:val="32"/>
          <w:szCs w:val="32"/>
          <w:lang w:eastAsia="zh-CN"/>
        </w:rPr>
        <w:t>机要保密室</w:t>
      </w:r>
      <w:r>
        <w:rPr>
          <w:rFonts w:hint="eastAsia" w:ascii="仿宋_GB2312" w:eastAsia="仿宋_GB2312"/>
          <w:color w:val="auto"/>
          <w:sz w:val="32"/>
          <w:szCs w:val="32"/>
        </w:rPr>
        <w:t>。</w:t>
      </w:r>
    </w:p>
    <w:p>
      <w:pPr>
        <w:rPr>
          <w:rFonts w:hint="eastAsia"/>
          <w:color w:val="auto"/>
        </w:rPr>
      </w:pPr>
    </w:p>
    <w:p>
      <w:pPr>
        <w:pStyle w:val="2"/>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437"/>
      <w:bookmarkStart w:id="12" w:name="_Toc871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401.45</w:t>
      </w:r>
      <w:r>
        <w:rPr>
          <w:rFonts w:hint="eastAsia" w:ascii="仿宋_GB2312"/>
          <w:color w:val="auto"/>
          <w:szCs w:val="32"/>
        </w:rPr>
        <w:t>万元、支出总计</w:t>
      </w:r>
      <w:r>
        <w:rPr>
          <w:rFonts w:hint="eastAsia" w:ascii="仿宋_GB2312"/>
          <w:color w:val="auto"/>
          <w:szCs w:val="32"/>
          <w:lang w:val="en-US" w:eastAsia="zh-CN"/>
        </w:rPr>
        <w:t>401.45</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增长57.51</w:t>
      </w:r>
      <w:r>
        <w:rPr>
          <w:rFonts w:hint="eastAsia" w:ascii="仿宋_GB2312"/>
          <w:color w:val="auto"/>
          <w:szCs w:val="32"/>
        </w:rPr>
        <w:t>万元，</w:t>
      </w:r>
      <w:r>
        <w:rPr>
          <w:rFonts w:hint="eastAsia" w:ascii="仿宋_GB2312"/>
          <w:color w:val="auto"/>
          <w:szCs w:val="32"/>
          <w:lang w:val="en-US" w:eastAsia="zh-CN"/>
        </w:rPr>
        <w:t>增长16.72</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增长67.70</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增长20.28</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人员的调入及工作任务的增加</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6754"/>
      <w:bookmarkStart w:id="14" w:name="_Toc1740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401.45</w:t>
      </w:r>
      <w:r>
        <w:rPr>
          <w:rFonts w:hint="eastAsia" w:ascii="仿宋_GB2312"/>
          <w:color w:val="auto"/>
          <w:szCs w:val="32"/>
        </w:rPr>
        <w:t>万元，其中：财政拨款收入</w:t>
      </w:r>
      <w:r>
        <w:rPr>
          <w:rFonts w:hint="eastAsia" w:ascii="仿宋_GB2312"/>
          <w:color w:val="auto"/>
          <w:szCs w:val="32"/>
          <w:lang w:val="en-US" w:eastAsia="zh-CN"/>
        </w:rPr>
        <w:t>348.09</w:t>
      </w:r>
      <w:r>
        <w:rPr>
          <w:rFonts w:hint="eastAsia" w:ascii="仿宋_GB2312"/>
          <w:color w:val="auto"/>
          <w:szCs w:val="32"/>
        </w:rPr>
        <w:t>万元，占比</w:t>
      </w:r>
      <w:r>
        <w:rPr>
          <w:rFonts w:hint="eastAsia" w:ascii="仿宋_GB2312"/>
          <w:color w:val="auto"/>
          <w:szCs w:val="32"/>
          <w:lang w:val="en-US" w:eastAsia="zh-CN"/>
        </w:rPr>
        <w:t>86.71</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53.36</w:t>
      </w:r>
      <w:r>
        <w:rPr>
          <w:rFonts w:hint="eastAsia" w:ascii="仿宋_GB2312"/>
          <w:color w:val="auto"/>
          <w:szCs w:val="32"/>
        </w:rPr>
        <w:t>万元，占比</w:t>
      </w:r>
      <w:r>
        <w:rPr>
          <w:rFonts w:hint="eastAsia" w:ascii="仿宋_GB2312"/>
          <w:color w:val="auto"/>
          <w:szCs w:val="32"/>
          <w:lang w:val="en-US" w:eastAsia="zh-CN"/>
        </w:rPr>
        <w:t>13.29</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401.45</w:t>
      </w:r>
      <w:r>
        <w:rPr>
          <w:rFonts w:hint="eastAsia" w:ascii="仿宋_GB2312"/>
          <w:color w:val="auto"/>
          <w:szCs w:val="32"/>
        </w:rPr>
        <w:t>万元，其中：基本支出</w:t>
      </w:r>
      <w:r>
        <w:rPr>
          <w:rFonts w:hint="eastAsia" w:ascii="仿宋_GB2312"/>
          <w:color w:val="auto"/>
          <w:szCs w:val="32"/>
          <w:lang w:val="en-US" w:eastAsia="zh-CN"/>
        </w:rPr>
        <w:t>261.95</w:t>
      </w:r>
      <w:r>
        <w:rPr>
          <w:rFonts w:hint="eastAsia" w:ascii="仿宋_GB2312"/>
          <w:color w:val="auto"/>
          <w:szCs w:val="32"/>
        </w:rPr>
        <w:t>万元，占比</w:t>
      </w:r>
      <w:r>
        <w:rPr>
          <w:rFonts w:hint="eastAsia" w:ascii="仿宋_GB2312"/>
          <w:color w:val="auto"/>
          <w:szCs w:val="32"/>
          <w:lang w:val="en-US" w:eastAsia="zh-CN"/>
        </w:rPr>
        <w:t>65.25</w:t>
      </w:r>
      <w:r>
        <w:rPr>
          <w:rFonts w:hint="eastAsia" w:ascii="仿宋_GB2312"/>
          <w:color w:val="auto"/>
          <w:szCs w:val="32"/>
        </w:rPr>
        <w:t>%；项目支出</w:t>
      </w:r>
      <w:r>
        <w:rPr>
          <w:rFonts w:hint="eastAsia" w:ascii="仿宋_GB2312"/>
          <w:color w:val="auto"/>
          <w:szCs w:val="32"/>
          <w:lang w:val="en-US" w:eastAsia="zh-CN"/>
        </w:rPr>
        <w:t>139.50</w:t>
      </w:r>
      <w:r>
        <w:rPr>
          <w:rFonts w:hint="eastAsia" w:ascii="仿宋_GB2312"/>
          <w:color w:val="auto"/>
          <w:szCs w:val="32"/>
        </w:rPr>
        <w:t>万元，占比</w:t>
      </w:r>
      <w:r>
        <w:rPr>
          <w:rFonts w:hint="eastAsia" w:ascii="仿宋_GB2312"/>
          <w:color w:val="auto"/>
          <w:szCs w:val="32"/>
          <w:lang w:val="en-US" w:eastAsia="zh-CN"/>
        </w:rPr>
        <w:t>34.75</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4614"/>
      <w:bookmarkStart w:id="18" w:name="_Toc2142"/>
      <w:r>
        <w:rPr>
          <w:rFonts w:hint="eastAsia" w:ascii="仿宋" w:hAnsi="仿宋" w:eastAsia="仿宋" w:cs="仿宋"/>
          <w:b/>
          <w:bCs w:val="0"/>
          <w:color w:val="auto"/>
          <w:lang w:val="en-US" w:eastAsia="zh-CN"/>
        </w:rPr>
        <w:t>四、财政拨款收入支出决算总体情况说明</w:t>
      </w:r>
      <w:bookmarkEnd w:id="17"/>
      <w:bookmarkEnd w:id="18"/>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401.45</w:t>
      </w:r>
      <w:r>
        <w:rPr>
          <w:rFonts w:hint="eastAsia" w:ascii="仿宋_GB2312"/>
          <w:color w:val="auto"/>
          <w:szCs w:val="32"/>
        </w:rPr>
        <w:t>万元、支出总计</w:t>
      </w:r>
      <w:r>
        <w:rPr>
          <w:rFonts w:hint="eastAsia" w:ascii="仿宋_GB2312"/>
          <w:color w:val="auto"/>
          <w:szCs w:val="32"/>
          <w:lang w:val="en-US" w:eastAsia="zh-CN"/>
        </w:rPr>
        <w:t>401.45</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增长57.51</w:t>
      </w:r>
      <w:r>
        <w:rPr>
          <w:rFonts w:hint="eastAsia" w:ascii="仿宋_GB2312"/>
          <w:color w:val="auto"/>
          <w:szCs w:val="32"/>
        </w:rPr>
        <w:t>万元，</w:t>
      </w:r>
      <w:r>
        <w:rPr>
          <w:rFonts w:hint="eastAsia" w:ascii="仿宋_GB2312"/>
          <w:color w:val="auto"/>
          <w:szCs w:val="32"/>
          <w:lang w:val="en-US" w:eastAsia="zh-CN"/>
        </w:rPr>
        <w:t>增长16.72</w:t>
      </w:r>
      <w:r>
        <w:rPr>
          <w:rFonts w:hint="eastAsia" w:ascii="仿宋_GB2312"/>
          <w:color w:val="auto"/>
          <w:szCs w:val="32"/>
        </w:rPr>
        <w:t>%，财政拨款支出总计</w:t>
      </w:r>
      <w:r>
        <w:rPr>
          <w:rFonts w:hint="eastAsia" w:ascii="仿宋_GB2312"/>
          <w:color w:val="auto"/>
          <w:szCs w:val="32"/>
          <w:lang w:val="en-US" w:eastAsia="zh-CN"/>
        </w:rPr>
        <w:t>增长67.70</w:t>
      </w:r>
      <w:r>
        <w:rPr>
          <w:rFonts w:hint="eastAsia" w:ascii="仿宋_GB2312"/>
          <w:color w:val="auto"/>
          <w:szCs w:val="32"/>
        </w:rPr>
        <w:t>万元，下</w:t>
      </w:r>
      <w:r>
        <w:rPr>
          <w:rFonts w:hint="eastAsia" w:ascii="仿宋_GB2312"/>
          <w:color w:val="auto"/>
          <w:szCs w:val="32"/>
          <w:lang w:val="en-US" w:eastAsia="zh-CN"/>
        </w:rPr>
        <w:t>增长20.28</w:t>
      </w:r>
      <w:r>
        <w:rPr>
          <w:rFonts w:hint="eastAsia" w:ascii="仿宋_GB2312"/>
          <w:color w:val="auto"/>
          <w:szCs w:val="32"/>
        </w:rPr>
        <w:t>%。主要原因是</w:t>
      </w:r>
      <w:r>
        <w:rPr>
          <w:rFonts w:hint="eastAsia" w:ascii="仿宋_GB2312"/>
          <w:color w:val="auto"/>
          <w:szCs w:val="32"/>
          <w:lang w:val="en-US" w:eastAsia="zh-CN"/>
        </w:rPr>
        <w:t>人员的调入及工作任务的增加</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6501"/>
      <w:bookmarkStart w:id="20" w:name="_Toc934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401.45</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增加67.70</w:t>
      </w:r>
      <w:r>
        <w:rPr>
          <w:rFonts w:hint="eastAsia" w:ascii="仿宋_GB2312"/>
          <w:color w:val="auto"/>
          <w:szCs w:val="32"/>
        </w:rPr>
        <w:t>万元，</w:t>
      </w:r>
      <w:r>
        <w:rPr>
          <w:rFonts w:hint="eastAsia" w:ascii="仿宋_GB2312"/>
          <w:color w:val="auto"/>
          <w:szCs w:val="32"/>
          <w:lang w:val="en-US" w:eastAsia="zh-CN"/>
        </w:rPr>
        <w:t>增长20.28</w:t>
      </w:r>
      <w:r>
        <w:rPr>
          <w:rFonts w:hint="eastAsia" w:ascii="仿宋_GB2312"/>
          <w:color w:val="auto"/>
          <w:szCs w:val="32"/>
        </w:rPr>
        <w:t>%。主要原因是</w:t>
      </w:r>
      <w:r>
        <w:rPr>
          <w:rFonts w:hint="eastAsia" w:ascii="仿宋_GB2312"/>
          <w:color w:val="auto"/>
          <w:szCs w:val="32"/>
          <w:lang w:val="en-US" w:eastAsia="zh-CN"/>
        </w:rPr>
        <w:t>人员的调入及工作任务的增加</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401.45</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401.45</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348.09</w:t>
      </w:r>
      <w:r>
        <w:rPr>
          <w:rFonts w:hint="eastAsia"/>
          <w:color w:val="auto"/>
          <w:szCs w:val="32"/>
        </w:rPr>
        <w:t>万元，支出决算</w:t>
      </w:r>
      <w:r>
        <w:rPr>
          <w:rFonts w:hint="eastAsia"/>
          <w:color w:val="auto"/>
          <w:szCs w:val="32"/>
          <w:lang w:val="en-US" w:eastAsia="zh-CN"/>
        </w:rPr>
        <w:t>401.45</w:t>
      </w:r>
      <w:r>
        <w:rPr>
          <w:rFonts w:hint="eastAsia"/>
          <w:color w:val="auto"/>
          <w:szCs w:val="32"/>
        </w:rPr>
        <w:t>万元，</w:t>
      </w:r>
      <w:r>
        <w:rPr>
          <w:rFonts w:hint="eastAsia"/>
          <w:szCs w:val="32"/>
          <w:lang w:eastAsia="zh-CN"/>
        </w:rPr>
        <w:t>占年初预算数的</w:t>
      </w:r>
      <w:r>
        <w:rPr>
          <w:rFonts w:hint="eastAsia"/>
          <w:szCs w:val="32"/>
          <w:lang w:val="en-US" w:eastAsia="zh-CN"/>
        </w:rPr>
        <w:t>115.33%</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1"/>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ind w:left="0" w:leftChars="0" w:firstLine="0" w:firstLineChars="0"/>
              <w:jc w:val="center"/>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一般公共服务支出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333.75</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401.45</w:t>
            </w:r>
          </w:p>
        </w:tc>
        <w:tc>
          <w:tcPr>
            <w:tcW w:w="1393" w:type="dxa"/>
            <w:vAlign w:val="top"/>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20104</w:t>
            </w:r>
          </w:p>
        </w:tc>
        <w:tc>
          <w:tcPr>
            <w:tcW w:w="2479" w:type="dxa"/>
            <w:vAlign w:val="top"/>
          </w:tcPr>
          <w:p>
            <w:pPr>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发展与改革事务</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w:t>
            </w:r>
          </w:p>
        </w:tc>
        <w:tc>
          <w:tcPr>
            <w:tcW w:w="1393" w:type="dxa"/>
            <w:vAlign w:val="top"/>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2010499</w:t>
            </w:r>
          </w:p>
        </w:tc>
        <w:tc>
          <w:tcPr>
            <w:tcW w:w="2479" w:type="dxa"/>
            <w:vAlign w:val="top"/>
          </w:tcPr>
          <w:p>
            <w:pPr>
              <w:ind w:firstLine="720" w:firstLineChars="300"/>
              <w:jc w:val="left"/>
              <w:rPr>
                <w:rFonts w:hint="eastAsia" w:ascii="仿宋" w:hAnsi="仿宋" w:eastAsia="仿宋" w:cs="仿宋"/>
                <w:color w:val="auto"/>
                <w:sz w:val="24"/>
                <w:szCs w:val="24"/>
              </w:rPr>
            </w:pPr>
            <w:r>
              <w:rPr>
                <w:rFonts w:hint="eastAsia" w:ascii="仿宋" w:hAnsi="仿宋" w:eastAsia="仿宋" w:cs="仿宋"/>
                <w:color w:val="auto"/>
                <w:sz w:val="24"/>
                <w:szCs w:val="24"/>
              </w:rPr>
              <w:t>其他发展与改革事务支出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w:t>
            </w:r>
          </w:p>
        </w:tc>
        <w:tc>
          <w:tcPr>
            <w:tcW w:w="1393" w:type="dxa"/>
            <w:vAlign w:val="center"/>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20131</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党委办公厅（室）及相关机构事务</w:t>
            </w:r>
          </w:p>
        </w:tc>
        <w:tc>
          <w:tcPr>
            <w:tcW w:w="1876" w:type="dxa"/>
            <w:vAlign w:val="top"/>
          </w:tcPr>
          <w:p>
            <w:pPr>
              <w:jc w:val="righ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333.75</w:t>
            </w:r>
          </w:p>
        </w:tc>
        <w:tc>
          <w:tcPr>
            <w:tcW w:w="1684" w:type="dxa"/>
            <w:vAlign w:val="top"/>
          </w:tcPr>
          <w:p>
            <w:pPr>
              <w:ind w:firstLine="720" w:firstLineChars="30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378.75</w:t>
            </w:r>
          </w:p>
        </w:tc>
        <w:tc>
          <w:tcPr>
            <w:tcW w:w="1393" w:type="dxa"/>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2013101</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行政运行</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auto"/>
                <w:kern w:val="0"/>
                <w:sz w:val="22"/>
                <w:szCs w:val="22"/>
                <w:u w:val="none"/>
                <w:lang w:val="en-US" w:eastAsia="zh-CN" w:bidi="ar"/>
              </w:rPr>
            </w:pPr>
            <w:r>
              <w:rPr>
                <w:rFonts w:hint="eastAsia" w:ascii="仿宋" w:hAnsi="仿宋" w:eastAsia="仿宋" w:cs="仿宋"/>
                <w:color w:val="auto"/>
                <w:sz w:val="24"/>
                <w:szCs w:val="24"/>
                <w:lang w:val="en-US" w:eastAsia="zh-CN"/>
              </w:rPr>
              <w:t>362.65</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335.82</w:t>
            </w:r>
          </w:p>
        </w:tc>
        <w:tc>
          <w:tcPr>
            <w:tcW w:w="1393" w:type="dxa"/>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2013102</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一般行政管理事务</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auto"/>
                <w:kern w:val="0"/>
                <w:sz w:val="22"/>
                <w:szCs w:val="22"/>
                <w:u w:val="none"/>
                <w:lang w:val="en-US" w:eastAsia="zh-CN" w:bidi="ar"/>
              </w:rPr>
            </w:pPr>
            <w:r>
              <w:rPr>
                <w:rFonts w:hint="eastAsia" w:ascii="仿宋" w:hAnsi="仿宋" w:eastAsia="仿宋" w:cs="仿宋"/>
                <w:color w:val="auto"/>
                <w:sz w:val="24"/>
                <w:szCs w:val="24"/>
                <w:lang w:val="en-US" w:eastAsia="zh-CN"/>
              </w:rPr>
              <w:t>8</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42.93</w:t>
            </w:r>
          </w:p>
        </w:tc>
        <w:tc>
          <w:tcPr>
            <w:tcW w:w="1393" w:type="dxa"/>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436.63%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20136</w:t>
            </w:r>
          </w:p>
        </w:tc>
        <w:tc>
          <w:tcPr>
            <w:tcW w:w="2479" w:type="dxa"/>
            <w:vAlign w:val="top"/>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其他共产党事务支出</w:t>
            </w:r>
          </w:p>
        </w:tc>
        <w:tc>
          <w:tcPr>
            <w:tcW w:w="1876" w:type="dxa"/>
            <w:vAlign w:val="center"/>
          </w:tcPr>
          <w:p>
            <w:pPr>
              <w:keepNext w:val="0"/>
              <w:keepLines w:val="0"/>
              <w:widowControl/>
              <w:suppressLineNumbers w:val="0"/>
              <w:jc w:val="right"/>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0</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w:t>
            </w:r>
          </w:p>
        </w:tc>
        <w:tc>
          <w:tcPr>
            <w:tcW w:w="1393" w:type="dxa"/>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2013601</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行政运行</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w:t>
            </w:r>
          </w:p>
        </w:tc>
        <w:tc>
          <w:tcPr>
            <w:tcW w:w="1393" w:type="dxa"/>
            <w:vAlign w:val="center"/>
          </w:tcPr>
          <w:p>
            <w:pPr>
              <w:ind w:left="0" w:leftChars="0" w:firstLine="0" w:firstLineChars="0"/>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bl>
    <w:p>
      <w:pPr>
        <w:numPr>
          <w:ilvl w:val="0"/>
          <w:numId w:val="1"/>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1"/>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  计</w:t>
            </w:r>
          </w:p>
        </w:tc>
        <w:tc>
          <w:tcPr>
            <w:tcW w:w="1837" w:type="dxa"/>
            <w:vAlign w:val="center"/>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333.75</w:t>
            </w:r>
          </w:p>
        </w:tc>
        <w:tc>
          <w:tcPr>
            <w:tcW w:w="2071" w:type="dxa"/>
            <w:vAlign w:val="center"/>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401.45</w:t>
            </w:r>
          </w:p>
        </w:tc>
        <w:tc>
          <w:tcPr>
            <w:tcW w:w="1956" w:type="dxa"/>
            <w:vAlign w:val="center"/>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工资福利支出</w:t>
            </w:r>
          </w:p>
        </w:tc>
        <w:tc>
          <w:tcPr>
            <w:tcW w:w="1837" w:type="dxa"/>
            <w:vAlign w:val="center"/>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184.96</w:t>
            </w:r>
          </w:p>
        </w:tc>
        <w:tc>
          <w:tcPr>
            <w:tcW w:w="2071" w:type="dxa"/>
            <w:vAlign w:val="center"/>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172.30</w:t>
            </w:r>
          </w:p>
        </w:tc>
        <w:tc>
          <w:tcPr>
            <w:tcW w:w="1956" w:type="dxa"/>
            <w:vAlign w:val="center"/>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商品服务支出</w:t>
            </w:r>
          </w:p>
        </w:tc>
        <w:tc>
          <w:tcPr>
            <w:tcW w:w="1837" w:type="dxa"/>
            <w:vAlign w:val="center"/>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123.01</w:t>
            </w:r>
          </w:p>
        </w:tc>
        <w:tc>
          <w:tcPr>
            <w:tcW w:w="2071" w:type="dxa"/>
            <w:vAlign w:val="center"/>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173.20</w:t>
            </w:r>
          </w:p>
        </w:tc>
        <w:tc>
          <w:tcPr>
            <w:tcW w:w="1956" w:type="dxa"/>
            <w:vAlign w:val="center"/>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对个人和家庭的补助</w:t>
            </w:r>
          </w:p>
        </w:tc>
        <w:tc>
          <w:tcPr>
            <w:tcW w:w="1837" w:type="dxa"/>
            <w:vAlign w:val="center"/>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2071" w:type="dxa"/>
            <w:vAlign w:val="center"/>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20.1</w:t>
            </w:r>
          </w:p>
        </w:tc>
        <w:tc>
          <w:tcPr>
            <w:tcW w:w="1956" w:type="dxa"/>
            <w:vAlign w:val="center"/>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ind w:left="0" w:leftChars="0" w:firstLine="0" w:firstLineChars="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资本性支出</w:t>
            </w:r>
          </w:p>
        </w:tc>
        <w:tc>
          <w:tcPr>
            <w:tcW w:w="1837" w:type="dxa"/>
            <w:vAlign w:val="center"/>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25.78</w:t>
            </w:r>
          </w:p>
        </w:tc>
        <w:tc>
          <w:tcPr>
            <w:tcW w:w="2071" w:type="dxa"/>
            <w:vAlign w:val="center"/>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35.85</w:t>
            </w:r>
          </w:p>
        </w:tc>
        <w:tc>
          <w:tcPr>
            <w:tcW w:w="1956" w:type="dxa"/>
            <w:vAlign w:val="center"/>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39.06</w:t>
            </w: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17728"/>
      <w:bookmarkStart w:id="22" w:name="_Toc841"/>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261.95</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172.40</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工资福利支出和对家庭和个人的补助</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89.55</w:t>
      </w:r>
      <w:r>
        <w:rPr>
          <w:rFonts w:hint="eastAsia" w:ascii="仿宋_GB2312"/>
          <w:color w:val="auto"/>
          <w:szCs w:val="32"/>
        </w:rPr>
        <w:t>万元</w:t>
      </w:r>
      <w:r>
        <w:rPr>
          <w:rFonts w:ascii="仿宋_GB2312"/>
          <w:color w:val="auto"/>
          <w:szCs w:val="32"/>
        </w:rPr>
        <w:t>，主要</w:t>
      </w:r>
      <w:r>
        <w:rPr>
          <w:rFonts w:hint="eastAsia" w:ascii="仿宋_GB2312"/>
          <w:color w:val="auto"/>
          <w:szCs w:val="32"/>
          <w:lang w:val="en-US" w:eastAsia="zh-CN"/>
        </w:rPr>
        <w:t>是商品和服务支出</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139.50</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ind w:left="0" w:leftChars="0" w:firstLine="640" w:firstLineChars="200"/>
        <w:jc w:val="left"/>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17.82</w:t>
      </w:r>
      <w:r>
        <w:rPr>
          <w:rFonts w:hint="eastAsia" w:ascii="仿宋_GB2312"/>
          <w:color w:val="auto"/>
          <w:szCs w:val="32"/>
        </w:rPr>
        <w:t>万元，</w:t>
      </w:r>
      <w:bookmarkStart w:id="33" w:name="_GoBack"/>
      <w:bookmarkEnd w:id="33"/>
      <w:r>
        <w:rPr>
          <w:rFonts w:hint="eastAsia" w:ascii="仿宋_GB2312"/>
          <w:color w:val="auto"/>
          <w:szCs w:val="32"/>
        </w:rPr>
        <w:t>比上年增加</w:t>
      </w:r>
      <w:r>
        <w:rPr>
          <w:rFonts w:hint="eastAsia" w:ascii="仿宋_GB2312"/>
          <w:color w:val="auto"/>
          <w:szCs w:val="32"/>
          <w:lang w:val="en-US" w:eastAsia="zh-CN"/>
        </w:rPr>
        <w:t>14.81</w:t>
      </w:r>
      <w:r>
        <w:rPr>
          <w:rFonts w:hint="eastAsia" w:ascii="仿宋_GB2312"/>
          <w:color w:val="auto"/>
          <w:szCs w:val="32"/>
        </w:rPr>
        <w:t>万元，增长</w:t>
      </w:r>
      <w:r>
        <w:rPr>
          <w:rFonts w:hint="eastAsia" w:ascii="仿宋_GB2312"/>
          <w:color w:val="auto"/>
          <w:szCs w:val="32"/>
          <w:lang w:val="en-US" w:eastAsia="zh-CN"/>
        </w:rPr>
        <w:t>492.03</w:t>
      </w:r>
      <w:r>
        <w:rPr>
          <w:rFonts w:hint="eastAsia" w:ascii="仿宋_GB2312"/>
          <w:color w:val="auto"/>
          <w:szCs w:val="32"/>
        </w:rPr>
        <w:t>%，原因是：</w:t>
      </w:r>
      <w:r>
        <w:rPr>
          <w:rFonts w:hint="eastAsia" w:ascii="仿宋_GB2312"/>
          <w:color w:val="auto"/>
          <w:szCs w:val="32"/>
          <w:lang w:val="en-US" w:eastAsia="zh-CN"/>
        </w:rPr>
        <w:t>使用上年度结余</w:t>
      </w:r>
      <w:r>
        <w:rPr>
          <w:rFonts w:hint="eastAsia" w:ascii="仿宋_GB2312"/>
          <w:color w:val="auto"/>
          <w:szCs w:val="32"/>
        </w:rPr>
        <w:t>。其中：因公出国（境）费支出决算</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%，比上年减少</w:t>
      </w:r>
      <w:r>
        <w:rPr>
          <w:rFonts w:hint="eastAsia" w:ascii="仿宋_GB2312"/>
          <w:color w:val="auto"/>
          <w:szCs w:val="32"/>
          <w:lang w:val="en-US" w:eastAsia="zh-CN"/>
        </w:rPr>
        <w:t>0</w:t>
      </w:r>
      <w:r>
        <w:rPr>
          <w:rFonts w:hint="eastAsia" w:ascii="仿宋_GB2312"/>
          <w:color w:val="auto"/>
          <w:szCs w:val="32"/>
        </w:rPr>
        <w:t>万元，下降</w:t>
      </w:r>
      <w:r>
        <w:rPr>
          <w:rFonts w:hint="eastAsia" w:ascii="仿宋_GB2312"/>
          <w:color w:val="auto"/>
          <w:szCs w:val="32"/>
          <w:lang w:val="en-US" w:eastAsia="zh-CN"/>
        </w:rPr>
        <w:t>0</w:t>
      </w:r>
      <w:r>
        <w:rPr>
          <w:rFonts w:hint="eastAsia" w:ascii="仿宋_GB2312"/>
          <w:color w:val="auto"/>
          <w:szCs w:val="32"/>
        </w:rPr>
        <w:t>%；公务用车购置及运行费支出决算</w:t>
      </w:r>
      <w:r>
        <w:rPr>
          <w:rFonts w:hint="eastAsia" w:ascii="仿宋_GB2312"/>
          <w:color w:val="auto"/>
          <w:szCs w:val="32"/>
          <w:lang w:val="en-US" w:eastAsia="zh-CN"/>
        </w:rPr>
        <w:t>17.82</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%，比上年增加</w:t>
      </w:r>
      <w:r>
        <w:rPr>
          <w:rFonts w:hint="eastAsia" w:ascii="仿宋_GB2312"/>
          <w:color w:val="auto"/>
          <w:szCs w:val="32"/>
          <w:lang w:val="en-US" w:eastAsia="zh-CN"/>
        </w:rPr>
        <w:t>14.81</w:t>
      </w:r>
      <w:r>
        <w:rPr>
          <w:rFonts w:hint="eastAsia" w:ascii="仿宋_GB2312"/>
          <w:color w:val="auto"/>
          <w:szCs w:val="32"/>
        </w:rPr>
        <w:t>万元，增长</w:t>
      </w:r>
      <w:r>
        <w:rPr>
          <w:rFonts w:hint="eastAsia" w:ascii="仿宋_GB2312"/>
          <w:color w:val="auto"/>
          <w:szCs w:val="32"/>
          <w:lang w:val="en-US" w:eastAsia="zh-CN"/>
        </w:rPr>
        <w:t>492.03</w:t>
      </w:r>
      <w:r>
        <w:rPr>
          <w:rFonts w:hint="eastAsia" w:ascii="仿宋_GB2312"/>
          <w:color w:val="auto"/>
          <w:szCs w:val="32"/>
        </w:rPr>
        <w:t>%；公务接待费支出决算</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%，比上年减少</w:t>
      </w:r>
      <w:r>
        <w:rPr>
          <w:rFonts w:hint="eastAsia" w:ascii="仿宋_GB2312"/>
          <w:color w:val="auto"/>
          <w:szCs w:val="32"/>
          <w:lang w:val="en-US" w:eastAsia="zh-CN"/>
        </w:rPr>
        <w:t>0</w:t>
      </w:r>
      <w:r>
        <w:rPr>
          <w:rFonts w:hint="eastAsia" w:ascii="仿宋_GB2312"/>
          <w:color w:val="auto"/>
          <w:szCs w:val="32"/>
        </w:rPr>
        <w:t>万元，减少</w:t>
      </w:r>
      <w:r>
        <w:rPr>
          <w:rFonts w:hint="eastAsia" w:ascii="仿宋_GB2312"/>
          <w:color w:val="auto"/>
          <w:szCs w:val="32"/>
          <w:lang w:val="en-US" w:eastAsia="zh-CN"/>
        </w:rPr>
        <w:t>0</w:t>
      </w:r>
      <w:r>
        <w:rPr>
          <w:rFonts w:hint="eastAsia" w:ascii="仿宋_GB2312"/>
          <w:color w:val="auto"/>
          <w:szCs w:val="32"/>
        </w:rPr>
        <w:t>%。具体情况如下：</w:t>
      </w:r>
    </w:p>
    <w:p>
      <w:pPr>
        <w:pStyle w:val="9"/>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9"/>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9"/>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9"/>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9"/>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因公出国（境）费</w:t>
            </w:r>
          </w:p>
        </w:tc>
        <w:tc>
          <w:tcPr>
            <w:tcW w:w="1701" w:type="dxa"/>
            <w:vAlign w:val="top"/>
          </w:tcPr>
          <w:p>
            <w:pPr>
              <w:ind w:left="0" w:leftChars="0" w:firstLine="0" w:firstLineChars="0"/>
              <w:jc w:val="left"/>
              <w:rPr>
                <w:rFonts w:hint="eastAsia" w:ascii="仿宋" w:hAnsi="仿宋" w:eastAsia="仿宋" w:cs="仿宋"/>
                <w:color w:val="auto"/>
                <w:sz w:val="24"/>
                <w:szCs w:val="24"/>
                <w:lang w:val="en-US" w:eastAsia="zh-CN"/>
              </w:rPr>
            </w:pPr>
          </w:p>
        </w:tc>
        <w:tc>
          <w:tcPr>
            <w:tcW w:w="1701" w:type="dxa"/>
            <w:vAlign w:val="top"/>
          </w:tcPr>
          <w:p>
            <w:pPr>
              <w:ind w:left="0" w:leftChars="0" w:firstLine="0" w:firstLineChars="0"/>
              <w:jc w:val="left"/>
              <w:rPr>
                <w:rFonts w:hint="eastAsia" w:ascii="仿宋" w:hAnsi="仿宋" w:eastAsia="仿宋" w:cs="仿宋"/>
                <w:color w:val="auto"/>
                <w:sz w:val="24"/>
                <w:szCs w:val="24"/>
                <w:lang w:val="en-US" w:eastAsia="zh-CN"/>
              </w:rPr>
            </w:pPr>
          </w:p>
        </w:tc>
        <w:tc>
          <w:tcPr>
            <w:tcW w:w="1418" w:type="dxa"/>
            <w:vAlign w:val="top"/>
          </w:tcPr>
          <w:p>
            <w:pPr>
              <w:ind w:left="0" w:leftChars="0" w:firstLine="0" w:firstLineChars="0"/>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公务接待费</w:t>
            </w:r>
          </w:p>
        </w:tc>
        <w:tc>
          <w:tcPr>
            <w:tcW w:w="1701" w:type="dxa"/>
            <w:vAlign w:val="top"/>
          </w:tcPr>
          <w:p>
            <w:pPr>
              <w:ind w:left="0" w:leftChars="0" w:firstLine="0" w:firstLineChars="0"/>
              <w:jc w:val="left"/>
              <w:rPr>
                <w:rFonts w:hint="eastAsia" w:ascii="仿宋" w:hAnsi="仿宋" w:eastAsia="仿宋" w:cs="仿宋"/>
                <w:color w:val="auto"/>
                <w:sz w:val="24"/>
                <w:szCs w:val="24"/>
                <w:lang w:val="en-US" w:eastAsia="zh-CN"/>
              </w:rPr>
            </w:pPr>
          </w:p>
        </w:tc>
        <w:tc>
          <w:tcPr>
            <w:tcW w:w="1701" w:type="dxa"/>
            <w:vAlign w:val="top"/>
          </w:tcPr>
          <w:p>
            <w:pPr>
              <w:ind w:left="0" w:leftChars="0" w:firstLine="0" w:firstLineChars="0"/>
              <w:jc w:val="left"/>
              <w:rPr>
                <w:rFonts w:hint="eastAsia" w:ascii="仿宋" w:hAnsi="仿宋" w:eastAsia="仿宋" w:cs="仿宋"/>
                <w:color w:val="auto"/>
                <w:sz w:val="24"/>
                <w:szCs w:val="24"/>
                <w:lang w:val="en-US" w:eastAsia="zh-CN"/>
              </w:rPr>
            </w:pPr>
          </w:p>
        </w:tc>
        <w:tc>
          <w:tcPr>
            <w:tcW w:w="1418" w:type="dxa"/>
            <w:vAlign w:val="top"/>
          </w:tcPr>
          <w:p>
            <w:pPr>
              <w:ind w:left="0" w:leftChars="0" w:firstLine="0" w:firstLineChars="0"/>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公务用车购置及运行维护费</w:t>
            </w:r>
          </w:p>
        </w:tc>
        <w:tc>
          <w:tcPr>
            <w:tcW w:w="1701" w:type="dxa"/>
            <w:vAlign w:val="top"/>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3.01</w:t>
            </w:r>
          </w:p>
        </w:tc>
        <w:tc>
          <w:tcPr>
            <w:tcW w:w="1701" w:type="dxa"/>
            <w:vAlign w:val="top"/>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17.82</w:t>
            </w:r>
          </w:p>
        </w:tc>
        <w:tc>
          <w:tcPr>
            <w:tcW w:w="1418" w:type="dxa"/>
            <w:vAlign w:val="top"/>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492.03</w:t>
            </w:r>
          </w:p>
        </w:tc>
      </w:tr>
    </w:tbl>
    <w:p>
      <w:pPr>
        <w:pStyle w:val="9"/>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1792"/>
      <w:bookmarkStart w:id="26" w:name="_Toc9078"/>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89.54</w:t>
      </w:r>
      <w:r>
        <w:rPr>
          <w:rFonts w:hint="eastAsia" w:ascii="仿宋_GB2312" w:hAnsi="宋体"/>
          <w:color w:val="auto"/>
          <w:szCs w:val="32"/>
        </w:rPr>
        <w:t>万元，比20</w:t>
      </w:r>
      <w:r>
        <w:rPr>
          <w:rFonts w:hint="eastAsia" w:ascii="仿宋_GB2312" w:hAnsi="宋体"/>
          <w:color w:val="auto"/>
          <w:szCs w:val="32"/>
          <w:lang w:val="en-US" w:eastAsia="zh-CN"/>
        </w:rPr>
        <w:t>21</w:t>
      </w:r>
      <w:r>
        <w:rPr>
          <w:rFonts w:hint="eastAsia" w:ascii="仿宋_GB2312" w:hAnsi="宋体"/>
          <w:color w:val="auto"/>
          <w:szCs w:val="32"/>
        </w:rPr>
        <w:t>年减少</w:t>
      </w:r>
      <w:r>
        <w:rPr>
          <w:rFonts w:hint="eastAsia" w:ascii="仿宋_GB2312" w:hAnsi="宋体"/>
          <w:color w:val="auto"/>
          <w:szCs w:val="32"/>
          <w:lang w:val="en-US" w:eastAsia="zh-CN"/>
        </w:rPr>
        <w:t>36.55</w:t>
      </w:r>
      <w:r>
        <w:rPr>
          <w:rFonts w:hint="eastAsia" w:ascii="仿宋_GB2312" w:hAnsi="宋体"/>
          <w:color w:val="auto"/>
          <w:szCs w:val="32"/>
        </w:rPr>
        <w:t>万元，降低</w:t>
      </w:r>
      <w:r>
        <w:rPr>
          <w:rFonts w:hint="eastAsia" w:ascii="仿宋_GB2312" w:hAnsi="宋体"/>
          <w:color w:val="auto"/>
          <w:szCs w:val="32"/>
          <w:lang w:val="en-US" w:eastAsia="zh-CN"/>
        </w:rPr>
        <w:t>28.99</w:t>
      </w:r>
      <w:r>
        <w:rPr>
          <w:rFonts w:hint="eastAsia" w:ascii="仿宋_GB2312" w:hAnsi="宋体"/>
          <w:color w:val="auto"/>
          <w:szCs w:val="32"/>
        </w:rPr>
        <w:t>%。主要原因是：</w:t>
      </w:r>
      <w:r>
        <w:rPr>
          <w:rFonts w:hint="eastAsia" w:ascii="仿宋_GB2312" w:hAnsi="宋体"/>
          <w:color w:val="auto"/>
          <w:szCs w:val="32"/>
          <w:lang w:val="en-US" w:eastAsia="zh-CN"/>
        </w:rPr>
        <w:t>虽然有人员调入及工作任务的增加，但仍然坚持厉行节约，严控经费开支</w:t>
      </w:r>
      <w:r>
        <w:rPr>
          <w:rFonts w:hint="eastAsia"/>
          <w:b/>
          <w:color w:val="auto"/>
          <w:szCs w:val="32"/>
        </w:rPr>
        <w:t>。</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42.61</w:t>
      </w:r>
      <w:r>
        <w:rPr>
          <w:rFonts w:hint="eastAsia" w:ascii="仿宋_GB2312"/>
          <w:color w:val="auto"/>
          <w:szCs w:val="32"/>
        </w:rPr>
        <w:t>万元，其中：政府采购货物支出</w:t>
      </w:r>
      <w:r>
        <w:rPr>
          <w:rFonts w:hint="eastAsia" w:ascii="仿宋_GB2312"/>
          <w:color w:val="auto"/>
          <w:szCs w:val="32"/>
          <w:lang w:val="en-US" w:eastAsia="zh-CN"/>
        </w:rPr>
        <w:t>42.61</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0</w:t>
      </w:r>
      <w:r>
        <w:rPr>
          <w:rFonts w:hint="eastAsia" w:ascii="仿宋_GB2312"/>
          <w:color w:val="auto"/>
          <w:szCs w:val="32"/>
        </w:rPr>
        <w:t>万元。政府采购授予中小企业合同金额</w:t>
      </w:r>
      <w:r>
        <w:rPr>
          <w:rFonts w:hint="eastAsia" w:ascii="仿宋_GB2312"/>
          <w:color w:val="auto"/>
          <w:szCs w:val="32"/>
          <w:lang w:val="en-US" w:eastAsia="zh-CN"/>
        </w:rPr>
        <w:t>42.61</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40.9</w:t>
      </w:r>
      <w:r>
        <w:rPr>
          <w:rFonts w:hint="eastAsia" w:ascii="仿宋_GB2312"/>
          <w:color w:val="auto"/>
          <w:szCs w:val="32"/>
        </w:rPr>
        <w:t>万元，占政府采购支出总额的</w:t>
      </w:r>
      <w:r>
        <w:rPr>
          <w:rFonts w:hint="eastAsia" w:ascii="仿宋_GB2312"/>
          <w:color w:val="auto"/>
          <w:szCs w:val="32"/>
          <w:lang w:val="en-US" w:eastAsia="zh-CN"/>
        </w:rPr>
        <w:t>95.99</w:t>
      </w:r>
      <w:r>
        <w:rPr>
          <w:rFonts w:ascii="仿宋_GB2312"/>
          <w:color w:val="auto"/>
          <w:szCs w:val="32"/>
        </w:rPr>
        <w:t>%</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2</w:t>
      </w:r>
      <w:r>
        <w:rPr>
          <w:rFonts w:hint="eastAsia" w:ascii="仿宋_GB2312"/>
          <w:color w:val="auto"/>
          <w:szCs w:val="32"/>
        </w:rPr>
        <w:t>辆。其中，副部（省）级及以上领导用车</w:t>
      </w:r>
      <w:r>
        <w:rPr>
          <w:rFonts w:hint="eastAsia" w:ascii="仿宋_GB2312"/>
          <w:color w:val="auto"/>
          <w:szCs w:val="32"/>
          <w:lang w:val="en-US" w:eastAsia="zh-CN"/>
        </w:rPr>
        <w:t>0</w:t>
      </w:r>
      <w:r>
        <w:rPr>
          <w:rFonts w:hint="eastAsia" w:ascii="仿宋_GB2312"/>
          <w:color w:val="auto"/>
          <w:szCs w:val="32"/>
        </w:rPr>
        <w:t>辆、主要领导干部用车</w:t>
      </w:r>
      <w:r>
        <w:rPr>
          <w:rFonts w:hint="eastAsia" w:ascii="仿宋_GB2312"/>
          <w:color w:val="auto"/>
          <w:szCs w:val="32"/>
          <w:lang w:val="en-US" w:eastAsia="zh-CN"/>
        </w:rPr>
        <w:t>1</w:t>
      </w:r>
      <w:r>
        <w:rPr>
          <w:rFonts w:hint="eastAsia" w:ascii="仿宋_GB2312"/>
          <w:color w:val="auto"/>
          <w:szCs w:val="32"/>
        </w:rPr>
        <w:t>辆、机要通信用车</w:t>
      </w:r>
      <w:r>
        <w:rPr>
          <w:rFonts w:hint="eastAsia" w:ascii="仿宋_GB2312"/>
          <w:color w:val="auto"/>
          <w:szCs w:val="32"/>
          <w:lang w:val="en-US" w:eastAsia="zh-CN"/>
        </w:rPr>
        <w:t>1</w:t>
      </w:r>
      <w:r>
        <w:rPr>
          <w:rFonts w:hint="eastAsia" w:ascii="仿宋_GB2312"/>
          <w:color w:val="auto"/>
          <w:szCs w:val="32"/>
        </w:rPr>
        <w:t>辆、应急保障用车</w:t>
      </w:r>
      <w:r>
        <w:rPr>
          <w:rFonts w:hint="eastAsia" w:ascii="仿宋_GB2312"/>
          <w:color w:val="auto"/>
          <w:szCs w:val="32"/>
          <w:lang w:val="en-US" w:eastAsia="zh-CN"/>
        </w:rPr>
        <w:t>0</w:t>
      </w:r>
      <w:r>
        <w:rPr>
          <w:rFonts w:hint="eastAsia" w:ascii="仿宋_GB2312"/>
          <w:color w:val="auto"/>
          <w:szCs w:val="32"/>
        </w:rPr>
        <w:t>辆、执法执勤用车</w:t>
      </w:r>
      <w:r>
        <w:rPr>
          <w:rFonts w:hint="eastAsia" w:ascii="仿宋_GB2312"/>
          <w:color w:val="auto"/>
          <w:szCs w:val="32"/>
          <w:lang w:val="en-US" w:eastAsia="zh-CN"/>
        </w:rPr>
        <w:t>0</w:t>
      </w:r>
      <w:r>
        <w:rPr>
          <w:rFonts w:hint="eastAsia" w:ascii="仿宋_GB2312"/>
          <w:color w:val="auto"/>
          <w:szCs w:val="32"/>
        </w:rPr>
        <w:t>辆、特种专业技术用车</w:t>
      </w:r>
      <w:r>
        <w:rPr>
          <w:rFonts w:hint="eastAsia" w:ascii="仿宋_GB2312"/>
          <w:color w:val="auto"/>
          <w:szCs w:val="32"/>
          <w:lang w:val="en-US" w:eastAsia="zh-CN"/>
        </w:rPr>
        <w:t>0</w:t>
      </w:r>
      <w:r>
        <w:rPr>
          <w:rFonts w:hint="eastAsia" w:ascii="仿宋_GB2312"/>
          <w:color w:val="auto"/>
          <w:szCs w:val="32"/>
        </w:rPr>
        <w:t>辆、离退休干部用车</w:t>
      </w:r>
      <w:r>
        <w:rPr>
          <w:rFonts w:hint="eastAsia" w:ascii="仿宋_GB2312"/>
          <w:color w:val="auto"/>
          <w:szCs w:val="32"/>
          <w:lang w:val="en-US" w:eastAsia="zh-CN"/>
        </w:rPr>
        <w:t>0</w:t>
      </w:r>
      <w:r>
        <w:rPr>
          <w:rFonts w:hint="eastAsia" w:ascii="仿宋_GB2312"/>
          <w:color w:val="auto"/>
          <w:szCs w:val="32"/>
        </w:rPr>
        <w:t>辆、其他用车</w:t>
      </w:r>
      <w:r>
        <w:rPr>
          <w:rFonts w:hint="eastAsia" w:ascii="仿宋_GB2312"/>
          <w:color w:val="auto"/>
          <w:szCs w:val="32"/>
          <w:lang w:val="en-US" w:eastAsia="zh-CN"/>
        </w:rPr>
        <w:t>0</w:t>
      </w:r>
      <w:r>
        <w:rPr>
          <w:rFonts w:hint="eastAsia" w:ascii="仿宋_GB2312"/>
          <w:color w:val="auto"/>
          <w:szCs w:val="32"/>
        </w:rPr>
        <w:t>辆；单价50万元（含）以上的通用设备</w:t>
      </w:r>
      <w:r>
        <w:rPr>
          <w:rFonts w:hint="eastAsia" w:ascii="仿宋_GB2312"/>
          <w:color w:val="auto"/>
          <w:szCs w:val="32"/>
          <w:lang w:val="en-US" w:eastAsia="zh-CN"/>
        </w:rPr>
        <w:t>0</w:t>
      </w:r>
      <w:r>
        <w:rPr>
          <w:rFonts w:hint="eastAsia" w:ascii="仿宋_GB2312"/>
          <w:color w:val="auto"/>
          <w:szCs w:val="32"/>
        </w:rPr>
        <w:t>台（套），单价100万元（含）以上专用设备</w:t>
      </w:r>
      <w:r>
        <w:rPr>
          <w:rFonts w:hint="eastAsia" w:ascii="仿宋_GB2312"/>
          <w:color w:val="auto"/>
          <w:szCs w:val="32"/>
          <w:lang w:val="en-US" w:eastAsia="zh-CN"/>
        </w:rPr>
        <w:t>0</w:t>
      </w:r>
      <w:r>
        <w:rPr>
          <w:rFonts w:hint="eastAsia" w:ascii="仿宋_GB2312"/>
          <w:color w:val="auto"/>
          <w:szCs w:val="32"/>
        </w:rPr>
        <w:t>台（套）。</w:t>
      </w:r>
    </w:p>
    <w:p>
      <w:pPr>
        <w:numPr>
          <w:ilvl w:val="0"/>
          <w:numId w:val="2"/>
        </w:numPr>
        <w:rPr>
          <w:rFonts w:hint="eastAsia"/>
          <w:b/>
          <w:bCs/>
          <w:color w:val="auto"/>
        </w:rPr>
      </w:pPr>
      <w:r>
        <w:rPr>
          <w:rFonts w:hint="eastAsia"/>
          <w:b/>
          <w:bCs/>
          <w:color w:val="auto"/>
        </w:rPr>
        <w:t>重点项目预算的绩效目标情况说明</w:t>
      </w:r>
    </w:p>
    <w:p>
      <w:pPr>
        <w:numPr>
          <w:ilvl w:val="0"/>
          <w:numId w:val="0"/>
        </w:numPr>
        <w:rPr>
          <w:rFonts w:hint="default" w:eastAsia="仿宋_GB2312"/>
          <w:b/>
          <w:bCs/>
          <w:color w:val="auto"/>
          <w:lang w:val="en-US" w:eastAsia="zh-CN"/>
        </w:rPr>
      </w:pPr>
      <w:r>
        <w:rPr>
          <w:rFonts w:hint="eastAsia"/>
          <w:b/>
          <w:bCs/>
          <w:color w:val="auto"/>
          <w:lang w:val="en-US" w:eastAsia="zh-CN"/>
        </w:rPr>
        <w:t xml:space="preserve">      </w:t>
      </w:r>
      <w:r>
        <w:rPr>
          <w:rFonts w:hint="eastAsia" w:ascii="仿宋_GB2312"/>
          <w:b w:val="0"/>
          <w:bCs/>
          <w:color w:val="auto"/>
          <w:szCs w:val="32"/>
          <w:lang w:val="en-US" w:eastAsia="zh-CN"/>
        </w:rPr>
        <w:t>无</w:t>
      </w:r>
    </w:p>
    <w:p>
      <w:pPr>
        <w:numPr>
          <w:ilvl w:val="0"/>
          <w:numId w:val="3"/>
        </w:numPr>
        <w:ind w:firstLine="643" w:firstLineChars="200"/>
        <w:rPr>
          <w:rFonts w:hint="eastAsia" w:ascii="仿宋_GB2312"/>
          <w:b/>
          <w:color w:val="auto"/>
          <w:szCs w:val="32"/>
        </w:rPr>
      </w:pPr>
      <w:bookmarkStart w:id="30" w:name="_Toc8450"/>
      <w:bookmarkStart w:id="31" w:name="_Toc28108"/>
      <w:r>
        <w:rPr>
          <w:rFonts w:hint="eastAsia" w:ascii="仿宋_GB2312"/>
          <w:b/>
          <w:bCs/>
          <w:color w:val="auto"/>
          <w:szCs w:val="32"/>
        </w:rPr>
        <w:t>其</w:t>
      </w:r>
      <w:r>
        <w:rPr>
          <w:rFonts w:hint="eastAsia" w:ascii="仿宋_GB2312"/>
          <w:b/>
          <w:color w:val="auto"/>
          <w:szCs w:val="32"/>
        </w:rPr>
        <w:t>他需要说明的事项</w:t>
      </w:r>
      <w:bookmarkEnd w:id="30"/>
      <w:bookmarkEnd w:id="31"/>
    </w:p>
    <w:p>
      <w:pPr>
        <w:numPr>
          <w:ilvl w:val="0"/>
          <w:numId w:val="0"/>
        </w:numPr>
        <w:rPr>
          <w:rFonts w:hint="default" w:ascii="仿宋_GB2312"/>
          <w:b/>
          <w:color w:val="auto"/>
          <w:szCs w:val="32"/>
          <w:lang w:val="en-US" w:eastAsia="zh-CN"/>
        </w:rPr>
      </w:pPr>
      <w:r>
        <w:rPr>
          <w:rFonts w:hint="eastAsia" w:ascii="仿宋_GB2312"/>
          <w:b/>
          <w:color w:val="auto"/>
          <w:szCs w:val="32"/>
          <w:lang w:val="en-US" w:eastAsia="zh-CN"/>
        </w:rPr>
        <w:t xml:space="preserve">      </w:t>
      </w:r>
      <w:r>
        <w:rPr>
          <w:rFonts w:hint="eastAsia" w:ascii="仿宋_GB2312"/>
          <w:b w:val="0"/>
          <w:bCs/>
          <w:color w:val="auto"/>
          <w:szCs w:val="32"/>
          <w:lang w:val="en-US" w:eastAsia="zh-CN"/>
        </w:rPr>
        <w:t>无</w:t>
      </w:r>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单位名称：中国共产党静乐县委员会办公室</w:t>
      </w:r>
    </w:p>
    <w:p>
      <w:pPr>
        <w:ind w:firstLine="4480" w:firstLineChars="1400"/>
        <w:rPr>
          <w:rFonts w:hint="eastAsia" w:eastAsia="仿宋_GB2312"/>
          <w:color w:val="auto"/>
          <w:lang w:val="en-US" w:eastAsia="zh-CN"/>
        </w:rPr>
      </w:pPr>
      <w:r>
        <w:rPr>
          <w:rFonts w:hint="eastAsia"/>
          <w:color w:val="auto"/>
          <w:lang w:val="en-US" w:eastAsia="zh-CN"/>
        </w:rPr>
        <w:t>二〇二二年六月六日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F57330"/>
    <w:multiLevelType w:val="singleLevel"/>
    <w:tmpl w:val="8FF57330"/>
    <w:lvl w:ilvl="0" w:tentative="0">
      <w:start w:val="5"/>
      <w:numFmt w:val="chineseCounting"/>
      <w:suff w:val="nothing"/>
      <w:lvlText w:val="（%1）"/>
      <w:lvlJc w:val="left"/>
      <w:rPr>
        <w:rFonts w:hint="eastAsia"/>
      </w:rPr>
    </w:lvl>
  </w:abstractNum>
  <w:abstractNum w:abstractNumId="1">
    <w:nsid w:val="5E2D7029"/>
    <w:multiLevelType w:val="singleLevel"/>
    <w:tmpl w:val="5E2D7029"/>
    <w:lvl w:ilvl="0" w:tentative="0">
      <w:start w:val="4"/>
      <w:numFmt w:val="chineseCounting"/>
      <w:suff w:val="nothing"/>
      <w:lvlText w:val="（%1）"/>
      <w:lvlJc w:val="left"/>
      <w:rPr>
        <w:rFonts w:hint="eastAsia"/>
      </w:rPr>
    </w:lvl>
  </w:abstractNum>
  <w:abstractNum w:abstractNumId="2">
    <w:nsid w:val="60A4CC00"/>
    <w:multiLevelType w:val="singleLevel"/>
    <w:tmpl w:val="60A4CC00"/>
    <w:lvl w:ilvl="0" w:tentative="0">
      <w:start w:val="2"/>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13844AE"/>
    <w:rsid w:val="03372BDE"/>
    <w:rsid w:val="03696819"/>
    <w:rsid w:val="0543026B"/>
    <w:rsid w:val="089963F4"/>
    <w:rsid w:val="09BE7FAB"/>
    <w:rsid w:val="1435004B"/>
    <w:rsid w:val="156F120A"/>
    <w:rsid w:val="16654CDD"/>
    <w:rsid w:val="1A4A5C33"/>
    <w:rsid w:val="1DB24F7B"/>
    <w:rsid w:val="1DF8223C"/>
    <w:rsid w:val="1FAA68C7"/>
    <w:rsid w:val="2222568C"/>
    <w:rsid w:val="2701594C"/>
    <w:rsid w:val="27426717"/>
    <w:rsid w:val="280A60DD"/>
    <w:rsid w:val="2EB80237"/>
    <w:rsid w:val="37943B50"/>
    <w:rsid w:val="37CE1714"/>
    <w:rsid w:val="3821117E"/>
    <w:rsid w:val="3C0456C3"/>
    <w:rsid w:val="42C12CEC"/>
    <w:rsid w:val="42EB7271"/>
    <w:rsid w:val="44401A62"/>
    <w:rsid w:val="495520D0"/>
    <w:rsid w:val="4A012068"/>
    <w:rsid w:val="51C440F0"/>
    <w:rsid w:val="52B04FA9"/>
    <w:rsid w:val="53A30631"/>
    <w:rsid w:val="55DA5EA1"/>
    <w:rsid w:val="566D5BB2"/>
    <w:rsid w:val="5D2E1F75"/>
    <w:rsid w:val="5EC01F6A"/>
    <w:rsid w:val="63AB51DF"/>
    <w:rsid w:val="64476042"/>
    <w:rsid w:val="649C6DC9"/>
    <w:rsid w:val="68ED5241"/>
    <w:rsid w:val="6DFB3F5C"/>
    <w:rsid w:val="6E0E5A3E"/>
    <w:rsid w:val="715A78E4"/>
    <w:rsid w:val="71AB4E10"/>
    <w:rsid w:val="7761744D"/>
    <w:rsid w:val="79AE5EC4"/>
    <w:rsid w:val="7F1D7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4">
    <w:name w:val="Body Text Indent 2"/>
    <w:basedOn w:val="1"/>
    <w:qFormat/>
    <w:uiPriority w:val="0"/>
    <w:pPr>
      <w:spacing w:after="120" w:line="480" w:lineRule="auto"/>
      <w:ind w:left="420" w:leftChars="200"/>
    </w:pPr>
  </w:style>
  <w:style w:type="paragraph" w:styleId="5">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6">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2022-08-22T09:13:53Z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A5035B4E8F3142F18C051B1F649DB18F</vt:lpwstr>
  </property>
</Properties>
</file>