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静乐县2021年“煤改电“设备项目</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静乐县能源局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静乐县能源局-029</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全县2021年完成清洁取暖“煤改电”655户 市级负责设备的统一采购、资金的统一结算，县人民政府授权县能源局代表县政府分别与中标企业签订设备供货合同</w:t>
      </w:r>
    </w:p>
    <w:p>
      <w:pPr>
        <w:pStyle w:val="44"/>
        <w:ind w:left="280" w:firstLine="562"/>
        <w:rPr>
          <w:lang w:eastAsia="zh-CN"/>
        </w:rPr>
      </w:pPr>
      <w:r>
        <w:rPr>
          <w:rFonts w:hint="eastAsia"/>
          <w:b/>
          <w:bCs/>
          <w:lang w:val="en-US" w:eastAsia="zh-CN"/>
        </w:rPr>
        <w:t>立项依据：</w:t>
      </w:r>
      <w:r>
        <w:rPr>
          <w:rFonts w:hint="eastAsia"/>
          <w:lang w:eastAsia="zh-CN"/>
        </w:rPr>
        <w:t>静乐县“煤改电”项目建设指挥部关于印发《静乐县2021年清洁取暖“煤改电”工作实施方案》的通知</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一、减少县城区内环境污染 二、补充上级配套资金</w:t>
      </w:r>
    </w:p>
    <w:p>
      <w:pPr>
        <w:pStyle w:val="44"/>
        <w:ind w:left="280" w:firstLine="562"/>
        <w:rPr>
          <w:lang w:eastAsia="zh-CN"/>
        </w:rPr>
      </w:pPr>
      <w:r>
        <w:rPr>
          <w:rFonts w:hint="eastAsia"/>
          <w:b/>
          <w:bCs/>
          <w:lang w:val="en-US" w:eastAsia="zh-CN"/>
        </w:rPr>
        <w:t>保证项目实施的措施与制度：</w:t>
      </w:r>
      <w:r>
        <w:rPr>
          <w:rFonts w:hint="eastAsia"/>
          <w:lang w:eastAsia="zh-CN"/>
        </w:rPr>
        <w:t>一、及时招标优质服务企业 二、工作人员分标段现场监工</w:t>
      </w:r>
    </w:p>
    <w:p>
      <w:pPr>
        <w:pStyle w:val="44"/>
        <w:ind w:left="280" w:firstLine="562"/>
        <w:rPr>
          <w:lang w:eastAsia="zh-CN"/>
        </w:rPr>
      </w:pPr>
      <w:r>
        <w:rPr>
          <w:rFonts w:hint="eastAsia"/>
          <w:b/>
          <w:bCs/>
          <w:lang w:val="en-US" w:eastAsia="zh-CN"/>
        </w:rPr>
        <w:t>项目实施计划：</w:t>
      </w:r>
      <w:r>
        <w:rPr>
          <w:rFonts w:hint="eastAsia"/>
          <w:lang w:eastAsia="zh-CN"/>
        </w:rPr>
        <w:t>相应需实施“煤改电”工程的用户</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852.69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852.69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852.69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852.69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3匹70台，5匹91台，6匹34台，8匹23台，16匹37台，25匹31台，50匹28台，共计314台设备安装到位</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3匹70台，5匹91台，6匹34台，8匹23台，16匹37台，25匹31台，50匹28台，共计314台设备涉及12个乡镇183个村庄320个基层单位，6055万平方米折合655户（计提用户按100㎡/户折算），确保所有设备及时安装到位</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静乐县2021年“煤改电“设备项目</w:t>
      </w:r>
      <w:r>
        <w:rPr>
          <w:rFonts w:hint="eastAsia"/>
          <w:lang w:eastAsia="zh-CN"/>
        </w:rPr>
        <w:t>项目绩效自评价结果为:总得分</w:t>
      </w:r>
      <w:r>
        <w:rPr>
          <w:color w:val=""/>
          <w:u w:val="none"/>
        </w:rPr>
        <w:t>99.21</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涉及用户</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655户</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安装设备个数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314</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314个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设备合格率（%）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安装时效</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11月底</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设备可持续使用年限</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用户满意度（%）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14.21</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预算执行率：100%；安装设备个数：314；涉及用户：655；设备合格率（%）：95；安装时效：11；设备可持续使用年限：15</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预算执行率：100%；安装设备个数：314；涉及用户：655；设备合格率（%）：95；安装时效：11；设备可持续使用年限：15</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预算执行率：100%；安装设备个数：314；涉及用户：655；设备合格率（%）：95；安装时效：11；设备可持续使用年限：15</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预算执行率：100%；安装设备个数：314；涉及用户：655；设备合格率（%）：95；安装时效：11；设备可持续使用年限：15</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涉及用户</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655户</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安装设备个数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314</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314个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设备合格率（%）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安装时效</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11月底</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设备可持续使用年限</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用户满意度（%）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94.74%</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14.21</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