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晋财教【2020】184号下达2021年城乡义务教育补助经费省级资金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关于下达2021年城乡义务教育补助经费省级资金预算公用经费8.49万元。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《山西省财政厅、山西省教育厅关于提前下达2021年城乡义务教育补助经费中央及省级资金预算的通知》（晋财教【2020】184号）和学区的学生人数，现下达2021年城乡义务教育补助经费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保证项目正常开展，合理使用资金。学校制定了以下制度:《财务管理制度》、《营养改善管理制度》、《一补管理制度》等。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8.49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现下达2021年城乡义务教育补助经费省级资金公用经费8.49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确保日常开支正常进行，根据本校实际情况使用本资金。现下达2021年城乡义务教育补助经费省级资金：公用经费8.49万元的目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晋财教【2020】184号下达2021年城乡义务教育补助经费省级资金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享受公用经费服务人数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奖补资金到位及时性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8.49万元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8.49万元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公用经费使用效益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已完成设定的绩效目标的99.25%，达到预期的目标。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资金分配合理，使用规范透明，支出进度及时，建立健全完善了财务管理和会计预算制度，确保资金安全，绩效综合评价得分为99.25%，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享受公用经费服务人数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公用经费资金标准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650元/年/生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奖补资金到位及时性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8.49万元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8.49万元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公用经费使用效益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乡村教师学校基础差，学生少，经费少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