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调研经费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领导调研经费是调研工作的重要保障，为更好的履行委员的职责和义务，深入基层，深入现场，上级部门专门批准调研所需经费。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依据财政批准文件，政协工作相关法律法规。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按照宪法和章程的规定，政协委员履职，年度视察，培训及界别活动项目，调研经费用于保障委员调研活动及各项沟通工作的支出，不断提高委员的履职能力。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按照《政协的财务制度》《行政单位会计制度》严格执行，独立核算管理。严格遵守相关规定，做到“花钱必有效，无效必问责”。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组织政协委员深入到各单位，基层，乡镇调，参与政务，抓好服务，发挥协调四方的枢纽作用，履行委员政治协商，民主监督，参政议政职能，促进社会经济发展和社会事业全面发展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为了切实加强人民政协工作，发挥委员积极性和主动性，深入实际，深入基层参与调研，保障调研活动顺利进行。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充分调研政协委员履职的积极性，主动性，保障领导调研过程中发生的各项费用。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调研经费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形成调研报告数量（份）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考察工作完成率（%）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为推动社会发展，民生问题解决做出积极贡献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推动我县社会发展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领导调研经费是调研工作的重要保障，为更好的履行委员的职责和义务，深入基层，深入现场，上级部门专门批准调研所需经费。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形成调研报告数量15份；考察工作完成率100%；资金到位及时率100%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为推动社会发展，民生问题解决做出积极贡献：推动我县社会和谐发展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委员满意度：100%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按照宪法和章程的规定，政协委员履职，年度视察，培训及界别活动项目，调研经费用于保障委员调研活动及各项沟通工作的支出，不断提高委员的履职能力。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加强对政协委员深入到各单位，基层，乡镇调研，参与政务，抓好服务。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按照《政协的财务制度》《行政单位会计制度》严格执行，独立核算管理。严格遵守相关规定，做到“花钱必有效，无效必问责”。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形成调研报告数量（份）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15份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考察工作完成率（%）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为推动社会发展，民生问题解决做出积极贡献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推动我县社会发展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