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hint="eastAsia"/>
        </w:rPr>
      </w:pPr>
      <w:bookmarkStart w:id="0" w:name="_Toc32048"/>
      <w:bookmarkStart w:id="1" w:name="_Toc21118"/>
      <w:bookmarkStart w:id="2" w:name="_Toc31071"/>
      <w:r>
        <w:rPr>
          <w:rFonts w:hint="eastAsia"/>
        </w:rPr>
        <w:t>静乐县司法局2021年度部门决算</w:t>
      </w:r>
    </w:p>
    <w:p>
      <w:pPr>
        <w:pStyle w:val="2"/>
        <w:ind w:firstLine="0" w:firstLineChars="0"/>
        <w:jc w:val="center"/>
      </w:pPr>
      <w:r>
        <w:rPr>
          <w:rFonts w:hint="eastAsia"/>
        </w:rPr>
        <w:t>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ind w:firstLineChars="0"/>
        <w:rPr>
          <w:rFonts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pStyle w:val="3"/>
        <w:ind w:left="1360" w:firstLine="0" w:firstLineChars="0"/>
        <w:rPr>
          <w:rFonts w:ascii="仿宋" w:hAnsi="仿宋" w:eastAsia="仿宋" w:cs="仿宋"/>
          <w:b w:val="0"/>
          <w:bCs/>
        </w:rPr>
      </w:pPr>
      <w:r>
        <w:rPr>
          <w:rFonts w:hint="eastAsia" w:ascii="仿宋" w:hAnsi="仿宋" w:eastAsia="仿宋" w:cs="仿宋_GB2312"/>
          <w:szCs w:val="32"/>
        </w:rPr>
        <w:t>（1）承担全面依法治县重大问题的政策研究，协调有关方面提出全面依法治县中长期规划建议，负责有关重大决策部署督察工作。</w:t>
      </w:r>
    </w:p>
    <w:p>
      <w:pPr>
        <w:pStyle w:val="11"/>
        <w:spacing w:line="660" w:lineRule="exact"/>
        <w:ind w:left="1360" w:firstLine="0" w:firstLineChars="0"/>
        <w:rPr>
          <w:rFonts w:ascii="仿宋" w:hAnsi="仿宋" w:eastAsia="仿宋" w:cs="仿宋_GB2312"/>
          <w:color w:val="000000"/>
          <w:szCs w:val="32"/>
        </w:rPr>
      </w:pPr>
      <w:r>
        <w:rPr>
          <w:rFonts w:hint="eastAsia" w:ascii="仿宋" w:hAnsi="仿宋" w:eastAsia="仿宋" w:cs="仿宋_GB2312"/>
          <w:szCs w:val="32"/>
        </w:rPr>
        <w:t>（2）</w:t>
      </w:r>
      <w:r>
        <w:rPr>
          <w:rFonts w:hint="eastAsia" w:ascii="仿宋" w:hAnsi="仿宋" w:eastAsia="仿宋" w:cs="仿宋_GB2312"/>
          <w:color w:val="000000"/>
          <w:szCs w:val="32"/>
        </w:rPr>
        <w:t>负责组织开展县人民政府行政规范性文件清理。负责县人民政府行政规范性文件的备案审查工作。负责协调各部门在法律法规实施中的有关争议和问题。</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3）承担统筹推进法治政府建设的责任。指导、监督全县依法行政工作。负责综合协调行政执法，承担推进行政执法体制改革有关工作，推进严格规范公正文明执法。指导、监督全县行政复议和行政应诉工作，负责行政复议和行政应诉案件办理工作。承办行政赔偿及行政裁决案件的相关工作。</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4）承担统筹规划法治社会建设的责任。负责拟订法治宣传教育规划，组织实施普法宣传工作，组织对外法治宣传。推动人民参与和促进法治建设。指导依法治理和法治创建工作。指导调解工作和人民陪审员、人民监督员选任管理工作，推进司法所建设。</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（5）指导、管理社区矫正工作。指导刑满释放人员帮教安置工作。</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（6）负责拟订全县公共法律服务体系建设规划并指导实施，统筹和布局城乡、区域法律服务资源。指导、监督全县律师、法律援助、公证和基层法律服务管理工作。</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（7）指导、监督全县司法行政系统法学教育、法学理论研究和司法行政政策理论研究工作。</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（8）负责全县司法行政系统车辆管理工作,指导、监督全县司法行政系统财务、装备、设施、场所等保障工作。</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（9）负责机关和派出机构党的建设。规划、协调、指导法治人才队伍建设相关工作，指导、监督全县司法行政系统队伍建设。</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（10）完成县委、县人民政府交办的其他任务。</w:t>
      </w:r>
    </w:p>
    <w:p>
      <w:pPr>
        <w:pStyle w:val="11"/>
        <w:spacing w:line="640" w:lineRule="exact"/>
        <w:ind w:left="1360" w:firstLine="0" w:firstLineChars="0"/>
        <w:rPr>
          <w:rFonts w:ascii="仿宋" w:hAnsi="仿宋" w:eastAsia="仿宋" w:cs="仿宋_GB2312"/>
          <w:szCs w:val="32"/>
        </w:rPr>
      </w:pPr>
      <w:r>
        <w:rPr>
          <w:rFonts w:hint="eastAsia" w:ascii="仿宋" w:hAnsi="仿宋" w:eastAsia="仿宋" w:cs="仿宋_GB2312"/>
          <w:szCs w:val="32"/>
        </w:rPr>
        <w:t>（11）职能转变。以履行县委全面依法治县委员会办公室职责为统领,统筹行政立法、行政执法、刑事执行、公共法律服务为主要内容的职能体系，优化协同高效运转，深入研究谋划法治静乐建设顶层设计，认真开展宪法学习宣传教育活动，大力加强法治政府建设和法治社会建设，加快推进司法行政改革,打造过硬司法行政队伍,充分发挥全县司法行政系统在全面依法治县中的职能作用。</w:t>
      </w:r>
    </w:p>
    <w:p>
      <w:pPr>
        <w:pStyle w:val="3"/>
        <w:ind w:firstLine="0" w:firstLineChars="0"/>
        <w:rPr>
          <w:rFonts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ind w:firstLine="640"/>
        <w:rPr>
          <w:b/>
          <w:bCs/>
          <w:szCs w:val="32"/>
        </w:rPr>
      </w:pPr>
      <w:r>
        <w:rPr>
          <w:rFonts w:hint="eastAsia" w:ascii="仿宋_GB2312" w:hAnsi="宋体" w:cs="宋体"/>
          <w:color w:val="000000"/>
          <w:kern w:val="0"/>
          <w:szCs w:val="32"/>
        </w:rPr>
        <w:t xml:space="preserve">静乐县司法局属正科级建制，为县人民政府组成部门。内设政治处、办公室、公共法律服务管理股、社区矫正股、普法与依法治理股、法制股；派出机构为12乡（镇）司法所；下设事业单位2个分别为公证处、法律援助中心；。现有编制39人，其中：公务员编制31人，机关工勤编制1人，事业编制7人，现实有人数公务员 30人，机关工勤人员1 人，事业人员8 人。 </w:t>
      </w:r>
    </w:p>
    <w:p>
      <w:pPr>
        <w:pStyle w:val="2"/>
        <w:ind w:firstLine="0" w:firstLineChars="0"/>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szCs w:val="32"/>
        </w:rPr>
      </w:pPr>
      <w:r>
        <w:rPr>
          <w:rFonts w:hint="eastAsia" w:ascii="仿宋_GB2312"/>
          <w:szCs w:val="32"/>
        </w:rPr>
        <w:t>2021年度收入</w:t>
      </w:r>
      <w:r>
        <w:rPr>
          <w:rFonts w:ascii="仿宋_GB2312"/>
          <w:szCs w:val="32"/>
        </w:rPr>
        <w:t>总计</w:t>
      </w:r>
      <w:r>
        <w:rPr>
          <w:rFonts w:hint="eastAsia" w:ascii="仿宋_GB2312"/>
          <w:szCs w:val="32"/>
        </w:rPr>
        <w:t>604.1万元、支出总计604.1万元。与2020年相比，收入总计减少222万元，下降26.87%，</w:t>
      </w:r>
      <w:r>
        <w:rPr>
          <w:rFonts w:ascii="仿宋_GB2312"/>
          <w:szCs w:val="32"/>
        </w:rPr>
        <w:t>支出总计减少</w:t>
      </w:r>
      <w:r>
        <w:rPr>
          <w:rFonts w:hint="eastAsia" w:ascii="仿宋_GB2312"/>
          <w:szCs w:val="32"/>
        </w:rPr>
        <w:t>222万元</w:t>
      </w:r>
      <w:r>
        <w:rPr>
          <w:rFonts w:ascii="仿宋_GB2312"/>
          <w:szCs w:val="32"/>
        </w:rPr>
        <w:t>，下降</w:t>
      </w:r>
      <w:r>
        <w:rPr>
          <w:rFonts w:hint="eastAsia" w:ascii="仿宋_GB2312"/>
          <w:szCs w:val="32"/>
        </w:rPr>
        <w:t>26.87</w:t>
      </w:r>
      <w:r>
        <w:rPr>
          <w:rFonts w:ascii="仿宋_GB2312"/>
          <w:szCs w:val="32"/>
        </w:rPr>
        <w:t>%</w:t>
      </w:r>
      <w:r>
        <w:rPr>
          <w:rFonts w:hint="eastAsia" w:ascii="仿宋_GB2312"/>
          <w:szCs w:val="32"/>
        </w:rPr>
        <w:t>。主要原因是机构改革人员转隶经费减少。</w:t>
      </w:r>
    </w:p>
    <w:p>
      <w:pPr>
        <w:pStyle w:val="3"/>
        <w:ind w:firstLine="643"/>
        <w:rPr>
          <w:rFonts w:ascii="仿宋" w:hAnsi="仿宋" w:eastAsia="仿宋" w:cs="仿宋"/>
        </w:rPr>
      </w:pPr>
      <w:bookmarkStart w:id="13" w:name="_Toc16754"/>
      <w:bookmarkStart w:id="14" w:name="_Toc17404"/>
      <w:r>
        <w:rPr>
          <w:rFonts w:hint="eastAsia" w:ascii="仿宋" w:hAnsi="仿宋" w:eastAsia="仿宋" w:cs="仿宋"/>
        </w:rPr>
        <w:t>二、收入决算情况说明</w:t>
      </w:r>
      <w:bookmarkEnd w:id="13"/>
      <w:bookmarkEnd w:id="14"/>
    </w:p>
    <w:p>
      <w:pPr>
        <w:spacing w:line="580" w:lineRule="exact"/>
        <w:ind w:firstLine="640"/>
        <w:rPr>
          <w:rFonts w:ascii="仿宋_GB2312"/>
          <w:szCs w:val="32"/>
        </w:rPr>
      </w:pPr>
      <w:r>
        <w:rPr>
          <w:rFonts w:hint="eastAsia" w:ascii="仿宋_GB2312"/>
          <w:szCs w:val="32"/>
        </w:rPr>
        <w:t>本年收入合计604.1万元，其中：财政拨款收入604.1万元，占比100%。</w:t>
      </w:r>
      <w:r>
        <w:rPr>
          <w:rFonts w:ascii="仿宋_GB2312"/>
          <w:szCs w:val="32"/>
        </w:rPr>
        <w:t xml:space="preserve"> </w:t>
      </w:r>
    </w:p>
    <w:p>
      <w:pPr>
        <w:pStyle w:val="3"/>
        <w:ind w:firstLine="643"/>
        <w:rPr>
          <w:rFonts w:ascii="仿宋" w:hAnsi="仿宋" w:eastAsia="仿宋" w:cs="仿宋"/>
        </w:rPr>
      </w:pPr>
      <w:bookmarkStart w:id="15" w:name="_Toc22098"/>
      <w:bookmarkStart w:id="16" w:name="_Toc9596"/>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szCs w:val="32"/>
        </w:rPr>
        <w:t>本年支出合计604.1万元，其中：基本支出542.07万元，占比89.73%；项目支出62.03万元，占比10.27%。</w:t>
      </w:r>
    </w:p>
    <w:p>
      <w:pPr>
        <w:pStyle w:val="3"/>
        <w:ind w:firstLine="643"/>
        <w:rPr>
          <w:rFonts w:ascii="仿宋" w:hAnsi="仿宋" w:eastAsia="仿宋" w:cs="仿宋"/>
        </w:rPr>
      </w:pPr>
      <w:bookmarkStart w:id="17" w:name="_Toc2142"/>
      <w:bookmarkStart w:id="18" w:name="_Toc4614"/>
      <w:r>
        <w:rPr>
          <w:rFonts w:hint="eastAsia" w:ascii="仿宋" w:hAnsi="仿宋" w:eastAsia="仿宋" w:cs="仿宋"/>
        </w:rPr>
        <w:t>四、财政拨款收入支出决算总体情况说明</w:t>
      </w:r>
      <w:bookmarkEnd w:id="17"/>
      <w:bookmarkEnd w:id="18"/>
    </w:p>
    <w:p>
      <w:pPr>
        <w:spacing w:line="580" w:lineRule="exact"/>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rPr>
        <w:t>604.1万元、支出总计604.1万元。与2020年相比，财政拨款收入总计减少222万元，下降26.87%，财政拨款支出总计减少222万元，下降26.87%。主要原因是主要原因是机构改革人员转隶经费减少。</w:t>
      </w:r>
    </w:p>
    <w:p>
      <w:pPr>
        <w:pStyle w:val="3"/>
        <w:ind w:firstLine="643"/>
        <w:rPr>
          <w:rFonts w:ascii="仿宋" w:hAnsi="仿宋" w:eastAsia="仿宋" w:cs="仿宋"/>
        </w:rPr>
      </w:pPr>
      <w:bookmarkStart w:id="19" w:name="_Toc9341"/>
      <w:bookmarkStart w:id="20" w:name="_Toc650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szCs w:val="32"/>
        </w:rPr>
      </w:pPr>
      <w:r>
        <w:rPr>
          <w:rFonts w:hint="eastAsia" w:ascii="仿宋_GB2312"/>
          <w:szCs w:val="32"/>
        </w:rPr>
        <w:t>2021年度财政拨款支出604.1万元，占本年支出合计的100%。与2020年相比，财政拨款支出减少222万元，下降26.87%。主要原因是机构改革人员转隶。无政府性基金预算支出。</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w:t>
      </w:r>
      <w:r>
        <w:rPr>
          <w:rFonts w:hint="eastAsia" w:ascii="仿宋_GB2312"/>
          <w:szCs w:val="32"/>
        </w:rPr>
        <w:t>604.1万元</w:t>
      </w:r>
      <w:r>
        <w:rPr>
          <w:rFonts w:ascii="仿宋_GB2312"/>
          <w:szCs w:val="32"/>
        </w:rPr>
        <w:t>，主要用于以下方面：</w:t>
      </w:r>
      <w:r>
        <w:rPr>
          <w:rFonts w:ascii="仿宋_GB2312"/>
          <w:b/>
          <w:szCs w:val="32"/>
        </w:rPr>
        <w:t>公共安全（</w:t>
      </w:r>
      <w:r>
        <w:rPr>
          <w:rFonts w:hint="eastAsia" w:ascii="仿宋_GB2312"/>
          <w:b/>
          <w:szCs w:val="32"/>
        </w:rPr>
        <w:t>类</w:t>
      </w:r>
      <w:r>
        <w:rPr>
          <w:rFonts w:ascii="仿宋_GB2312"/>
          <w:b/>
          <w:szCs w:val="32"/>
        </w:rPr>
        <w:t>）</w:t>
      </w:r>
      <w:r>
        <w:rPr>
          <w:rFonts w:hint="eastAsia" w:ascii="仿宋_GB2312"/>
          <w:szCs w:val="32"/>
        </w:rPr>
        <w:t>支出604.1万元</w:t>
      </w:r>
      <w:r>
        <w:rPr>
          <w:rFonts w:ascii="仿宋_GB2312"/>
          <w:szCs w:val="32"/>
        </w:rPr>
        <w:t>，占</w:t>
      </w:r>
      <w:r>
        <w:rPr>
          <w:rFonts w:hint="eastAsia" w:ascii="仿宋_GB2312"/>
          <w:szCs w:val="32"/>
        </w:rPr>
        <w:t>100</w:t>
      </w:r>
      <w:r>
        <w:rPr>
          <w:rFonts w:ascii="仿宋_GB2312"/>
          <w:szCs w:val="32"/>
        </w:rPr>
        <w:t>%</w:t>
      </w:r>
      <w:r>
        <w:rPr>
          <w:rFonts w:hint="eastAsia" w:ascii="仿宋_GB2312"/>
          <w:szCs w:val="32"/>
        </w:rPr>
        <w:t>。</w:t>
      </w:r>
      <w:r>
        <w:rPr>
          <w:rFonts w:ascii="仿宋_GB2312"/>
          <w:szCs w:val="32"/>
        </w:rPr>
        <w:t xml:space="preserve"> </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r>
        <w:rPr>
          <w:rFonts w:hint="eastAsia"/>
          <w:szCs w:val="32"/>
        </w:rPr>
        <w:t>2</w:t>
      </w:r>
      <w:r>
        <w:rPr>
          <w:szCs w:val="32"/>
        </w:rPr>
        <w:t>02</w:t>
      </w:r>
      <w:r>
        <w:rPr>
          <w:rFonts w:hint="eastAsia"/>
          <w:szCs w:val="32"/>
        </w:rPr>
        <w:t>1年度财政拨款支出年初预算604.1万元，支出决算</w:t>
      </w:r>
      <w:r>
        <w:rPr>
          <w:rFonts w:hint="eastAsia"/>
          <w:szCs w:val="32"/>
          <w:lang w:val="en-US" w:eastAsia="zh-CN"/>
        </w:rPr>
        <w:t>6</w:t>
      </w:r>
      <w:bookmarkStart w:id="33" w:name="_GoBack"/>
      <w:bookmarkEnd w:id="33"/>
      <w:r>
        <w:rPr>
          <w:rFonts w:hint="eastAsia"/>
          <w:szCs w:val="32"/>
        </w:rPr>
        <w:t>04.1万元，完成年初预算的100</w:t>
      </w:r>
      <w:r>
        <w:rPr>
          <w:szCs w:val="32"/>
        </w:rPr>
        <w:t>%</w:t>
      </w:r>
      <w:r>
        <w:rPr>
          <w:rFonts w:hint="eastAsia"/>
          <w:szCs w:val="32"/>
        </w:rPr>
        <w:t>。</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kern w:val="0"/>
          <w:sz w:val="30"/>
          <w:szCs w:val="30"/>
        </w:rPr>
      </w:pPr>
      <w:r>
        <w:rPr>
          <w:rFonts w:hint="eastAsia" w:ascii="仿宋_GB2312"/>
          <w:szCs w:val="32"/>
        </w:rPr>
        <w:t xml:space="preserve"> </w:t>
      </w:r>
      <w:r>
        <w:rPr>
          <w:rFonts w:ascii="宋体" w:hAnsi="宋体" w:cs="Arial"/>
          <w:b/>
          <w:kern w:val="0"/>
          <w:sz w:val="30"/>
          <w:szCs w:val="30"/>
        </w:rPr>
        <w:t>2</w:t>
      </w:r>
      <w:r>
        <w:rPr>
          <w:rFonts w:hint="eastAsia" w:ascii="宋体" w:hAnsi="宋体" w:cs="Arial"/>
          <w:b/>
          <w:kern w:val="0"/>
          <w:sz w:val="30"/>
          <w:szCs w:val="30"/>
        </w:rPr>
        <w:t>021年度支出功能科目分类对比表    单位：万元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618"/>
        <w:gridCol w:w="1701"/>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kern w:val="0"/>
                <w:sz w:val="24"/>
                <w:szCs w:val="24"/>
              </w:rPr>
            </w:pPr>
            <w:r>
              <w:rPr>
                <w:rFonts w:hint="eastAsia" w:ascii="宋体" w:hAnsi="宋体" w:cs="Arial"/>
                <w:b/>
                <w:kern w:val="0"/>
                <w:sz w:val="24"/>
                <w:szCs w:val="24"/>
              </w:rPr>
              <w:t>科目代码</w:t>
            </w:r>
          </w:p>
        </w:tc>
        <w:tc>
          <w:tcPr>
            <w:tcW w:w="2479" w:type="dxa"/>
          </w:tcPr>
          <w:p>
            <w:pPr>
              <w:widowControl/>
              <w:ind w:firstLine="482"/>
              <w:rPr>
                <w:rFonts w:ascii="宋体" w:hAnsi="宋体" w:cs="Arial"/>
                <w:b/>
                <w:kern w:val="0"/>
                <w:sz w:val="24"/>
                <w:szCs w:val="24"/>
              </w:rPr>
            </w:pPr>
            <w:r>
              <w:rPr>
                <w:rFonts w:hint="eastAsia" w:ascii="宋体" w:hAnsi="宋体" w:cs="Arial"/>
                <w:b/>
                <w:kern w:val="0"/>
                <w:sz w:val="24"/>
                <w:szCs w:val="24"/>
              </w:rPr>
              <w:t>科目名称</w:t>
            </w:r>
          </w:p>
        </w:tc>
        <w:tc>
          <w:tcPr>
            <w:tcW w:w="1618" w:type="dxa"/>
          </w:tcPr>
          <w:p>
            <w:pPr>
              <w:widowControl/>
              <w:ind w:firstLine="482"/>
              <w:jc w:val="left"/>
              <w:rPr>
                <w:rFonts w:ascii="宋体" w:hAnsi="宋体" w:eastAsia="宋体" w:cs="Arial"/>
                <w:b/>
                <w:kern w:val="0"/>
                <w:sz w:val="24"/>
                <w:szCs w:val="24"/>
              </w:rPr>
            </w:pPr>
            <w:r>
              <w:rPr>
                <w:rFonts w:hint="eastAsia" w:ascii="宋体" w:hAnsi="宋体" w:cs="Arial"/>
                <w:b/>
                <w:kern w:val="0"/>
                <w:sz w:val="24"/>
                <w:szCs w:val="24"/>
              </w:rPr>
              <w:t>2020年</w:t>
            </w:r>
          </w:p>
        </w:tc>
        <w:tc>
          <w:tcPr>
            <w:tcW w:w="1701" w:type="dxa"/>
          </w:tcPr>
          <w:p>
            <w:pPr>
              <w:widowControl/>
              <w:ind w:firstLine="482"/>
              <w:jc w:val="left"/>
              <w:rPr>
                <w:rFonts w:ascii="宋体" w:hAnsi="宋体" w:eastAsia="宋体" w:cs="Arial"/>
                <w:b/>
                <w:kern w:val="0"/>
                <w:sz w:val="24"/>
                <w:szCs w:val="24"/>
              </w:rPr>
            </w:pPr>
            <w:r>
              <w:rPr>
                <w:rFonts w:hint="eastAsia" w:ascii="宋体" w:hAnsi="宋体" w:eastAsia="宋体" w:cs="Arial"/>
                <w:b/>
                <w:kern w:val="0"/>
                <w:sz w:val="24"/>
                <w:szCs w:val="24"/>
              </w:rPr>
              <w:t>2021年</w:t>
            </w:r>
          </w:p>
        </w:tc>
        <w:tc>
          <w:tcPr>
            <w:tcW w:w="1634" w:type="dxa"/>
          </w:tcPr>
          <w:p>
            <w:pPr>
              <w:widowControl/>
              <w:ind w:firstLine="0" w:firstLineChars="0"/>
              <w:jc w:val="left"/>
              <w:rPr>
                <w:rFonts w:ascii="宋体" w:hAnsi="宋体" w:eastAsia="宋体" w:cs="Arial"/>
                <w:b/>
                <w:kern w:val="0"/>
                <w:sz w:val="24"/>
                <w:szCs w:val="24"/>
              </w:rPr>
            </w:pPr>
            <w:r>
              <w:rPr>
                <w:rFonts w:hint="eastAsia" w:ascii="宋体" w:hAnsi="宋体" w:cs="Arial"/>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204</w:t>
            </w:r>
          </w:p>
        </w:tc>
        <w:tc>
          <w:tcPr>
            <w:tcW w:w="2479"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公共安全支出</w:t>
            </w:r>
          </w:p>
        </w:tc>
        <w:tc>
          <w:tcPr>
            <w:tcW w:w="1618"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826.10</w:t>
            </w:r>
          </w:p>
        </w:tc>
        <w:tc>
          <w:tcPr>
            <w:tcW w:w="1701"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604.10</w:t>
            </w:r>
          </w:p>
        </w:tc>
        <w:tc>
          <w:tcPr>
            <w:tcW w:w="1634" w:type="dxa"/>
          </w:tcPr>
          <w:p>
            <w:pPr>
              <w:ind w:firstLine="480"/>
              <w:jc w:val="left"/>
              <w:rPr>
                <w:rFonts w:ascii="仿宋" w:hAnsi="仿宋" w:eastAsia="仿宋" w:cs="仿宋"/>
                <w:sz w:val="24"/>
                <w:szCs w:val="24"/>
              </w:rPr>
            </w:pPr>
            <w:r>
              <w:rPr>
                <w:rFonts w:hint="eastAsia" w:ascii="仿宋" w:hAnsi="仿宋" w:eastAsia="仿宋" w:cs="仿宋"/>
                <w:sz w:val="24"/>
                <w:szCs w:val="24"/>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20406</w:t>
            </w:r>
          </w:p>
        </w:tc>
        <w:tc>
          <w:tcPr>
            <w:tcW w:w="2479" w:type="dxa"/>
          </w:tcPr>
          <w:p>
            <w:pPr>
              <w:ind w:firstLine="480"/>
              <w:jc w:val="center"/>
              <w:rPr>
                <w:rFonts w:ascii="仿宋" w:hAnsi="仿宋" w:eastAsia="仿宋" w:cs="仿宋"/>
                <w:sz w:val="24"/>
                <w:szCs w:val="24"/>
              </w:rPr>
            </w:pPr>
            <w:r>
              <w:rPr>
                <w:rFonts w:hint="eastAsia" w:ascii="仿宋" w:hAnsi="仿宋" w:eastAsia="仿宋" w:cs="仿宋"/>
                <w:sz w:val="24"/>
                <w:szCs w:val="24"/>
              </w:rPr>
              <w:t>司法</w:t>
            </w:r>
          </w:p>
        </w:tc>
        <w:tc>
          <w:tcPr>
            <w:tcW w:w="1618"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826.10</w:t>
            </w:r>
          </w:p>
        </w:tc>
        <w:tc>
          <w:tcPr>
            <w:tcW w:w="1701"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604.10</w:t>
            </w:r>
          </w:p>
        </w:tc>
        <w:tc>
          <w:tcPr>
            <w:tcW w:w="1634" w:type="dxa"/>
          </w:tcPr>
          <w:p>
            <w:pPr>
              <w:ind w:firstLine="480"/>
              <w:jc w:val="left"/>
              <w:rPr>
                <w:rFonts w:ascii="仿宋" w:hAnsi="仿宋" w:eastAsia="仿宋" w:cs="仿宋"/>
                <w:sz w:val="24"/>
                <w:szCs w:val="24"/>
              </w:rPr>
            </w:pPr>
            <w:r>
              <w:rPr>
                <w:rFonts w:hint="eastAsia" w:ascii="仿宋" w:hAnsi="仿宋" w:eastAsia="仿宋" w:cs="仿宋"/>
                <w:sz w:val="24"/>
                <w:szCs w:val="24"/>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2040601</w:t>
            </w:r>
          </w:p>
        </w:tc>
        <w:tc>
          <w:tcPr>
            <w:tcW w:w="2479" w:type="dxa"/>
          </w:tcPr>
          <w:p>
            <w:pPr>
              <w:ind w:firstLine="480"/>
              <w:jc w:val="center"/>
              <w:rPr>
                <w:rFonts w:ascii="仿宋" w:hAnsi="仿宋" w:eastAsia="仿宋" w:cs="仿宋"/>
                <w:sz w:val="24"/>
                <w:szCs w:val="24"/>
              </w:rPr>
            </w:pPr>
            <w:r>
              <w:rPr>
                <w:rFonts w:hint="eastAsia" w:ascii="仿宋" w:hAnsi="仿宋" w:eastAsia="仿宋" w:cs="仿宋"/>
                <w:sz w:val="24"/>
                <w:szCs w:val="24"/>
              </w:rPr>
              <w:t>行政运行</w:t>
            </w:r>
          </w:p>
        </w:tc>
        <w:tc>
          <w:tcPr>
            <w:tcW w:w="1618"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600.40</w:t>
            </w:r>
          </w:p>
        </w:tc>
        <w:tc>
          <w:tcPr>
            <w:tcW w:w="1701"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542.07</w:t>
            </w:r>
          </w:p>
        </w:tc>
        <w:tc>
          <w:tcPr>
            <w:tcW w:w="1634" w:type="dxa"/>
          </w:tcPr>
          <w:p>
            <w:pPr>
              <w:ind w:firstLine="480"/>
              <w:jc w:val="left"/>
              <w:rPr>
                <w:rFonts w:ascii="仿宋" w:hAnsi="仿宋" w:eastAsia="仿宋" w:cs="仿宋"/>
                <w:sz w:val="24"/>
                <w:szCs w:val="24"/>
              </w:rPr>
            </w:pPr>
            <w:r>
              <w:rPr>
                <w:rFonts w:hint="eastAsia" w:ascii="仿宋" w:hAnsi="仿宋" w:eastAsia="仿宋" w:cs="仿宋"/>
                <w:sz w:val="24"/>
                <w:szCs w:val="24"/>
              </w:rPr>
              <w:t>-58.33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2040602</w:t>
            </w:r>
          </w:p>
        </w:tc>
        <w:tc>
          <w:tcPr>
            <w:tcW w:w="2479"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一般行政管理事务</w:t>
            </w:r>
          </w:p>
        </w:tc>
        <w:tc>
          <w:tcPr>
            <w:tcW w:w="1618" w:type="dxa"/>
          </w:tcPr>
          <w:p>
            <w:pPr>
              <w:ind w:firstLine="480"/>
              <w:jc w:val="center"/>
              <w:rPr>
                <w:rFonts w:ascii="仿宋" w:hAnsi="仿宋" w:eastAsia="仿宋" w:cs="仿宋"/>
                <w:sz w:val="24"/>
                <w:szCs w:val="24"/>
              </w:rPr>
            </w:pPr>
            <w:r>
              <w:rPr>
                <w:rFonts w:hint="eastAsia" w:ascii="仿宋" w:hAnsi="仿宋" w:eastAsia="仿宋" w:cs="仿宋"/>
                <w:sz w:val="24"/>
                <w:szCs w:val="24"/>
              </w:rPr>
              <w:t>200</w:t>
            </w:r>
          </w:p>
        </w:tc>
        <w:tc>
          <w:tcPr>
            <w:tcW w:w="1701" w:type="dxa"/>
          </w:tcPr>
          <w:p>
            <w:pPr>
              <w:ind w:firstLine="720" w:firstLineChars="300"/>
              <w:jc w:val="left"/>
              <w:rPr>
                <w:rFonts w:ascii="仿宋" w:hAnsi="仿宋" w:eastAsia="仿宋" w:cs="仿宋"/>
                <w:sz w:val="24"/>
                <w:szCs w:val="24"/>
              </w:rPr>
            </w:pPr>
            <w:r>
              <w:rPr>
                <w:rFonts w:hint="eastAsia" w:ascii="仿宋" w:hAnsi="仿宋" w:eastAsia="仿宋" w:cs="仿宋"/>
                <w:sz w:val="24"/>
                <w:szCs w:val="24"/>
              </w:rPr>
              <w:t>28.97</w:t>
            </w:r>
          </w:p>
        </w:tc>
        <w:tc>
          <w:tcPr>
            <w:tcW w:w="1634" w:type="dxa"/>
          </w:tcPr>
          <w:p>
            <w:pPr>
              <w:ind w:firstLine="480"/>
              <w:jc w:val="left"/>
              <w:rPr>
                <w:rFonts w:ascii="仿宋" w:hAnsi="仿宋" w:eastAsia="仿宋" w:cs="仿宋"/>
                <w:sz w:val="24"/>
                <w:szCs w:val="24"/>
              </w:rPr>
            </w:pPr>
            <w:r>
              <w:rPr>
                <w:rFonts w:hint="eastAsia" w:ascii="仿宋" w:hAnsi="仿宋" w:eastAsia="仿宋" w:cs="仿宋"/>
                <w:sz w:val="24"/>
                <w:szCs w:val="24"/>
              </w:rPr>
              <w:t>-171.03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2040604</w:t>
            </w:r>
          </w:p>
        </w:tc>
        <w:tc>
          <w:tcPr>
            <w:tcW w:w="2479" w:type="dxa"/>
          </w:tcPr>
          <w:p>
            <w:pPr>
              <w:ind w:firstLine="480"/>
              <w:jc w:val="center"/>
              <w:rPr>
                <w:rFonts w:ascii="仿宋" w:hAnsi="仿宋" w:eastAsia="仿宋" w:cs="仿宋"/>
                <w:sz w:val="24"/>
                <w:szCs w:val="24"/>
              </w:rPr>
            </w:pPr>
            <w:r>
              <w:rPr>
                <w:rFonts w:hint="eastAsia" w:ascii="仿宋" w:hAnsi="仿宋" w:eastAsia="仿宋" w:cs="仿宋"/>
                <w:sz w:val="24"/>
                <w:szCs w:val="24"/>
              </w:rPr>
              <w:t>基层司法业务</w:t>
            </w:r>
          </w:p>
        </w:tc>
        <w:tc>
          <w:tcPr>
            <w:tcW w:w="1618" w:type="dxa"/>
            <w:vAlign w:val="center"/>
          </w:tcPr>
          <w:p>
            <w:pPr>
              <w:widowControl/>
              <w:ind w:firstLine="440"/>
              <w:jc w:val="center"/>
              <w:textAlignment w:val="center"/>
              <w:rPr>
                <w:rFonts w:ascii="仿宋" w:hAnsi="仿宋" w:eastAsia="仿宋" w:cs="仿宋"/>
                <w:kern w:val="0"/>
                <w:sz w:val="22"/>
                <w:lang w:bidi="ar"/>
              </w:rPr>
            </w:pPr>
          </w:p>
        </w:tc>
        <w:tc>
          <w:tcPr>
            <w:tcW w:w="1701"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26.5</w:t>
            </w:r>
          </w:p>
        </w:tc>
        <w:tc>
          <w:tcPr>
            <w:tcW w:w="1634" w:type="dxa"/>
          </w:tcPr>
          <w:p>
            <w:pPr>
              <w:ind w:firstLine="480"/>
              <w:jc w:val="left"/>
              <w:rPr>
                <w:rFonts w:ascii="仿宋" w:hAnsi="仿宋" w:eastAsia="仿宋" w:cs="仿宋"/>
                <w:sz w:val="24"/>
                <w:szCs w:val="24"/>
              </w:rPr>
            </w:pPr>
            <w:r>
              <w:rPr>
                <w:rFonts w:hint="eastAsia" w:ascii="仿宋" w:hAnsi="仿宋" w:eastAsia="仿宋" w:cs="仿宋"/>
                <w:sz w:val="24"/>
                <w:szCs w:val="24"/>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2040605</w:t>
            </w:r>
          </w:p>
        </w:tc>
        <w:tc>
          <w:tcPr>
            <w:tcW w:w="2479" w:type="dxa"/>
          </w:tcPr>
          <w:p>
            <w:pPr>
              <w:ind w:firstLine="480"/>
              <w:jc w:val="center"/>
              <w:rPr>
                <w:rFonts w:ascii="仿宋" w:hAnsi="仿宋" w:eastAsia="仿宋" w:cs="仿宋"/>
                <w:sz w:val="24"/>
                <w:szCs w:val="24"/>
              </w:rPr>
            </w:pPr>
            <w:r>
              <w:rPr>
                <w:rFonts w:hint="eastAsia" w:ascii="仿宋" w:hAnsi="仿宋" w:eastAsia="仿宋" w:cs="仿宋"/>
                <w:sz w:val="24"/>
                <w:szCs w:val="24"/>
              </w:rPr>
              <w:t>普法宣传</w:t>
            </w:r>
          </w:p>
        </w:tc>
        <w:tc>
          <w:tcPr>
            <w:tcW w:w="1618" w:type="dxa"/>
            <w:vAlign w:val="center"/>
          </w:tcPr>
          <w:p>
            <w:pPr>
              <w:widowControl/>
              <w:ind w:firstLine="440"/>
              <w:jc w:val="center"/>
              <w:textAlignment w:val="center"/>
              <w:rPr>
                <w:rFonts w:ascii="仿宋" w:hAnsi="仿宋" w:eastAsia="仿宋" w:cs="仿宋"/>
                <w:kern w:val="0"/>
                <w:sz w:val="22"/>
                <w:lang w:bidi="ar"/>
              </w:rPr>
            </w:pPr>
            <w:r>
              <w:rPr>
                <w:rFonts w:hint="eastAsia" w:ascii="仿宋" w:hAnsi="仿宋" w:eastAsia="仿宋" w:cs="仿宋"/>
                <w:kern w:val="0"/>
                <w:sz w:val="22"/>
                <w:lang w:bidi="ar"/>
              </w:rPr>
              <w:t>16</w:t>
            </w:r>
          </w:p>
        </w:tc>
        <w:tc>
          <w:tcPr>
            <w:tcW w:w="1701" w:type="dxa"/>
            <w:vAlign w:val="center"/>
          </w:tcPr>
          <w:p>
            <w:pPr>
              <w:widowControl/>
              <w:ind w:firstLine="480"/>
              <w:jc w:val="right"/>
              <w:textAlignment w:val="center"/>
              <w:rPr>
                <w:rFonts w:ascii="仿宋" w:hAnsi="仿宋" w:eastAsia="仿宋" w:cs="仿宋"/>
                <w:sz w:val="24"/>
                <w:szCs w:val="24"/>
              </w:rPr>
            </w:pPr>
          </w:p>
        </w:tc>
        <w:tc>
          <w:tcPr>
            <w:tcW w:w="1634" w:type="dxa"/>
          </w:tcPr>
          <w:p>
            <w:pPr>
              <w:ind w:firstLine="480"/>
              <w:jc w:val="left"/>
              <w:rPr>
                <w:rFonts w:ascii="仿宋" w:hAnsi="仿宋" w:eastAsia="仿宋" w:cs="仿宋"/>
                <w:sz w:val="24"/>
                <w:szCs w:val="24"/>
              </w:rPr>
            </w:pPr>
            <w:r>
              <w:rPr>
                <w:rFonts w:hint="eastAsia" w:ascii="仿宋" w:hAnsi="仿宋" w:eastAsia="仿宋" w:cs="仿宋"/>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2040606</w:t>
            </w:r>
          </w:p>
        </w:tc>
        <w:tc>
          <w:tcPr>
            <w:tcW w:w="2479" w:type="dxa"/>
          </w:tcPr>
          <w:p>
            <w:pPr>
              <w:ind w:firstLine="480"/>
              <w:jc w:val="center"/>
              <w:rPr>
                <w:rFonts w:ascii="仿宋" w:hAnsi="仿宋" w:eastAsia="仿宋" w:cs="仿宋"/>
                <w:sz w:val="24"/>
                <w:szCs w:val="24"/>
              </w:rPr>
            </w:pPr>
            <w:r>
              <w:rPr>
                <w:rFonts w:hint="eastAsia" w:ascii="仿宋" w:hAnsi="仿宋" w:eastAsia="仿宋" w:cs="仿宋"/>
                <w:sz w:val="24"/>
                <w:szCs w:val="24"/>
              </w:rPr>
              <w:t>律师公证管理</w:t>
            </w:r>
          </w:p>
        </w:tc>
        <w:tc>
          <w:tcPr>
            <w:tcW w:w="1618" w:type="dxa"/>
            <w:vAlign w:val="center"/>
          </w:tcPr>
          <w:p>
            <w:pPr>
              <w:widowControl/>
              <w:ind w:firstLine="440"/>
              <w:jc w:val="center"/>
              <w:textAlignment w:val="center"/>
              <w:rPr>
                <w:rFonts w:ascii="仿宋" w:hAnsi="仿宋" w:eastAsia="仿宋" w:cs="仿宋"/>
                <w:kern w:val="0"/>
                <w:sz w:val="22"/>
                <w:lang w:bidi="ar"/>
              </w:rPr>
            </w:pPr>
            <w:r>
              <w:rPr>
                <w:rFonts w:hint="eastAsia" w:ascii="仿宋" w:hAnsi="仿宋" w:eastAsia="仿宋" w:cs="仿宋"/>
                <w:kern w:val="0"/>
                <w:sz w:val="22"/>
                <w:lang w:bidi="ar"/>
              </w:rPr>
              <w:t>2.7</w:t>
            </w:r>
          </w:p>
        </w:tc>
        <w:tc>
          <w:tcPr>
            <w:tcW w:w="1701" w:type="dxa"/>
            <w:vAlign w:val="center"/>
          </w:tcPr>
          <w:p>
            <w:pPr>
              <w:widowControl/>
              <w:ind w:firstLine="480"/>
              <w:jc w:val="right"/>
              <w:textAlignment w:val="center"/>
              <w:rPr>
                <w:rFonts w:ascii="仿宋" w:hAnsi="仿宋" w:eastAsia="仿宋" w:cs="仿宋"/>
                <w:sz w:val="24"/>
                <w:szCs w:val="24"/>
              </w:rPr>
            </w:pPr>
          </w:p>
        </w:tc>
        <w:tc>
          <w:tcPr>
            <w:tcW w:w="1634" w:type="dxa"/>
          </w:tcPr>
          <w:p>
            <w:pPr>
              <w:ind w:firstLine="480"/>
              <w:jc w:val="left"/>
              <w:rPr>
                <w:rFonts w:ascii="仿宋" w:hAnsi="仿宋" w:eastAsia="仿宋" w:cs="仿宋"/>
                <w:sz w:val="24"/>
                <w:szCs w:val="24"/>
              </w:rPr>
            </w:pPr>
            <w:r>
              <w:rPr>
                <w:rFonts w:hint="eastAsia" w:ascii="仿宋" w:hAnsi="仿宋" w:eastAsia="仿宋" w:cs="仿宋"/>
                <w:sz w:val="24"/>
                <w:szCs w:val="24"/>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2040607</w:t>
            </w:r>
          </w:p>
        </w:tc>
        <w:tc>
          <w:tcPr>
            <w:tcW w:w="2479"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公共法律服务</w:t>
            </w:r>
          </w:p>
        </w:tc>
        <w:tc>
          <w:tcPr>
            <w:tcW w:w="1618" w:type="dxa"/>
            <w:vAlign w:val="center"/>
          </w:tcPr>
          <w:p>
            <w:pPr>
              <w:widowControl/>
              <w:ind w:firstLine="440"/>
              <w:jc w:val="center"/>
              <w:textAlignment w:val="center"/>
              <w:rPr>
                <w:rFonts w:ascii="仿宋" w:hAnsi="仿宋" w:eastAsia="仿宋" w:cs="仿宋"/>
                <w:kern w:val="0"/>
                <w:sz w:val="22"/>
                <w:lang w:bidi="ar"/>
              </w:rPr>
            </w:pPr>
            <w:r>
              <w:rPr>
                <w:rFonts w:hint="eastAsia" w:ascii="仿宋" w:hAnsi="仿宋" w:eastAsia="仿宋" w:cs="仿宋"/>
                <w:kern w:val="0"/>
                <w:sz w:val="22"/>
                <w:lang w:bidi="ar"/>
              </w:rPr>
              <w:t>7</w:t>
            </w:r>
          </w:p>
        </w:tc>
        <w:tc>
          <w:tcPr>
            <w:tcW w:w="1701"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6.56</w:t>
            </w:r>
          </w:p>
        </w:tc>
        <w:tc>
          <w:tcPr>
            <w:tcW w:w="1634" w:type="dxa"/>
          </w:tcPr>
          <w:p>
            <w:pPr>
              <w:ind w:firstLine="480"/>
              <w:jc w:val="left"/>
              <w:rPr>
                <w:rFonts w:ascii="仿宋" w:hAnsi="仿宋" w:eastAsia="仿宋" w:cs="仿宋"/>
                <w:sz w:val="24"/>
                <w:szCs w:val="24"/>
              </w:rPr>
            </w:pPr>
            <w:r>
              <w:rPr>
                <w:rFonts w:hint="eastAsia" w:ascii="仿宋" w:hAnsi="仿宋" w:eastAsia="仿宋" w:cs="仿宋"/>
                <w:sz w:val="24"/>
                <w:szCs w:val="24"/>
              </w:rPr>
              <w:t>-0.44</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kern w:val="0"/>
          <w:sz w:val="30"/>
          <w:szCs w:val="30"/>
        </w:rPr>
        <w:t>2020年度支出经济科目分类决算对比表      单位：万元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kern w:val="0"/>
                <w:sz w:val="28"/>
                <w:szCs w:val="28"/>
              </w:rPr>
            </w:pPr>
            <w:r>
              <w:rPr>
                <w:rFonts w:hint="eastAsia" w:ascii="仿宋" w:hAnsi="仿宋" w:eastAsia="仿宋" w:cs="仿宋"/>
                <w:b/>
                <w:kern w:val="0"/>
                <w:sz w:val="28"/>
                <w:szCs w:val="28"/>
              </w:rPr>
              <w:t>科目名称</w:t>
            </w:r>
          </w:p>
        </w:tc>
        <w:tc>
          <w:tcPr>
            <w:tcW w:w="1837"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2020年</w:t>
            </w:r>
          </w:p>
        </w:tc>
        <w:tc>
          <w:tcPr>
            <w:tcW w:w="2071"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2021年</w:t>
            </w:r>
          </w:p>
        </w:tc>
        <w:tc>
          <w:tcPr>
            <w:tcW w:w="1956"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合  计</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826.1</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604.1</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工资福利支出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499.67</w:t>
            </w:r>
          </w:p>
        </w:tc>
        <w:tc>
          <w:tcPr>
            <w:tcW w:w="2071" w:type="dxa"/>
            <w:vAlign w:val="center"/>
          </w:tcPr>
          <w:p>
            <w:pPr>
              <w:widowControl/>
              <w:ind w:firstLine="480"/>
              <w:jc w:val="right"/>
              <w:textAlignment w:val="center"/>
              <w:rPr>
                <w:rFonts w:ascii="仿宋" w:hAnsi="仿宋" w:eastAsia="仿宋" w:cs="仿宋"/>
                <w:kern w:val="0"/>
                <w:sz w:val="24"/>
                <w:szCs w:val="24"/>
              </w:rPr>
            </w:pPr>
            <w:r>
              <w:rPr>
                <w:rFonts w:hint="eastAsia" w:ascii="仿宋" w:hAnsi="仿宋" w:eastAsia="仿宋" w:cs="仿宋"/>
                <w:kern w:val="0"/>
                <w:sz w:val="24"/>
                <w:szCs w:val="24"/>
              </w:rPr>
              <w:t>468.73</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商品服务支出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261.18</w:t>
            </w:r>
          </w:p>
        </w:tc>
        <w:tc>
          <w:tcPr>
            <w:tcW w:w="2071" w:type="dxa"/>
            <w:vAlign w:val="center"/>
          </w:tcPr>
          <w:p>
            <w:pPr>
              <w:widowControl/>
              <w:ind w:firstLine="480"/>
              <w:jc w:val="right"/>
              <w:textAlignment w:val="center"/>
              <w:rPr>
                <w:rFonts w:ascii="仿宋" w:hAnsi="仿宋" w:eastAsia="仿宋" w:cs="仿宋"/>
                <w:kern w:val="0"/>
                <w:sz w:val="24"/>
                <w:szCs w:val="24"/>
              </w:rPr>
            </w:pPr>
            <w:r>
              <w:rPr>
                <w:rFonts w:hint="eastAsia" w:ascii="仿宋" w:hAnsi="仿宋" w:eastAsia="仿宋" w:cs="仿宋"/>
                <w:kern w:val="0"/>
                <w:sz w:val="24"/>
                <w:szCs w:val="24"/>
              </w:rPr>
              <w:t>95</w:t>
            </w:r>
          </w:p>
        </w:tc>
        <w:tc>
          <w:tcPr>
            <w:tcW w:w="1956" w:type="dxa"/>
            <w:vAlign w:val="center"/>
          </w:tcPr>
          <w:p>
            <w:pPr>
              <w:widowControl/>
              <w:spacing w:line="360" w:lineRule="auto"/>
              <w:ind w:firstLine="480"/>
              <w:jc w:val="right"/>
              <w:rPr>
                <w:rFonts w:ascii="仿宋" w:hAnsi="仿宋" w:eastAsia="仿宋" w:cs="仿宋"/>
                <w:kern w:val="0"/>
                <w:sz w:val="24"/>
                <w:szCs w:val="24"/>
              </w:rPr>
            </w:pPr>
            <w:r>
              <w:rPr>
                <w:rFonts w:hint="eastAsia" w:ascii="仿宋" w:hAnsi="仿宋" w:eastAsia="仿宋" w:cs="仿宋"/>
                <w:kern w:val="0"/>
                <w:sz w:val="24"/>
                <w:szCs w:val="24"/>
              </w:rPr>
              <w:t>-63.63%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kern w:val="0"/>
                <w:sz w:val="28"/>
                <w:szCs w:val="28"/>
              </w:rPr>
            </w:pPr>
            <w:r>
              <w:rPr>
                <w:rFonts w:hint="eastAsia" w:ascii="仿宋" w:hAnsi="仿宋" w:eastAsia="仿宋" w:cs="仿宋"/>
                <w:kern w:val="0"/>
                <w:sz w:val="28"/>
                <w:szCs w:val="28"/>
              </w:rPr>
              <w:t>对个人和家庭的补助</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0.18</w:t>
            </w:r>
          </w:p>
        </w:tc>
        <w:tc>
          <w:tcPr>
            <w:tcW w:w="2071"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40.37</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22327%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kern w:val="0"/>
                <w:sz w:val="28"/>
                <w:szCs w:val="28"/>
              </w:rPr>
            </w:pPr>
            <w:r>
              <w:rPr>
                <w:rFonts w:hint="eastAsia" w:ascii="仿宋" w:hAnsi="仿宋" w:eastAsia="仿宋" w:cs="仿宋"/>
                <w:kern w:val="0"/>
                <w:sz w:val="28"/>
                <w:szCs w:val="28"/>
              </w:rPr>
              <w:t>资本性支出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65.07</w:t>
            </w:r>
          </w:p>
        </w:tc>
        <w:tc>
          <w:tcPr>
            <w:tcW w:w="2071" w:type="dxa"/>
            <w:vAlign w:val="center"/>
          </w:tcPr>
          <w:p>
            <w:pPr>
              <w:widowControl/>
              <w:ind w:firstLine="640"/>
              <w:jc w:val="right"/>
              <w:textAlignment w:val="center"/>
              <w:rPr>
                <w:rFonts w:ascii="仿宋" w:hAnsi="仿宋" w:eastAsia="仿宋" w:cs="仿宋"/>
              </w:rPr>
            </w:pP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kern w:val="0"/>
                <w:sz w:val="28"/>
                <w:szCs w:val="28"/>
              </w:rPr>
            </w:pPr>
          </w:p>
        </w:tc>
        <w:tc>
          <w:tcPr>
            <w:tcW w:w="1837" w:type="dxa"/>
            <w:vAlign w:val="center"/>
          </w:tcPr>
          <w:p>
            <w:pPr>
              <w:widowControl/>
              <w:ind w:firstLine="560"/>
              <w:jc w:val="right"/>
              <w:rPr>
                <w:rFonts w:ascii="仿宋" w:hAnsi="仿宋" w:eastAsia="仿宋" w:cs="仿宋"/>
                <w:kern w:val="0"/>
                <w:sz w:val="28"/>
                <w:szCs w:val="28"/>
              </w:rPr>
            </w:pPr>
          </w:p>
        </w:tc>
        <w:tc>
          <w:tcPr>
            <w:tcW w:w="2071" w:type="dxa"/>
            <w:vAlign w:val="center"/>
          </w:tcPr>
          <w:p>
            <w:pPr>
              <w:widowControl/>
              <w:ind w:firstLine="640"/>
              <w:jc w:val="right"/>
              <w:textAlignment w:val="center"/>
              <w:rPr>
                <w:rFonts w:ascii="仿宋" w:hAnsi="仿宋" w:eastAsia="仿宋" w:cs="仿宋"/>
              </w:rPr>
            </w:pPr>
          </w:p>
        </w:tc>
        <w:tc>
          <w:tcPr>
            <w:tcW w:w="1956" w:type="dxa"/>
            <w:vAlign w:val="center"/>
          </w:tcPr>
          <w:p>
            <w:pPr>
              <w:widowControl/>
              <w:ind w:firstLine="560"/>
              <w:jc w:val="right"/>
              <w:rPr>
                <w:rFonts w:ascii="仿宋" w:hAnsi="仿宋" w:eastAsia="仿宋" w:cs="仿宋"/>
                <w:kern w:val="0"/>
                <w:sz w:val="28"/>
                <w:szCs w:val="28"/>
              </w:rPr>
            </w:pPr>
          </w:p>
        </w:tc>
      </w:tr>
    </w:tbl>
    <w:p>
      <w:pPr>
        <w:spacing w:line="580" w:lineRule="exact"/>
        <w:ind w:firstLine="0" w:firstLineChars="0"/>
        <w:rPr>
          <w:szCs w:val="32"/>
        </w:rPr>
      </w:pPr>
    </w:p>
    <w:p>
      <w:pPr>
        <w:pStyle w:val="3"/>
        <w:ind w:firstLine="643"/>
        <w:rPr>
          <w:rFonts w:ascii="仿宋" w:hAnsi="仿宋" w:eastAsia="仿宋" w:cs="仿宋"/>
        </w:rPr>
      </w:pPr>
      <w:bookmarkStart w:id="21" w:name="_Toc17728"/>
      <w:bookmarkStart w:id="22" w:name="_Toc841"/>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542.07万元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468.91万元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基本工资、津贴补贴、奖金、绩效工资、社保缴费、其他工资福利、对个人和家庭的补助</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rPr>
        <w:t>73.16万元</w:t>
      </w:r>
      <w:r>
        <w:rPr>
          <w:rFonts w:ascii="仿宋_GB2312"/>
          <w:szCs w:val="32"/>
        </w:rPr>
        <w:t>，主要包括</w:t>
      </w:r>
      <w:r>
        <w:rPr>
          <w:rFonts w:hint="eastAsia" w:ascii="仿宋_GB2312"/>
          <w:szCs w:val="32"/>
        </w:rPr>
        <w:t>商品和服务支出、资本性支出</w:t>
      </w:r>
      <w:r>
        <w:rPr>
          <w:rFonts w:ascii="仿宋_GB2312"/>
          <w:szCs w:val="32"/>
        </w:rPr>
        <w:t>。</w:t>
      </w: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62.03万元。</w:t>
      </w:r>
    </w:p>
    <w:p>
      <w:pPr>
        <w:pStyle w:val="3"/>
        <w:ind w:firstLine="643"/>
        <w:rPr>
          <w:rFonts w:ascii="仿宋" w:hAnsi="仿宋" w:eastAsia="仿宋" w:cs="仿宋"/>
        </w:rPr>
      </w:pPr>
      <w:bookmarkStart w:id="23" w:name="_Toc26508"/>
      <w:bookmarkStart w:id="24" w:name="_Toc2304"/>
      <w:r>
        <w:rPr>
          <w:rFonts w:hint="eastAsia" w:ascii="仿宋" w:hAnsi="仿宋" w:eastAsia="仿宋" w:cs="仿宋"/>
        </w:rPr>
        <w:t>七、一般公共预算财政拨款“三公”经费支出决算情况说明</w:t>
      </w:r>
      <w:bookmarkEnd w:id="23"/>
      <w:bookmarkEnd w:id="24"/>
    </w:p>
    <w:p>
      <w:pPr>
        <w:spacing w:line="580" w:lineRule="exact"/>
        <w:ind w:firstLine="640"/>
        <w:rPr>
          <w:b/>
          <w:szCs w:val="32"/>
        </w:rPr>
      </w:pPr>
      <w:r>
        <w:rPr>
          <w:rFonts w:hint="eastAsia" w:ascii="仿宋_GB2312"/>
          <w:szCs w:val="32"/>
        </w:rPr>
        <w:t>2021年度，“三公”经费财政拨款支出决算为0.18万元，，比上年减少6.6万元，下降97.34%，原因是：厉行节约。其中：无因公出国（境）费；无公务用车购置、公务用车运行费支出决算0.18万元，无公务接待费支出。</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sz w:val="32"/>
          <w:szCs w:val="32"/>
        </w:rPr>
        <w:t>2021年“三公”经费支出情况，分三项和2020</w:t>
      </w:r>
      <w:r>
        <w:rPr>
          <w:rFonts w:hint="eastAsia" w:ascii="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701" w:type="dxa"/>
          </w:tcPr>
          <w:p>
            <w:pPr>
              <w:pStyle w:val="8"/>
              <w:ind w:firstLine="562"/>
              <w:jc w:val="center"/>
              <w:rPr>
                <w:b/>
                <w:color w:val="000000"/>
                <w:sz w:val="28"/>
                <w:szCs w:val="28"/>
              </w:rPr>
            </w:pPr>
            <w:r>
              <w:rPr>
                <w:rFonts w:hint="eastAsia"/>
                <w:b/>
                <w:color w:val="000000"/>
                <w:sz w:val="28"/>
                <w:szCs w:val="28"/>
              </w:rPr>
              <w:t>2021年</w:t>
            </w:r>
          </w:p>
        </w:tc>
        <w:tc>
          <w:tcPr>
            <w:tcW w:w="1418"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480"/>
              <w:jc w:val="right"/>
              <w:rPr>
                <w:rFonts w:eastAsia="宋体"/>
                <w:color w:val="000000"/>
                <w:szCs w:val="24"/>
              </w:rPr>
            </w:pPr>
            <w:r>
              <w:rPr>
                <w:rFonts w:hint="eastAsia" w:eastAsia="宋体"/>
                <w:color w:val="000000"/>
                <w:szCs w:val="24"/>
              </w:rPr>
              <w:t>6.78</w:t>
            </w:r>
          </w:p>
        </w:tc>
        <w:tc>
          <w:tcPr>
            <w:tcW w:w="1701" w:type="dxa"/>
          </w:tcPr>
          <w:p>
            <w:pPr>
              <w:pStyle w:val="8"/>
              <w:ind w:firstLine="480"/>
              <w:rPr>
                <w:color w:val="000000"/>
                <w:szCs w:val="24"/>
              </w:rPr>
            </w:pPr>
            <w:r>
              <w:rPr>
                <w:rFonts w:hint="eastAsia"/>
                <w:color w:val="000000"/>
                <w:szCs w:val="24"/>
              </w:rPr>
              <w:t>0.18</w:t>
            </w:r>
          </w:p>
        </w:tc>
        <w:tc>
          <w:tcPr>
            <w:tcW w:w="1418" w:type="dxa"/>
          </w:tcPr>
          <w:p>
            <w:pPr>
              <w:pStyle w:val="8"/>
              <w:ind w:firstLine="480"/>
              <w:jc w:val="right"/>
              <w:rPr>
                <w:rFonts w:eastAsia="宋体"/>
                <w:color w:val="000000"/>
                <w:szCs w:val="24"/>
              </w:rPr>
            </w:pPr>
            <w:r>
              <w:rPr>
                <w:rFonts w:hint="eastAsia" w:eastAsia="宋体"/>
                <w:color w:val="000000"/>
                <w:szCs w:val="24"/>
              </w:rPr>
              <w:t>97.34%</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1792"/>
      <w:bookmarkStart w:id="26" w:name="_Toc9078"/>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b/>
          <w:szCs w:val="32"/>
        </w:rPr>
      </w:pPr>
      <w:r>
        <w:rPr>
          <w:rFonts w:hint="eastAsia" w:ascii="仿宋_GB2312" w:hAnsi="宋体"/>
          <w:szCs w:val="32"/>
        </w:rPr>
        <w:t>2021年本单位机关运行经费支出73.16万元，比2021年减少1.37万元，降低1.84%。主要原因是：人员转隶经费减少。</w:t>
      </w:r>
    </w:p>
    <w:p>
      <w:pPr>
        <w:ind w:firstLine="643"/>
        <w:rPr>
          <w:b/>
          <w:bCs/>
        </w:rPr>
      </w:pPr>
      <w:bookmarkStart w:id="28" w:name="_Toc16103"/>
      <w:r>
        <w:rPr>
          <w:rFonts w:hint="eastAsia"/>
          <w:b/>
          <w:bCs/>
        </w:rPr>
        <w:t>（二）政府采购情况说明</w:t>
      </w:r>
      <w:bookmarkEnd w:id="28"/>
    </w:p>
    <w:p>
      <w:pPr>
        <w:spacing w:line="580" w:lineRule="exact"/>
        <w:ind w:firstLine="640"/>
        <w:rPr>
          <w:rFonts w:ascii="仿宋_GB2312"/>
          <w:szCs w:val="32"/>
        </w:rPr>
      </w:pPr>
      <w:r>
        <w:rPr>
          <w:rFonts w:hint="eastAsia" w:ascii="仿宋_GB2312"/>
          <w:szCs w:val="32"/>
        </w:rPr>
        <w:t>2021年度，政府采购支出总额11.29万元，其中：政府采购货物支出0.42万元、无政府采购工程支出、政府采购服务支出10.87万元。政府采购授予中小企业合同金额11.29万元，占政府采购支出总额的100</w:t>
      </w:r>
      <w:r>
        <w:rPr>
          <w:rFonts w:ascii="仿宋_GB2312"/>
          <w:szCs w:val="32"/>
        </w:rPr>
        <w:t>%</w:t>
      </w:r>
      <w:r>
        <w:rPr>
          <w:rFonts w:hint="eastAsia" w:ascii="仿宋_GB2312"/>
          <w:szCs w:val="32"/>
        </w:rPr>
        <w:t>。其中：授予小微企业合同金额11.29万元，占政府采购支出总额的100</w:t>
      </w:r>
      <w:r>
        <w:rPr>
          <w:rFonts w:ascii="仿宋_GB2312"/>
          <w:szCs w:val="32"/>
        </w:rPr>
        <w:t>%</w:t>
      </w:r>
      <w:r>
        <w:rPr>
          <w:rFonts w:hint="eastAsia" w:ascii="仿宋_GB2312"/>
          <w:szCs w:val="32"/>
        </w:rPr>
        <w:t>。</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szCs w:val="32"/>
        </w:rPr>
      </w:pPr>
      <w:r>
        <w:rPr>
          <w:rFonts w:hint="eastAsia" w:ascii="仿宋_GB2312"/>
          <w:szCs w:val="32"/>
        </w:rPr>
        <w:t>截至2021年12月31日，本部门共有车辆1辆。其中，执法执勤用车1辆；无单价50万元（含）以上的通用设备单价100万元（含）以上专用设备。</w:t>
      </w:r>
    </w:p>
    <w:p>
      <w:pPr>
        <w:ind w:firstLine="643"/>
        <w:rPr>
          <w:b/>
          <w:bCs/>
        </w:rPr>
      </w:pPr>
      <w:r>
        <w:rPr>
          <w:rFonts w:hint="eastAsia"/>
          <w:b/>
          <w:bCs/>
        </w:rPr>
        <w:t>（四）重点项目预算的绩效目标情况说明：</w:t>
      </w:r>
    </w:p>
    <w:p>
      <w:pPr>
        <w:ind w:firstLine="643"/>
        <w:rPr>
          <w:rFonts w:ascii="仿宋" w:hAnsi="仿宋" w:eastAsia="仿宋" w:cs="仿宋"/>
          <w:b/>
          <w:bCs/>
          <w:szCs w:val="32"/>
        </w:rPr>
      </w:pPr>
      <w:r>
        <w:rPr>
          <w:rFonts w:hint="eastAsia" w:ascii="仿宋" w:hAnsi="仿宋" w:eastAsia="仿宋" w:cs="仿宋"/>
          <w:b/>
          <w:bCs/>
          <w:szCs w:val="32"/>
        </w:rPr>
        <w:t>2021年本单位重点项目绩效目标情况自评说明，涉及金额</w:t>
      </w:r>
    </w:p>
    <w:p>
      <w:pPr>
        <w:ind w:firstLine="643"/>
        <w:rPr>
          <w:rFonts w:ascii="仿宋_GB2312" w:hAnsi="仿宋_GB2312" w:cs="仿宋_GB2312"/>
          <w:szCs w:val="32"/>
        </w:rPr>
      </w:pPr>
      <w:r>
        <w:rPr>
          <w:rFonts w:hint="eastAsia" w:ascii="仿宋_GB2312" w:hAnsi="仿宋_GB2312" w:cs="仿宋_GB2312"/>
          <w:b/>
          <w:bCs/>
          <w:szCs w:val="32"/>
        </w:rPr>
        <w:t>（1）预算绩效管理工作开展情况。</w:t>
      </w:r>
      <w:r>
        <w:rPr>
          <w:rFonts w:hint="eastAsia" w:ascii="仿宋_GB2312" w:hAnsi="仿宋_GB2312" w:cs="仿宋_GB2312"/>
          <w:szCs w:val="32"/>
        </w:rPr>
        <w:t>我部门2021年度无县级财政预算安排的</w:t>
      </w:r>
      <w:r>
        <w:rPr>
          <w:rFonts w:hint="eastAsia" w:ascii="仿宋_GB2312" w:hAnsi="仿宋_GB2312" w:cs="仿宋_GB2312"/>
          <w:szCs w:val="32"/>
          <w:highlight w:val="none"/>
        </w:rPr>
        <w:t>专项资金类和</w:t>
      </w:r>
      <w:r>
        <w:rPr>
          <w:rFonts w:hint="eastAsia" w:ascii="仿宋_GB2312" w:hAnsi="仿宋_GB2312" w:cs="仿宋_GB2312"/>
          <w:szCs w:val="32"/>
        </w:rPr>
        <w:t>200万元以上的经费补助类项目。</w:t>
      </w:r>
    </w:p>
    <w:p>
      <w:pPr>
        <w:ind w:firstLine="643"/>
        <w:rPr>
          <w:rFonts w:hint="eastAsia" w:ascii="仿宋_GB2312" w:hAnsi="仿宋_GB2312" w:cs="仿宋_GB2312"/>
          <w:b/>
          <w:bCs/>
          <w:szCs w:val="32"/>
        </w:rPr>
      </w:pPr>
      <w:r>
        <w:rPr>
          <w:rFonts w:hint="eastAsia" w:ascii="仿宋_GB2312" w:hAnsi="仿宋_GB2312" w:cs="仿宋_GB2312"/>
          <w:b/>
          <w:bCs/>
          <w:szCs w:val="32"/>
        </w:rPr>
        <w:t>（2）部门决算中项目绩效自评结果。</w:t>
      </w:r>
      <w:bookmarkStart w:id="30" w:name="_Toc8450"/>
      <w:bookmarkStart w:id="31" w:name="_Toc28108"/>
    </w:p>
    <w:p>
      <w:pPr>
        <w:ind w:firstLine="643"/>
        <w:rPr>
          <w:rFonts w:hint="eastAsia" w:ascii="仿宋_GB2312" w:hAnsi="仿宋_GB2312" w:cs="仿宋_GB2312"/>
          <w:b/>
          <w:bCs/>
          <w:szCs w:val="32"/>
        </w:rPr>
      </w:pPr>
      <w:r>
        <w:rPr>
          <w:rFonts w:hint="eastAsia" w:ascii="仿宋_GB2312" w:hAnsi="仿宋_GB2312" w:cs="仿宋_GB2312"/>
          <w:b/>
          <w:bCs/>
          <w:szCs w:val="32"/>
        </w:rPr>
        <w:t>本年度无重点项目向社会公开。</w:t>
      </w:r>
    </w:p>
    <w:p>
      <w:pPr>
        <w:ind w:firstLine="643"/>
        <w:rPr>
          <w:rFonts w:ascii="仿宋_GB2312"/>
          <w:b/>
          <w:szCs w:val="32"/>
        </w:rPr>
      </w:pPr>
      <w:r>
        <w:rPr>
          <w:rFonts w:hint="eastAsia" w:ascii="仿宋_GB2312"/>
          <w:b/>
          <w:szCs w:val="32"/>
        </w:rPr>
        <w:t>其他需要说明的事项</w:t>
      </w:r>
      <w:bookmarkEnd w:id="30"/>
      <w:bookmarkEnd w:id="31"/>
      <w:r>
        <w:rPr>
          <w:rFonts w:hint="eastAsia" w:ascii="仿宋_GB2312"/>
          <w:b/>
          <w:szCs w:val="32"/>
        </w:rPr>
        <w:t>：无</w:t>
      </w:r>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静乐县司法局</w:t>
      </w:r>
    </w:p>
    <w:p>
      <w:pPr>
        <w:ind w:firstLine="4800" w:firstLineChars="1500"/>
      </w:pPr>
      <w:r>
        <w:rPr>
          <w:rFonts w:hint="eastAsia"/>
        </w:rPr>
        <w:t>二〇二二年六月</w:t>
      </w:r>
      <w:r>
        <w:rPr>
          <w:rFonts w:hint="eastAsia"/>
          <w:lang w:eastAsia="zh-CN"/>
        </w:rPr>
        <w:t>六</w:t>
      </w:r>
      <w:r>
        <w:rPr>
          <w:rFonts w:hint="eastAsia"/>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69A7B2C"/>
    <w:multiLevelType w:val="multilevel"/>
    <w:tmpl w:val="669A7B2C"/>
    <w:lvl w:ilvl="0" w:tentative="0">
      <w:start w:val="1"/>
      <w:numFmt w:val="japaneseCounting"/>
      <w:lvlText w:val="%1、"/>
      <w:lvlJc w:val="left"/>
      <w:pPr>
        <w:ind w:left="1360" w:hanging="72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0015904"/>
    <w:rsid w:val="00236506"/>
    <w:rsid w:val="00287C63"/>
    <w:rsid w:val="003C7834"/>
    <w:rsid w:val="00425DEB"/>
    <w:rsid w:val="004329CB"/>
    <w:rsid w:val="00464B89"/>
    <w:rsid w:val="00482FEB"/>
    <w:rsid w:val="005347A6"/>
    <w:rsid w:val="00645ECD"/>
    <w:rsid w:val="0077315D"/>
    <w:rsid w:val="00774E60"/>
    <w:rsid w:val="00967C4D"/>
    <w:rsid w:val="009F4D54"/>
    <w:rsid w:val="00CD17B6"/>
    <w:rsid w:val="00D072C5"/>
    <w:rsid w:val="00D433AC"/>
    <w:rsid w:val="00EA6C0F"/>
    <w:rsid w:val="00EC0DCD"/>
    <w:rsid w:val="00F621A4"/>
    <w:rsid w:val="00FB5C2A"/>
    <w:rsid w:val="03696819"/>
    <w:rsid w:val="16654CDD"/>
    <w:rsid w:val="19456799"/>
    <w:rsid w:val="1A4A5C33"/>
    <w:rsid w:val="2701594C"/>
    <w:rsid w:val="27426717"/>
    <w:rsid w:val="37943B50"/>
    <w:rsid w:val="3821117E"/>
    <w:rsid w:val="42C12CEC"/>
    <w:rsid w:val="44401A62"/>
    <w:rsid w:val="495520D0"/>
    <w:rsid w:val="4A012068"/>
    <w:rsid w:val="53A30631"/>
    <w:rsid w:val="5CF54DA1"/>
    <w:rsid w:val="5EC01F6A"/>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E50DA-0BE3-4B70-A993-1316F128735B}">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3424</Words>
  <Characters>3901</Characters>
  <Lines>12</Lines>
  <Paragraphs>9</Paragraphs>
  <TotalTime>13</TotalTime>
  <ScaleCrop>false</ScaleCrop>
  <LinksUpToDate>false</LinksUpToDate>
  <CharactersWithSpaces>3981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2022-06-11T23:15:00Z</dcterms:created>
  <dc:creator>lenovo</dc:creator>
  <cp:lastModifiedBy>晴</cp:lastModifiedBy>
  <dcterms:modified xsi:type="dcterms:W3CDTF">2022-08-03T02:43:41Z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145B64FEFA284ACFB9870659CF844B6B</vt:lpwstr>
  </property>
</Properties>
</file>