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晋财教【2020】184号下达2021年城乡义务教育补助经费省级资金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晋财教【2020】184号下达2021年城乡义务教育补助经费省级资金，结合我校实际情况下达公用经费12.837万元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晋财教【2020】184号下达2021年城乡义务教育补助经费省级资金和2021年上报的学生人数，现提前下达2021年城乡义务教育补助经费省级资金,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保证项目正常开展，合理使用资金。学校制定了以下制度:＜资金管理制度＞、《营养改善管理制度》、《一补管理制度》《工程管理制度》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为了合理、有效使用资金，我校计划严格落实扶贫政策，资金落实到位。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12.84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为了改善办学条件，保障学校正常运转，切实落实国家资助政策，我校预算公用经费12.837万元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为了改善办学条件，保障学校正常运转，切实落实国家资助政策，我校预算公用经费12.837万元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晋财教【2020】184号下达2021年城乡义务教育补助经费省级资金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99.85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在校学生人数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资金使用的合理性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资金是否及时下达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每生每年805元（不足100人的学校按照100人拨付)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公用经费保障学校正常运转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该项目资金使用合理合法，完全按照政策法规使用，有效保障学校正常运转，保证正常教学运转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该项目能合理地、有效地体现项目产出情况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完成既定绩效目标的99%，达到了预期目标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部门决算上报处理效率幻虚继续提升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在校学生人数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资金使用的合理性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资金是否及时下达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每生每年805元（不足100人的学校按照100人拨付)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公用经费保障学校正常运转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