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left="0" w:leftChars="0" w:firstLine="0" w:firstLineChars="0"/>
        <w:jc w:val="center"/>
        <w:rPr>
          <w:rFonts w:hint="eastAsia" w:ascii="华文中宋" w:hAnsi="华文中宋" w:eastAsia="华文中宋"/>
          <w:color w:val="auto"/>
          <w:sz w:val="44"/>
          <w:szCs w:val="44"/>
        </w:rPr>
      </w:pPr>
      <w:bookmarkStart w:id="0" w:name="_Toc21118"/>
      <w:bookmarkStart w:id="1" w:name="_Toc32048"/>
      <w:bookmarkStart w:id="2" w:name="_Toc31071"/>
      <w:r>
        <w:rPr>
          <w:rFonts w:hint="eastAsia" w:ascii="华文中宋" w:hAnsi="华文中宋" w:eastAsia="华文中宋"/>
          <w:color w:val="auto"/>
          <w:sz w:val="44"/>
          <w:szCs w:val="44"/>
          <w:lang w:val="en-US" w:eastAsia="zh-CN"/>
        </w:rPr>
        <w:t>中共静乐县委党史研究室</w:t>
      </w:r>
      <w:r>
        <w:rPr>
          <w:rFonts w:hint="eastAsia" w:ascii="华文中宋" w:hAnsi="华文中宋" w:eastAsia="华文中宋"/>
          <w:color w:val="auto"/>
          <w:sz w:val="44"/>
          <w:szCs w:val="44"/>
        </w:rPr>
        <w:t>20</w:t>
      </w:r>
      <w:r>
        <w:rPr>
          <w:rFonts w:hint="eastAsia" w:ascii="华文中宋" w:hAnsi="华文中宋" w:eastAsia="华文中宋"/>
          <w:color w:val="auto"/>
          <w:sz w:val="44"/>
          <w:szCs w:val="44"/>
          <w:lang w:val="en-US" w:eastAsia="zh-CN"/>
        </w:rPr>
        <w:t>21</w:t>
      </w:r>
      <w:r>
        <w:rPr>
          <w:rFonts w:hint="eastAsia" w:ascii="华文中宋" w:hAnsi="华文中宋" w:eastAsia="华文中宋"/>
          <w:color w:val="auto"/>
          <w:sz w:val="44"/>
          <w:szCs w:val="44"/>
        </w:rPr>
        <w:t>年度</w:t>
      </w:r>
    </w:p>
    <w:p>
      <w:pPr>
        <w:pStyle w:val="2"/>
        <w:ind w:left="0" w:leftChars="0" w:firstLine="0" w:firstLineChars="0"/>
        <w:jc w:val="center"/>
        <w:rPr>
          <w:rFonts w:hint="eastAsia" w:ascii="华文中宋" w:hAnsi="华文中宋" w:eastAsia="华文中宋"/>
          <w:color w:val="auto"/>
          <w:sz w:val="44"/>
          <w:szCs w:val="44"/>
          <w:lang w:val="en-US" w:eastAsia="zh-CN"/>
        </w:rPr>
      </w:pPr>
      <w:r>
        <w:rPr>
          <w:rFonts w:hint="eastAsia" w:ascii="华文中宋" w:hAnsi="华文中宋" w:eastAsia="华文中宋"/>
          <w:color w:val="auto"/>
          <w:sz w:val="44"/>
          <w:szCs w:val="44"/>
        </w:rPr>
        <w:t>部门决算</w:t>
      </w:r>
      <w:r>
        <w:rPr>
          <w:rFonts w:hint="eastAsia" w:ascii="华文中宋" w:hAnsi="华文中宋" w:eastAsia="华文中宋"/>
          <w:color w:val="auto"/>
          <w:sz w:val="44"/>
          <w:szCs w:val="44"/>
          <w:lang w:val="en-US" w:eastAsia="zh-CN"/>
        </w:rPr>
        <w:t>公开说明</w:t>
      </w:r>
      <w:bookmarkEnd w:id="0"/>
      <w:bookmarkEnd w:id="1"/>
      <w:bookmarkEnd w:id="2"/>
    </w:p>
    <w:p>
      <w:pPr>
        <w:pStyle w:val="6"/>
        <w:tabs>
          <w:tab w:val="right" w:leader="dot" w:pos="8306"/>
        </w:tabs>
        <w:rPr>
          <w:color w:val="auto"/>
        </w:rPr>
      </w:pPr>
      <w:r>
        <w:rPr>
          <w:rFonts w:hint="eastAsia" w:ascii="仿宋" w:hAnsi="仿宋" w:eastAsia="仿宋" w:cs="仿宋"/>
          <w:color w:val="auto"/>
          <w:sz w:val="32"/>
          <w:szCs w:val="32"/>
          <w:lang w:val="en-US" w:eastAsia="zh-CN"/>
        </w:rPr>
        <w:fldChar w:fldCharType="begin"/>
      </w:r>
      <w:r>
        <w:rPr>
          <w:rFonts w:hint="eastAsia" w:ascii="仿宋" w:hAnsi="仿宋" w:eastAsia="仿宋" w:cs="仿宋"/>
          <w:color w:val="auto"/>
          <w:sz w:val="32"/>
          <w:szCs w:val="32"/>
          <w:lang w:val="en-US" w:eastAsia="zh-CN"/>
        </w:rPr>
        <w:instrText xml:space="preserve">TOC \o "1-3" \h \u </w:instrText>
      </w:r>
      <w:r>
        <w:rPr>
          <w:rFonts w:hint="eastAsia" w:ascii="仿宋" w:hAnsi="仿宋" w:eastAsia="仿宋" w:cs="仿宋"/>
          <w:color w:val="auto"/>
          <w:sz w:val="32"/>
          <w:szCs w:val="32"/>
          <w:lang w:val="en-US" w:eastAsia="zh-CN"/>
        </w:rPr>
        <w:fldChar w:fldCharType="separate"/>
      </w: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_Toc31140 </w:instrText>
      </w:r>
      <w:r>
        <w:rPr>
          <w:rFonts w:hint="eastAsia" w:ascii="仿宋" w:hAnsi="仿宋" w:eastAsia="仿宋" w:cs="仿宋"/>
          <w:color w:val="auto"/>
          <w:szCs w:val="32"/>
          <w:lang w:val="en-US" w:eastAsia="zh-CN"/>
        </w:rPr>
        <w:fldChar w:fldCharType="separate"/>
      </w:r>
      <w:r>
        <w:rPr>
          <w:rFonts w:hint="eastAsia"/>
          <w:color w:val="auto"/>
          <w:szCs w:val="36"/>
        </w:rPr>
        <w:t>第一部分  概况</w:t>
      </w:r>
      <w:r>
        <w:rPr>
          <w:color w:val="auto"/>
        </w:rPr>
        <w:tab/>
      </w:r>
      <w:r>
        <w:rPr>
          <w:color w:val="auto"/>
        </w:rPr>
        <w:fldChar w:fldCharType="begin"/>
      </w:r>
      <w:r>
        <w:rPr>
          <w:color w:val="auto"/>
        </w:rPr>
        <w:instrText xml:space="preserve"> PAGEREF _Toc31140 </w:instrText>
      </w:r>
      <w:r>
        <w:rPr>
          <w:color w:val="auto"/>
        </w:rPr>
        <w:fldChar w:fldCharType="separate"/>
      </w:r>
      <w:r>
        <w:rPr>
          <w:color w:val="auto"/>
        </w:rPr>
        <w:t>2</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_Toc4461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color w:val="auto"/>
        </w:rPr>
        <w:t>一、本部门职责</w:t>
      </w:r>
      <w:r>
        <w:rPr>
          <w:color w:val="auto"/>
        </w:rPr>
        <w:tab/>
      </w:r>
      <w:r>
        <w:rPr>
          <w:color w:val="auto"/>
        </w:rPr>
        <w:fldChar w:fldCharType="begin"/>
      </w:r>
      <w:r>
        <w:rPr>
          <w:color w:val="auto"/>
        </w:rPr>
        <w:instrText xml:space="preserve"> PAGEREF _Toc4461 </w:instrText>
      </w:r>
      <w:r>
        <w:rPr>
          <w:color w:val="auto"/>
        </w:rPr>
        <w:fldChar w:fldCharType="separate"/>
      </w:r>
      <w:r>
        <w:rPr>
          <w:color w:val="auto"/>
        </w:rPr>
        <w:t>2</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_Toc275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color w:val="auto"/>
        </w:rPr>
        <w:t>二、机构设置情况</w:t>
      </w:r>
      <w:r>
        <w:rPr>
          <w:color w:val="auto"/>
        </w:rPr>
        <w:tab/>
      </w:r>
      <w:r>
        <w:rPr>
          <w:color w:val="auto"/>
        </w:rPr>
        <w:fldChar w:fldCharType="begin"/>
      </w:r>
      <w:r>
        <w:rPr>
          <w:color w:val="auto"/>
        </w:rPr>
        <w:instrText xml:space="preserve"> PAGEREF _Toc275 </w:instrText>
      </w:r>
      <w:r>
        <w:rPr>
          <w:color w:val="auto"/>
        </w:rPr>
        <w:fldChar w:fldCharType="separate"/>
      </w:r>
      <w:r>
        <w:rPr>
          <w:color w:val="auto"/>
        </w:rPr>
        <w:t>2</w:t>
      </w:r>
      <w:r>
        <w:rPr>
          <w:color w:val="auto"/>
        </w:rPr>
        <w:fldChar w:fldCharType="end"/>
      </w:r>
      <w:r>
        <w:rPr>
          <w:rFonts w:hint="eastAsia" w:ascii="仿宋" w:hAnsi="仿宋" w:eastAsia="仿宋" w:cs="仿宋"/>
          <w:color w:val="auto"/>
          <w:szCs w:val="32"/>
          <w:lang w:val="en-US" w:eastAsia="zh-CN"/>
        </w:rPr>
        <w:fldChar w:fldCharType="end"/>
      </w:r>
    </w:p>
    <w:p>
      <w:pPr>
        <w:pStyle w:val="6"/>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_Toc12749 </w:instrText>
      </w:r>
      <w:r>
        <w:rPr>
          <w:rFonts w:hint="eastAsia" w:ascii="仿宋" w:hAnsi="仿宋" w:eastAsia="仿宋" w:cs="仿宋"/>
          <w:color w:val="auto"/>
          <w:szCs w:val="32"/>
          <w:lang w:val="en-US" w:eastAsia="zh-CN"/>
        </w:rPr>
        <w:fldChar w:fldCharType="separate"/>
      </w:r>
      <w:r>
        <w:rPr>
          <w:rFonts w:hint="eastAsia"/>
          <w:color w:val="auto"/>
          <w:szCs w:val="36"/>
          <w:lang w:val="en-US" w:eastAsia="zh-CN"/>
        </w:rPr>
        <w:t>第二部分  2021年度部门决算报表（附表）</w:t>
      </w:r>
      <w:r>
        <w:rPr>
          <w:color w:val="auto"/>
        </w:rPr>
        <w:tab/>
      </w:r>
      <w:r>
        <w:rPr>
          <w:color w:val="auto"/>
        </w:rPr>
        <w:fldChar w:fldCharType="begin"/>
      </w:r>
      <w:r>
        <w:rPr>
          <w:color w:val="auto"/>
        </w:rPr>
        <w:instrText xml:space="preserve"> PAGEREF _Toc12749 </w:instrText>
      </w:r>
      <w:r>
        <w:rPr>
          <w:color w:val="auto"/>
        </w:rPr>
        <w:fldChar w:fldCharType="separate"/>
      </w:r>
      <w:r>
        <w:rPr>
          <w:color w:val="auto"/>
        </w:rPr>
        <w:t>2</w:t>
      </w:r>
      <w:r>
        <w:rPr>
          <w:color w:val="auto"/>
        </w:rPr>
        <w:fldChar w:fldCharType="end"/>
      </w:r>
      <w:r>
        <w:rPr>
          <w:rFonts w:hint="eastAsia" w:ascii="仿宋" w:hAnsi="仿宋" w:eastAsia="仿宋" w:cs="仿宋"/>
          <w:color w:val="auto"/>
          <w:szCs w:val="32"/>
          <w:lang w:val="en-US" w:eastAsia="zh-CN"/>
        </w:rPr>
        <w:fldChar w:fldCharType="end"/>
      </w:r>
    </w:p>
    <w:p>
      <w:pPr>
        <w:pStyle w:val="6"/>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_Toc29325 </w:instrText>
      </w:r>
      <w:r>
        <w:rPr>
          <w:rFonts w:hint="eastAsia" w:ascii="仿宋" w:hAnsi="仿宋" w:eastAsia="仿宋" w:cs="仿宋"/>
          <w:color w:val="auto"/>
          <w:szCs w:val="32"/>
          <w:lang w:val="en-US" w:eastAsia="zh-CN"/>
        </w:rPr>
        <w:fldChar w:fldCharType="separate"/>
      </w:r>
      <w:r>
        <w:rPr>
          <w:rFonts w:hint="eastAsia"/>
          <w:color w:val="auto"/>
          <w:szCs w:val="36"/>
          <w:lang w:val="en-US" w:eastAsia="zh-CN"/>
        </w:rPr>
        <w:t>第三部分  2021年度部门决算情况说明</w:t>
      </w:r>
      <w:r>
        <w:rPr>
          <w:color w:val="auto"/>
        </w:rPr>
        <w:tab/>
      </w:r>
      <w:r>
        <w:rPr>
          <w:color w:val="auto"/>
        </w:rPr>
        <w:fldChar w:fldCharType="begin"/>
      </w:r>
      <w:r>
        <w:rPr>
          <w:color w:val="auto"/>
        </w:rPr>
        <w:instrText xml:space="preserve"> PAGEREF _Toc29325 </w:instrText>
      </w:r>
      <w:r>
        <w:rPr>
          <w:color w:val="auto"/>
        </w:rPr>
        <w:fldChar w:fldCharType="separate"/>
      </w:r>
      <w:r>
        <w:rPr>
          <w:color w:val="auto"/>
        </w:rPr>
        <w:t>3</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_Toc437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一、收入支出决算总体情况说明</w:t>
      </w:r>
      <w:r>
        <w:rPr>
          <w:color w:val="auto"/>
        </w:rPr>
        <w:tab/>
      </w:r>
      <w:r>
        <w:rPr>
          <w:color w:val="auto"/>
        </w:rPr>
        <w:fldChar w:fldCharType="begin"/>
      </w:r>
      <w:r>
        <w:rPr>
          <w:color w:val="auto"/>
        </w:rPr>
        <w:instrText xml:space="preserve"> PAGEREF _Toc437 </w:instrText>
      </w:r>
      <w:r>
        <w:rPr>
          <w:color w:val="auto"/>
        </w:rPr>
        <w:fldChar w:fldCharType="separate"/>
      </w:r>
      <w:r>
        <w:rPr>
          <w:color w:val="auto"/>
        </w:rPr>
        <w:t>3</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_Toc16754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二、收入决算情况说明</w:t>
      </w:r>
      <w:r>
        <w:rPr>
          <w:color w:val="auto"/>
        </w:rPr>
        <w:tab/>
      </w:r>
      <w:r>
        <w:rPr>
          <w:color w:val="auto"/>
        </w:rPr>
        <w:fldChar w:fldCharType="begin"/>
      </w:r>
      <w:r>
        <w:rPr>
          <w:color w:val="auto"/>
        </w:rPr>
        <w:instrText xml:space="preserve"> PAGEREF _Toc16754 </w:instrText>
      </w:r>
      <w:r>
        <w:rPr>
          <w:color w:val="auto"/>
        </w:rPr>
        <w:fldChar w:fldCharType="separate"/>
      </w:r>
      <w:r>
        <w:rPr>
          <w:color w:val="auto"/>
        </w:rPr>
        <w:t>3</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_Toc22098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三、支出决算情况说明</w:t>
      </w:r>
      <w:r>
        <w:rPr>
          <w:color w:val="auto"/>
        </w:rPr>
        <w:tab/>
      </w:r>
      <w:r>
        <w:rPr>
          <w:color w:val="auto"/>
        </w:rPr>
        <w:fldChar w:fldCharType="begin"/>
      </w:r>
      <w:r>
        <w:rPr>
          <w:color w:val="auto"/>
        </w:rPr>
        <w:instrText xml:space="preserve"> PAGEREF _Toc22098 </w:instrText>
      </w:r>
      <w:r>
        <w:rPr>
          <w:color w:val="auto"/>
        </w:rPr>
        <w:fldChar w:fldCharType="separate"/>
      </w:r>
      <w:r>
        <w:rPr>
          <w:color w:val="auto"/>
        </w:rPr>
        <w:t>3</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_Toc2142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四、财政拨款收入支出决算总体情况说明</w:t>
      </w:r>
      <w:r>
        <w:rPr>
          <w:color w:val="auto"/>
        </w:rPr>
        <w:tab/>
      </w:r>
      <w:r>
        <w:rPr>
          <w:color w:val="auto"/>
        </w:rPr>
        <w:fldChar w:fldCharType="begin"/>
      </w:r>
      <w:r>
        <w:rPr>
          <w:color w:val="auto"/>
        </w:rPr>
        <w:instrText xml:space="preserve"> PAGEREF _Toc2142 </w:instrText>
      </w:r>
      <w:r>
        <w:rPr>
          <w:color w:val="auto"/>
        </w:rPr>
        <w:fldChar w:fldCharType="separate"/>
      </w:r>
      <w:r>
        <w:rPr>
          <w:color w:val="auto"/>
        </w:rPr>
        <w:t>4</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_Toc6501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五、一般公共预算财政拨款支出决算情况说明</w:t>
      </w:r>
      <w:r>
        <w:rPr>
          <w:color w:val="auto"/>
        </w:rPr>
        <w:tab/>
      </w:r>
      <w:r>
        <w:rPr>
          <w:color w:val="auto"/>
        </w:rPr>
        <w:fldChar w:fldCharType="begin"/>
      </w:r>
      <w:r>
        <w:rPr>
          <w:color w:val="auto"/>
        </w:rPr>
        <w:instrText xml:space="preserve"> PAGEREF _Toc6501 </w:instrText>
      </w:r>
      <w:r>
        <w:rPr>
          <w:color w:val="auto"/>
        </w:rPr>
        <w:fldChar w:fldCharType="separate"/>
      </w:r>
      <w:r>
        <w:rPr>
          <w:color w:val="auto"/>
        </w:rPr>
        <w:t>4</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_Toc17728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六、一般公共预算财政拨款基本支出决算情况说明</w:t>
      </w:r>
      <w:r>
        <w:rPr>
          <w:color w:val="auto"/>
        </w:rPr>
        <w:tab/>
      </w:r>
      <w:r>
        <w:rPr>
          <w:color w:val="auto"/>
        </w:rPr>
        <w:fldChar w:fldCharType="begin"/>
      </w:r>
      <w:r>
        <w:rPr>
          <w:color w:val="auto"/>
        </w:rPr>
        <w:instrText xml:space="preserve"> PAGEREF _Toc17728 </w:instrText>
      </w:r>
      <w:r>
        <w:rPr>
          <w:color w:val="auto"/>
        </w:rPr>
        <w:fldChar w:fldCharType="separate"/>
      </w:r>
      <w:r>
        <w:rPr>
          <w:color w:val="auto"/>
        </w:rPr>
        <w:t>5</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_Toc26508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七、一般公共预算财政拨款“三公”经费支出决算情况说明</w:t>
      </w:r>
      <w:r>
        <w:rPr>
          <w:color w:val="auto"/>
        </w:rPr>
        <w:tab/>
      </w:r>
      <w:r>
        <w:rPr>
          <w:color w:val="auto"/>
        </w:rPr>
        <w:fldChar w:fldCharType="begin"/>
      </w:r>
      <w:r>
        <w:rPr>
          <w:color w:val="auto"/>
        </w:rPr>
        <w:instrText xml:space="preserve"> PAGEREF _Toc26508 </w:instrText>
      </w:r>
      <w:r>
        <w:rPr>
          <w:color w:val="auto"/>
        </w:rPr>
        <w:fldChar w:fldCharType="separate"/>
      </w:r>
      <w:r>
        <w:rPr>
          <w:color w:val="auto"/>
        </w:rPr>
        <w:t>6</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_Toc1792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八、其他重要事项情况说明</w:t>
      </w:r>
      <w:r>
        <w:rPr>
          <w:color w:val="auto"/>
        </w:rPr>
        <w:tab/>
      </w:r>
      <w:r>
        <w:rPr>
          <w:color w:val="auto"/>
        </w:rPr>
        <w:fldChar w:fldCharType="begin"/>
      </w:r>
      <w:r>
        <w:rPr>
          <w:color w:val="auto"/>
        </w:rPr>
        <w:instrText xml:space="preserve"> PAGEREF _Toc1792 </w:instrText>
      </w:r>
      <w:r>
        <w:rPr>
          <w:color w:val="auto"/>
        </w:rPr>
        <w:fldChar w:fldCharType="separate"/>
      </w:r>
      <w:r>
        <w:rPr>
          <w:color w:val="auto"/>
        </w:rPr>
        <w:t>6</w:t>
      </w:r>
      <w:r>
        <w:rPr>
          <w:color w:val="auto"/>
        </w:rPr>
        <w:fldChar w:fldCharType="end"/>
      </w:r>
      <w:r>
        <w:rPr>
          <w:rFonts w:hint="eastAsia" w:ascii="仿宋" w:hAnsi="仿宋" w:eastAsia="仿宋" w:cs="仿宋"/>
          <w:color w:val="auto"/>
          <w:szCs w:val="32"/>
          <w:lang w:val="en-US" w:eastAsia="zh-CN"/>
        </w:rPr>
        <w:fldChar w:fldCharType="end"/>
      </w:r>
    </w:p>
    <w:p>
      <w:pPr>
        <w:pStyle w:val="6"/>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_Toc8545 </w:instrText>
      </w:r>
      <w:r>
        <w:rPr>
          <w:rFonts w:hint="eastAsia" w:ascii="仿宋" w:hAnsi="仿宋" w:eastAsia="仿宋" w:cs="仿宋"/>
          <w:color w:val="auto"/>
          <w:szCs w:val="32"/>
          <w:lang w:val="en-US" w:eastAsia="zh-CN"/>
        </w:rPr>
        <w:fldChar w:fldCharType="separate"/>
      </w:r>
      <w:r>
        <w:rPr>
          <w:rFonts w:hint="eastAsia"/>
          <w:color w:val="auto"/>
          <w:szCs w:val="36"/>
          <w:lang w:val="en-US" w:eastAsia="zh-CN"/>
        </w:rPr>
        <w:t>第四部分  名词解释</w:t>
      </w:r>
      <w:r>
        <w:rPr>
          <w:color w:val="auto"/>
        </w:rPr>
        <w:tab/>
      </w:r>
      <w:r>
        <w:rPr>
          <w:color w:val="auto"/>
        </w:rPr>
        <w:fldChar w:fldCharType="begin"/>
      </w:r>
      <w:r>
        <w:rPr>
          <w:color w:val="auto"/>
        </w:rPr>
        <w:instrText xml:space="preserve"> PAGEREF _Toc8545 </w:instrText>
      </w:r>
      <w:r>
        <w:rPr>
          <w:color w:val="auto"/>
        </w:rPr>
        <w:fldChar w:fldCharType="separate"/>
      </w:r>
      <w:r>
        <w:rPr>
          <w:color w:val="auto"/>
        </w:rPr>
        <w:t>7</w:t>
      </w:r>
      <w:r>
        <w:rPr>
          <w:color w:val="auto"/>
        </w:rPr>
        <w:fldChar w:fldCharType="end"/>
      </w:r>
      <w:r>
        <w:rPr>
          <w:rFonts w:hint="eastAsia" w:ascii="仿宋" w:hAnsi="仿宋" w:eastAsia="仿宋" w:cs="仿宋"/>
          <w:color w:val="auto"/>
          <w:szCs w:val="32"/>
          <w:lang w:val="en-US" w:eastAsia="zh-CN"/>
        </w:rPr>
        <w:fldChar w:fldCharType="end"/>
      </w:r>
    </w:p>
    <w:p>
      <w:pPr>
        <w:ind w:firstLine="880"/>
        <w:jc w:val="center"/>
        <w:rPr>
          <w:rFonts w:hint="eastAsia" w:ascii="仿宋" w:hAnsi="仿宋" w:eastAsia="仿宋" w:cs="仿宋"/>
          <w:color w:val="auto"/>
          <w:sz w:val="32"/>
          <w:szCs w:val="32"/>
          <w:lang w:val="en-US" w:eastAsia="zh-CN"/>
        </w:rPr>
      </w:pPr>
      <w:r>
        <w:rPr>
          <w:rFonts w:hint="eastAsia" w:ascii="仿宋" w:hAnsi="仿宋" w:eastAsia="仿宋" w:cs="仿宋"/>
          <w:color w:val="auto"/>
          <w:szCs w:val="32"/>
          <w:lang w:val="en-US" w:eastAsia="zh-CN"/>
        </w:rPr>
        <w:fldChar w:fldCharType="end"/>
      </w:r>
    </w:p>
    <w:p>
      <w:pPr>
        <w:pStyle w:val="2"/>
        <w:ind w:left="0" w:leftChars="0" w:firstLine="0" w:firstLineChars="0"/>
        <w:jc w:val="center"/>
        <w:rPr>
          <w:rFonts w:hint="eastAsia"/>
          <w:b/>
          <w:bCs w:val="0"/>
          <w:color w:val="auto"/>
          <w:szCs w:val="36"/>
        </w:rPr>
      </w:pPr>
      <w:bookmarkStart w:id="3" w:name="_Toc23288"/>
      <w:bookmarkStart w:id="4" w:name="_Toc31140"/>
      <w:r>
        <w:rPr>
          <w:rFonts w:hint="eastAsia"/>
          <w:color w:val="auto"/>
          <w:sz w:val="36"/>
          <w:szCs w:val="36"/>
        </w:rPr>
        <w:t>第一部分  概况</w:t>
      </w:r>
      <w:bookmarkEnd w:id="3"/>
      <w:bookmarkEnd w:id="4"/>
    </w:p>
    <w:p>
      <w:pPr>
        <w:pStyle w:val="3"/>
        <w:rPr>
          <w:rFonts w:hint="eastAsia" w:ascii="仿宋" w:hAnsi="仿宋" w:eastAsia="仿宋" w:cs="仿宋"/>
          <w:b w:val="0"/>
          <w:bCs/>
          <w:color w:val="auto"/>
        </w:rPr>
      </w:pPr>
      <w:bookmarkStart w:id="5" w:name="_Toc4461"/>
      <w:bookmarkStart w:id="6" w:name="_Toc24066"/>
      <w:r>
        <w:rPr>
          <w:rFonts w:hint="eastAsia" w:ascii="仿宋" w:hAnsi="仿宋" w:eastAsia="仿宋" w:cs="仿宋"/>
          <w:b w:val="0"/>
          <w:bCs/>
          <w:color w:val="auto"/>
        </w:rPr>
        <w:t>一、本部门职责</w:t>
      </w:r>
      <w:bookmarkEnd w:id="5"/>
      <w:bookmarkEnd w:id="6"/>
    </w:p>
    <w:p>
      <w:pPr>
        <w:pStyle w:val="8"/>
        <w:numPr>
          <w:ilvl w:val="0"/>
          <w:numId w:val="1"/>
        </w:numPr>
        <w:spacing w:before="0" w:beforeAutospacing="0" w:after="0" w:afterAutospacing="0"/>
        <w:ind w:left="30" w:leftChars="0" w:firstLine="600" w:firstLineChars="0"/>
        <w:rPr>
          <w:rFonts w:hint="eastAsia" w:ascii="仿宋" w:hAnsi="仿宋" w:eastAsia="仿宋" w:cs="仿宋"/>
          <w:b w:val="0"/>
          <w:bCs w:val="0"/>
          <w:color w:val="auto"/>
          <w:sz w:val="30"/>
          <w:szCs w:val="30"/>
          <w:lang w:eastAsia="zh-CN"/>
        </w:rPr>
      </w:pPr>
      <w:r>
        <w:rPr>
          <w:rFonts w:hint="eastAsia" w:ascii="仿宋" w:hAnsi="仿宋" w:eastAsia="仿宋" w:cs="仿宋"/>
          <w:b w:val="0"/>
          <w:bCs w:val="0"/>
          <w:color w:val="auto"/>
          <w:sz w:val="30"/>
          <w:szCs w:val="30"/>
          <w:lang w:eastAsia="zh-CN"/>
        </w:rPr>
        <w:t>组织、指导、督促和检查全县党史、地方志工作；</w:t>
      </w:r>
    </w:p>
    <w:p>
      <w:pPr>
        <w:pStyle w:val="8"/>
        <w:numPr>
          <w:ilvl w:val="0"/>
          <w:numId w:val="1"/>
        </w:numPr>
        <w:spacing w:before="0" w:beforeAutospacing="0" w:after="0" w:afterAutospacing="0"/>
        <w:ind w:left="30" w:leftChars="0" w:firstLine="600" w:firstLineChars="0"/>
        <w:rPr>
          <w:rFonts w:hint="eastAsia" w:ascii="仿宋" w:hAnsi="仿宋" w:eastAsia="仿宋" w:cs="仿宋"/>
          <w:b w:val="0"/>
          <w:bCs w:val="0"/>
          <w:color w:val="auto"/>
          <w:sz w:val="30"/>
          <w:szCs w:val="30"/>
          <w:lang w:eastAsia="zh-CN"/>
        </w:rPr>
      </w:pPr>
      <w:r>
        <w:rPr>
          <w:rFonts w:hint="eastAsia" w:ascii="仿宋" w:hAnsi="仿宋" w:eastAsia="仿宋" w:cs="仿宋"/>
          <w:b w:val="0"/>
          <w:bCs w:val="0"/>
          <w:color w:val="auto"/>
          <w:sz w:val="30"/>
          <w:szCs w:val="30"/>
          <w:lang w:eastAsia="zh-CN"/>
        </w:rPr>
        <w:t>拟订党史、地方志工作规划和编撰方案；</w:t>
      </w:r>
    </w:p>
    <w:p>
      <w:pPr>
        <w:pStyle w:val="8"/>
        <w:numPr>
          <w:ilvl w:val="0"/>
          <w:numId w:val="1"/>
        </w:numPr>
        <w:spacing w:before="0" w:beforeAutospacing="0" w:after="0" w:afterAutospacing="0"/>
        <w:ind w:left="30" w:leftChars="0" w:firstLine="600" w:firstLineChars="0"/>
        <w:rPr>
          <w:rFonts w:hint="eastAsia" w:ascii="仿宋" w:hAnsi="仿宋" w:eastAsia="仿宋" w:cs="仿宋"/>
          <w:b w:val="0"/>
          <w:bCs w:val="0"/>
          <w:color w:val="auto"/>
          <w:sz w:val="30"/>
          <w:szCs w:val="30"/>
          <w:lang w:eastAsia="zh-CN"/>
        </w:rPr>
      </w:pPr>
      <w:r>
        <w:rPr>
          <w:rFonts w:hint="eastAsia" w:ascii="仿宋" w:hAnsi="仿宋" w:eastAsia="仿宋" w:cs="仿宋"/>
          <w:b w:val="0"/>
          <w:bCs w:val="0"/>
          <w:color w:val="auto"/>
          <w:sz w:val="30"/>
          <w:szCs w:val="30"/>
          <w:lang w:eastAsia="zh-CN"/>
        </w:rPr>
        <w:t>组织编撰党史和地方志书、地方综合年鉴；</w:t>
      </w:r>
    </w:p>
    <w:p>
      <w:pPr>
        <w:pStyle w:val="8"/>
        <w:numPr>
          <w:ilvl w:val="0"/>
          <w:numId w:val="1"/>
        </w:numPr>
        <w:spacing w:before="0" w:beforeAutospacing="0" w:after="0" w:afterAutospacing="0"/>
        <w:ind w:left="30" w:leftChars="0" w:firstLine="600" w:firstLineChars="0"/>
        <w:rPr>
          <w:rFonts w:hint="eastAsia" w:ascii="仿宋" w:hAnsi="仿宋" w:eastAsia="仿宋" w:cs="仿宋"/>
          <w:b w:val="0"/>
          <w:bCs w:val="0"/>
          <w:color w:val="auto"/>
          <w:sz w:val="30"/>
          <w:szCs w:val="30"/>
          <w:lang w:eastAsia="zh-CN"/>
        </w:rPr>
      </w:pPr>
      <w:r>
        <w:rPr>
          <w:rFonts w:hint="eastAsia" w:ascii="仿宋" w:hAnsi="仿宋" w:eastAsia="仿宋" w:cs="仿宋"/>
          <w:b w:val="0"/>
          <w:bCs w:val="0"/>
          <w:color w:val="auto"/>
          <w:sz w:val="30"/>
          <w:szCs w:val="30"/>
          <w:lang w:eastAsia="zh-CN"/>
        </w:rPr>
        <w:t>搜集、保存党史及地方志文献资料，组织整理旧支</w:t>
      </w:r>
    </w:p>
    <w:p>
      <w:pPr>
        <w:numPr>
          <w:ilvl w:val="0"/>
          <w:numId w:val="0"/>
        </w:numPr>
        <w:rPr>
          <w:rFonts w:hint="eastAsia" w:ascii="仿宋" w:hAnsi="仿宋" w:eastAsia="仿宋" w:cs="仿宋"/>
          <w:b w:val="0"/>
          <w:bCs w:val="0"/>
          <w:color w:val="auto"/>
          <w:sz w:val="30"/>
          <w:szCs w:val="30"/>
          <w:lang w:eastAsia="zh-CN"/>
        </w:rPr>
      </w:pPr>
      <w:r>
        <w:rPr>
          <w:rFonts w:hint="eastAsia" w:ascii="仿宋" w:hAnsi="仿宋" w:eastAsia="仿宋" w:cs="仿宋"/>
          <w:b w:val="0"/>
          <w:bCs w:val="0"/>
          <w:color w:val="auto"/>
          <w:sz w:val="30"/>
          <w:szCs w:val="30"/>
          <w:lang w:eastAsia="zh-CN"/>
        </w:rPr>
        <w:t>组织开发利用党史和地方志资源；</w:t>
      </w:r>
    </w:p>
    <w:p>
      <w:pPr>
        <w:pStyle w:val="8"/>
        <w:numPr>
          <w:ilvl w:val="0"/>
          <w:numId w:val="1"/>
        </w:numPr>
        <w:spacing w:before="0" w:beforeAutospacing="0" w:after="0" w:afterAutospacing="0"/>
        <w:ind w:left="30" w:leftChars="0" w:firstLine="600" w:firstLineChars="0"/>
        <w:rPr>
          <w:rFonts w:hint="eastAsia" w:ascii="仿宋" w:hAnsi="仿宋" w:eastAsia="仿宋" w:cs="仿宋"/>
          <w:b w:val="0"/>
          <w:bCs w:val="0"/>
          <w:color w:val="auto"/>
          <w:sz w:val="30"/>
          <w:szCs w:val="30"/>
          <w:lang w:eastAsia="zh-CN"/>
        </w:rPr>
      </w:pPr>
      <w:r>
        <w:rPr>
          <w:rFonts w:hint="eastAsia" w:ascii="仿宋" w:hAnsi="仿宋" w:eastAsia="仿宋" w:cs="仿宋"/>
          <w:b w:val="0"/>
          <w:bCs w:val="0"/>
          <w:color w:val="auto"/>
          <w:sz w:val="30"/>
          <w:szCs w:val="30"/>
          <w:lang w:eastAsia="zh-CN"/>
        </w:rPr>
        <w:t>组织开发利用党史和地方志资源。</w:t>
      </w:r>
    </w:p>
    <w:p>
      <w:pPr>
        <w:pStyle w:val="3"/>
        <w:numPr>
          <w:ilvl w:val="0"/>
          <w:numId w:val="0"/>
        </w:numPr>
        <w:tabs>
          <w:tab w:val="left" w:pos="639"/>
        </w:tabs>
        <w:ind w:firstLine="640" w:firstLineChars="200"/>
        <w:rPr>
          <w:rFonts w:hint="eastAsia" w:ascii="仿宋" w:hAnsi="仿宋" w:eastAsia="仿宋" w:cs="仿宋"/>
          <w:b w:val="0"/>
          <w:bCs/>
          <w:color w:val="auto"/>
        </w:rPr>
      </w:pPr>
      <w:bookmarkStart w:id="7" w:name="_Toc9155"/>
      <w:bookmarkStart w:id="8" w:name="_Toc275"/>
      <w:r>
        <w:rPr>
          <w:rFonts w:hint="eastAsia" w:ascii="仿宋" w:hAnsi="仿宋" w:eastAsia="仿宋" w:cs="仿宋"/>
          <w:b w:val="0"/>
          <w:bCs/>
          <w:color w:val="auto"/>
          <w:lang w:val="en-US" w:eastAsia="zh-CN"/>
        </w:rPr>
        <w:t>二、</w:t>
      </w:r>
      <w:r>
        <w:rPr>
          <w:rFonts w:hint="eastAsia" w:ascii="仿宋" w:hAnsi="仿宋" w:eastAsia="仿宋" w:cs="仿宋"/>
          <w:b w:val="0"/>
          <w:bCs/>
          <w:color w:val="auto"/>
        </w:rPr>
        <w:t>机构设置情况</w:t>
      </w:r>
      <w:bookmarkEnd w:id="7"/>
      <w:bookmarkEnd w:id="8"/>
    </w:p>
    <w:p>
      <w:pPr>
        <w:numPr>
          <w:ilvl w:val="0"/>
          <w:numId w:val="0"/>
        </w:numPr>
        <w:ind w:left="0" w:leftChars="0" w:firstLine="600" w:firstLineChars="200"/>
        <w:rPr>
          <w:rFonts w:hint="eastAsia"/>
          <w:color w:val="auto"/>
        </w:rPr>
      </w:pPr>
      <w:r>
        <w:rPr>
          <w:rFonts w:hint="eastAsia" w:ascii="仿宋" w:hAnsi="仿宋" w:eastAsia="仿宋" w:cs="仿宋"/>
          <w:b w:val="0"/>
          <w:bCs w:val="0"/>
          <w:color w:val="auto"/>
          <w:sz w:val="30"/>
          <w:szCs w:val="30"/>
          <w:lang w:eastAsia="zh-CN"/>
        </w:rPr>
        <w:t>中共静乐县委党史研究室</w:t>
      </w:r>
      <w:r>
        <w:rPr>
          <w:rFonts w:hint="eastAsia" w:ascii="仿宋" w:hAnsi="仿宋" w:eastAsia="仿宋" w:cs="仿宋"/>
          <w:b w:val="0"/>
          <w:bCs w:val="0"/>
          <w:color w:val="auto"/>
          <w:sz w:val="30"/>
          <w:szCs w:val="30"/>
        </w:rPr>
        <w:t>人员编制</w:t>
      </w:r>
      <w:r>
        <w:rPr>
          <w:rFonts w:hint="eastAsia" w:ascii="仿宋" w:hAnsi="仿宋" w:eastAsia="仿宋" w:cs="仿宋"/>
          <w:b w:val="0"/>
          <w:bCs w:val="0"/>
          <w:color w:val="auto"/>
          <w:sz w:val="30"/>
          <w:szCs w:val="30"/>
          <w:lang w:val="en-US" w:eastAsia="zh-CN"/>
        </w:rPr>
        <w:t>10</w:t>
      </w:r>
      <w:r>
        <w:rPr>
          <w:rFonts w:hint="eastAsia" w:ascii="仿宋" w:hAnsi="仿宋" w:eastAsia="仿宋" w:cs="仿宋"/>
          <w:b w:val="0"/>
          <w:bCs w:val="0"/>
          <w:color w:val="auto"/>
          <w:sz w:val="30"/>
          <w:szCs w:val="30"/>
        </w:rPr>
        <w:t>人，</w:t>
      </w:r>
      <w:r>
        <w:rPr>
          <w:rFonts w:hint="eastAsia" w:ascii="仿宋" w:hAnsi="仿宋" w:eastAsia="仿宋" w:cs="仿宋"/>
          <w:b w:val="0"/>
          <w:bCs w:val="0"/>
          <w:color w:val="auto"/>
          <w:sz w:val="30"/>
          <w:szCs w:val="30"/>
          <w:lang w:eastAsia="zh-CN"/>
        </w:rPr>
        <w:t>事业人员</w:t>
      </w:r>
      <w:r>
        <w:rPr>
          <w:rFonts w:hint="eastAsia" w:ascii="仿宋" w:hAnsi="仿宋" w:eastAsia="仿宋" w:cs="仿宋"/>
          <w:b w:val="0"/>
          <w:bCs w:val="0"/>
          <w:color w:val="auto"/>
          <w:sz w:val="30"/>
          <w:szCs w:val="30"/>
          <w:lang w:val="en-US" w:eastAsia="zh-CN"/>
        </w:rPr>
        <w:t>10人</w:t>
      </w:r>
      <w:r>
        <w:rPr>
          <w:rFonts w:hint="eastAsia" w:ascii="仿宋" w:hAnsi="仿宋" w:eastAsia="仿宋" w:cs="仿宋"/>
          <w:b w:val="0"/>
          <w:bCs w:val="0"/>
          <w:color w:val="auto"/>
          <w:sz w:val="30"/>
          <w:szCs w:val="30"/>
        </w:rPr>
        <w:t>。</w:t>
      </w:r>
      <w:r>
        <w:rPr>
          <w:rFonts w:hint="eastAsia" w:ascii="仿宋" w:hAnsi="仿宋" w:eastAsia="仿宋" w:cs="仿宋"/>
          <w:b w:val="0"/>
          <w:bCs w:val="0"/>
          <w:color w:val="auto"/>
          <w:sz w:val="30"/>
          <w:szCs w:val="30"/>
          <w:lang w:val="en-US" w:eastAsia="zh-CN"/>
        </w:rPr>
        <w:t>2021年底</w:t>
      </w:r>
      <w:r>
        <w:rPr>
          <w:rFonts w:hint="eastAsia" w:ascii="仿宋" w:hAnsi="仿宋" w:eastAsia="仿宋" w:cs="仿宋"/>
          <w:b w:val="0"/>
          <w:bCs w:val="0"/>
          <w:color w:val="auto"/>
          <w:sz w:val="30"/>
          <w:szCs w:val="30"/>
        </w:rPr>
        <w:t>单位实有人员</w:t>
      </w:r>
      <w:r>
        <w:rPr>
          <w:rFonts w:hint="eastAsia" w:ascii="仿宋" w:hAnsi="仿宋" w:eastAsia="仿宋" w:cs="仿宋"/>
          <w:b w:val="0"/>
          <w:bCs w:val="0"/>
          <w:color w:val="auto"/>
          <w:sz w:val="30"/>
          <w:szCs w:val="30"/>
          <w:lang w:val="en-US" w:eastAsia="zh-CN"/>
        </w:rPr>
        <w:t>10</w:t>
      </w:r>
      <w:r>
        <w:rPr>
          <w:rFonts w:hint="eastAsia" w:ascii="仿宋" w:hAnsi="仿宋" w:eastAsia="仿宋" w:cs="仿宋"/>
          <w:b w:val="0"/>
          <w:bCs w:val="0"/>
          <w:color w:val="auto"/>
          <w:sz w:val="30"/>
          <w:szCs w:val="30"/>
        </w:rPr>
        <w:t>人，</w:t>
      </w:r>
      <w:r>
        <w:rPr>
          <w:rFonts w:hint="eastAsia" w:ascii="仿宋" w:hAnsi="仿宋" w:eastAsia="仿宋" w:cs="仿宋"/>
          <w:b w:val="0"/>
          <w:bCs w:val="0"/>
          <w:color w:val="auto"/>
          <w:sz w:val="30"/>
          <w:szCs w:val="30"/>
          <w:lang w:eastAsia="zh-CN"/>
        </w:rPr>
        <w:t>参公人员</w:t>
      </w:r>
      <w:r>
        <w:rPr>
          <w:rFonts w:hint="eastAsia" w:ascii="仿宋" w:hAnsi="仿宋" w:eastAsia="仿宋" w:cs="仿宋"/>
          <w:b w:val="0"/>
          <w:bCs w:val="0"/>
          <w:color w:val="auto"/>
          <w:sz w:val="30"/>
          <w:szCs w:val="30"/>
          <w:lang w:val="en-US" w:eastAsia="zh-CN"/>
        </w:rPr>
        <w:t>5</w:t>
      </w:r>
      <w:r>
        <w:rPr>
          <w:rFonts w:hint="eastAsia" w:ascii="仿宋" w:hAnsi="仿宋" w:eastAsia="仿宋" w:cs="仿宋"/>
          <w:b w:val="0"/>
          <w:bCs w:val="0"/>
          <w:color w:val="auto"/>
          <w:sz w:val="30"/>
          <w:szCs w:val="30"/>
        </w:rPr>
        <w:t>人，事业人员</w:t>
      </w:r>
      <w:r>
        <w:rPr>
          <w:rFonts w:hint="eastAsia" w:ascii="仿宋" w:hAnsi="仿宋" w:eastAsia="仿宋" w:cs="仿宋"/>
          <w:b w:val="0"/>
          <w:bCs w:val="0"/>
          <w:color w:val="auto"/>
          <w:sz w:val="30"/>
          <w:szCs w:val="30"/>
          <w:lang w:val="en-US" w:eastAsia="zh-CN"/>
        </w:rPr>
        <w:t>5</w:t>
      </w:r>
      <w:r>
        <w:rPr>
          <w:rFonts w:hint="eastAsia" w:ascii="仿宋" w:hAnsi="仿宋" w:eastAsia="仿宋" w:cs="仿宋"/>
          <w:b w:val="0"/>
          <w:bCs w:val="0"/>
          <w:color w:val="auto"/>
          <w:sz w:val="30"/>
          <w:szCs w:val="30"/>
        </w:rPr>
        <w:t>人。</w:t>
      </w:r>
    </w:p>
    <w:p>
      <w:pPr>
        <w:pStyle w:val="2"/>
        <w:rPr>
          <w:rFonts w:hint="eastAsia"/>
          <w:b/>
          <w:bCs w:val="0"/>
          <w:color w:val="auto"/>
          <w:sz w:val="36"/>
          <w:szCs w:val="36"/>
          <w:lang w:val="en-US" w:eastAsia="zh-CN"/>
        </w:rPr>
      </w:pPr>
      <w:bookmarkStart w:id="9" w:name="_Toc12749"/>
      <w:r>
        <w:rPr>
          <w:rFonts w:hint="eastAsia"/>
          <w:b/>
          <w:color w:val="auto"/>
          <w:sz w:val="36"/>
          <w:szCs w:val="36"/>
          <w:lang w:val="en-US" w:eastAsia="zh-CN"/>
        </w:rPr>
        <w:t>第二部分  2021年度部门决算报表（附表）</w:t>
      </w:r>
      <w:bookmarkEnd w:id="9"/>
    </w:p>
    <w:p>
      <w:pPr>
        <w:ind w:firstLine="640"/>
        <w:rPr>
          <w:rFonts w:hint="eastAsia" w:ascii="仿宋_GB2312" w:hAnsi="楷体"/>
          <w:color w:val="auto"/>
          <w:szCs w:val="32"/>
        </w:rPr>
      </w:pPr>
      <w:r>
        <w:rPr>
          <w:rFonts w:hint="eastAsia" w:ascii="仿宋_GB2312" w:hAnsi="楷体"/>
          <w:color w:val="auto"/>
          <w:szCs w:val="32"/>
        </w:rPr>
        <w:t>一、收入支出决算总表</w:t>
      </w:r>
    </w:p>
    <w:p>
      <w:pPr>
        <w:ind w:firstLine="640"/>
        <w:rPr>
          <w:rFonts w:hint="eastAsia" w:ascii="仿宋_GB2312" w:hAnsi="楷体"/>
          <w:color w:val="auto"/>
          <w:szCs w:val="32"/>
        </w:rPr>
      </w:pPr>
      <w:r>
        <w:rPr>
          <w:rFonts w:hint="eastAsia" w:ascii="仿宋_GB2312" w:hAnsi="楷体"/>
          <w:color w:val="auto"/>
          <w:szCs w:val="32"/>
        </w:rPr>
        <w:t>二、收入决算表</w:t>
      </w:r>
    </w:p>
    <w:p>
      <w:pPr>
        <w:ind w:firstLine="640"/>
        <w:rPr>
          <w:rFonts w:hint="eastAsia" w:ascii="仿宋_GB2312" w:hAnsi="楷体"/>
          <w:color w:val="auto"/>
          <w:szCs w:val="32"/>
        </w:rPr>
      </w:pPr>
      <w:r>
        <w:rPr>
          <w:rFonts w:hint="eastAsia" w:ascii="仿宋_GB2312" w:hAnsi="楷体"/>
          <w:color w:val="auto"/>
          <w:szCs w:val="32"/>
        </w:rPr>
        <w:t>三、支出决算表</w:t>
      </w:r>
    </w:p>
    <w:p>
      <w:pPr>
        <w:ind w:firstLine="640"/>
        <w:rPr>
          <w:rFonts w:hint="eastAsia" w:ascii="仿宋_GB2312" w:hAnsi="楷体"/>
          <w:color w:val="auto"/>
          <w:szCs w:val="32"/>
        </w:rPr>
      </w:pPr>
      <w:r>
        <w:rPr>
          <w:rFonts w:hint="eastAsia" w:ascii="仿宋_GB2312" w:hAnsi="楷体"/>
          <w:color w:val="auto"/>
          <w:szCs w:val="32"/>
        </w:rPr>
        <w:t>四、财政拨款收入支出决算总表</w:t>
      </w:r>
    </w:p>
    <w:p>
      <w:pPr>
        <w:ind w:firstLine="640"/>
        <w:rPr>
          <w:rFonts w:hint="eastAsia" w:ascii="仿宋_GB2312" w:hAnsi="楷体"/>
          <w:color w:val="auto"/>
          <w:szCs w:val="32"/>
        </w:rPr>
      </w:pPr>
      <w:r>
        <w:rPr>
          <w:rFonts w:hint="eastAsia" w:ascii="仿宋_GB2312" w:hAnsi="楷体"/>
          <w:color w:val="auto"/>
          <w:szCs w:val="32"/>
        </w:rPr>
        <w:t>五、一般公共预算财政拨款支出决算表（一）</w:t>
      </w:r>
    </w:p>
    <w:p>
      <w:pPr>
        <w:ind w:firstLine="640"/>
        <w:rPr>
          <w:rFonts w:hint="eastAsia" w:ascii="仿宋_GB2312" w:hAnsi="楷体"/>
          <w:color w:val="auto"/>
          <w:szCs w:val="32"/>
        </w:rPr>
      </w:pPr>
      <w:r>
        <w:rPr>
          <w:rFonts w:hint="eastAsia" w:ascii="仿宋_GB2312" w:hAnsi="楷体"/>
          <w:color w:val="auto"/>
          <w:szCs w:val="32"/>
        </w:rPr>
        <w:t>六、一般公共预算财政拨款支出决算表（二）</w:t>
      </w:r>
    </w:p>
    <w:p>
      <w:pPr>
        <w:ind w:firstLine="640"/>
        <w:rPr>
          <w:rFonts w:hint="eastAsia" w:ascii="仿宋_GB2312" w:hAnsi="楷体"/>
          <w:color w:val="auto"/>
          <w:szCs w:val="32"/>
        </w:rPr>
      </w:pPr>
      <w:r>
        <w:rPr>
          <w:rFonts w:hint="eastAsia" w:ascii="仿宋_GB2312" w:hAnsi="楷体"/>
          <w:color w:val="auto"/>
          <w:szCs w:val="32"/>
        </w:rPr>
        <w:t>七、一般公共预算财政拨款“三公”经费支出决算表</w:t>
      </w:r>
    </w:p>
    <w:p>
      <w:pPr>
        <w:ind w:firstLine="640"/>
        <w:rPr>
          <w:rFonts w:ascii="仿宋_GB2312" w:hAnsi="楷体"/>
          <w:color w:val="auto"/>
          <w:szCs w:val="32"/>
        </w:rPr>
      </w:pPr>
      <w:r>
        <w:rPr>
          <w:rFonts w:hint="eastAsia" w:ascii="仿宋_GB2312" w:hAnsi="楷体"/>
          <w:color w:val="auto"/>
          <w:szCs w:val="32"/>
        </w:rPr>
        <w:t>八、政府性基金预算财政拨款收入支出决算表</w:t>
      </w:r>
    </w:p>
    <w:p>
      <w:pPr>
        <w:ind w:firstLine="640"/>
        <w:rPr>
          <w:rFonts w:hint="eastAsia" w:ascii="仿宋_GB2312" w:hAnsi="楷体"/>
          <w:color w:val="auto"/>
          <w:szCs w:val="32"/>
        </w:rPr>
      </w:pPr>
      <w:r>
        <w:rPr>
          <w:rFonts w:hint="eastAsia" w:ascii="仿宋_GB2312" w:hAnsi="楷体"/>
          <w:color w:val="auto"/>
          <w:szCs w:val="32"/>
        </w:rPr>
        <w:t>九、国有资本经营预算财政拨款支出决算表</w:t>
      </w:r>
    </w:p>
    <w:p>
      <w:pPr>
        <w:ind w:firstLine="640"/>
        <w:rPr>
          <w:rFonts w:hint="eastAsia" w:ascii="仿宋_GB2312" w:hAnsi="楷体"/>
          <w:color w:val="auto"/>
          <w:szCs w:val="32"/>
        </w:rPr>
      </w:pPr>
      <w:r>
        <w:rPr>
          <w:rFonts w:hint="eastAsia" w:ascii="仿宋_GB2312" w:hAnsi="楷体"/>
          <w:color w:val="auto"/>
          <w:szCs w:val="32"/>
        </w:rPr>
        <w:t>十、部门决算公开相关信息统计表</w:t>
      </w:r>
    </w:p>
    <w:p>
      <w:pPr>
        <w:pStyle w:val="2"/>
        <w:ind w:left="0" w:leftChars="0" w:firstLine="0" w:firstLineChars="0"/>
        <w:jc w:val="center"/>
        <w:rPr>
          <w:rFonts w:hint="eastAsia"/>
          <w:b/>
          <w:color w:val="auto"/>
          <w:sz w:val="36"/>
          <w:szCs w:val="36"/>
          <w:lang w:val="en-US" w:eastAsia="zh-CN"/>
        </w:rPr>
      </w:pPr>
      <w:bookmarkStart w:id="10" w:name="_Toc29325"/>
      <w:r>
        <w:rPr>
          <w:rFonts w:hint="eastAsia"/>
          <w:b/>
          <w:color w:val="auto"/>
          <w:sz w:val="36"/>
          <w:szCs w:val="36"/>
          <w:lang w:val="en-US" w:eastAsia="zh-CN"/>
        </w:rPr>
        <w:t>第三部分  2021年度部门决算情况说明</w:t>
      </w:r>
      <w:bookmarkEnd w:id="10"/>
    </w:p>
    <w:p>
      <w:pPr>
        <w:pStyle w:val="3"/>
        <w:rPr>
          <w:rFonts w:hint="eastAsia" w:ascii="仿宋" w:hAnsi="仿宋" w:eastAsia="仿宋" w:cs="仿宋"/>
          <w:b/>
          <w:bCs w:val="0"/>
          <w:color w:val="auto"/>
          <w:lang w:val="en-US" w:eastAsia="zh-CN"/>
        </w:rPr>
      </w:pPr>
      <w:bookmarkStart w:id="11" w:name="_Toc437"/>
      <w:bookmarkStart w:id="12" w:name="_Toc8717"/>
      <w:r>
        <w:rPr>
          <w:rFonts w:hint="eastAsia" w:ascii="仿宋" w:hAnsi="仿宋" w:eastAsia="仿宋" w:cs="仿宋"/>
          <w:b/>
          <w:bCs w:val="0"/>
          <w:color w:val="auto"/>
          <w:lang w:val="en-US" w:eastAsia="zh-CN"/>
        </w:rPr>
        <w:t>一、收入支出决算总体情况说明</w:t>
      </w:r>
      <w:bookmarkEnd w:id="11"/>
      <w:bookmarkEnd w:id="12"/>
    </w:p>
    <w:p>
      <w:pPr>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年度收入</w:t>
      </w:r>
      <w:r>
        <w:rPr>
          <w:rFonts w:ascii="仿宋_GB2312"/>
          <w:color w:val="auto"/>
          <w:szCs w:val="32"/>
        </w:rPr>
        <w:t>总计</w:t>
      </w:r>
      <w:r>
        <w:rPr>
          <w:rFonts w:hint="eastAsia" w:ascii="仿宋_GB2312"/>
          <w:color w:val="auto"/>
          <w:szCs w:val="32"/>
          <w:lang w:val="en-US" w:eastAsia="zh-CN"/>
        </w:rPr>
        <w:t>115.54</w:t>
      </w:r>
      <w:r>
        <w:rPr>
          <w:rFonts w:hint="eastAsia" w:ascii="仿宋_GB2312"/>
          <w:color w:val="auto"/>
          <w:szCs w:val="32"/>
        </w:rPr>
        <w:t>万元、支出总计</w:t>
      </w:r>
      <w:r>
        <w:rPr>
          <w:rFonts w:hint="eastAsia" w:ascii="仿宋_GB2312"/>
          <w:color w:val="auto"/>
          <w:szCs w:val="32"/>
          <w:lang w:val="en-US" w:eastAsia="zh-CN"/>
        </w:rPr>
        <w:t>115.54</w:t>
      </w:r>
      <w:r>
        <w:rPr>
          <w:rFonts w:hint="eastAsia" w:ascii="仿宋_GB2312"/>
          <w:color w:val="auto"/>
          <w:szCs w:val="32"/>
        </w:rPr>
        <w:t>万元。与20</w:t>
      </w:r>
      <w:r>
        <w:rPr>
          <w:rFonts w:hint="eastAsia" w:ascii="仿宋_GB2312"/>
          <w:color w:val="auto"/>
          <w:szCs w:val="32"/>
          <w:lang w:val="en-US" w:eastAsia="zh-CN"/>
        </w:rPr>
        <w:t>20</w:t>
      </w:r>
      <w:r>
        <w:rPr>
          <w:rFonts w:hint="eastAsia" w:ascii="仿宋_GB2312"/>
          <w:color w:val="auto"/>
          <w:szCs w:val="32"/>
        </w:rPr>
        <w:t>年相比，收入总计</w:t>
      </w:r>
      <w:r>
        <w:rPr>
          <w:rFonts w:hint="eastAsia" w:ascii="仿宋_GB2312"/>
          <w:color w:val="auto"/>
          <w:szCs w:val="32"/>
          <w:lang w:val="en-US" w:eastAsia="zh-CN"/>
        </w:rPr>
        <w:t>减少45.94</w:t>
      </w:r>
      <w:r>
        <w:rPr>
          <w:rFonts w:hint="eastAsia" w:ascii="仿宋_GB2312"/>
          <w:color w:val="auto"/>
          <w:szCs w:val="32"/>
        </w:rPr>
        <w:t>万元，下降</w:t>
      </w:r>
      <w:r>
        <w:rPr>
          <w:rFonts w:hint="eastAsia" w:ascii="仿宋_GB2312"/>
          <w:color w:val="auto"/>
          <w:szCs w:val="32"/>
          <w:lang w:val="en-US" w:eastAsia="zh-CN"/>
        </w:rPr>
        <w:t>28.45</w:t>
      </w:r>
      <w:r>
        <w:rPr>
          <w:rFonts w:hint="eastAsia" w:ascii="仿宋_GB2312"/>
          <w:color w:val="auto"/>
          <w:szCs w:val="32"/>
        </w:rPr>
        <w:t>%，</w:t>
      </w:r>
      <w:r>
        <w:rPr>
          <w:rFonts w:ascii="仿宋_GB2312"/>
          <w:color w:val="auto"/>
          <w:szCs w:val="32"/>
        </w:rPr>
        <w:t>支出总计减少</w:t>
      </w:r>
      <w:r>
        <w:rPr>
          <w:rFonts w:hint="eastAsia" w:ascii="仿宋_GB2312"/>
          <w:color w:val="auto"/>
          <w:szCs w:val="32"/>
          <w:lang w:val="en-US" w:eastAsia="zh-CN"/>
        </w:rPr>
        <w:t>45.94</w:t>
      </w:r>
      <w:r>
        <w:rPr>
          <w:rFonts w:hint="eastAsia" w:ascii="仿宋_GB2312"/>
          <w:color w:val="auto"/>
          <w:szCs w:val="32"/>
        </w:rPr>
        <w:t>万元</w:t>
      </w:r>
      <w:r>
        <w:rPr>
          <w:rFonts w:ascii="仿宋_GB2312"/>
          <w:color w:val="auto"/>
          <w:szCs w:val="32"/>
        </w:rPr>
        <w:t>，下降</w:t>
      </w:r>
      <w:r>
        <w:rPr>
          <w:rFonts w:hint="eastAsia" w:ascii="仿宋_GB2312"/>
          <w:color w:val="auto"/>
          <w:szCs w:val="32"/>
          <w:lang w:val="en-US" w:eastAsia="zh-CN"/>
        </w:rPr>
        <w:t>28.45</w:t>
      </w:r>
      <w:r>
        <w:rPr>
          <w:rFonts w:ascii="仿宋_GB2312"/>
          <w:color w:val="auto"/>
          <w:szCs w:val="32"/>
        </w:rPr>
        <w:t>%</w:t>
      </w:r>
      <w:r>
        <w:rPr>
          <w:rFonts w:hint="eastAsia" w:ascii="仿宋_GB2312"/>
          <w:color w:val="auto"/>
          <w:szCs w:val="32"/>
        </w:rPr>
        <w:t>。主要原因是项目审核未完成，无法支付。</w:t>
      </w:r>
    </w:p>
    <w:p>
      <w:pPr>
        <w:pStyle w:val="3"/>
        <w:rPr>
          <w:rFonts w:hint="eastAsia" w:ascii="仿宋" w:hAnsi="仿宋" w:eastAsia="仿宋" w:cs="仿宋"/>
          <w:b/>
          <w:bCs w:val="0"/>
          <w:color w:val="auto"/>
          <w:lang w:val="en-US" w:eastAsia="zh-CN"/>
        </w:rPr>
      </w:pPr>
      <w:bookmarkStart w:id="13" w:name="_Toc16754"/>
      <w:bookmarkStart w:id="14" w:name="_Toc17404"/>
      <w:r>
        <w:rPr>
          <w:rFonts w:hint="eastAsia" w:ascii="仿宋" w:hAnsi="仿宋" w:eastAsia="仿宋" w:cs="仿宋"/>
          <w:b/>
          <w:bCs w:val="0"/>
          <w:color w:val="auto"/>
          <w:lang w:val="en-US" w:eastAsia="zh-CN"/>
        </w:rPr>
        <w:t>二、收入决算情况说明</w:t>
      </w:r>
      <w:bookmarkEnd w:id="13"/>
      <w:bookmarkEnd w:id="14"/>
    </w:p>
    <w:p>
      <w:pPr>
        <w:spacing w:line="580" w:lineRule="exact"/>
        <w:ind w:firstLine="640"/>
        <w:rPr>
          <w:rFonts w:hint="eastAsia" w:ascii="仿宋_GB2312"/>
          <w:color w:val="auto"/>
          <w:szCs w:val="32"/>
        </w:rPr>
      </w:pPr>
      <w:r>
        <w:rPr>
          <w:rFonts w:hint="eastAsia" w:ascii="仿宋_GB2312"/>
          <w:color w:val="auto"/>
          <w:szCs w:val="32"/>
        </w:rPr>
        <w:t>本年收入合计</w:t>
      </w:r>
      <w:r>
        <w:rPr>
          <w:rFonts w:hint="eastAsia" w:ascii="仿宋_GB2312"/>
          <w:color w:val="auto"/>
          <w:szCs w:val="32"/>
          <w:lang w:val="en-US" w:eastAsia="zh-CN"/>
        </w:rPr>
        <w:t>115.54</w:t>
      </w:r>
      <w:r>
        <w:rPr>
          <w:rFonts w:hint="eastAsia" w:ascii="仿宋_GB2312"/>
          <w:color w:val="auto"/>
          <w:szCs w:val="32"/>
        </w:rPr>
        <w:t>万元，其中：财政拨款收入</w:t>
      </w:r>
      <w:r>
        <w:rPr>
          <w:rFonts w:hint="eastAsia" w:ascii="仿宋_GB2312"/>
          <w:color w:val="auto"/>
          <w:szCs w:val="32"/>
          <w:lang w:val="en-US" w:eastAsia="zh-CN"/>
        </w:rPr>
        <w:t>115.54</w:t>
      </w:r>
      <w:r>
        <w:rPr>
          <w:rFonts w:hint="eastAsia" w:ascii="仿宋_GB2312"/>
          <w:color w:val="auto"/>
          <w:szCs w:val="32"/>
        </w:rPr>
        <w:t>万元，占比</w:t>
      </w:r>
      <w:r>
        <w:rPr>
          <w:rFonts w:hint="eastAsia" w:ascii="仿宋_GB2312"/>
          <w:color w:val="auto"/>
          <w:szCs w:val="32"/>
          <w:lang w:val="en-US" w:eastAsia="zh-CN"/>
        </w:rPr>
        <w:t>100</w:t>
      </w:r>
      <w:r>
        <w:rPr>
          <w:rFonts w:hint="eastAsia" w:ascii="仿宋_GB2312"/>
          <w:color w:val="auto"/>
          <w:szCs w:val="32"/>
        </w:rPr>
        <w:t>%；上级补助收入</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%；事业收入</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%；经营收入</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w:t>
      </w:r>
      <w:r>
        <w:rPr>
          <w:rFonts w:hint="eastAsia" w:ascii="仿宋_GB2312"/>
          <w:color w:val="auto"/>
          <w:szCs w:val="32"/>
          <w:lang w:eastAsia="zh-CN"/>
        </w:rPr>
        <w:t>。</w:t>
      </w:r>
      <w:r>
        <w:rPr>
          <w:rFonts w:hint="eastAsia" w:ascii="仿宋_GB2312"/>
          <w:color w:val="auto"/>
          <w:szCs w:val="32"/>
        </w:rPr>
        <w:t>附属单位上缴收入</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%；其他收入</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w:t>
      </w:r>
    </w:p>
    <w:p>
      <w:pPr>
        <w:pStyle w:val="3"/>
        <w:rPr>
          <w:rFonts w:hint="eastAsia" w:ascii="仿宋" w:hAnsi="仿宋" w:eastAsia="仿宋" w:cs="仿宋"/>
          <w:b/>
          <w:bCs w:val="0"/>
          <w:color w:val="auto"/>
          <w:lang w:val="en-US" w:eastAsia="zh-CN"/>
        </w:rPr>
      </w:pPr>
      <w:bookmarkStart w:id="15" w:name="_Toc22098"/>
      <w:bookmarkStart w:id="16" w:name="_Toc9596"/>
      <w:r>
        <w:rPr>
          <w:rFonts w:hint="eastAsia" w:ascii="仿宋" w:hAnsi="仿宋" w:eastAsia="仿宋" w:cs="仿宋"/>
          <w:b/>
          <w:bCs w:val="0"/>
          <w:color w:val="auto"/>
          <w:lang w:val="en-US" w:eastAsia="zh-CN"/>
        </w:rPr>
        <w:t>三、支出决算情况说明</w:t>
      </w:r>
      <w:bookmarkEnd w:id="15"/>
      <w:bookmarkEnd w:id="16"/>
    </w:p>
    <w:p>
      <w:pPr>
        <w:spacing w:line="580" w:lineRule="exact"/>
        <w:ind w:firstLine="640"/>
        <w:rPr>
          <w:rFonts w:hint="eastAsia" w:ascii="仿宋_GB2312"/>
          <w:color w:val="auto"/>
          <w:szCs w:val="32"/>
        </w:rPr>
      </w:pPr>
      <w:r>
        <w:rPr>
          <w:rFonts w:hint="eastAsia" w:ascii="仿宋_GB2312"/>
          <w:color w:val="auto"/>
          <w:szCs w:val="32"/>
        </w:rPr>
        <w:t>本年支出合计</w:t>
      </w:r>
      <w:r>
        <w:rPr>
          <w:rFonts w:hint="eastAsia" w:ascii="仿宋_GB2312"/>
          <w:color w:val="auto"/>
          <w:szCs w:val="32"/>
          <w:lang w:val="en-US" w:eastAsia="zh-CN"/>
        </w:rPr>
        <w:t>115.54</w:t>
      </w:r>
      <w:r>
        <w:rPr>
          <w:rFonts w:hint="eastAsia" w:ascii="仿宋_GB2312"/>
          <w:color w:val="auto"/>
          <w:szCs w:val="32"/>
        </w:rPr>
        <w:t>万元，其中：基本支出</w:t>
      </w:r>
      <w:r>
        <w:rPr>
          <w:rFonts w:hint="eastAsia" w:ascii="仿宋_GB2312"/>
          <w:color w:val="auto"/>
          <w:szCs w:val="32"/>
          <w:lang w:val="en-US" w:eastAsia="zh-CN"/>
        </w:rPr>
        <w:t>100.58</w:t>
      </w:r>
      <w:r>
        <w:rPr>
          <w:rFonts w:hint="eastAsia" w:ascii="仿宋_GB2312"/>
          <w:color w:val="auto"/>
          <w:szCs w:val="32"/>
        </w:rPr>
        <w:t>万元，占比</w:t>
      </w:r>
      <w:r>
        <w:rPr>
          <w:rFonts w:hint="eastAsia" w:ascii="仿宋_GB2312"/>
          <w:color w:val="auto"/>
          <w:szCs w:val="32"/>
          <w:lang w:val="en-US" w:eastAsia="zh-CN"/>
        </w:rPr>
        <w:t>87%</w:t>
      </w:r>
      <w:r>
        <w:rPr>
          <w:rFonts w:hint="eastAsia" w:ascii="仿宋_GB2312"/>
          <w:color w:val="auto"/>
          <w:szCs w:val="32"/>
        </w:rPr>
        <w:t>；项目支出</w:t>
      </w:r>
      <w:r>
        <w:rPr>
          <w:rFonts w:hint="eastAsia" w:ascii="仿宋_GB2312"/>
          <w:color w:val="auto"/>
          <w:szCs w:val="32"/>
          <w:lang w:val="en-US" w:eastAsia="zh-CN"/>
        </w:rPr>
        <w:t>14.96</w:t>
      </w:r>
      <w:r>
        <w:rPr>
          <w:rFonts w:hint="eastAsia" w:ascii="仿宋_GB2312"/>
          <w:color w:val="auto"/>
          <w:szCs w:val="32"/>
        </w:rPr>
        <w:t>万元，占比</w:t>
      </w:r>
      <w:r>
        <w:rPr>
          <w:rFonts w:hint="eastAsia" w:ascii="仿宋_GB2312"/>
          <w:color w:val="auto"/>
          <w:szCs w:val="32"/>
          <w:lang w:val="en-US" w:eastAsia="zh-CN"/>
        </w:rPr>
        <w:t>13</w:t>
      </w:r>
      <w:r>
        <w:rPr>
          <w:rFonts w:hint="eastAsia" w:ascii="仿宋_GB2312"/>
          <w:color w:val="auto"/>
          <w:szCs w:val="32"/>
        </w:rPr>
        <w:t>%，上缴上级支出</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%，经营支出</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%,对附属单位补助支出</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w:t>
      </w:r>
    </w:p>
    <w:p>
      <w:pPr>
        <w:pStyle w:val="3"/>
        <w:rPr>
          <w:rFonts w:hint="eastAsia" w:ascii="仿宋" w:hAnsi="仿宋" w:eastAsia="仿宋" w:cs="仿宋"/>
          <w:b/>
          <w:bCs w:val="0"/>
          <w:color w:val="auto"/>
          <w:lang w:val="en-US" w:eastAsia="zh-CN"/>
        </w:rPr>
      </w:pPr>
      <w:bookmarkStart w:id="17" w:name="_Toc4614"/>
      <w:bookmarkStart w:id="18" w:name="_Toc2142"/>
      <w:r>
        <w:rPr>
          <w:rFonts w:hint="eastAsia" w:ascii="仿宋" w:hAnsi="仿宋" w:eastAsia="仿宋" w:cs="仿宋"/>
          <w:b/>
          <w:bCs w:val="0"/>
          <w:color w:val="auto"/>
          <w:lang w:val="en-US" w:eastAsia="zh-CN"/>
        </w:rPr>
        <w:t>四、财政拨款收入支出决算总体情况说明</w:t>
      </w:r>
      <w:bookmarkEnd w:id="17"/>
      <w:bookmarkEnd w:id="18"/>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年度财政拨款收入</w:t>
      </w:r>
      <w:r>
        <w:rPr>
          <w:rFonts w:ascii="仿宋_GB2312"/>
          <w:color w:val="auto"/>
          <w:szCs w:val="32"/>
        </w:rPr>
        <w:t>总计</w:t>
      </w:r>
      <w:r>
        <w:rPr>
          <w:rFonts w:hint="eastAsia" w:ascii="仿宋_GB2312"/>
          <w:color w:val="auto"/>
          <w:szCs w:val="32"/>
          <w:lang w:val="en-US" w:eastAsia="zh-CN"/>
        </w:rPr>
        <w:t>115.54</w:t>
      </w:r>
      <w:r>
        <w:rPr>
          <w:rFonts w:hint="eastAsia" w:ascii="仿宋_GB2312"/>
          <w:color w:val="auto"/>
          <w:szCs w:val="32"/>
        </w:rPr>
        <w:t>万元、支出总计</w:t>
      </w:r>
      <w:r>
        <w:rPr>
          <w:rFonts w:hint="eastAsia" w:ascii="仿宋_GB2312"/>
          <w:color w:val="auto"/>
          <w:szCs w:val="32"/>
          <w:lang w:val="en-US" w:eastAsia="zh-CN"/>
        </w:rPr>
        <w:t>115.54</w:t>
      </w:r>
      <w:r>
        <w:rPr>
          <w:rFonts w:hint="eastAsia" w:ascii="仿宋_GB2312"/>
          <w:color w:val="auto"/>
          <w:szCs w:val="32"/>
        </w:rPr>
        <w:t>万元。与20</w:t>
      </w:r>
      <w:r>
        <w:rPr>
          <w:rFonts w:hint="eastAsia" w:ascii="仿宋_GB2312"/>
          <w:color w:val="auto"/>
          <w:szCs w:val="32"/>
          <w:lang w:val="en-US" w:eastAsia="zh-CN"/>
        </w:rPr>
        <w:t>20</w:t>
      </w:r>
      <w:r>
        <w:rPr>
          <w:rFonts w:hint="eastAsia" w:ascii="仿宋_GB2312"/>
          <w:color w:val="auto"/>
          <w:szCs w:val="32"/>
        </w:rPr>
        <w:t>年相比，财政拨款收入总计减少</w:t>
      </w:r>
      <w:r>
        <w:rPr>
          <w:rFonts w:hint="eastAsia" w:ascii="仿宋_GB2312"/>
          <w:color w:val="auto"/>
          <w:szCs w:val="32"/>
          <w:lang w:val="en-US" w:eastAsia="zh-CN"/>
        </w:rPr>
        <w:t>45.94</w:t>
      </w:r>
      <w:r>
        <w:rPr>
          <w:rFonts w:hint="eastAsia" w:ascii="仿宋_GB2312"/>
          <w:color w:val="auto"/>
          <w:szCs w:val="32"/>
        </w:rPr>
        <w:t>万元，下降</w:t>
      </w:r>
      <w:r>
        <w:rPr>
          <w:rFonts w:hint="eastAsia" w:ascii="仿宋_GB2312"/>
          <w:color w:val="auto"/>
          <w:szCs w:val="32"/>
          <w:lang w:val="en-US" w:eastAsia="zh-CN"/>
        </w:rPr>
        <w:t>28.45</w:t>
      </w:r>
      <w:r>
        <w:rPr>
          <w:rFonts w:hint="eastAsia" w:ascii="仿宋_GB2312"/>
          <w:color w:val="auto"/>
          <w:szCs w:val="32"/>
        </w:rPr>
        <w:t>%，财政拨款支出总计减少</w:t>
      </w:r>
      <w:r>
        <w:rPr>
          <w:rFonts w:hint="eastAsia" w:ascii="仿宋_GB2312"/>
          <w:color w:val="auto"/>
          <w:szCs w:val="32"/>
          <w:lang w:val="en-US" w:eastAsia="zh-CN"/>
        </w:rPr>
        <w:t>45.94</w:t>
      </w:r>
      <w:r>
        <w:rPr>
          <w:rFonts w:hint="eastAsia" w:ascii="仿宋_GB2312"/>
          <w:color w:val="auto"/>
          <w:szCs w:val="32"/>
        </w:rPr>
        <w:t>万元，下降</w:t>
      </w:r>
      <w:r>
        <w:rPr>
          <w:rFonts w:hint="eastAsia" w:ascii="仿宋_GB2312"/>
          <w:color w:val="auto"/>
          <w:szCs w:val="32"/>
          <w:lang w:val="en-US" w:eastAsia="zh-CN"/>
        </w:rPr>
        <w:t>28.45</w:t>
      </w:r>
      <w:r>
        <w:rPr>
          <w:rFonts w:hint="eastAsia" w:ascii="仿宋_GB2312"/>
          <w:color w:val="auto"/>
          <w:szCs w:val="32"/>
        </w:rPr>
        <w:t>%。主要原因是项目审核未完成，无法支付。</w:t>
      </w:r>
    </w:p>
    <w:p>
      <w:pPr>
        <w:pStyle w:val="3"/>
        <w:rPr>
          <w:rFonts w:hint="eastAsia" w:ascii="仿宋" w:hAnsi="仿宋" w:eastAsia="仿宋" w:cs="仿宋"/>
          <w:b/>
          <w:bCs w:val="0"/>
          <w:color w:val="auto"/>
          <w:lang w:val="en-US" w:eastAsia="zh-CN"/>
        </w:rPr>
      </w:pPr>
      <w:bookmarkStart w:id="19" w:name="_Toc9341"/>
      <w:bookmarkStart w:id="20" w:name="_Toc6501"/>
      <w:r>
        <w:rPr>
          <w:rFonts w:hint="eastAsia" w:ascii="仿宋" w:hAnsi="仿宋" w:eastAsia="仿宋" w:cs="仿宋"/>
          <w:b/>
          <w:bCs w:val="0"/>
          <w:color w:val="auto"/>
          <w:lang w:val="en-US" w:eastAsia="zh-CN"/>
        </w:rPr>
        <w:t>五、一般公共预算财政拨款支出决算情况说明</w:t>
      </w:r>
      <w:bookmarkEnd w:id="19"/>
      <w:bookmarkEnd w:id="20"/>
    </w:p>
    <w:p>
      <w:pPr>
        <w:spacing w:line="580" w:lineRule="exact"/>
        <w:ind w:firstLine="643"/>
        <w:rPr>
          <w:rFonts w:hint="eastAsia" w:ascii="仿宋_GB2312"/>
          <w:b/>
          <w:color w:val="auto"/>
          <w:szCs w:val="32"/>
        </w:rPr>
      </w:pPr>
      <w:r>
        <w:rPr>
          <w:rFonts w:hint="eastAsia" w:ascii="仿宋_GB2312"/>
          <w:b/>
          <w:color w:val="auto"/>
          <w:szCs w:val="32"/>
        </w:rPr>
        <w:t>（一）财政拨款支出决算总体情况</w:t>
      </w:r>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年度财政拨款支出</w:t>
      </w:r>
      <w:r>
        <w:rPr>
          <w:rFonts w:hint="eastAsia" w:ascii="仿宋_GB2312"/>
          <w:color w:val="auto"/>
          <w:szCs w:val="32"/>
          <w:lang w:val="en-US" w:eastAsia="zh-CN"/>
        </w:rPr>
        <w:t>115.54</w:t>
      </w:r>
      <w:r>
        <w:rPr>
          <w:rFonts w:hint="eastAsia" w:ascii="仿宋_GB2312"/>
          <w:color w:val="auto"/>
          <w:szCs w:val="32"/>
        </w:rPr>
        <w:t>万元，占本年支出合计的</w:t>
      </w:r>
      <w:r>
        <w:rPr>
          <w:rFonts w:hint="eastAsia" w:ascii="仿宋_GB2312"/>
          <w:color w:val="auto"/>
          <w:szCs w:val="32"/>
          <w:lang w:val="en-US" w:eastAsia="zh-CN"/>
        </w:rPr>
        <w:t>100</w:t>
      </w:r>
      <w:r>
        <w:rPr>
          <w:rFonts w:hint="eastAsia" w:ascii="仿宋_GB2312"/>
          <w:color w:val="auto"/>
          <w:szCs w:val="32"/>
        </w:rPr>
        <w:t>%。与20</w:t>
      </w:r>
      <w:r>
        <w:rPr>
          <w:rFonts w:hint="eastAsia" w:ascii="仿宋_GB2312"/>
          <w:color w:val="auto"/>
          <w:szCs w:val="32"/>
          <w:lang w:val="en-US" w:eastAsia="zh-CN"/>
        </w:rPr>
        <w:t>20</w:t>
      </w:r>
      <w:r>
        <w:rPr>
          <w:rFonts w:hint="eastAsia" w:ascii="仿宋_GB2312"/>
          <w:color w:val="auto"/>
          <w:szCs w:val="32"/>
        </w:rPr>
        <w:t>年相比，财政拨款支出减少</w:t>
      </w:r>
      <w:r>
        <w:rPr>
          <w:rFonts w:hint="eastAsia" w:ascii="仿宋_GB2312"/>
          <w:color w:val="auto"/>
          <w:szCs w:val="32"/>
          <w:lang w:val="en-US" w:eastAsia="zh-CN"/>
        </w:rPr>
        <w:t>45.94</w:t>
      </w:r>
      <w:r>
        <w:rPr>
          <w:rFonts w:hint="eastAsia" w:ascii="仿宋_GB2312"/>
          <w:color w:val="auto"/>
          <w:szCs w:val="32"/>
        </w:rPr>
        <w:t>万元，下降</w:t>
      </w:r>
      <w:r>
        <w:rPr>
          <w:rFonts w:hint="eastAsia" w:ascii="仿宋_GB2312"/>
          <w:color w:val="auto"/>
          <w:szCs w:val="32"/>
          <w:lang w:val="en-US" w:eastAsia="zh-CN"/>
        </w:rPr>
        <w:t>28.45</w:t>
      </w:r>
      <w:r>
        <w:rPr>
          <w:rFonts w:hint="eastAsia" w:ascii="仿宋_GB2312"/>
          <w:color w:val="auto"/>
          <w:szCs w:val="32"/>
        </w:rPr>
        <w:t>%。主要原因是项目审核未完成，无法支付。</w:t>
      </w:r>
    </w:p>
    <w:p>
      <w:pPr>
        <w:spacing w:line="580" w:lineRule="exact"/>
        <w:ind w:firstLine="643"/>
        <w:rPr>
          <w:rFonts w:ascii="仿宋_GB2312"/>
          <w:b/>
          <w:color w:val="auto"/>
          <w:szCs w:val="32"/>
        </w:rPr>
      </w:pPr>
      <w:r>
        <w:rPr>
          <w:rFonts w:hint="eastAsia" w:ascii="仿宋_GB2312"/>
          <w:b/>
          <w:color w:val="auto"/>
          <w:szCs w:val="32"/>
        </w:rPr>
        <w:t>（二）财政拨款</w:t>
      </w:r>
      <w:r>
        <w:rPr>
          <w:rFonts w:ascii="仿宋_GB2312"/>
          <w:b/>
          <w:color w:val="auto"/>
          <w:szCs w:val="32"/>
        </w:rPr>
        <w:t>支出决算结构情况</w:t>
      </w:r>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财政拨款支出</w:t>
      </w:r>
      <w:r>
        <w:rPr>
          <w:rFonts w:hint="eastAsia" w:ascii="仿宋_GB2312"/>
          <w:color w:val="auto"/>
          <w:szCs w:val="32"/>
          <w:lang w:val="en-US" w:eastAsia="zh-CN"/>
        </w:rPr>
        <w:t>115.54</w:t>
      </w:r>
      <w:r>
        <w:rPr>
          <w:rFonts w:hint="eastAsia" w:ascii="仿宋_GB2312"/>
          <w:color w:val="auto"/>
          <w:szCs w:val="32"/>
        </w:rPr>
        <w:t>万元</w:t>
      </w:r>
      <w:r>
        <w:rPr>
          <w:rFonts w:ascii="仿宋_GB2312"/>
          <w:color w:val="auto"/>
          <w:szCs w:val="32"/>
        </w:rPr>
        <w:t>，主要用于以下方面：</w:t>
      </w:r>
      <w:r>
        <w:rPr>
          <w:rFonts w:ascii="仿宋_GB2312"/>
          <w:b/>
          <w:color w:val="auto"/>
          <w:szCs w:val="32"/>
        </w:rPr>
        <w:t>一般公共服务（</w:t>
      </w:r>
      <w:r>
        <w:rPr>
          <w:rFonts w:hint="eastAsia" w:ascii="仿宋_GB2312"/>
          <w:b/>
          <w:color w:val="auto"/>
          <w:szCs w:val="32"/>
        </w:rPr>
        <w:t>类</w:t>
      </w:r>
      <w:r>
        <w:rPr>
          <w:rFonts w:ascii="仿宋_GB2312"/>
          <w:b/>
          <w:color w:val="auto"/>
          <w:szCs w:val="32"/>
        </w:rPr>
        <w:t>）</w:t>
      </w:r>
      <w:r>
        <w:rPr>
          <w:rFonts w:hint="eastAsia" w:ascii="仿宋_GB2312"/>
          <w:color w:val="auto"/>
          <w:szCs w:val="32"/>
        </w:rPr>
        <w:t>支出</w:t>
      </w:r>
      <w:r>
        <w:rPr>
          <w:rFonts w:hint="eastAsia" w:ascii="仿宋_GB2312"/>
          <w:color w:val="auto"/>
          <w:szCs w:val="32"/>
          <w:lang w:val="en-US" w:eastAsia="zh-CN"/>
        </w:rPr>
        <w:t>115.54</w:t>
      </w:r>
      <w:r>
        <w:rPr>
          <w:rFonts w:hint="eastAsia" w:ascii="仿宋_GB2312"/>
          <w:color w:val="auto"/>
          <w:szCs w:val="32"/>
        </w:rPr>
        <w:t>万元</w:t>
      </w:r>
      <w:r>
        <w:rPr>
          <w:rFonts w:ascii="仿宋_GB2312"/>
          <w:color w:val="auto"/>
          <w:szCs w:val="32"/>
        </w:rPr>
        <w:t>，占</w:t>
      </w:r>
      <w:r>
        <w:rPr>
          <w:rFonts w:hint="eastAsia" w:ascii="仿宋_GB2312"/>
          <w:color w:val="auto"/>
          <w:szCs w:val="32"/>
          <w:lang w:val="en-US" w:eastAsia="zh-CN"/>
        </w:rPr>
        <w:t>100</w:t>
      </w:r>
      <w:r>
        <w:rPr>
          <w:rFonts w:ascii="仿宋_GB2312"/>
          <w:color w:val="auto"/>
          <w:szCs w:val="32"/>
        </w:rPr>
        <w:t>%；</w:t>
      </w:r>
    </w:p>
    <w:p>
      <w:pPr>
        <w:spacing w:line="580" w:lineRule="exact"/>
        <w:ind w:firstLine="643"/>
        <w:rPr>
          <w:rFonts w:hint="eastAsia" w:ascii="仿宋_GB2312"/>
          <w:b/>
          <w:color w:val="auto"/>
          <w:szCs w:val="32"/>
        </w:rPr>
      </w:pPr>
      <w:r>
        <w:rPr>
          <w:rFonts w:hint="eastAsia" w:ascii="仿宋_GB2312"/>
          <w:b/>
          <w:color w:val="auto"/>
          <w:szCs w:val="32"/>
        </w:rPr>
        <w:t>（三）财政拨款支出决算具体情况</w:t>
      </w:r>
    </w:p>
    <w:p>
      <w:pPr>
        <w:spacing w:line="580" w:lineRule="exact"/>
        <w:ind w:firstLine="640"/>
        <w:rPr>
          <w:rFonts w:hint="eastAsia" w:ascii="仿宋" w:hAnsi="仿宋" w:eastAsia="仿宋" w:cs="仿宋"/>
          <w:color w:val="auto"/>
          <w:sz w:val="32"/>
          <w:szCs w:val="32"/>
          <w:lang w:eastAsia="zh-CN"/>
        </w:rPr>
      </w:pPr>
      <w:r>
        <w:rPr>
          <w:rFonts w:hint="eastAsia"/>
          <w:color w:val="auto"/>
          <w:szCs w:val="32"/>
        </w:rPr>
        <w:t>2</w:t>
      </w:r>
      <w:r>
        <w:rPr>
          <w:color w:val="auto"/>
          <w:szCs w:val="32"/>
        </w:rPr>
        <w:t>02</w:t>
      </w:r>
      <w:r>
        <w:rPr>
          <w:rFonts w:hint="eastAsia"/>
          <w:color w:val="auto"/>
          <w:szCs w:val="32"/>
          <w:lang w:val="en-US" w:eastAsia="zh-CN"/>
        </w:rPr>
        <w:t>1</w:t>
      </w:r>
      <w:r>
        <w:rPr>
          <w:rFonts w:hint="eastAsia"/>
          <w:color w:val="auto"/>
          <w:szCs w:val="32"/>
        </w:rPr>
        <w:t>年度财政拨款支出年初预算</w:t>
      </w:r>
      <w:r>
        <w:rPr>
          <w:rFonts w:hint="eastAsia"/>
          <w:color w:val="auto"/>
          <w:szCs w:val="32"/>
          <w:lang w:val="en-US" w:eastAsia="zh-CN"/>
        </w:rPr>
        <w:t>110</w:t>
      </w:r>
      <w:r>
        <w:rPr>
          <w:rFonts w:hint="eastAsia"/>
          <w:color w:val="auto"/>
          <w:szCs w:val="32"/>
        </w:rPr>
        <w:t>万元，</w:t>
      </w:r>
      <w:r>
        <w:rPr>
          <w:rFonts w:hint="eastAsia"/>
          <w:color w:val="auto"/>
          <w:szCs w:val="32"/>
          <w:lang w:val="en-US" w:eastAsia="zh-CN"/>
        </w:rPr>
        <w:t>本年调整预算数115.54万元。</w:t>
      </w:r>
      <w:r>
        <w:rPr>
          <w:rFonts w:hint="eastAsia"/>
          <w:color w:val="auto"/>
          <w:szCs w:val="32"/>
        </w:rPr>
        <w:t>支出决算</w:t>
      </w:r>
      <w:r>
        <w:rPr>
          <w:rFonts w:hint="eastAsia"/>
          <w:color w:val="auto"/>
          <w:szCs w:val="32"/>
          <w:lang w:val="en-US" w:eastAsia="zh-CN"/>
        </w:rPr>
        <w:t>115.54</w:t>
      </w:r>
      <w:r>
        <w:rPr>
          <w:rFonts w:hint="eastAsia"/>
          <w:color w:val="auto"/>
          <w:szCs w:val="32"/>
        </w:rPr>
        <w:t>万元，完成</w:t>
      </w:r>
      <w:r>
        <w:rPr>
          <w:rFonts w:hint="eastAsia"/>
          <w:color w:val="auto"/>
          <w:szCs w:val="32"/>
          <w:lang w:val="en-US" w:eastAsia="zh-CN"/>
        </w:rPr>
        <w:t>本年调整</w:t>
      </w:r>
      <w:r>
        <w:rPr>
          <w:rFonts w:hint="eastAsia"/>
          <w:color w:val="auto"/>
          <w:szCs w:val="32"/>
        </w:rPr>
        <w:t>预算的</w:t>
      </w:r>
      <w:r>
        <w:rPr>
          <w:rFonts w:hint="eastAsia"/>
          <w:color w:val="auto"/>
          <w:szCs w:val="32"/>
          <w:lang w:val="en-US" w:eastAsia="zh-CN"/>
        </w:rPr>
        <w:t>100</w:t>
      </w:r>
      <w:r>
        <w:rPr>
          <w:color w:val="auto"/>
          <w:szCs w:val="32"/>
        </w:rPr>
        <w:t>%</w:t>
      </w:r>
      <w:r>
        <w:rPr>
          <w:rFonts w:hint="eastAsia"/>
          <w:color w:val="auto"/>
          <w:szCs w:val="32"/>
        </w:rPr>
        <w:t>。其中：</w:t>
      </w:r>
    </w:p>
    <w:p>
      <w:pPr>
        <w:numPr>
          <w:ilvl w:val="0"/>
          <w:numId w:val="0"/>
        </w:numPr>
        <w:ind w:firstLine="640" w:firstLineChars="200"/>
        <w:jc w:val="left"/>
        <w:rPr>
          <w:rFonts w:hint="eastAsia" w:ascii="仿宋" w:hAnsi="仿宋" w:eastAsia="仿宋" w:cs="仿宋"/>
          <w:color w:val="auto"/>
          <w:sz w:val="32"/>
          <w:szCs w:val="32"/>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1）</w:t>
      </w:r>
      <w:r>
        <w:rPr>
          <w:rFonts w:hint="eastAsia" w:ascii="仿宋" w:hAnsi="仿宋" w:eastAsia="仿宋" w:cs="仿宋"/>
          <w:color w:val="auto"/>
          <w:sz w:val="32"/>
          <w:szCs w:val="32"/>
        </w:rPr>
        <w:t>按功能科目分类</w:t>
      </w:r>
      <w:r>
        <w:rPr>
          <w:rFonts w:hint="eastAsia" w:ascii="仿宋" w:hAnsi="仿宋" w:eastAsia="仿宋" w:cs="仿宋"/>
          <w:color w:val="auto"/>
          <w:sz w:val="32"/>
          <w:szCs w:val="32"/>
          <w:lang w:val="en-US" w:eastAsia="zh-CN"/>
        </w:rPr>
        <w:t>对比</w:t>
      </w:r>
      <w:r>
        <w:rPr>
          <w:rFonts w:hint="eastAsia" w:ascii="仿宋" w:hAnsi="仿宋" w:eastAsia="仿宋" w:cs="仿宋"/>
          <w:color w:val="auto"/>
          <w:sz w:val="32"/>
          <w:szCs w:val="32"/>
        </w:rPr>
        <w:t>如下：</w:t>
      </w:r>
    </w:p>
    <w:p>
      <w:pPr>
        <w:jc w:val="left"/>
        <w:rPr>
          <w:rFonts w:hint="eastAsia" w:ascii="宋体" w:hAnsi="宋体" w:cs="Arial"/>
          <w:b/>
          <w:color w:val="auto"/>
          <w:kern w:val="0"/>
          <w:sz w:val="30"/>
          <w:szCs w:val="30"/>
        </w:rPr>
      </w:pPr>
      <w:r>
        <w:rPr>
          <w:rFonts w:hint="eastAsia" w:ascii="仿宋_GB2312" w:eastAsia="仿宋_GB2312"/>
          <w:color w:val="auto"/>
          <w:sz w:val="32"/>
          <w:szCs w:val="32"/>
        </w:rPr>
        <w:t xml:space="preserve"> </w:t>
      </w:r>
      <w:r>
        <w:rPr>
          <w:rFonts w:ascii="宋体" w:hAnsi="宋体" w:cs="Arial"/>
          <w:b/>
          <w:color w:val="auto"/>
          <w:kern w:val="0"/>
          <w:sz w:val="30"/>
          <w:szCs w:val="30"/>
        </w:rPr>
        <w:t>2</w:t>
      </w:r>
      <w:r>
        <w:rPr>
          <w:rFonts w:hint="eastAsia" w:ascii="宋体" w:hAnsi="宋体" w:cs="Arial"/>
          <w:b/>
          <w:color w:val="auto"/>
          <w:kern w:val="0"/>
          <w:sz w:val="30"/>
          <w:szCs w:val="30"/>
        </w:rPr>
        <w:t>0</w:t>
      </w:r>
      <w:r>
        <w:rPr>
          <w:rFonts w:hint="eastAsia" w:ascii="宋体" w:hAnsi="宋体" w:cs="Arial"/>
          <w:b/>
          <w:color w:val="auto"/>
          <w:kern w:val="0"/>
          <w:sz w:val="30"/>
          <w:szCs w:val="30"/>
          <w:lang w:val="en-US" w:eastAsia="zh-CN"/>
        </w:rPr>
        <w:t>21</w:t>
      </w:r>
      <w:r>
        <w:rPr>
          <w:rFonts w:hint="eastAsia" w:ascii="宋体" w:hAnsi="宋体" w:cs="Arial"/>
          <w:b/>
          <w:color w:val="auto"/>
          <w:kern w:val="0"/>
          <w:sz w:val="30"/>
          <w:szCs w:val="30"/>
        </w:rPr>
        <w:t>年度支出功能科目分类对比表    单位：</w:t>
      </w:r>
      <w:r>
        <w:rPr>
          <w:rFonts w:hint="eastAsia" w:ascii="宋体" w:hAnsi="宋体" w:cs="Arial"/>
          <w:b/>
          <w:color w:val="auto"/>
          <w:kern w:val="0"/>
          <w:sz w:val="30"/>
          <w:szCs w:val="30"/>
          <w:lang w:val="en-US" w:eastAsia="zh-CN"/>
        </w:rPr>
        <w:t>万</w:t>
      </w:r>
      <w:r>
        <w:rPr>
          <w:rFonts w:hint="eastAsia" w:ascii="宋体" w:hAnsi="宋体" w:cs="Arial"/>
          <w:b/>
          <w:color w:val="auto"/>
          <w:kern w:val="0"/>
          <w:sz w:val="30"/>
          <w:szCs w:val="30"/>
        </w:rPr>
        <w:t>元</w:t>
      </w:r>
    </w:p>
    <w:tbl>
      <w:tblPr>
        <w:tblStyle w:val="10"/>
        <w:tblW w:w="902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2479"/>
        <w:gridCol w:w="1571"/>
        <w:gridCol w:w="1608"/>
        <w:gridCol w:w="17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widowControl/>
              <w:ind w:left="0" w:leftChars="0" w:firstLine="0" w:firstLineChars="0"/>
              <w:jc w:val="both"/>
              <w:rPr>
                <w:rFonts w:hint="eastAsia" w:ascii="宋体" w:hAnsi="宋体" w:cs="Arial"/>
                <w:b/>
                <w:color w:val="auto"/>
                <w:kern w:val="0"/>
                <w:sz w:val="24"/>
                <w:szCs w:val="24"/>
              </w:rPr>
            </w:pPr>
            <w:r>
              <w:rPr>
                <w:rFonts w:hint="eastAsia" w:ascii="宋体" w:hAnsi="宋体" w:cs="Arial"/>
                <w:b/>
                <w:color w:val="auto"/>
                <w:kern w:val="0"/>
                <w:sz w:val="24"/>
                <w:szCs w:val="24"/>
              </w:rPr>
              <w:t>科目代码</w:t>
            </w:r>
          </w:p>
        </w:tc>
        <w:tc>
          <w:tcPr>
            <w:tcW w:w="2479" w:type="dxa"/>
            <w:vAlign w:val="top"/>
          </w:tcPr>
          <w:p>
            <w:pPr>
              <w:widowControl/>
              <w:jc w:val="both"/>
              <w:rPr>
                <w:rFonts w:hint="eastAsia" w:ascii="宋体" w:hAnsi="宋体" w:cs="Arial"/>
                <w:b/>
                <w:color w:val="auto"/>
                <w:kern w:val="0"/>
                <w:sz w:val="24"/>
                <w:szCs w:val="24"/>
              </w:rPr>
            </w:pPr>
            <w:r>
              <w:rPr>
                <w:rFonts w:hint="eastAsia" w:ascii="宋体" w:hAnsi="宋体" w:cs="Arial"/>
                <w:b/>
                <w:color w:val="auto"/>
                <w:kern w:val="0"/>
                <w:sz w:val="24"/>
                <w:szCs w:val="24"/>
              </w:rPr>
              <w:t>科目名称</w:t>
            </w:r>
          </w:p>
        </w:tc>
        <w:tc>
          <w:tcPr>
            <w:tcW w:w="1571" w:type="dxa"/>
            <w:vAlign w:val="top"/>
          </w:tcPr>
          <w:p>
            <w:pPr>
              <w:widowControl/>
              <w:jc w:val="left"/>
              <w:rPr>
                <w:rFonts w:hint="eastAsia" w:ascii="宋体" w:hAnsi="宋体" w:eastAsia="宋体" w:cs="Arial"/>
                <w:b/>
                <w:color w:val="auto"/>
                <w:kern w:val="0"/>
                <w:sz w:val="24"/>
                <w:szCs w:val="24"/>
                <w:lang w:val="en-US" w:eastAsia="zh-CN"/>
              </w:rPr>
            </w:pPr>
            <w:r>
              <w:rPr>
                <w:rFonts w:hint="eastAsia" w:ascii="宋体" w:hAnsi="宋体" w:cs="Arial"/>
                <w:b/>
                <w:color w:val="auto"/>
                <w:kern w:val="0"/>
                <w:sz w:val="24"/>
                <w:szCs w:val="24"/>
                <w:lang w:val="en-US" w:eastAsia="zh-CN"/>
              </w:rPr>
              <w:t>2020年</w:t>
            </w:r>
          </w:p>
        </w:tc>
        <w:tc>
          <w:tcPr>
            <w:tcW w:w="1608" w:type="dxa"/>
            <w:vAlign w:val="top"/>
          </w:tcPr>
          <w:p>
            <w:pPr>
              <w:widowControl/>
              <w:jc w:val="left"/>
              <w:rPr>
                <w:rFonts w:hint="default" w:ascii="宋体" w:hAnsi="宋体" w:eastAsia="宋体" w:cs="Arial"/>
                <w:b/>
                <w:color w:val="auto"/>
                <w:kern w:val="0"/>
                <w:sz w:val="24"/>
                <w:szCs w:val="24"/>
                <w:lang w:val="en-US" w:eastAsia="zh-CN"/>
              </w:rPr>
            </w:pPr>
            <w:r>
              <w:rPr>
                <w:rFonts w:hint="eastAsia" w:ascii="宋体" w:hAnsi="宋体" w:eastAsia="宋体" w:cs="Arial"/>
                <w:b/>
                <w:color w:val="auto"/>
                <w:kern w:val="0"/>
                <w:sz w:val="24"/>
                <w:szCs w:val="24"/>
                <w:lang w:val="en-US" w:eastAsia="zh-CN"/>
              </w:rPr>
              <w:t>2021年</w:t>
            </w:r>
          </w:p>
        </w:tc>
        <w:tc>
          <w:tcPr>
            <w:tcW w:w="1774" w:type="dxa"/>
            <w:vAlign w:val="top"/>
          </w:tcPr>
          <w:p>
            <w:pPr>
              <w:widowControl/>
              <w:ind w:left="0" w:leftChars="0" w:firstLine="0" w:firstLineChars="0"/>
              <w:jc w:val="left"/>
              <w:rPr>
                <w:rFonts w:hint="eastAsia" w:ascii="宋体" w:hAnsi="宋体" w:eastAsia="宋体" w:cs="Arial"/>
                <w:b/>
                <w:color w:val="auto"/>
                <w:kern w:val="0"/>
                <w:sz w:val="24"/>
                <w:szCs w:val="24"/>
                <w:lang w:eastAsia="zh-CN"/>
              </w:rPr>
            </w:pPr>
            <w:r>
              <w:rPr>
                <w:rFonts w:hint="eastAsia" w:ascii="宋体" w:hAnsi="宋体" w:cs="Arial"/>
                <w:b/>
                <w:color w:val="auto"/>
                <w:kern w:val="0"/>
                <w:sz w:val="24"/>
                <w:szCs w:val="24"/>
                <w:lang w:eastAsia="zh-CN"/>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588" w:type="dxa"/>
            <w:vAlign w:val="top"/>
          </w:tcPr>
          <w:p>
            <w:pPr>
              <w:jc w:val="center"/>
              <w:rPr>
                <w:rFonts w:hint="eastAsia" w:ascii="仿宋" w:hAnsi="仿宋" w:eastAsia="仿宋" w:cs="仿宋"/>
                <w:color w:val="auto"/>
                <w:sz w:val="24"/>
                <w:szCs w:val="24"/>
              </w:rPr>
            </w:pPr>
            <w:r>
              <w:rPr>
                <w:rFonts w:hint="eastAsia" w:ascii="仿宋" w:hAnsi="仿宋" w:eastAsia="仿宋" w:cs="仿宋"/>
                <w:color w:val="auto"/>
                <w:sz w:val="24"/>
                <w:szCs w:val="24"/>
              </w:rPr>
              <w:t>201</w:t>
            </w:r>
          </w:p>
        </w:tc>
        <w:tc>
          <w:tcPr>
            <w:tcW w:w="2479" w:type="dxa"/>
            <w:vAlign w:val="top"/>
          </w:tcPr>
          <w:p>
            <w:pPr>
              <w:ind w:left="0" w:leftChars="0" w:firstLine="0" w:firstLineChars="0"/>
              <w:jc w:val="center"/>
              <w:rPr>
                <w:rFonts w:hint="eastAsia" w:ascii="仿宋" w:hAnsi="仿宋" w:eastAsia="仿宋" w:cs="仿宋"/>
                <w:color w:val="auto"/>
                <w:sz w:val="24"/>
                <w:szCs w:val="24"/>
              </w:rPr>
            </w:pPr>
            <w:r>
              <w:rPr>
                <w:rFonts w:hint="eastAsia" w:ascii="仿宋" w:hAnsi="仿宋" w:eastAsia="仿宋" w:cs="仿宋"/>
                <w:color w:val="auto"/>
                <w:sz w:val="24"/>
                <w:szCs w:val="24"/>
              </w:rPr>
              <w:t>一般公共服务支出</w:t>
            </w:r>
          </w:p>
        </w:tc>
        <w:tc>
          <w:tcPr>
            <w:tcW w:w="1571" w:type="dxa"/>
            <w:vAlign w:val="center"/>
          </w:tcPr>
          <w:p>
            <w:pPr>
              <w:keepNext w:val="0"/>
              <w:keepLines w:val="0"/>
              <w:widowControl/>
              <w:suppressLineNumbers w:val="0"/>
              <w:jc w:val="right"/>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161.48</w:t>
            </w:r>
          </w:p>
        </w:tc>
        <w:tc>
          <w:tcPr>
            <w:tcW w:w="1608" w:type="dxa"/>
            <w:vAlign w:val="center"/>
          </w:tcPr>
          <w:p>
            <w:pPr>
              <w:keepNext w:val="0"/>
              <w:keepLines w:val="0"/>
              <w:widowControl/>
              <w:suppressLineNumbers w:val="0"/>
              <w:jc w:val="right"/>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115.54</w:t>
            </w:r>
          </w:p>
        </w:tc>
        <w:tc>
          <w:tcPr>
            <w:tcW w:w="1774" w:type="dxa"/>
            <w:vAlign w:val="top"/>
          </w:tcPr>
          <w:p>
            <w:pPr>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-28.45%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rPr>
              <w:t>201</w:t>
            </w:r>
            <w:r>
              <w:rPr>
                <w:rFonts w:hint="eastAsia" w:ascii="仿宋" w:hAnsi="仿宋" w:eastAsia="仿宋" w:cs="仿宋"/>
                <w:color w:val="auto"/>
                <w:sz w:val="24"/>
                <w:szCs w:val="24"/>
                <w:lang w:val="en-US" w:eastAsia="zh-CN"/>
              </w:rPr>
              <w:t>31</w:t>
            </w:r>
          </w:p>
        </w:tc>
        <w:tc>
          <w:tcPr>
            <w:tcW w:w="2479" w:type="dxa"/>
            <w:vAlign w:val="top"/>
          </w:tcPr>
          <w:p>
            <w:pPr>
              <w:ind w:firstLine="480" w:firstLineChars="200"/>
              <w:jc w:val="center"/>
              <w:rPr>
                <w:rFonts w:hint="eastAsia" w:ascii="仿宋" w:hAnsi="仿宋" w:eastAsia="仿宋" w:cs="仿宋"/>
                <w:color w:val="auto"/>
                <w:sz w:val="24"/>
                <w:szCs w:val="24"/>
              </w:rPr>
            </w:pPr>
            <w:r>
              <w:rPr>
                <w:rFonts w:hint="eastAsia" w:ascii="仿宋" w:hAnsi="仿宋" w:eastAsia="仿宋" w:cs="仿宋"/>
                <w:color w:val="auto"/>
                <w:sz w:val="24"/>
                <w:szCs w:val="24"/>
              </w:rPr>
              <w:t>党委办公厅（室）及相关机构事务</w:t>
            </w:r>
          </w:p>
        </w:tc>
        <w:tc>
          <w:tcPr>
            <w:tcW w:w="1571" w:type="dxa"/>
            <w:vAlign w:val="center"/>
          </w:tcPr>
          <w:p>
            <w:pPr>
              <w:keepNext w:val="0"/>
              <w:keepLines w:val="0"/>
              <w:widowControl/>
              <w:suppressLineNumbers w:val="0"/>
              <w:jc w:val="right"/>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161.48</w:t>
            </w:r>
          </w:p>
        </w:tc>
        <w:tc>
          <w:tcPr>
            <w:tcW w:w="1608" w:type="dxa"/>
            <w:vAlign w:val="center"/>
          </w:tcPr>
          <w:p>
            <w:pPr>
              <w:keepNext w:val="0"/>
              <w:keepLines w:val="0"/>
              <w:widowControl/>
              <w:suppressLineNumbers w:val="0"/>
              <w:jc w:val="right"/>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115.54</w:t>
            </w:r>
          </w:p>
        </w:tc>
        <w:tc>
          <w:tcPr>
            <w:tcW w:w="1774" w:type="dxa"/>
            <w:vAlign w:val="top"/>
          </w:tcPr>
          <w:p>
            <w:pPr>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-28.45%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ind w:left="0" w:leftChars="0" w:firstLine="0" w:firstLineChars="0"/>
              <w:jc w:val="center"/>
              <w:rPr>
                <w:rFonts w:hint="eastAsia" w:ascii="仿宋" w:hAnsi="仿宋" w:eastAsia="仿宋" w:cs="仿宋"/>
                <w:color w:val="auto"/>
                <w:sz w:val="24"/>
                <w:szCs w:val="24"/>
              </w:rPr>
            </w:pPr>
            <w:r>
              <w:rPr>
                <w:rFonts w:hint="eastAsia" w:ascii="仿宋" w:hAnsi="仿宋" w:eastAsia="仿宋" w:cs="仿宋"/>
                <w:color w:val="auto"/>
                <w:sz w:val="24"/>
                <w:szCs w:val="24"/>
              </w:rPr>
              <w:t>2010</w:t>
            </w:r>
            <w:r>
              <w:rPr>
                <w:rFonts w:hint="eastAsia" w:ascii="仿宋" w:hAnsi="仿宋" w:eastAsia="仿宋" w:cs="仿宋"/>
                <w:color w:val="auto"/>
                <w:sz w:val="24"/>
                <w:szCs w:val="24"/>
                <w:lang w:val="en-US" w:eastAsia="zh-CN"/>
              </w:rPr>
              <w:t>310</w:t>
            </w:r>
            <w:r>
              <w:rPr>
                <w:rFonts w:hint="eastAsia" w:ascii="仿宋" w:hAnsi="仿宋" w:eastAsia="仿宋" w:cs="仿宋"/>
                <w:color w:val="auto"/>
                <w:sz w:val="24"/>
                <w:szCs w:val="24"/>
              </w:rPr>
              <w:t>1</w:t>
            </w:r>
          </w:p>
        </w:tc>
        <w:tc>
          <w:tcPr>
            <w:tcW w:w="2479" w:type="dxa"/>
            <w:vAlign w:val="top"/>
          </w:tcPr>
          <w:p>
            <w:pPr>
              <w:jc w:val="center"/>
              <w:rPr>
                <w:rFonts w:hint="eastAsia" w:ascii="仿宋" w:hAnsi="仿宋" w:eastAsia="仿宋" w:cs="仿宋"/>
                <w:color w:val="auto"/>
                <w:sz w:val="24"/>
                <w:szCs w:val="24"/>
              </w:rPr>
            </w:pPr>
            <w:r>
              <w:rPr>
                <w:rFonts w:hint="eastAsia" w:ascii="仿宋" w:hAnsi="仿宋" w:eastAsia="仿宋" w:cs="仿宋"/>
                <w:color w:val="auto"/>
                <w:sz w:val="24"/>
                <w:szCs w:val="24"/>
              </w:rPr>
              <w:t>行政运行</w:t>
            </w:r>
          </w:p>
        </w:tc>
        <w:tc>
          <w:tcPr>
            <w:tcW w:w="1571" w:type="dxa"/>
            <w:vAlign w:val="center"/>
          </w:tcPr>
          <w:p>
            <w:pPr>
              <w:keepNext w:val="0"/>
              <w:keepLines w:val="0"/>
              <w:widowControl/>
              <w:suppressLineNumbers w:val="0"/>
              <w:jc w:val="right"/>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87.28</w:t>
            </w:r>
          </w:p>
        </w:tc>
        <w:tc>
          <w:tcPr>
            <w:tcW w:w="1608" w:type="dxa"/>
            <w:vAlign w:val="center"/>
          </w:tcPr>
          <w:p>
            <w:pPr>
              <w:keepNext w:val="0"/>
              <w:keepLines w:val="0"/>
              <w:widowControl/>
              <w:suppressLineNumbers w:val="0"/>
              <w:jc w:val="right"/>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100.58</w:t>
            </w:r>
          </w:p>
        </w:tc>
        <w:tc>
          <w:tcPr>
            <w:tcW w:w="1774" w:type="dxa"/>
            <w:vAlign w:val="top"/>
          </w:tcPr>
          <w:p>
            <w:pPr>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rPr>
              <w:t>201</w:t>
            </w:r>
            <w:r>
              <w:rPr>
                <w:rFonts w:hint="eastAsia" w:ascii="仿宋" w:hAnsi="仿宋" w:eastAsia="仿宋" w:cs="仿宋"/>
                <w:color w:val="auto"/>
                <w:sz w:val="24"/>
                <w:szCs w:val="24"/>
                <w:lang w:val="en-US" w:eastAsia="zh-CN"/>
              </w:rPr>
              <w:t>3150</w:t>
            </w:r>
          </w:p>
        </w:tc>
        <w:tc>
          <w:tcPr>
            <w:tcW w:w="2479" w:type="dxa"/>
            <w:vAlign w:val="top"/>
          </w:tcPr>
          <w:p>
            <w:pPr>
              <w:ind w:left="0" w:leftChars="0" w:firstLine="0" w:firstLineChars="0"/>
              <w:jc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事业运行</w:t>
            </w:r>
          </w:p>
        </w:tc>
        <w:tc>
          <w:tcPr>
            <w:tcW w:w="1571" w:type="dxa"/>
            <w:vAlign w:val="top"/>
          </w:tcPr>
          <w:p>
            <w:pPr>
              <w:jc w:val="righ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74.2</w:t>
            </w:r>
          </w:p>
        </w:tc>
        <w:tc>
          <w:tcPr>
            <w:tcW w:w="1608" w:type="dxa"/>
            <w:vAlign w:val="top"/>
          </w:tcPr>
          <w:p>
            <w:pPr>
              <w:ind w:firstLine="720" w:firstLineChars="300"/>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14.96</w:t>
            </w:r>
          </w:p>
        </w:tc>
        <w:tc>
          <w:tcPr>
            <w:tcW w:w="1774" w:type="dxa"/>
            <w:vAlign w:val="top"/>
          </w:tcPr>
          <w:p>
            <w:pPr>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-79.8%</w:t>
            </w:r>
          </w:p>
        </w:tc>
      </w:tr>
    </w:tbl>
    <w:p>
      <w:pPr>
        <w:numPr>
          <w:ilvl w:val="0"/>
          <w:numId w:val="2"/>
        </w:numPr>
        <w:ind w:firstLine="640" w:firstLineChars="200"/>
        <w:jc w:val="left"/>
        <w:rPr>
          <w:rFonts w:hint="eastAsia" w:ascii="仿宋" w:hAnsi="仿宋" w:eastAsia="仿宋" w:cs="仿宋"/>
          <w:color w:val="auto"/>
          <w:sz w:val="32"/>
          <w:szCs w:val="32"/>
        </w:rPr>
      </w:pPr>
      <w:r>
        <w:rPr>
          <w:rFonts w:hint="eastAsia" w:ascii="仿宋" w:hAnsi="仿宋" w:eastAsia="仿宋" w:cs="仿宋"/>
          <w:color w:val="auto"/>
          <w:sz w:val="32"/>
          <w:szCs w:val="32"/>
        </w:rPr>
        <w:t>按经济科目分类</w:t>
      </w:r>
      <w:r>
        <w:rPr>
          <w:rFonts w:hint="eastAsia" w:ascii="仿宋" w:hAnsi="仿宋" w:eastAsia="仿宋" w:cs="仿宋"/>
          <w:color w:val="auto"/>
          <w:sz w:val="32"/>
          <w:szCs w:val="32"/>
          <w:lang w:val="en-US" w:eastAsia="zh-CN"/>
        </w:rPr>
        <w:t>对比</w:t>
      </w:r>
      <w:r>
        <w:rPr>
          <w:rFonts w:hint="eastAsia" w:ascii="仿宋" w:hAnsi="仿宋" w:eastAsia="仿宋" w:cs="仿宋"/>
          <w:color w:val="auto"/>
          <w:sz w:val="32"/>
          <w:szCs w:val="32"/>
        </w:rPr>
        <w:t>如下：</w:t>
      </w:r>
    </w:p>
    <w:p>
      <w:pPr>
        <w:jc w:val="left"/>
        <w:rPr>
          <w:rFonts w:hint="eastAsia" w:ascii="仿宋" w:hAnsi="仿宋" w:eastAsia="仿宋" w:cs="仿宋"/>
          <w:color w:val="auto"/>
          <w:sz w:val="30"/>
          <w:szCs w:val="30"/>
        </w:rPr>
      </w:pPr>
      <w:r>
        <w:rPr>
          <w:rFonts w:hint="eastAsia" w:ascii="仿宋" w:hAnsi="仿宋" w:eastAsia="仿宋" w:cs="Arial"/>
          <w:b/>
          <w:color w:val="auto"/>
          <w:kern w:val="0"/>
          <w:sz w:val="30"/>
          <w:szCs w:val="30"/>
        </w:rPr>
        <w:t>20</w:t>
      </w:r>
      <w:r>
        <w:rPr>
          <w:rFonts w:hint="eastAsia" w:ascii="仿宋" w:hAnsi="仿宋" w:eastAsia="仿宋" w:cs="Arial"/>
          <w:b/>
          <w:color w:val="auto"/>
          <w:kern w:val="0"/>
          <w:sz w:val="30"/>
          <w:szCs w:val="30"/>
          <w:lang w:val="en-US" w:eastAsia="zh-CN"/>
        </w:rPr>
        <w:t>20</w:t>
      </w:r>
      <w:r>
        <w:rPr>
          <w:rFonts w:hint="eastAsia" w:ascii="仿宋" w:hAnsi="仿宋" w:eastAsia="仿宋" w:cs="Arial"/>
          <w:b/>
          <w:color w:val="auto"/>
          <w:kern w:val="0"/>
          <w:sz w:val="30"/>
          <w:szCs w:val="30"/>
        </w:rPr>
        <w:t xml:space="preserve">年度支出经济科目分类决算对比表  </w:t>
      </w:r>
      <w:r>
        <w:rPr>
          <w:rFonts w:hint="eastAsia" w:ascii="仿宋" w:hAnsi="仿宋" w:eastAsia="仿宋" w:cs="Arial"/>
          <w:b/>
          <w:color w:val="auto"/>
          <w:kern w:val="0"/>
          <w:sz w:val="30"/>
          <w:szCs w:val="30"/>
          <w:lang w:val="en-US" w:eastAsia="zh-CN"/>
        </w:rPr>
        <w:t xml:space="preserve"> </w:t>
      </w:r>
      <w:r>
        <w:rPr>
          <w:rFonts w:hint="eastAsia" w:ascii="仿宋" w:hAnsi="仿宋" w:eastAsia="仿宋" w:cs="Arial"/>
          <w:b/>
          <w:color w:val="auto"/>
          <w:kern w:val="0"/>
          <w:sz w:val="30"/>
          <w:szCs w:val="30"/>
        </w:rPr>
        <w:t xml:space="preserve">   单位：</w:t>
      </w:r>
      <w:r>
        <w:rPr>
          <w:rFonts w:hint="eastAsia" w:ascii="仿宋" w:hAnsi="仿宋" w:eastAsia="仿宋" w:cs="Arial"/>
          <w:b/>
          <w:color w:val="auto"/>
          <w:kern w:val="0"/>
          <w:sz w:val="30"/>
          <w:szCs w:val="30"/>
          <w:lang w:val="en-US" w:eastAsia="zh-CN"/>
        </w:rPr>
        <w:t>万</w:t>
      </w:r>
      <w:r>
        <w:rPr>
          <w:rFonts w:hint="eastAsia" w:ascii="仿宋" w:hAnsi="仿宋" w:eastAsia="仿宋" w:cs="Arial"/>
          <w:b/>
          <w:color w:val="auto"/>
          <w:kern w:val="0"/>
          <w:sz w:val="30"/>
          <w:szCs w:val="30"/>
        </w:rPr>
        <w:t>元</w:t>
      </w:r>
    </w:p>
    <w:tbl>
      <w:tblPr>
        <w:tblStyle w:val="10"/>
        <w:tblW w:w="874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6"/>
        <w:gridCol w:w="1837"/>
        <w:gridCol w:w="2071"/>
        <w:gridCol w:w="1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jc w:val="both"/>
              <w:rPr>
                <w:rFonts w:hint="eastAsia" w:ascii="仿宋" w:hAnsi="仿宋" w:eastAsia="仿宋" w:cs="仿宋"/>
                <w:b/>
                <w:color w:val="auto"/>
                <w:kern w:val="0"/>
                <w:sz w:val="28"/>
                <w:szCs w:val="28"/>
              </w:rPr>
            </w:pPr>
            <w:r>
              <w:rPr>
                <w:rFonts w:hint="eastAsia" w:ascii="仿宋" w:hAnsi="仿宋" w:eastAsia="仿宋" w:cs="仿宋"/>
                <w:b/>
                <w:color w:val="auto"/>
                <w:kern w:val="0"/>
                <w:sz w:val="28"/>
                <w:szCs w:val="28"/>
                <w:lang w:val="en-US" w:eastAsia="zh-CN"/>
              </w:rPr>
              <w:t>科目</w:t>
            </w:r>
            <w:r>
              <w:rPr>
                <w:rFonts w:hint="eastAsia" w:ascii="仿宋" w:hAnsi="仿宋" w:eastAsia="仿宋" w:cs="仿宋"/>
                <w:b/>
                <w:color w:val="auto"/>
                <w:kern w:val="0"/>
                <w:sz w:val="28"/>
                <w:szCs w:val="28"/>
              </w:rPr>
              <w:t>名称</w:t>
            </w:r>
          </w:p>
        </w:tc>
        <w:tc>
          <w:tcPr>
            <w:tcW w:w="1837" w:type="dxa"/>
            <w:vAlign w:val="top"/>
          </w:tcPr>
          <w:p>
            <w:pPr>
              <w:widowControl/>
              <w:jc w:val="left"/>
              <w:rPr>
                <w:rFonts w:hint="eastAsia" w:ascii="仿宋" w:hAnsi="仿宋" w:eastAsia="仿宋" w:cs="仿宋"/>
                <w:b/>
                <w:color w:val="auto"/>
                <w:kern w:val="0"/>
                <w:sz w:val="28"/>
                <w:szCs w:val="28"/>
              </w:rPr>
            </w:pPr>
            <w:r>
              <w:rPr>
                <w:rFonts w:hint="eastAsia" w:ascii="仿宋" w:hAnsi="仿宋" w:eastAsia="仿宋" w:cs="仿宋"/>
                <w:b/>
                <w:color w:val="auto"/>
                <w:kern w:val="0"/>
                <w:sz w:val="24"/>
                <w:szCs w:val="24"/>
                <w:lang w:val="en-US" w:eastAsia="zh-CN"/>
              </w:rPr>
              <w:t>2020年</w:t>
            </w:r>
          </w:p>
        </w:tc>
        <w:tc>
          <w:tcPr>
            <w:tcW w:w="2071" w:type="dxa"/>
            <w:vAlign w:val="top"/>
          </w:tcPr>
          <w:p>
            <w:pPr>
              <w:widowControl/>
              <w:jc w:val="left"/>
              <w:rPr>
                <w:rFonts w:hint="eastAsia" w:ascii="仿宋" w:hAnsi="仿宋" w:eastAsia="仿宋" w:cs="仿宋"/>
                <w:b/>
                <w:color w:val="auto"/>
                <w:kern w:val="0"/>
                <w:sz w:val="28"/>
                <w:szCs w:val="28"/>
              </w:rPr>
            </w:pPr>
            <w:r>
              <w:rPr>
                <w:rFonts w:hint="eastAsia" w:ascii="仿宋" w:hAnsi="仿宋" w:eastAsia="仿宋" w:cs="仿宋"/>
                <w:b/>
                <w:color w:val="auto"/>
                <w:kern w:val="0"/>
                <w:sz w:val="24"/>
                <w:szCs w:val="24"/>
                <w:lang w:val="en-US" w:eastAsia="zh-CN"/>
              </w:rPr>
              <w:t>2021年</w:t>
            </w:r>
          </w:p>
        </w:tc>
        <w:tc>
          <w:tcPr>
            <w:tcW w:w="1956" w:type="dxa"/>
            <w:vAlign w:val="top"/>
          </w:tcPr>
          <w:p>
            <w:pPr>
              <w:widowControl/>
              <w:jc w:val="left"/>
              <w:rPr>
                <w:rFonts w:hint="eastAsia" w:ascii="仿宋" w:hAnsi="仿宋" w:eastAsia="仿宋" w:cs="仿宋"/>
                <w:b/>
                <w:color w:val="auto"/>
                <w:kern w:val="0"/>
                <w:sz w:val="28"/>
                <w:szCs w:val="28"/>
                <w:lang w:val="en-US"/>
              </w:rPr>
            </w:pPr>
            <w:r>
              <w:rPr>
                <w:rFonts w:hint="eastAsia" w:ascii="仿宋" w:hAnsi="仿宋" w:eastAsia="仿宋" w:cs="仿宋"/>
                <w:b/>
                <w:color w:val="auto"/>
                <w:kern w:val="0"/>
                <w:sz w:val="24"/>
                <w:szCs w:val="24"/>
                <w:lang w:eastAsia="zh-CN"/>
              </w:rPr>
              <w:t>增减变化</w:t>
            </w:r>
            <w:r>
              <w:rPr>
                <w:rFonts w:hint="eastAsia" w:ascii="仿宋" w:hAnsi="仿宋" w:eastAsia="仿宋" w:cs="仿宋"/>
                <w:b/>
                <w:color w:val="auto"/>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3" w:hRule="atLeast"/>
        </w:trPr>
        <w:tc>
          <w:tcPr>
            <w:tcW w:w="2876" w:type="dxa"/>
            <w:vAlign w:val="center"/>
          </w:tcPr>
          <w:p>
            <w:pPr>
              <w:widowControl/>
              <w:jc w:val="both"/>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合  计</w:t>
            </w:r>
          </w:p>
        </w:tc>
        <w:tc>
          <w:tcPr>
            <w:tcW w:w="1837"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161.48</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115.54</w:t>
            </w:r>
          </w:p>
        </w:tc>
        <w:tc>
          <w:tcPr>
            <w:tcW w:w="1956"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-28.45%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工资福利支出</w:t>
            </w:r>
          </w:p>
        </w:tc>
        <w:tc>
          <w:tcPr>
            <w:tcW w:w="1837"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87.22</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88.58</w:t>
            </w:r>
          </w:p>
        </w:tc>
        <w:tc>
          <w:tcPr>
            <w:tcW w:w="1956"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商品服务支出</w:t>
            </w:r>
          </w:p>
        </w:tc>
        <w:tc>
          <w:tcPr>
            <w:tcW w:w="1837"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74.2</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26.9</w:t>
            </w:r>
          </w:p>
        </w:tc>
        <w:tc>
          <w:tcPr>
            <w:tcW w:w="1956"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-63.7%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ind w:left="0" w:leftChars="0" w:firstLine="0" w:firstLineChars="0"/>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对个人和家庭的补助</w:t>
            </w:r>
          </w:p>
        </w:tc>
        <w:tc>
          <w:tcPr>
            <w:tcW w:w="1837"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0.06</w:t>
            </w:r>
          </w:p>
        </w:tc>
        <w:tc>
          <w:tcPr>
            <w:tcW w:w="2071"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0.06</w:t>
            </w:r>
          </w:p>
        </w:tc>
        <w:tc>
          <w:tcPr>
            <w:tcW w:w="1956"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jc w:val="left"/>
              <w:rPr>
                <w:rFonts w:hint="eastAsia" w:ascii="仿宋" w:hAnsi="仿宋" w:eastAsia="仿宋" w:cs="仿宋"/>
                <w:b/>
                <w:bCs/>
                <w:color w:val="auto"/>
                <w:kern w:val="0"/>
                <w:sz w:val="28"/>
                <w:szCs w:val="28"/>
                <w:lang w:eastAsia="zh-CN"/>
              </w:rPr>
            </w:pPr>
            <w:r>
              <w:rPr>
                <w:rFonts w:hint="eastAsia" w:ascii="仿宋" w:hAnsi="仿宋" w:eastAsia="仿宋" w:cs="仿宋"/>
                <w:color w:val="auto"/>
                <w:kern w:val="0"/>
                <w:sz w:val="28"/>
                <w:szCs w:val="28"/>
                <w:lang w:val="en-US" w:eastAsia="zh-CN"/>
              </w:rPr>
              <w:t>资本性支出</w:t>
            </w:r>
          </w:p>
        </w:tc>
        <w:tc>
          <w:tcPr>
            <w:tcW w:w="1837" w:type="dxa"/>
            <w:vAlign w:val="center"/>
          </w:tcPr>
          <w:p>
            <w:pPr>
              <w:widowControl/>
              <w:jc w:val="righ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0</w:t>
            </w:r>
          </w:p>
        </w:tc>
        <w:tc>
          <w:tcPr>
            <w:tcW w:w="2071" w:type="dxa"/>
            <w:vAlign w:val="center"/>
          </w:tcPr>
          <w:p>
            <w:pPr>
              <w:keepNext w:val="0"/>
              <w:keepLines w:val="0"/>
              <w:widowControl/>
              <w:suppressLineNumbers w:val="0"/>
              <w:jc w:val="right"/>
              <w:textAlignment w:val="center"/>
              <w:rPr>
                <w:rFonts w:hint="eastAsia" w:ascii="仿宋" w:hAnsi="仿宋" w:eastAsia="仿宋" w:cs="仿宋"/>
                <w:color w:val="auto"/>
                <w:lang w:val="en-US" w:eastAsia="zh-CN"/>
              </w:rPr>
            </w:pPr>
            <w:r>
              <w:rPr>
                <w:rFonts w:hint="eastAsia" w:ascii="仿宋" w:hAnsi="仿宋" w:eastAsia="仿宋" w:cs="仿宋"/>
                <w:color w:val="auto"/>
                <w:lang w:val="en-US" w:eastAsia="zh-CN"/>
              </w:rPr>
              <w:t>0</w:t>
            </w:r>
          </w:p>
        </w:tc>
        <w:tc>
          <w:tcPr>
            <w:tcW w:w="1956" w:type="dxa"/>
            <w:vAlign w:val="center"/>
          </w:tcPr>
          <w:p>
            <w:pPr>
              <w:widowControl/>
              <w:jc w:val="right"/>
              <w:rPr>
                <w:rFonts w:hint="eastAsia" w:ascii="仿宋" w:hAnsi="仿宋" w:eastAsia="仿宋" w:cs="仿宋"/>
                <w:color w:val="auto"/>
                <w:kern w:val="0"/>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 w:hRule="atLeast"/>
        </w:trPr>
        <w:tc>
          <w:tcPr>
            <w:tcW w:w="2876" w:type="dxa"/>
            <w:vAlign w:val="center"/>
          </w:tcPr>
          <w:p>
            <w:pPr>
              <w:widowControl/>
              <w:ind w:firstLine="562" w:firstLineChars="200"/>
              <w:jc w:val="left"/>
              <w:rPr>
                <w:rFonts w:hint="eastAsia" w:ascii="仿宋" w:hAnsi="仿宋" w:eastAsia="仿宋" w:cs="仿宋"/>
                <w:b/>
                <w:bCs/>
                <w:color w:val="auto"/>
                <w:kern w:val="0"/>
                <w:sz w:val="28"/>
                <w:szCs w:val="28"/>
                <w:lang w:val="en-US" w:eastAsia="zh-CN"/>
              </w:rPr>
            </w:pPr>
          </w:p>
        </w:tc>
        <w:tc>
          <w:tcPr>
            <w:tcW w:w="1837" w:type="dxa"/>
            <w:vAlign w:val="center"/>
          </w:tcPr>
          <w:p>
            <w:pPr>
              <w:widowControl/>
              <w:jc w:val="right"/>
              <w:rPr>
                <w:rFonts w:hint="eastAsia" w:ascii="仿宋" w:hAnsi="仿宋" w:eastAsia="仿宋" w:cs="仿宋"/>
                <w:color w:val="auto"/>
                <w:kern w:val="0"/>
                <w:sz w:val="28"/>
                <w:szCs w:val="28"/>
              </w:rPr>
            </w:pPr>
          </w:p>
        </w:tc>
        <w:tc>
          <w:tcPr>
            <w:tcW w:w="2071" w:type="dxa"/>
            <w:vAlign w:val="center"/>
          </w:tcPr>
          <w:p>
            <w:pPr>
              <w:keepNext w:val="0"/>
              <w:keepLines w:val="0"/>
              <w:widowControl/>
              <w:suppressLineNumbers w:val="0"/>
              <w:jc w:val="right"/>
              <w:textAlignment w:val="center"/>
              <w:rPr>
                <w:rFonts w:hint="eastAsia" w:ascii="仿宋" w:hAnsi="仿宋" w:eastAsia="仿宋" w:cs="仿宋"/>
                <w:color w:val="auto"/>
                <w:lang w:val="en-US" w:eastAsia="zh-CN"/>
              </w:rPr>
            </w:pPr>
          </w:p>
        </w:tc>
        <w:tc>
          <w:tcPr>
            <w:tcW w:w="1956" w:type="dxa"/>
            <w:vAlign w:val="center"/>
          </w:tcPr>
          <w:p>
            <w:pPr>
              <w:widowControl/>
              <w:jc w:val="right"/>
              <w:rPr>
                <w:rFonts w:hint="eastAsia" w:ascii="仿宋" w:hAnsi="仿宋" w:eastAsia="仿宋" w:cs="仿宋"/>
                <w:color w:val="auto"/>
                <w:kern w:val="0"/>
                <w:sz w:val="28"/>
                <w:szCs w:val="28"/>
                <w:lang w:val="en-US" w:eastAsia="zh-CN"/>
              </w:rPr>
            </w:pPr>
          </w:p>
        </w:tc>
      </w:tr>
    </w:tbl>
    <w:p>
      <w:pPr>
        <w:spacing w:line="580" w:lineRule="exact"/>
        <w:ind w:left="0" w:leftChars="0" w:firstLine="0" w:firstLineChars="0"/>
        <w:rPr>
          <w:rFonts w:hint="eastAsia"/>
          <w:color w:val="auto"/>
          <w:szCs w:val="32"/>
        </w:rPr>
      </w:pPr>
    </w:p>
    <w:p>
      <w:pPr>
        <w:pStyle w:val="3"/>
        <w:rPr>
          <w:rFonts w:hint="eastAsia" w:ascii="仿宋" w:hAnsi="仿宋" w:eastAsia="仿宋" w:cs="仿宋"/>
          <w:b/>
          <w:bCs w:val="0"/>
          <w:color w:val="auto"/>
          <w:lang w:val="en-US" w:eastAsia="zh-CN"/>
        </w:rPr>
      </w:pPr>
      <w:bookmarkStart w:id="21" w:name="_Toc841"/>
      <w:bookmarkStart w:id="22" w:name="_Toc17728"/>
      <w:r>
        <w:rPr>
          <w:rFonts w:hint="eastAsia" w:ascii="仿宋" w:hAnsi="仿宋" w:eastAsia="仿宋" w:cs="仿宋"/>
          <w:b/>
          <w:bCs w:val="0"/>
          <w:color w:val="auto"/>
          <w:lang w:val="en-US" w:eastAsia="zh-CN"/>
        </w:rPr>
        <w:t>六、一般公共预算财政拨款基本支出决算情况说明</w:t>
      </w:r>
      <w:bookmarkEnd w:id="21"/>
      <w:bookmarkEnd w:id="22"/>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w:t>
      </w:r>
      <w:r>
        <w:rPr>
          <w:rFonts w:hint="eastAsia" w:ascii="仿宋_GB2312"/>
          <w:color w:val="auto"/>
          <w:szCs w:val="32"/>
        </w:rPr>
        <w:t>基本</w:t>
      </w:r>
      <w:r>
        <w:rPr>
          <w:rFonts w:ascii="仿宋_GB2312"/>
          <w:color w:val="auto"/>
          <w:szCs w:val="32"/>
        </w:rPr>
        <w:t>支出</w:t>
      </w:r>
      <w:r>
        <w:rPr>
          <w:rFonts w:hint="eastAsia" w:ascii="仿宋_GB2312"/>
          <w:color w:val="auto"/>
          <w:szCs w:val="32"/>
          <w:lang w:val="en-US" w:eastAsia="zh-CN"/>
        </w:rPr>
        <w:t>115.54</w:t>
      </w:r>
      <w:r>
        <w:rPr>
          <w:rFonts w:hint="eastAsia" w:ascii="仿宋_GB2312"/>
          <w:color w:val="auto"/>
          <w:szCs w:val="32"/>
        </w:rPr>
        <w:t>万元</w:t>
      </w:r>
      <w:r>
        <w:rPr>
          <w:rFonts w:ascii="仿宋_GB2312"/>
          <w:color w:val="auto"/>
          <w:szCs w:val="32"/>
        </w:rPr>
        <w:t>，其中</w:t>
      </w:r>
      <w:r>
        <w:rPr>
          <w:rFonts w:hint="eastAsia" w:ascii="仿宋_GB2312"/>
          <w:color w:val="auto"/>
          <w:szCs w:val="32"/>
        </w:rPr>
        <w:t>：人员</w:t>
      </w:r>
      <w:r>
        <w:rPr>
          <w:rFonts w:ascii="仿宋_GB2312"/>
          <w:color w:val="auto"/>
          <w:szCs w:val="32"/>
        </w:rPr>
        <w:t>经费</w:t>
      </w:r>
      <w:r>
        <w:rPr>
          <w:rFonts w:hint="eastAsia" w:ascii="仿宋_GB2312"/>
          <w:color w:val="auto"/>
          <w:szCs w:val="32"/>
          <w:lang w:val="en-US" w:eastAsia="zh-CN"/>
        </w:rPr>
        <w:t>88.58</w:t>
      </w:r>
      <w:r>
        <w:rPr>
          <w:rFonts w:hint="eastAsia" w:ascii="仿宋_GB2312"/>
          <w:color w:val="auto"/>
          <w:szCs w:val="32"/>
        </w:rPr>
        <w:t>万元</w:t>
      </w:r>
      <w:r>
        <w:rPr>
          <w:rFonts w:ascii="仿宋_GB2312"/>
          <w:color w:val="auto"/>
          <w:szCs w:val="32"/>
        </w:rPr>
        <w:t>，</w:t>
      </w:r>
      <w:r>
        <w:rPr>
          <w:rFonts w:hint="eastAsia" w:ascii="仿宋_GB2312"/>
          <w:color w:val="auto"/>
          <w:szCs w:val="32"/>
        </w:rPr>
        <w:t>主要</w:t>
      </w:r>
      <w:r>
        <w:rPr>
          <w:rFonts w:ascii="仿宋_GB2312"/>
          <w:color w:val="auto"/>
          <w:szCs w:val="32"/>
        </w:rPr>
        <w:t>包括</w:t>
      </w:r>
      <w:r>
        <w:rPr>
          <w:rFonts w:hint="eastAsia" w:ascii="仿宋_GB2312"/>
          <w:color w:val="auto"/>
          <w:szCs w:val="32"/>
          <w:lang w:val="en-US" w:eastAsia="zh-CN"/>
        </w:rPr>
        <w:t>基本工资37.08万元，津贴补贴21.89万元，奖金2.34万元，绩效6.98万元，养老保险10.7万元，医疗保险4.62，住房公积金4.83万元，工伤保险0.14万元</w:t>
      </w:r>
      <w:r>
        <w:rPr>
          <w:rFonts w:ascii="仿宋_GB2312"/>
          <w:color w:val="auto"/>
          <w:szCs w:val="32"/>
        </w:rPr>
        <w:t>；</w:t>
      </w:r>
      <w:r>
        <w:rPr>
          <w:rFonts w:hint="eastAsia" w:ascii="仿宋_GB2312"/>
          <w:color w:val="auto"/>
          <w:szCs w:val="32"/>
        </w:rPr>
        <w:t>公用</w:t>
      </w:r>
      <w:r>
        <w:rPr>
          <w:rFonts w:ascii="仿宋_GB2312"/>
          <w:color w:val="auto"/>
          <w:szCs w:val="32"/>
        </w:rPr>
        <w:t>经费</w:t>
      </w:r>
      <w:r>
        <w:rPr>
          <w:rFonts w:hint="eastAsia" w:ascii="仿宋_GB2312"/>
          <w:color w:val="auto"/>
          <w:szCs w:val="32"/>
          <w:lang w:val="en-US" w:eastAsia="zh-CN"/>
        </w:rPr>
        <w:t>11.93</w:t>
      </w:r>
      <w:r>
        <w:rPr>
          <w:rFonts w:hint="eastAsia" w:ascii="仿宋_GB2312"/>
          <w:color w:val="auto"/>
          <w:szCs w:val="32"/>
        </w:rPr>
        <w:t>万元</w:t>
      </w:r>
      <w:r>
        <w:rPr>
          <w:rFonts w:ascii="仿宋_GB2312"/>
          <w:color w:val="auto"/>
          <w:szCs w:val="32"/>
        </w:rPr>
        <w:t>，主要包括</w:t>
      </w:r>
      <w:r>
        <w:rPr>
          <w:rFonts w:hint="eastAsia" w:ascii="仿宋_GB2312"/>
          <w:color w:val="auto"/>
          <w:szCs w:val="32"/>
          <w:lang w:val="en-US" w:eastAsia="zh-CN"/>
        </w:rPr>
        <w:t>办公费4.2万元，工会费0.82万元，福利费2.37万元，其他交通费4.54万元</w:t>
      </w:r>
      <w:r>
        <w:rPr>
          <w:rFonts w:ascii="仿宋_GB2312"/>
          <w:color w:val="auto"/>
          <w:szCs w:val="32"/>
        </w:rPr>
        <w:t>。</w:t>
      </w: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w:t>
      </w:r>
      <w:r>
        <w:rPr>
          <w:rFonts w:hint="eastAsia" w:ascii="仿宋_GB2312"/>
          <w:color w:val="auto"/>
          <w:szCs w:val="32"/>
          <w:lang w:val="en-US" w:eastAsia="zh-CN"/>
        </w:rPr>
        <w:t>项目</w:t>
      </w:r>
      <w:r>
        <w:rPr>
          <w:rFonts w:ascii="仿宋_GB2312"/>
          <w:color w:val="auto"/>
          <w:szCs w:val="32"/>
        </w:rPr>
        <w:t>支出</w:t>
      </w:r>
      <w:r>
        <w:rPr>
          <w:rFonts w:hint="eastAsia" w:ascii="仿宋_GB2312"/>
          <w:color w:val="auto"/>
          <w:szCs w:val="32"/>
          <w:lang w:val="en-US" w:eastAsia="zh-CN"/>
        </w:rPr>
        <w:t>115.54</w:t>
      </w:r>
      <w:r>
        <w:rPr>
          <w:rFonts w:hint="eastAsia" w:ascii="仿宋_GB2312"/>
          <w:color w:val="auto"/>
          <w:szCs w:val="32"/>
        </w:rPr>
        <w:t>万元</w:t>
      </w:r>
      <w:r>
        <w:rPr>
          <w:rFonts w:hint="eastAsia" w:ascii="仿宋_GB2312"/>
          <w:color w:val="auto"/>
          <w:szCs w:val="32"/>
          <w:lang w:eastAsia="zh-CN"/>
        </w:rPr>
        <w:t>。</w:t>
      </w:r>
    </w:p>
    <w:p>
      <w:pPr>
        <w:pStyle w:val="3"/>
        <w:rPr>
          <w:rFonts w:hint="eastAsia" w:ascii="仿宋" w:hAnsi="仿宋" w:eastAsia="仿宋" w:cs="仿宋"/>
          <w:b/>
          <w:bCs w:val="0"/>
          <w:color w:val="auto"/>
          <w:lang w:val="en-US" w:eastAsia="zh-CN"/>
        </w:rPr>
      </w:pPr>
      <w:bookmarkStart w:id="23" w:name="_Toc26508"/>
      <w:bookmarkStart w:id="24" w:name="_Toc2304"/>
      <w:r>
        <w:rPr>
          <w:rFonts w:hint="eastAsia" w:ascii="仿宋" w:hAnsi="仿宋" w:eastAsia="仿宋" w:cs="仿宋"/>
          <w:b/>
          <w:bCs w:val="0"/>
          <w:color w:val="auto"/>
          <w:lang w:val="en-US" w:eastAsia="zh-CN"/>
        </w:rPr>
        <w:t>七、一般公共预算财政拨款“三公”经费支出决算情况说明</w:t>
      </w:r>
      <w:bookmarkEnd w:id="23"/>
      <w:bookmarkEnd w:id="24"/>
    </w:p>
    <w:p>
      <w:pPr>
        <w:spacing w:line="580" w:lineRule="exact"/>
        <w:ind w:firstLine="640"/>
        <w:rPr>
          <w:rFonts w:hint="eastAsia"/>
          <w:b w:val="0"/>
          <w:bCs/>
          <w:color w:val="auto"/>
          <w:szCs w:val="32"/>
        </w:rPr>
      </w:pPr>
      <w:r>
        <w:rPr>
          <w:rFonts w:hint="eastAsia"/>
          <w:b w:val="0"/>
          <w:bCs/>
          <w:color w:val="auto"/>
          <w:szCs w:val="32"/>
          <w:lang w:val="en-US" w:eastAsia="zh-CN"/>
        </w:rPr>
        <w:t>本单位</w:t>
      </w:r>
      <w:r>
        <w:rPr>
          <w:rFonts w:hint="eastAsia"/>
          <w:b w:val="0"/>
          <w:bCs/>
          <w:color w:val="auto"/>
          <w:szCs w:val="32"/>
        </w:rPr>
        <w:t>无三公经费</w:t>
      </w:r>
    </w:p>
    <w:p>
      <w:pPr>
        <w:pStyle w:val="3"/>
        <w:rPr>
          <w:rFonts w:hint="eastAsia" w:ascii="仿宋" w:hAnsi="仿宋" w:eastAsia="仿宋" w:cs="仿宋"/>
          <w:b/>
          <w:bCs w:val="0"/>
          <w:color w:val="auto"/>
          <w:lang w:val="en-US" w:eastAsia="zh-CN"/>
        </w:rPr>
      </w:pPr>
      <w:bookmarkStart w:id="25" w:name="_Toc9078"/>
      <w:bookmarkStart w:id="26" w:name="_Toc1792"/>
      <w:r>
        <w:rPr>
          <w:rFonts w:hint="eastAsia" w:ascii="仿宋" w:hAnsi="仿宋" w:eastAsia="仿宋" w:cs="仿宋"/>
          <w:b/>
          <w:bCs w:val="0"/>
          <w:color w:val="auto"/>
          <w:lang w:val="en-US" w:eastAsia="zh-CN"/>
        </w:rPr>
        <w:t>八、其他重要事项情况说明</w:t>
      </w:r>
      <w:bookmarkEnd w:id="25"/>
      <w:bookmarkEnd w:id="26"/>
    </w:p>
    <w:p>
      <w:pPr>
        <w:rPr>
          <w:rFonts w:hint="eastAsia"/>
          <w:b/>
          <w:bCs/>
          <w:color w:val="auto"/>
        </w:rPr>
      </w:pPr>
      <w:bookmarkStart w:id="27" w:name="_Toc23407"/>
      <w:r>
        <w:rPr>
          <w:rFonts w:hint="eastAsia"/>
          <w:b/>
          <w:bCs/>
          <w:color w:val="auto"/>
        </w:rPr>
        <w:t>（一）机关运行经费支出情况说明</w:t>
      </w:r>
      <w:bookmarkEnd w:id="27"/>
    </w:p>
    <w:p>
      <w:pPr>
        <w:spacing w:line="580" w:lineRule="exact"/>
        <w:ind w:firstLine="640"/>
        <w:rPr>
          <w:rFonts w:hint="eastAsia"/>
          <w:b/>
          <w:color w:val="auto"/>
          <w:szCs w:val="32"/>
        </w:rPr>
      </w:pPr>
      <w:r>
        <w:rPr>
          <w:rFonts w:hint="eastAsia"/>
          <w:b/>
          <w:color w:val="auto"/>
          <w:szCs w:val="32"/>
          <w:lang w:val="en-US" w:eastAsia="zh-CN"/>
        </w:rPr>
        <w:t>本单位</w:t>
      </w:r>
      <w:r>
        <w:rPr>
          <w:rFonts w:hint="eastAsia"/>
          <w:b/>
          <w:color w:val="auto"/>
          <w:szCs w:val="32"/>
        </w:rPr>
        <w:t>无机关运行经费。</w:t>
      </w:r>
    </w:p>
    <w:p>
      <w:pPr>
        <w:rPr>
          <w:rFonts w:hint="eastAsia"/>
          <w:b/>
          <w:bCs/>
          <w:color w:val="auto"/>
        </w:rPr>
      </w:pPr>
      <w:bookmarkStart w:id="28" w:name="_Toc16103"/>
      <w:r>
        <w:rPr>
          <w:rFonts w:hint="eastAsia"/>
          <w:b/>
          <w:bCs/>
          <w:color w:val="auto"/>
        </w:rPr>
        <w:t>（二）政府采购情况说明</w:t>
      </w:r>
      <w:bookmarkEnd w:id="28"/>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年度，政府采购支出总额</w:t>
      </w:r>
      <w:r>
        <w:rPr>
          <w:rFonts w:hint="eastAsia" w:ascii="仿宋_GB2312"/>
          <w:color w:val="auto"/>
          <w:szCs w:val="32"/>
          <w:lang w:val="en-US" w:eastAsia="zh-CN"/>
        </w:rPr>
        <w:t>26.9</w:t>
      </w:r>
      <w:r>
        <w:rPr>
          <w:rFonts w:hint="eastAsia" w:ascii="仿宋_GB2312"/>
          <w:color w:val="auto"/>
          <w:szCs w:val="32"/>
        </w:rPr>
        <w:t>万元，其中：政府采购货物支出</w:t>
      </w:r>
      <w:r>
        <w:rPr>
          <w:rFonts w:hint="eastAsia" w:ascii="仿宋_GB2312"/>
          <w:color w:val="auto"/>
          <w:szCs w:val="32"/>
          <w:lang w:val="en-US" w:eastAsia="zh-CN"/>
        </w:rPr>
        <w:t>26.9</w:t>
      </w:r>
      <w:r>
        <w:rPr>
          <w:rFonts w:hint="eastAsia" w:ascii="仿宋_GB2312"/>
          <w:color w:val="auto"/>
          <w:szCs w:val="32"/>
        </w:rPr>
        <w:t>万元</w:t>
      </w:r>
      <w:r>
        <w:rPr>
          <w:rFonts w:hint="eastAsia" w:ascii="仿宋_GB2312"/>
          <w:color w:val="auto"/>
          <w:szCs w:val="32"/>
          <w:lang w:eastAsia="zh-CN"/>
        </w:rPr>
        <w:t>。</w:t>
      </w:r>
      <w:r>
        <w:rPr>
          <w:rFonts w:hint="eastAsia" w:ascii="仿宋_GB2312"/>
          <w:color w:val="auto"/>
          <w:szCs w:val="32"/>
        </w:rPr>
        <w:t>政府采购授予中小企业合同金额</w:t>
      </w:r>
      <w:r>
        <w:rPr>
          <w:rFonts w:hint="eastAsia" w:ascii="仿宋_GB2312"/>
          <w:color w:val="auto"/>
          <w:szCs w:val="32"/>
          <w:lang w:val="en-US" w:eastAsia="zh-CN"/>
        </w:rPr>
        <w:t>26.9</w:t>
      </w:r>
      <w:r>
        <w:rPr>
          <w:rFonts w:hint="eastAsia" w:ascii="仿宋_GB2312"/>
          <w:color w:val="auto"/>
          <w:szCs w:val="32"/>
        </w:rPr>
        <w:t>万元，占政府采购支出总额的</w:t>
      </w:r>
      <w:r>
        <w:rPr>
          <w:rFonts w:hint="eastAsia" w:ascii="仿宋_GB2312"/>
          <w:color w:val="auto"/>
          <w:szCs w:val="32"/>
          <w:lang w:val="en-US" w:eastAsia="zh-CN"/>
        </w:rPr>
        <w:t>100</w:t>
      </w:r>
      <w:r>
        <w:rPr>
          <w:rFonts w:ascii="仿宋_GB2312"/>
          <w:color w:val="auto"/>
          <w:szCs w:val="32"/>
        </w:rPr>
        <w:t>%</w:t>
      </w:r>
      <w:r>
        <w:rPr>
          <w:rFonts w:hint="eastAsia" w:ascii="仿宋_GB2312"/>
          <w:color w:val="auto"/>
          <w:szCs w:val="32"/>
        </w:rPr>
        <w:t>。其中：授予小微企业合同金额</w:t>
      </w:r>
      <w:r>
        <w:rPr>
          <w:rFonts w:hint="eastAsia" w:ascii="仿宋_GB2312"/>
          <w:color w:val="auto"/>
          <w:szCs w:val="32"/>
          <w:lang w:val="en-US" w:eastAsia="zh-CN"/>
        </w:rPr>
        <w:t>26.9</w:t>
      </w:r>
      <w:r>
        <w:rPr>
          <w:rFonts w:hint="eastAsia" w:ascii="仿宋_GB2312"/>
          <w:color w:val="auto"/>
          <w:szCs w:val="32"/>
        </w:rPr>
        <w:t>万元，占政府采购支出总额的</w:t>
      </w:r>
      <w:r>
        <w:rPr>
          <w:rFonts w:hint="eastAsia" w:ascii="仿宋_GB2312"/>
          <w:color w:val="auto"/>
          <w:szCs w:val="32"/>
          <w:lang w:val="en-US" w:eastAsia="zh-CN"/>
        </w:rPr>
        <w:t>100</w:t>
      </w:r>
      <w:r>
        <w:rPr>
          <w:rFonts w:ascii="仿宋_GB2312"/>
          <w:color w:val="auto"/>
          <w:szCs w:val="32"/>
        </w:rPr>
        <w:t>%</w:t>
      </w:r>
      <w:r>
        <w:rPr>
          <w:rFonts w:hint="eastAsia" w:ascii="仿宋_GB2312"/>
          <w:color w:val="auto"/>
          <w:szCs w:val="32"/>
          <w:lang w:eastAsia="zh-CN"/>
        </w:rPr>
        <w:t>。</w:t>
      </w:r>
    </w:p>
    <w:p>
      <w:pPr>
        <w:rPr>
          <w:rFonts w:hint="eastAsia"/>
          <w:b/>
          <w:bCs/>
          <w:color w:val="auto"/>
        </w:rPr>
      </w:pPr>
      <w:bookmarkStart w:id="29" w:name="_Toc19975"/>
      <w:r>
        <w:rPr>
          <w:rFonts w:hint="eastAsia"/>
          <w:b/>
          <w:bCs/>
          <w:color w:val="auto"/>
        </w:rPr>
        <w:t>（三）国有资产占用情况说明</w:t>
      </w:r>
      <w:bookmarkEnd w:id="29"/>
    </w:p>
    <w:p>
      <w:pPr>
        <w:ind w:firstLine="636"/>
        <w:rPr>
          <w:rFonts w:hint="eastAsia" w:ascii="仿宋_GB2312" w:hAnsi="仿宋" w:eastAsia="仿宋_GB2312"/>
          <w:color w:val="auto"/>
          <w:sz w:val="32"/>
          <w:szCs w:val="32"/>
        </w:rPr>
      </w:pPr>
      <w:r>
        <w:rPr>
          <w:rFonts w:hint="eastAsia" w:ascii="仿宋_GB2312" w:hAnsi="仿宋" w:eastAsia="仿宋_GB2312"/>
          <w:color w:val="auto"/>
          <w:sz w:val="32"/>
          <w:szCs w:val="32"/>
        </w:rPr>
        <w:t>1、车辆情况；</w:t>
      </w:r>
    </w:p>
    <w:p>
      <w:pPr>
        <w:ind w:firstLine="636"/>
        <w:rPr>
          <w:rFonts w:hint="default" w:ascii="仿宋_GB2312" w:hAnsi="仿宋" w:eastAsia="仿宋_GB2312"/>
          <w:color w:val="auto"/>
          <w:sz w:val="32"/>
          <w:szCs w:val="32"/>
          <w:lang w:val="en-US" w:eastAsia="zh-CN"/>
        </w:rPr>
      </w:pPr>
      <w:r>
        <w:rPr>
          <w:rFonts w:hint="eastAsia" w:ascii="仿宋_GB2312" w:hAnsi="仿宋" w:eastAsia="仿宋_GB2312"/>
          <w:color w:val="auto"/>
          <w:sz w:val="32"/>
          <w:szCs w:val="32"/>
          <w:lang w:val="en-US" w:eastAsia="zh-CN"/>
        </w:rPr>
        <w:t>本单位无公车</w:t>
      </w:r>
      <w:r>
        <w:rPr>
          <w:rFonts w:hint="eastAsia" w:ascii="仿宋_GB2312" w:hAnsi="仿宋"/>
          <w:color w:val="auto"/>
          <w:sz w:val="32"/>
          <w:szCs w:val="32"/>
          <w:lang w:val="en-US" w:eastAsia="zh-CN"/>
        </w:rPr>
        <w:t>。</w:t>
      </w:r>
    </w:p>
    <w:p>
      <w:pPr>
        <w:ind w:firstLine="636"/>
        <w:rPr>
          <w:rFonts w:hint="eastAsia" w:ascii="仿宋_GB2312" w:hAnsi="仿宋" w:eastAsia="仿宋_GB2312"/>
          <w:color w:val="auto"/>
          <w:sz w:val="32"/>
          <w:szCs w:val="32"/>
        </w:rPr>
      </w:pPr>
      <w:r>
        <w:rPr>
          <w:rFonts w:hint="eastAsia" w:ascii="仿宋_GB2312" w:hAnsi="仿宋" w:eastAsia="仿宋_GB2312"/>
          <w:color w:val="auto"/>
          <w:sz w:val="32"/>
          <w:szCs w:val="32"/>
        </w:rPr>
        <w:t>2、房屋情况；</w:t>
      </w:r>
    </w:p>
    <w:p>
      <w:pPr>
        <w:ind w:firstLine="636"/>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lang w:val="en-US" w:eastAsia="zh-CN"/>
        </w:rPr>
        <w:t>本单位占有4间办公室总面积90㎡</w:t>
      </w:r>
      <w:r>
        <w:rPr>
          <w:rFonts w:hint="eastAsia" w:ascii="仿宋_GB2312" w:hAnsi="仿宋"/>
          <w:color w:val="auto"/>
          <w:sz w:val="32"/>
          <w:szCs w:val="32"/>
          <w:highlight w:val="none"/>
          <w:lang w:val="en-US" w:eastAsia="zh-CN"/>
        </w:rPr>
        <w:t>。</w:t>
      </w:r>
    </w:p>
    <w:p>
      <w:pPr>
        <w:numPr>
          <w:ilvl w:val="0"/>
          <w:numId w:val="3"/>
        </w:numPr>
        <w:ind w:left="0" w:leftChars="0" w:firstLine="636" w:firstLineChars="0"/>
        <w:rPr>
          <w:rFonts w:hint="eastAsia" w:ascii="仿宋" w:hAnsi="仿宋" w:eastAsia="仿宋"/>
          <w:color w:val="auto"/>
          <w:sz w:val="32"/>
          <w:szCs w:val="32"/>
        </w:rPr>
      </w:pPr>
      <w:r>
        <w:rPr>
          <w:rFonts w:hint="eastAsia" w:ascii="仿宋_GB2312" w:hAnsi="仿宋" w:eastAsia="仿宋_GB2312"/>
          <w:color w:val="auto"/>
          <w:sz w:val="32"/>
          <w:szCs w:val="32"/>
        </w:rPr>
        <w:t>其他国有资产占有使用情况</w:t>
      </w:r>
      <w:r>
        <w:rPr>
          <w:rFonts w:hint="eastAsia" w:ascii="仿宋" w:hAnsi="仿宋" w:eastAsia="仿宋"/>
          <w:color w:val="auto"/>
          <w:sz w:val="32"/>
          <w:szCs w:val="32"/>
        </w:rPr>
        <w:t>。</w:t>
      </w:r>
    </w:p>
    <w:p>
      <w:pPr>
        <w:numPr>
          <w:ilvl w:val="0"/>
          <w:numId w:val="0"/>
        </w:numPr>
        <w:ind w:left="636" w:leftChars="0"/>
        <w:rPr>
          <w:rFonts w:hint="default" w:ascii="仿宋" w:hAnsi="仿宋" w:eastAsia="仿宋"/>
          <w:color w:val="auto"/>
          <w:sz w:val="32"/>
          <w:szCs w:val="32"/>
          <w:lang w:val="en-US" w:eastAsia="zh-CN"/>
        </w:rPr>
      </w:pPr>
      <w:r>
        <w:rPr>
          <w:rFonts w:hint="eastAsia" w:ascii="仿宋" w:hAnsi="仿宋" w:eastAsia="仿宋"/>
          <w:color w:val="auto"/>
          <w:sz w:val="32"/>
          <w:szCs w:val="32"/>
          <w:lang w:val="en-US" w:eastAsia="zh-CN"/>
        </w:rPr>
        <w:t>本单位无其他国有资产占用情况。</w:t>
      </w:r>
      <w:bookmarkStart w:id="31" w:name="_GoBack"/>
      <w:bookmarkEnd w:id="31"/>
    </w:p>
    <w:p>
      <w:pPr>
        <w:pStyle w:val="2"/>
        <w:ind w:left="0" w:leftChars="0" w:firstLine="0" w:firstLineChars="0"/>
        <w:jc w:val="center"/>
        <w:rPr>
          <w:rFonts w:hint="eastAsia"/>
          <w:b/>
          <w:color w:val="auto"/>
          <w:sz w:val="36"/>
          <w:szCs w:val="36"/>
          <w:lang w:val="en-US" w:eastAsia="zh-CN"/>
        </w:rPr>
      </w:pPr>
      <w:bookmarkStart w:id="30" w:name="_Toc8545"/>
      <w:r>
        <w:rPr>
          <w:rFonts w:hint="eastAsia"/>
          <w:b/>
          <w:color w:val="auto"/>
          <w:sz w:val="36"/>
          <w:szCs w:val="36"/>
          <w:lang w:val="en-US" w:eastAsia="zh-CN"/>
        </w:rPr>
        <w:t>第四部分  名词解释</w:t>
      </w:r>
      <w:bookmarkEnd w:id="30"/>
    </w:p>
    <w:p>
      <w:pPr>
        <w:spacing w:line="580" w:lineRule="exact"/>
        <w:ind w:firstLine="640"/>
        <w:rPr>
          <w:rFonts w:hint="eastAsia"/>
          <w:color w:val="auto"/>
          <w:szCs w:val="32"/>
        </w:rPr>
      </w:pPr>
      <w:r>
        <w:rPr>
          <w:rFonts w:hint="eastAsia"/>
          <w:color w:val="auto"/>
          <w:szCs w:val="32"/>
        </w:rPr>
        <w:t>部门应当按照部门预算管理要求，对本部门涉及的专业名词进行解释。（以下模板仅供参考，以单位实际为准）</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一、</w:t>
      </w:r>
      <w:r>
        <w:rPr>
          <w:rFonts w:hint="eastAsia" w:ascii="仿宋_GB2312"/>
          <w:b/>
          <w:color w:val="auto"/>
          <w:szCs w:val="32"/>
        </w:rPr>
        <w:t>财政拨款收入：</w:t>
      </w:r>
      <w:r>
        <w:rPr>
          <w:rFonts w:hint="eastAsia" w:ascii="仿宋_GB2312"/>
          <w:color w:val="auto"/>
          <w:szCs w:val="32"/>
        </w:rPr>
        <w:t>指单位从同级财政部门取得的财政预算资金。</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二、</w:t>
      </w:r>
      <w:r>
        <w:rPr>
          <w:rFonts w:hint="eastAsia" w:ascii="仿宋_GB2312"/>
          <w:b/>
          <w:color w:val="auto"/>
          <w:szCs w:val="32"/>
        </w:rPr>
        <w:t>事业收入：</w:t>
      </w:r>
      <w:r>
        <w:rPr>
          <w:rFonts w:hint="eastAsia" w:ascii="仿宋_GB2312"/>
          <w:color w:val="auto"/>
          <w:szCs w:val="32"/>
        </w:rPr>
        <w:t>指事业单位开展专业业务活动及辅助活动取得的收入。</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三、</w:t>
      </w:r>
      <w:r>
        <w:rPr>
          <w:rFonts w:hint="eastAsia" w:ascii="仿宋_GB2312"/>
          <w:b/>
          <w:color w:val="auto"/>
          <w:szCs w:val="32"/>
        </w:rPr>
        <w:t>经营收入：</w:t>
      </w:r>
      <w:r>
        <w:rPr>
          <w:rFonts w:hint="eastAsia" w:ascii="仿宋_GB2312"/>
          <w:color w:val="auto"/>
          <w:szCs w:val="32"/>
        </w:rPr>
        <w:t>指事业单位在专业业务活动及其辅助活动之外开展非独立核算经营活动取得的收入。</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四、</w:t>
      </w:r>
      <w:r>
        <w:rPr>
          <w:rFonts w:hint="eastAsia" w:ascii="仿宋_GB2312"/>
          <w:b/>
          <w:color w:val="auto"/>
          <w:szCs w:val="32"/>
        </w:rPr>
        <w:t>其他收入：</w:t>
      </w:r>
      <w:r>
        <w:rPr>
          <w:rFonts w:hint="eastAsia" w:ascii="仿宋_GB2312"/>
          <w:color w:val="auto"/>
          <w:szCs w:val="32"/>
        </w:rPr>
        <w:t>指单位取得的除上述收入以外的各项收</w:t>
      </w:r>
    </w:p>
    <w:p>
      <w:pPr>
        <w:spacing w:line="580" w:lineRule="exact"/>
        <w:ind w:firstLineChars="0"/>
        <w:rPr>
          <w:rFonts w:hint="eastAsia" w:ascii="仿宋_GB2312"/>
          <w:color w:val="auto"/>
          <w:szCs w:val="32"/>
        </w:rPr>
      </w:pPr>
      <w:r>
        <w:rPr>
          <w:rFonts w:hint="eastAsia" w:ascii="仿宋_GB2312"/>
          <w:color w:val="auto"/>
          <w:szCs w:val="32"/>
        </w:rPr>
        <w:t>入。主要是按规定动用的售房收入、存款利息收入等。</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五、</w:t>
      </w:r>
      <w:r>
        <w:rPr>
          <w:rFonts w:hint="eastAsia" w:ascii="仿宋_GB2312"/>
          <w:b/>
          <w:color w:val="auto"/>
          <w:szCs w:val="32"/>
        </w:rPr>
        <w:t>年初结转和结余：</w:t>
      </w:r>
      <w:r>
        <w:rPr>
          <w:rFonts w:hint="eastAsia" w:ascii="仿宋_GB2312"/>
          <w:color w:val="auto"/>
          <w:szCs w:val="32"/>
        </w:rPr>
        <w:t>指单位以前年度尚未完成、结转到本年按有关规定继续使用的资金。</w:t>
      </w:r>
    </w:p>
    <w:p>
      <w:pPr>
        <w:spacing w:line="580" w:lineRule="exact"/>
        <w:ind w:firstLine="520" w:firstLineChars="162"/>
        <w:rPr>
          <w:rFonts w:ascii="仿宋_GB2312"/>
          <w:b/>
          <w:color w:val="auto"/>
          <w:szCs w:val="32"/>
        </w:rPr>
      </w:pPr>
      <w:r>
        <w:rPr>
          <w:rFonts w:hint="eastAsia" w:ascii="仿宋_GB2312"/>
          <w:b/>
          <w:color w:val="auto"/>
          <w:szCs w:val="32"/>
          <w:lang w:val="en-US" w:eastAsia="zh-CN"/>
        </w:rPr>
        <w:t>六、</w:t>
      </w:r>
      <w:r>
        <w:rPr>
          <w:rFonts w:hint="eastAsia" w:ascii="仿宋_GB2312"/>
          <w:b/>
          <w:color w:val="auto"/>
          <w:szCs w:val="32"/>
        </w:rPr>
        <w:t>基本支出：</w:t>
      </w:r>
      <w:r>
        <w:rPr>
          <w:rFonts w:hint="eastAsia" w:ascii="仿宋_GB2312"/>
          <w:color w:val="auto"/>
          <w:szCs w:val="32"/>
        </w:rPr>
        <w:t>指为保障机构正常运转、完成日常工作任务而发生的人员支出和公用支出。</w:t>
      </w:r>
    </w:p>
    <w:p>
      <w:pPr>
        <w:spacing w:line="580" w:lineRule="exact"/>
        <w:ind w:firstLine="520" w:firstLineChars="162"/>
        <w:rPr>
          <w:rFonts w:ascii="仿宋_GB2312"/>
          <w:color w:val="auto"/>
          <w:szCs w:val="32"/>
        </w:rPr>
      </w:pPr>
      <w:r>
        <w:rPr>
          <w:rFonts w:hint="eastAsia" w:ascii="仿宋_GB2312"/>
          <w:b/>
          <w:color w:val="auto"/>
          <w:szCs w:val="32"/>
        </w:rPr>
        <w:t>七、项目支出：</w:t>
      </w:r>
      <w:r>
        <w:rPr>
          <w:rFonts w:hint="eastAsia" w:ascii="仿宋_GB2312"/>
          <w:color w:val="auto"/>
          <w:szCs w:val="32"/>
        </w:rPr>
        <w:t>指在基本支出之外为完成特定行政任务和事业发展目标所发生的支出。</w:t>
      </w:r>
    </w:p>
    <w:p>
      <w:pPr>
        <w:spacing w:line="580" w:lineRule="exact"/>
        <w:ind w:firstLine="520" w:firstLineChars="162"/>
        <w:rPr>
          <w:rFonts w:ascii="仿宋_GB2312"/>
          <w:color w:val="auto"/>
          <w:szCs w:val="32"/>
        </w:rPr>
      </w:pPr>
      <w:r>
        <w:rPr>
          <w:rFonts w:hint="eastAsia" w:ascii="仿宋_GB2312"/>
          <w:b/>
          <w:color w:val="auto"/>
          <w:szCs w:val="32"/>
        </w:rPr>
        <w:t>八、“三公”经费：</w:t>
      </w:r>
      <w:r>
        <w:rPr>
          <w:rFonts w:hint="eastAsia" w:ascii="仿宋_GB2312"/>
          <w:color w:val="auto"/>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hint="eastAsia" w:ascii="仿宋_GB2312"/>
          <w:color w:val="auto"/>
          <w:szCs w:val="32"/>
        </w:rPr>
      </w:pPr>
      <w:r>
        <w:rPr>
          <w:rFonts w:hint="eastAsia" w:ascii="仿宋_GB2312"/>
          <w:b/>
          <w:color w:val="auto"/>
          <w:szCs w:val="32"/>
        </w:rPr>
        <w:t>九、机关运行经费：</w:t>
      </w:r>
      <w:r>
        <w:rPr>
          <w:rFonts w:hint="eastAsia" w:ascii="仿宋_GB2312"/>
          <w:color w:val="auto"/>
          <w:szCs w:val="32"/>
        </w:rPr>
        <w:t>指行政单位和参照公务员法管理的事业单位使用一般公共预算安排的基本支出中的日常公用经费支出。</w:t>
      </w:r>
    </w:p>
    <w:p>
      <w:pPr>
        <w:spacing w:line="580" w:lineRule="exact"/>
        <w:ind w:firstLine="518" w:firstLineChars="162"/>
        <w:rPr>
          <w:rFonts w:hint="eastAsia" w:ascii="仿宋_GB2312"/>
          <w:color w:val="auto"/>
          <w:szCs w:val="32"/>
        </w:rPr>
      </w:pPr>
    </w:p>
    <w:p>
      <w:pPr>
        <w:spacing w:line="580" w:lineRule="exact"/>
        <w:ind w:firstLine="518" w:firstLineChars="162"/>
        <w:rPr>
          <w:rFonts w:hint="eastAsia" w:ascii="仿宋_GB2312"/>
          <w:color w:val="auto"/>
          <w:szCs w:val="32"/>
        </w:rPr>
      </w:pPr>
    </w:p>
    <w:p>
      <w:pPr>
        <w:spacing w:line="580" w:lineRule="exact"/>
        <w:ind w:firstLine="518" w:firstLineChars="162"/>
        <w:rPr>
          <w:rFonts w:hint="eastAsia" w:ascii="仿宋_GB2312"/>
          <w:color w:val="auto"/>
          <w:szCs w:val="32"/>
        </w:rPr>
      </w:pPr>
    </w:p>
    <w:p>
      <w:pPr>
        <w:spacing w:line="580" w:lineRule="exact"/>
        <w:ind w:firstLine="518" w:firstLineChars="162"/>
        <w:rPr>
          <w:rFonts w:hint="eastAsia" w:ascii="仿宋_GB2312"/>
          <w:color w:val="auto"/>
          <w:szCs w:val="32"/>
        </w:rPr>
      </w:pPr>
    </w:p>
    <w:p>
      <w:pPr>
        <w:spacing w:line="580" w:lineRule="exact"/>
        <w:ind w:firstLine="640"/>
        <w:rPr>
          <w:rFonts w:hint="eastAsia" w:ascii="仿宋_GB2312" w:eastAsia="仿宋_GB2312"/>
          <w:color w:val="auto"/>
          <w:szCs w:val="32"/>
          <w:lang w:val="en-US" w:eastAsia="zh-CN"/>
        </w:rPr>
      </w:pPr>
      <w:r>
        <w:rPr>
          <w:rFonts w:hint="eastAsia" w:ascii="仿宋_GB2312"/>
          <w:color w:val="auto"/>
          <w:szCs w:val="32"/>
          <w:lang w:val="en-US" w:eastAsia="zh-CN"/>
        </w:rPr>
        <w:t xml:space="preserve">                单位名称：中共静乐县委党史研究室</w:t>
      </w:r>
    </w:p>
    <w:p>
      <w:pPr>
        <w:ind w:firstLine="4800" w:firstLineChars="1500"/>
        <w:rPr>
          <w:rFonts w:hint="eastAsia" w:eastAsia="仿宋_GB2312"/>
          <w:color w:val="auto"/>
          <w:lang w:val="en-US" w:eastAsia="zh-CN"/>
        </w:rPr>
      </w:pPr>
      <w:r>
        <w:rPr>
          <w:rFonts w:hint="eastAsia"/>
          <w:color w:val="auto"/>
          <w:lang w:val="en-US" w:eastAsia="zh-CN"/>
        </w:rPr>
        <w:t>二〇二二年六月六日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101AC8"/>
    <w:multiLevelType w:val="singleLevel"/>
    <w:tmpl w:val="2F101AC8"/>
    <w:lvl w:ilvl="0" w:tentative="0">
      <w:start w:val="1"/>
      <w:numFmt w:val="chineseCounting"/>
      <w:suff w:val="nothing"/>
      <w:lvlText w:val="（%1）"/>
      <w:lvlJc w:val="left"/>
      <w:pPr>
        <w:ind w:left="30"/>
      </w:pPr>
      <w:rPr>
        <w:rFonts w:hint="eastAsia"/>
      </w:rPr>
    </w:lvl>
  </w:abstractNum>
  <w:abstractNum w:abstractNumId="1">
    <w:nsid w:val="60A4CC00"/>
    <w:multiLevelType w:val="singleLevel"/>
    <w:tmpl w:val="60A4CC00"/>
    <w:lvl w:ilvl="0" w:tentative="0">
      <w:start w:val="2"/>
      <w:numFmt w:val="decimal"/>
      <w:suff w:val="nothing"/>
      <w:lvlText w:val="（%1）"/>
      <w:lvlJc w:val="left"/>
    </w:lvl>
  </w:abstractNum>
  <w:abstractNum w:abstractNumId="2">
    <w:nsid w:val="60AE23FF"/>
    <w:multiLevelType w:val="singleLevel"/>
    <w:tmpl w:val="60AE23FF"/>
    <w:lvl w:ilvl="0" w:tentative="0">
      <w:start w:val="2"/>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4YjBhZjc1N2UwNzkyZDE4NTZiMmNmYmZhN2E5NTMifQ=="/>
  </w:docVars>
  <w:rsids>
    <w:rsidRoot w:val="495520D0"/>
    <w:rsid w:val="03696819"/>
    <w:rsid w:val="04CC12C5"/>
    <w:rsid w:val="155B3127"/>
    <w:rsid w:val="16654CDD"/>
    <w:rsid w:val="1A4A5C33"/>
    <w:rsid w:val="1DB33680"/>
    <w:rsid w:val="2701594C"/>
    <w:rsid w:val="27426717"/>
    <w:rsid w:val="27C022AA"/>
    <w:rsid w:val="29966461"/>
    <w:rsid w:val="33C05BCF"/>
    <w:rsid w:val="37943B50"/>
    <w:rsid w:val="3821117E"/>
    <w:rsid w:val="41240B60"/>
    <w:rsid w:val="42C12CEC"/>
    <w:rsid w:val="44401A62"/>
    <w:rsid w:val="457E79C0"/>
    <w:rsid w:val="472F736B"/>
    <w:rsid w:val="495520D0"/>
    <w:rsid w:val="4A012068"/>
    <w:rsid w:val="53A30631"/>
    <w:rsid w:val="57DA2ED9"/>
    <w:rsid w:val="5EC01F6A"/>
    <w:rsid w:val="63AB51DF"/>
    <w:rsid w:val="649C6DC9"/>
    <w:rsid w:val="715A78E4"/>
    <w:rsid w:val="7761744D"/>
    <w:rsid w:val="7A1348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9">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spacing w:line="240" w:lineRule="atLeast"/>
      <w:jc w:val="left"/>
    </w:pPr>
    <w:rPr>
      <w:rFonts w:ascii="Times New Roman" w:hAnsi="Times New Roman" w:eastAsia="仿宋_GB2312"/>
      <w:kern w:val="2"/>
      <w:sz w:val="18"/>
      <w:szCs w:val="18"/>
    </w:rPr>
  </w:style>
  <w:style w:type="paragraph" w:styleId="5">
    <w:name w:val="header"/>
    <w:basedOn w:val="1"/>
    <w:qFormat/>
    <w:uiPriority w:val="0"/>
    <w:pPr>
      <w:tabs>
        <w:tab w:val="center" w:pos="4153"/>
        <w:tab w:val="right" w:pos="8306"/>
      </w:tabs>
      <w:snapToGrid w:val="0"/>
      <w:spacing w:line="240" w:lineRule="atLeast"/>
      <w:jc w:val="center"/>
    </w:pPr>
    <w:rPr>
      <w:rFonts w:ascii="Times New Roman" w:hAnsi="Times New Roman" w:eastAsia="仿宋_GB2312"/>
      <w:kern w:val="2"/>
      <w:sz w:val="18"/>
      <w:szCs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2427</Words>
  <Characters>2838</Characters>
  <Lines>0</Lines>
  <Paragraphs>0</Paragraphs>
  <ScaleCrop>false</ScaleCrop>
  <LinksUpToDate>false</LinksUpToDate>
  <CharactersWithSpaces>2897</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FGK</cp:lastModifiedBy>
  <dcterms:modified xsi:type="dcterms:W3CDTF">2022-09-15T02:34:42Z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y fmtid="{D5CDD505-2E9C-101B-9397-08002B2CF9AE}" pid="3" name="ICV">
    <vt:lpwstr>C2E4A3AB35A2425086A2BAE203908369</vt:lpwstr>
  </property>
</Properties>
</file>