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社会保险保险事业所</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w:t>
      </w:r>
      <w:bookmarkStart w:id="33" w:name="_GoBack"/>
      <w:bookmarkEnd w:id="33"/>
      <w:r>
        <w:rPr>
          <w:rFonts w:hint="eastAsia" w:ascii="仿宋" w:hAnsi="仿宋" w:eastAsia="仿宋" w:cs="仿宋"/>
          <w:bCs w:val="0"/>
          <w:lang w:val="en-US" w:eastAsia="zh-CN"/>
        </w:rPr>
        <w:t>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rPr>
          <w:rFonts w:hint="eastAsia"/>
        </w:rPr>
      </w:pPr>
      <w:r>
        <w:rPr>
          <w:rFonts w:hint="eastAsia" w:ascii="仿宋" w:hAnsi="仿宋" w:eastAsia="仿宋" w:cs="仿宋"/>
          <w:color w:val="000000"/>
          <w:sz w:val="32"/>
          <w:szCs w:val="32"/>
        </w:rPr>
        <w:t>负责征缴人——县国有企业、集体企业的养老金，支付企业离退休人员养老金。</w:t>
      </w:r>
    </w:p>
    <w:p>
      <w:pPr>
        <w:pStyle w:val="3"/>
        <w:numPr>
          <w:ilvl w:val="0"/>
          <w:numId w:val="1"/>
        </w:numPr>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rPr>
      </w:pPr>
      <w:r>
        <w:rPr>
          <w:rFonts w:hint="eastAsia" w:ascii="仿宋" w:hAnsi="仿宋" w:eastAsia="仿宋" w:cs="仿宋"/>
          <w:color w:val="000000"/>
          <w:sz w:val="32"/>
          <w:szCs w:val="32"/>
        </w:rPr>
        <w:t>单位基本情况：人员</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人，内设：办公室、退管股、征缴股、财务室、档案室</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ind w:left="0" w:leftChars="0" w:firstLine="0" w:firstLineChars="0"/>
        <w:rPr>
          <w:rFonts w:hint="eastAsia" w:ascii="仿宋_GB2312" w:hAnsi="楷体"/>
          <w:szCs w:val="32"/>
        </w:rPr>
      </w:pPr>
    </w:p>
    <w:p>
      <w:pPr>
        <w:pStyle w:val="2"/>
        <w:ind w:left="0" w:leftChars="0" w:firstLine="0" w:firstLineChars="0"/>
        <w:jc w:val="center"/>
        <w:rPr>
          <w:rFonts w:hint="eastAsia"/>
          <w:b/>
          <w:color w:val="auto"/>
          <w:sz w:val="36"/>
          <w:szCs w:val="36"/>
          <w:highlight w:val="none"/>
          <w:lang w:val="en-US" w:eastAsia="zh-CN"/>
        </w:rPr>
      </w:pPr>
      <w:bookmarkStart w:id="10" w:name="_Toc29325"/>
      <w:r>
        <w:rPr>
          <w:rFonts w:hint="eastAsia"/>
          <w:b/>
          <w:color w:val="auto"/>
          <w:sz w:val="36"/>
          <w:szCs w:val="36"/>
          <w:highlight w:val="none"/>
          <w:lang w:val="en-US" w:eastAsia="zh-CN"/>
        </w:rPr>
        <w:t>第三部分  2021年度部门决算情况说明</w:t>
      </w:r>
      <w:bookmarkEnd w:id="10"/>
    </w:p>
    <w:p>
      <w:pPr>
        <w:pStyle w:val="3"/>
        <w:rPr>
          <w:rFonts w:hint="eastAsia" w:ascii="仿宋" w:hAnsi="仿宋" w:eastAsia="仿宋" w:cs="仿宋"/>
          <w:b/>
          <w:bCs w:val="0"/>
          <w:color w:val="auto"/>
          <w:highlight w:val="none"/>
          <w:lang w:val="en-US" w:eastAsia="zh-CN"/>
        </w:rPr>
      </w:pPr>
      <w:bookmarkStart w:id="11" w:name="_Toc437"/>
      <w:bookmarkStart w:id="12" w:name="_Toc8717"/>
      <w:r>
        <w:rPr>
          <w:rFonts w:hint="eastAsia" w:ascii="仿宋" w:hAnsi="仿宋" w:eastAsia="仿宋" w:cs="仿宋"/>
          <w:b/>
          <w:bCs w:val="0"/>
          <w:color w:val="auto"/>
          <w:highlight w:val="none"/>
          <w:lang w:val="en-US" w:eastAsia="zh-CN"/>
        </w:rPr>
        <w:t>一、收入支出决算总体情况说明</w:t>
      </w:r>
      <w:bookmarkEnd w:id="11"/>
      <w:bookmarkEnd w:id="12"/>
    </w:p>
    <w:p>
      <w:pPr>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年度收入</w:t>
      </w:r>
      <w:r>
        <w:rPr>
          <w:rFonts w:ascii="仿宋_GB2312"/>
          <w:color w:val="auto"/>
          <w:szCs w:val="32"/>
          <w:highlight w:val="none"/>
        </w:rPr>
        <w:t>总计</w:t>
      </w:r>
      <w:r>
        <w:rPr>
          <w:rFonts w:hint="eastAsia" w:ascii="仿宋_GB2312"/>
          <w:color w:val="auto"/>
          <w:szCs w:val="32"/>
          <w:highlight w:val="none"/>
          <w:lang w:val="en-US" w:eastAsia="zh-CN"/>
        </w:rPr>
        <w:t>798.97</w:t>
      </w:r>
      <w:r>
        <w:rPr>
          <w:rFonts w:hint="eastAsia" w:ascii="仿宋_GB2312"/>
          <w:color w:val="auto"/>
          <w:szCs w:val="32"/>
          <w:highlight w:val="none"/>
        </w:rPr>
        <w:t>万元、支出总计</w:t>
      </w:r>
      <w:r>
        <w:rPr>
          <w:rFonts w:hint="eastAsia" w:ascii="仿宋_GB2312"/>
          <w:color w:val="auto"/>
          <w:szCs w:val="32"/>
          <w:highlight w:val="none"/>
          <w:lang w:val="en-US" w:eastAsia="zh-CN"/>
        </w:rPr>
        <w:t>798.97</w:t>
      </w:r>
      <w:r>
        <w:rPr>
          <w:rFonts w:hint="eastAsia" w:ascii="仿宋_GB2312"/>
          <w:color w:val="auto"/>
          <w:szCs w:val="32"/>
          <w:highlight w:val="none"/>
        </w:rPr>
        <w:t>万元。与20</w:t>
      </w:r>
      <w:r>
        <w:rPr>
          <w:rFonts w:hint="eastAsia" w:ascii="仿宋_GB2312"/>
          <w:color w:val="auto"/>
          <w:szCs w:val="32"/>
          <w:highlight w:val="none"/>
          <w:lang w:val="en-US" w:eastAsia="zh-CN"/>
        </w:rPr>
        <w:t>20</w:t>
      </w:r>
      <w:r>
        <w:rPr>
          <w:rFonts w:hint="eastAsia" w:ascii="仿宋_GB2312"/>
          <w:color w:val="auto"/>
          <w:szCs w:val="32"/>
          <w:highlight w:val="none"/>
        </w:rPr>
        <w:t>年相比，收入总计</w:t>
      </w:r>
      <w:r>
        <w:rPr>
          <w:rFonts w:hint="eastAsia" w:ascii="仿宋_GB2312"/>
          <w:color w:val="auto"/>
          <w:szCs w:val="32"/>
          <w:highlight w:val="none"/>
          <w:lang w:val="en-US" w:eastAsia="zh-CN"/>
        </w:rPr>
        <w:t>226.46</w:t>
      </w:r>
      <w:r>
        <w:rPr>
          <w:rFonts w:hint="eastAsia" w:ascii="仿宋_GB2312"/>
          <w:color w:val="auto"/>
          <w:szCs w:val="32"/>
          <w:highlight w:val="none"/>
        </w:rPr>
        <w:t>万元，</w:t>
      </w:r>
      <w:r>
        <w:rPr>
          <w:rFonts w:hint="eastAsia" w:ascii="仿宋_GB2312"/>
          <w:color w:val="auto"/>
          <w:szCs w:val="32"/>
          <w:highlight w:val="none"/>
          <w:lang w:val="en-US" w:eastAsia="zh-CN"/>
        </w:rPr>
        <w:t>增长28.34</w:t>
      </w:r>
      <w:r>
        <w:rPr>
          <w:rFonts w:hint="eastAsia" w:ascii="仿宋_GB2312"/>
          <w:color w:val="auto"/>
          <w:szCs w:val="32"/>
          <w:highlight w:val="none"/>
        </w:rPr>
        <w:t>%，</w:t>
      </w:r>
      <w:r>
        <w:rPr>
          <w:rFonts w:ascii="仿宋_GB2312"/>
          <w:color w:val="auto"/>
          <w:szCs w:val="32"/>
          <w:highlight w:val="none"/>
        </w:rPr>
        <w:t>支出总计</w:t>
      </w:r>
      <w:r>
        <w:rPr>
          <w:rFonts w:hint="eastAsia" w:ascii="仿宋_GB2312"/>
          <w:color w:val="auto"/>
          <w:szCs w:val="32"/>
          <w:highlight w:val="none"/>
          <w:lang w:val="en-US" w:eastAsia="zh-CN"/>
        </w:rPr>
        <w:t>增长226.46</w:t>
      </w:r>
      <w:r>
        <w:rPr>
          <w:rFonts w:hint="eastAsia" w:ascii="仿宋_GB2312"/>
          <w:color w:val="auto"/>
          <w:szCs w:val="32"/>
          <w:highlight w:val="none"/>
        </w:rPr>
        <w:t>万元</w:t>
      </w:r>
      <w:r>
        <w:rPr>
          <w:rFonts w:ascii="仿宋_GB2312"/>
          <w:color w:val="auto"/>
          <w:szCs w:val="32"/>
          <w:highlight w:val="none"/>
        </w:rPr>
        <w:t>，</w:t>
      </w:r>
      <w:r>
        <w:rPr>
          <w:rFonts w:hint="eastAsia" w:ascii="仿宋_GB2312"/>
          <w:color w:val="auto"/>
          <w:szCs w:val="32"/>
          <w:highlight w:val="none"/>
          <w:lang w:val="en-US" w:eastAsia="zh-CN"/>
        </w:rPr>
        <w:t>增长28.34</w:t>
      </w:r>
      <w:r>
        <w:rPr>
          <w:rFonts w:ascii="仿宋_GB2312"/>
          <w:color w:val="auto"/>
          <w:szCs w:val="32"/>
          <w:highlight w:val="none"/>
        </w:rPr>
        <w:t>%</w:t>
      </w:r>
      <w:r>
        <w:rPr>
          <w:rFonts w:hint="eastAsia" w:ascii="仿宋_GB2312"/>
          <w:color w:val="auto"/>
          <w:szCs w:val="32"/>
          <w:highlight w:val="none"/>
        </w:rPr>
        <w:t>。主要原因是</w:t>
      </w:r>
      <w:r>
        <w:rPr>
          <w:rFonts w:hint="eastAsia" w:ascii="仿宋_GB2312"/>
          <w:color w:val="auto"/>
          <w:szCs w:val="32"/>
          <w:highlight w:val="none"/>
          <w:lang w:eastAsia="zh-CN"/>
        </w:rPr>
        <w:t>增加对企业社会保险基金的补助</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3" w:name="_Toc16754"/>
      <w:bookmarkStart w:id="14" w:name="_Toc17404"/>
      <w:r>
        <w:rPr>
          <w:rFonts w:hint="eastAsia" w:ascii="仿宋" w:hAnsi="仿宋" w:eastAsia="仿宋" w:cs="仿宋"/>
          <w:b/>
          <w:bCs w:val="0"/>
          <w:color w:val="auto"/>
          <w:highlight w:val="none"/>
          <w:lang w:val="en-US" w:eastAsia="zh-CN"/>
        </w:rPr>
        <w:t>二、收入决算情况说明</w:t>
      </w:r>
      <w:bookmarkEnd w:id="13"/>
      <w:bookmarkEnd w:id="14"/>
    </w:p>
    <w:p>
      <w:pPr>
        <w:spacing w:line="580" w:lineRule="exact"/>
        <w:ind w:firstLine="640"/>
        <w:rPr>
          <w:rFonts w:hint="eastAsia" w:ascii="仿宋_GB2312" w:eastAsia="仿宋_GB2312"/>
          <w:color w:val="auto"/>
          <w:szCs w:val="32"/>
          <w:highlight w:val="none"/>
          <w:lang w:eastAsia="zh-CN"/>
        </w:rPr>
      </w:pPr>
      <w:r>
        <w:rPr>
          <w:rFonts w:hint="eastAsia" w:ascii="仿宋_GB2312"/>
          <w:color w:val="auto"/>
          <w:szCs w:val="32"/>
          <w:highlight w:val="none"/>
        </w:rPr>
        <w:t>本年收入合计</w:t>
      </w:r>
      <w:r>
        <w:rPr>
          <w:rFonts w:hint="eastAsia" w:ascii="仿宋_GB2312"/>
          <w:color w:val="auto"/>
          <w:szCs w:val="32"/>
          <w:highlight w:val="none"/>
          <w:lang w:val="en-US" w:eastAsia="zh-CN"/>
        </w:rPr>
        <w:t>798.97</w:t>
      </w:r>
      <w:r>
        <w:rPr>
          <w:rFonts w:hint="eastAsia" w:ascii="仿宋_GB2312"/>
          <w:color w:val="auto"/>
          <w:szCs w:val="32"/>
          <w:highlight w:val="none"/>
        </w:rPr>
        <w:t>万元，其中：财政拨款收入</w:t>
      </w:r>
      <w:r>
        <w:rPr>
          <w:rFonts w:hint="eastAsia" w:ascii="仿宋_GB2312"/>
          <w:color w:val="auto"/>
          <w:szCs w:val="32"/>
          <w:highlight w:val="none"/>
          <w:lang w:val="en-US" w:eastAsia="zh-CN"/>
        </w:rPr>
        <w:t>798.97</w:t>
      </w:r>
      <w:r>
        <w:rPr>
          <w:rFonts w:hint="eastAsia" w:ascii="仿宋_GB2312"/>
          <w:color w:val="auto"/>
          <w:szCs w:val="32"/>
          <w:highlight w:val="none"/>
        </w:rPr>
        <w:t>万元，占比</w:t>
      </w:r>
      <w:r>
        <w:rPr>
          <w:rFonts w:hint="eastAsia" w:ascii="仿宋_GB2312"/>
          <w:color w:val="auto"/>
          <w:szCs w:val="32"/>
          <w:highlight w:val="none"/>
          <w:lang w:val="en-US" w:eastAsia="zh-CN"/>
        </w:rPr>
        <w:t>100</w:t>
      </w:r>
      <w:r>
        <w:rPr>
          <w:rFonts w:hint="eastAsia" w:ascii="仿宋_GB2312"/>
          <w:color w:val="auto"/>
          <w:szCs w:val="32"/>
          <w:highlight w:val="none"/>
        </w:rPr>
        <w:t>%</w:t>
      </w:r>
      <w:r>
        <w:rPr>
          <w:rFonts w:hint="eastAsia" w:ascii="仿宋_GB2312"/>
          <w:color w:val="auto"/>
          <w:szCs w:val="32"/>
          <w:highlight w:val="none"/>
          <w:lang w:eastAsia="zh-CN"/>
        </w:rPr>
        <w:t>。</w:t>
      </w:r>
    </w:p>
    <w:p>
      <w:pPr>
        <w:pStyle w:val="3"/>
        <w:rPr>
          <w:rFonts w:hint="eastAsia" w:ascii="仿宋" w:hAnsi="仿宋" w:eastAsia="仿宋" w:cs="仿宋"/>
          <w:b/>
          <w:bCs w:val="0"/>
          <w:color w:val="auto"/>
          <w:highlight w:val="none"/>
          <w:lang w:val="en-US" w:eastAsia="zh-CN"/>
        </w:rPr>
      </w:pPr>
      <w:bookmarkStart w:id="15" w:name="_Toc22098"/>
      <w:bookmarkStart w:id="16" w:name="_Toc9596"/>
      <w:r>
        <w:rPr>
          <w:rFonts w:hint="eastAsia" w:ascii="仿宋" w:hAnsi="仿宋" w:eastAsia="仿宋" w:cs="仿宋"/>
          <w:b/>
          <w:bCs w:val="0"/>
          <w:color w:val="auto"/>
          <w:highlight w:val="none"/>
          <w:lang w:val="en-US" w:eastAsia="zh-CN"/>
        </w:rPr>
        <w:t>三、支出决算情况说明</w:t>
      </w:r>
      <w:bookmarkEnd w:id="15"/>
      <w:bookmarkEnd w:id="16"/>
    </w:p>
    <w:p>
      <w:pPr>
        <w:spacing w:line="580" w:lineRule="exact"/>
        <w:ind w:firstLine="640"/>
        <w:rPr>
          <w:rFonts w:hint="eastAsia" w:ascii="仿宋_GB2312" w:eastAsia="仿宋_GB2312"/>
          <w:color w:val="auto"/>
          <w:szCs w:val="32"/>
          <w:highlight w:val="none"/>
          <w:lang w:eastAsia="zh-CN"/>
        </w:rPr>
      </w:pPr>
      <w:r>
        <w:rPr>
          <w:rFonts w:hint="eastAsia" w:ascii="仿宋_GB2312"/>
          <w:color w:val="auto"/>
          <w:szCs w:val="32"/>
          <w:highlight w:val="none"/>
        </w:rPr>
        <w:t>本年支出合计</w:t>
      </w:r>
      <w:r>
        <w:rPr>
          <w:rFonts w:hint="eastAsia" w:ascii="仿宋_GB2312"/>
          <w:color w:val="auto"/>
          <w:szCs w:val="32"/>
          <w:highlight w:val="none"/>
          <w:lang w:val="en-US" w:eastAsia="zh-CN"/>
        </w:rPr>
        <w:t>798.97</w:t>
      </w:r>
      <w:r>
        <w:rPr>
          <w:rFonts w:hint="eastAsia" w:ascii="仿宋_GB2312"/>
          <w:color w:val="auto"/>
          <w:szCs w:val="32"/>
          <w:highlight w:val="none"/>
        </w:rPr>
        <w:t>万元，其中：基本支出</w:t>
      </w:r>
      <w:r>
        <w:rPr>
          <w:rFonts w:hint="eastAsia" w:ascii="仿宋_GB2312"/>
          <w:color w:val="auto"/>
          <w:szCs w:val="32"/>
          <w:highlight w:val="none"/>
          <w:lang w:val="en-US" w:eastAsia="zh-CN"/>
        </w:rPr>
        <w:t>81.81</w:t>
      </w:r>
      <w:r>
        <w:rPr>
          <w:rFonts w:hint="eastAsia" w:ascii="仿宋_GB2312"/>
          <w:color w:val="auto"/>
          <w:szCs w:val="32"/>
          <w:highlight w:val="none"/>
        </w:rPr>
        <w:t>万元，占比</w:t>
      </w:r>
      <w:r>
        <w:rPr>
          <w:rFonts w:hint="eastAsia" w:ascii="仿宋_GB2312"/>
          <w:color w:val="auto"/>
          <w:szCs w:val="32"/>
          <w:highlight w:val="none"/>
          <w:lang w:val="en-US" w:eastAsia="zh-CN"/>
        </w:rPr>
        <w:t>10.24</w:t>
      </w:r>
      <w:r>
        <w:rPr>
          <w:rFonts w:hint="eastAsia" w:ascii="仿宋_GB2312"/>
          <w:color w:val="auto"/>
          <w:szCs w:val="32"/>
          <w:highlight w:val="none"/>
        </w:rPr>
        <w:t>%；项目支出</w:t>
      </w:r>
      <w:r>
        <w:rPr>
          <w:rFonts w:hint="eastAsia" w:ascii="仿宋_GB2312"/>
          <w:color w:val="auto"/>
          <w:szCs w:val="32"/>
          <w:highlight w:val="none"/>
          <w:lang w:val="en-US" w:eastAsia="zh-CN"/>
        </w:rPr>
        <w:t>717.16</w:t>
      </w:r>
      <w:r>
        <w:rPr>
          <w:rFonts w:hint="eastAsia" w:ascii="仿宋_GB2312"/>
          <w:color w:val="auto"/>
          <w:szCs w:val="32"/>
          <w:highlight w:val="none"/>
        </w:rPr>
        <w:t>万元，占比</w:t>
      </w:r>
      <w:r>
        <w:rPr>
          <w:rFonts w:hint="eastAsia" w:ascii="仿宋_GB2312"/>
          <w:color w:val="auto"/>
          <w:szCs w:val="32"/>
          <w:highlight w:val="none"/>
          <w:lang w:val="en-US" w:eastAsia="zh-CN"/>
        </w:rPr>
        <w:t>89.76</w:t>
      </w:r>
      <w:r>
        <w:rPr>
          <w:rFonts w:hint="eastAsia" w:ascii="仿宋_GB2312"/>
          <w:color w:val="auto"/>
          <w:szCs w:val="32"/>
          <w:highlight w:val="none"/>
        </w:rPr>
        <w:t>%</w:t>
      </w:r>
      <w:r>
        <w:rPr>
          <w:rFonts w:hint="eastAsia" w:ascii="仿宋_GB2312"/>
          <w:color w:val="auto"/>
          <w:szCs w:val="32"/>
          <w:highlight w:val="none"/>
          <w:lang w:eastAsia="zh-CN"/>
        </w:rPr>
        <w:t>。</w:t>
      </w:r>
    </w:p>
    <w:p>
      <w:pPr>
        <w:pStyle w:val="3"/>
        <w:rPr>
          <w:rFonts w:hint="eastAsia" w:ascii="仿宋" w:hAnsi="仿宋" w:eastAsia="仿宋" w:cs="仿宋"/>
          <w:b/>
          <w:bCs w:val="0"/>
          <w:color w:val="auto"/>
          <w:highlight w:val="none"/>
          <w:lang w:val="en-US" w:eastAsia="zh-CN"/>
        </w:rPr>
      </w:pPr>
      <w:bookmarkStart w:id="17" w:name="_Toc2142"/>
      <w:bookmarkStart w:id="18" w:name="_Toc4614"/>
      <w:r>
        <w:rPr>
          <w:rFonts w:hint="eastAsia" w:ascii="仿宋" w:hAnsi="仿宋" w:eastAsia="仿宋" w:cs="仿宋"/>
          <w:b/>
          <w:bCs w:val="0"/>
          <w:color w:val="auto"/>
          <w:highlight w:val="none"/>
          <w:lang w:val="en-US" w:eastAsia="zh-CN"/>
        </w:rPr>
        <w:t>四、财政拨款收入支出决算总体情况说明</w:t>
      </w:r>
      <w:bookmarkEnd w:id="17"/>
      <w:bookmarkEnd w:id="18"/>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年度财政拨款收入</w:t>
      </w:r>
      <w:r>
        <w:rPr>
          <w:rFonts w:ascii="仿宋_GB2312"/>
          <w:color w:val="auto"/>
          <w:szCs w:val="32"/>
          <w:highlight w:val="none"/>
        </w:rPr>
        <w:t>总计</w:t>
      </w:r>
      <w:r>
        <w:rPr>
          <w:rFonts w:hint="eastAsia" w:ascii="仿宋_GB2312"/>
          <w:color w:val="auto"/>
          <w:szCs w:val="32"/>
          <w:highlight w:val="none"/>
          <w:lang w:val="en-US" w:eastAsia="zh-CN"/>
        </w:rPr>
        <w:t>798.97</w:t>
      </w:r>
      <w:r>
        <w:rPr>
          <w:rFonts w:hint="eastAsia" w:ascii="仿宋_GB2312"/>
          <w:color w:val="auto"/>
          <w:szCs w:val="32"/>
          <w:highlight w:val="none"/>
        </w:rPr>
        <w:t>万元、支出总计</w:t>
      </w:r>
      <w:r>
        <w:rPr>
          <w:rFonts w:hint="eastAsia" w:ascii="仿宋_GB2312"/>
          <w:color w:val="auto"/>
          <w:szCs w:val="32"/>
          <w:highlight w:val="none"/>
          <w:lang w:val="en-US" w:eastAsia="zh-CN"/>
        </w:rPr>
        <w:t>798.97</w:t>
      </w:r>
      <w:r>
        <w:rPr>
          <w:rFonts w:hint="eastAsia" w:ascii="仿宋_GB2312"/>
          <w:color w:val="auto"/>
          <w:szCs w:val="32"/>
          <w:highlight w:val="none"/>
        </w:rPr>
        <w:t>万元。与20</w:t>
      </w:r>
      <w:r>
        <w:rPr>
          <w:rFonts w:hint="eastAsia" w:ascii="仿宋_GB2312"/>
          <w:color w:val="auto"/>
          <w:szCs w:val="32"/>
          <w:highlight w:val="none"/>
          <w:lang w:val="en-US" w:eastAsia="zh-CN"/>
        </w:rPr>
        <w:t>20</w:t>
      </w:r>
      <w:r>
        <w:rPr>
          <w:rFonts w:hint="eastAsia" w:ascii="仿宋_GB2312"/>
          <w:color w:val="auto"/>
          <w:szCs w:val="32"/>
          <w:highlight w:val="none"/>
        </w:rPr>
        <w:t>年相比，财政拨款收入总计</w:t>
      </w:r>
      <w:r>
        <w:rPr>
          <w:rFonts w:hint="eastAsia" w:ascii="仿宋_GB2312"/>
          <w:color w:val="auto"/>
          <w:szCs w:val="32"/>
          <w:highlight w:val="none"/>
          <w:lang w:val="en-US" w:eastAsia="zh-CN"/>
        </w:rPr>
        <w:t>增长226.46</w:t>
      </w:r>
      <w:r>
        <w:rPr>
          <w:rFonts w:hint="eastAsia" w:ascii="仿宋_GB2312"/>
          <w:color w:val="auto"/>
          <w:szCs w:val="32"/>
          <w:highlight w:val="none"/>
        </w:rPr>
        <w:t>万元，</w:t>
      </w:r>
      <w:r>
        <w:rPr>
          <w:rFonts w:hint="eastAsia" w:ascii="仿宋_GB2312"/>
          <w:color w:val="auto"/>
          <w:szCs w:val="32"/>
          <w:highlight w:val="none"/>
          <w:lang w:val="en-US" w:eastAsia="zh-CN"/>
        </w:rPr>
        <w:t>增长28.34</w:t>
      </w:r>
      <w:r>
        <w:rPr>
          <w:rFonts w:hint="eastAsia" w:ascii="仿宋_GB2312"/>
          <w:color w:val="auto"/>
          <w:szCs w:val="32"/>
          <w:highlight w:val="none"/>
        </w:rPr>
        <w:t>%，财政拨款支出总计</w:t>
      </w:r>
      <w:r>
        <w:rPr>
          <w:rFonts w:hint="eastAsia" w:ascii="仿宋_GB2312"/>
          <w:color w:val="auto"/>
          <w:szCs w:val="32"/>
          <w:highlight w:val="none"/>
          <w:lang w:val="en-US" w:eastAsia="zh-CN"/>
        </w:rPr>
        <w:t>增长226.46</w:t>
      </w:r>
      <w:r>
        <w:rPr>
          <w:rFonts w:hint="eastAsia" w:ascii="仿宋_GB2312"/>
          <w:color w:val="auto"/>
          <w:szCs w:val="32"/>
          <w:highlight w:val="none"/>
        </w:rPr>
        <w:t>万元，</w:t>
      </w:r>
      <w:r>
        <w:rPr>
          <w:rFonts w:hint="eastAsia" w:ascii="仿宋_GB2312"/>
          <w:color w:val="auto"/>
          <w:szCs w:val="32"/>
          <w:highlight w:val="none"/>
          <w:lang w:val="en-US" w:eastAsia="zh-CN"/>
        </w:rPr>
        <w:t>增长28.34</w:t>
      </w:r>
      <w:r>
        <w:rPr>
          <w:rFonts w:hint="eastAsia" w:ascii="仿宋_GB2312"/>
          <w:color w:val="auto"/>
          <w:szCs w:val="32"/>
          <w:highlight w:val="none"/>
        </w:rPr>
        <w:t>%。主要原因是</w:t>
      </w:r>
      <w:r>
        <w:rPr>
          <w:rFonts w:hint="eastAsia" w:ascii="仿宋_GB2312"/>
          <w:color w:val="auto"/>
          <w:szCs w:val="32"/>
          <w:highlight w:val="none"/>
          <w:lang w:eastAsia="zh-CN"/>
        </w:rPr>
        <w:t>增加对企业社会保险基金的补助</w:t>
      </w:r>
      <w:r>
        <w:rPr>
          <w:rFonts w:hint="eastAsia" w:ascii="仿宋_GB2312"/>
          <w:color w:val="auto"/>
          <w:szCs w:val="32"/>
          <w:highlight w:val="none"/>
        </w:rPr>
        <w:t>。</w:t>
      </w:r>
    </w:p>
    <w:p>
      <w:pPr>
        <w:pStyle w:val="3"/>
        <w:rPr>
          <w:rFonts w:hint="eastAsia" w:ascii="仿宋" w:hAnsi="仿宋" w:eastAsia="仿宋" w:cs="仿宋"/>
          <w:b/>
          <w:bCs w:val="0"/>
          <w:color w:val="auto"/>
          <w:highlight w:val="none"/>
          <w:lang w:val="en-US" w:eastAsia="zh-CN"/>
        </w:rPr>
      </w:pPr>
      <w:bookmarkStart w:id="19" w:name="_Toc9341"/>
      <w:bookmarkStart w:id="20" w:name="_Toc6501"/>
      <w:r>
        <w:rPr>
          <w:rFonts w:hint="eastAsia" w:ascii="仿宋" w:hAnsi="仿宋" w:eastAsia="仿宋" w:cs="仿宋"/>
          <w:b/>
          <w:bCs w:val="0"/>
          <w:color w:val="auto"/>
          <w:highlight w:val="none"/>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highlight w:val="none"/>
        </w:rPr>
      </w:pPr>
      <w:r>
        <w:rPr>
          <w:rFonts w:hint="eastAsia" w:ascii="仿宋_GB2312"/>
          <w:b/>
          <w:color w:val="auto"/>
          <w:szCs w:val="32"/>
          <w:highlight w:val="none"/>
        </w:rPr>
        <w:t>（一）财政拨款支出决算总体情况</w:t>
      </w:r>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年度财政拨款支出</w:t>
      </w:r>
      <w:r>
        <w:rPr>
          <w:rFonts w:hint="eastAsia" w:ascii="仿宋_GB2312"/>
          <w:color w:val="auto"/>
          <w:szCs w:val="32"/>
          <w:highlight w:val="none"/>
          <w:lang w:val="en-US" w:eastAsia="zh-CN"/>
        </w:rPr>
        <w:t>798.97</w:t>
      </w:r>
      <w:r>
        <w:rPr>
          <w:rFonts w:hint="eastAsia" w:ascii="仿宋_GB2312"/>
          <w:color w:val="auto"/>
          <w:szCs w:val="32"/>
          <w:highlight w:val="none"/>
        </w:rPr>
        <w:t>万元，占本年支出合计的</w:t>
      </w:r>
      <w:r>
        <w:rPr>
          <w:rFonts w:hint="eastAsia" w:ascii="仿宋_GB2312"/>
          <w:color w:val="auto"/>
          <w:szCs w:val="32"/>
          <w:highlight w:val="none"/>
          <w:lang w:val="en-US" w:eastAsia="zh-CN"/>
        </w:rPr>
        <w:t>100</w:t>
      </w:r>
      <w:r>
        <w:rPr>
          <w:rFonts w:hint="eastAsia" w:ascii="仿宋_GB2312"/>
          <w:color w:val="auto"/>
          <w:szCs w:val="32"/>
          <w:highlight w:val="none"/>
        </w:rPr>
        <w:t>%。与20</w:t>
      </w:r>
      <w:r>
        <w:rPr>
          <w:rFonts w:hint="eastAsia" w:ascii="仿宋_GB2312"/>
          <w:color w:val="auto"/>
          <w:szCs w:val="32"/>
          <w:highlight w:val="none"/>
          <w:lang w:val="en-US" w:eastAsia="zh-CN"/>
        </w:rPr>
        <w:t>20</w:t>
      </w:r>
      <w:r>
        <w:rPr>
          <w:rFonts w:hint="eastAsia" w:ascii="仿宋_GB2312"/>
          <w:color w:val="auto"/>
          <w:szCs w:val="32"/>
          <w:highlight w:val="none"/>
        </w:rPr>
        <w:t>年相比，财政拨款支出</w:t>
      </w:r>
      <w:r>
        <w:rPr>
          <w:rFonts w:hint="eastAsia" w:ascii="仿宋_GB2312"/>
          <w:color w:val="auto"/>
          <w:szCs w:val="32"/>
          <w:highlight w:val="none"/>
          <w:lang w:val="en-US" w:eastAsia="zh-CN"/>
        </w:rPr>
        <w:t>增加226.46</w:t>
      </w:r>
      <w:r>
        <w:rPr>
          <w:rFonts w:hint="eastAsia" w:ascii="仿宋_GB2312"/>
          <w:color w:val="auto"/>
          <w:szCs w:val="32"/>
          <w:highlight w:val="none"/>
        </w:rPr>
        <w:t>万元，</w:t>
      </w:r>
      <w:r>
        <w:rPr>
          <w:rFonts w:hint="eastAsia" w:ascii="仿宋_GB2312"/>
          <w:color w:val="auto"/>
          <w:szCs w:val="32"/>
          <w:highlight w:val="none"/>
          <w:lang w:val="en-US" w:eastAsia="zh-CN"/>
        </w:rPr>
        <w:t>增长28.34</w:t>
      </w:r>
      <w:r>
        <w:rPr>
          <w:rFonts w:hint="eastAsia" w:ascii="仿宋_GB2312"/>
          <w:color w:val="auto"/>
          <w:szCs w:val="32"/>
          <w:highlight w:val="none"/>
        </w:rPr>
        <w:t>%。主要原因是</w:t>
      </w:r>
      <w:r>
        <w:rPr>
          <w:rFonts w:hint="eastAsia" w:ascii="仿宋_GB2312"/>
          <w:color w:val="auto"/>
          <w:szCs w:val="32"/>
          <w:highlight w:val="none"/>
          <w:lang w:eastAsia="zh-CN"/>
        </w:rPr>
        <w:t>增加对企业社会保险基金的补助</w:t>
      </w:r>
      <w:r>
        <w:rPr>
          <w:rFonts w:hint="eastAsia" w:ascii="仿宋_GB2312"/>
          <w:color w:val="auto"/>
          <w:szCs w:val="32"/>
          <w:highlight w:val="none"/>
        </w:rPr>
        <w:t>。</w:t>
      </w:r>
    </w:p>
    <w:p>
      <w:pPr>
        <w:spacing w:line="580" w:lineRule="exact"/>
        <w:ind w:firstLine="643"/>
        <w:rPr>
          <w:rFonts w:ascii="仿宋_GB2312"/>
          <w:b/>
          <w:color w:val="auto"/>
          <w:szCs w:val="32"/>
          <w:highlight w:val="none"/>
        </w:rPr>
      </w:pPr>
      <w:r>
        <w:rPr>
          <w:rFonts w:hint="eastAsia" w:ascii="仿宋_GB2312"/>
          <w:b/>
          <w:color w:val="auto"/>
          <w:szCs w:val="32"/>
          <w:highlight w:val="none"/>
        </w:rPr>
        <w:t>（二）财政拨款</w:t>
      </w:r>
      <w:r>
        <w:rPr>
          <w:rFonts w:ascii="仿宋_GB2312"/>
          <w:b/>
          <w:color w:val="auto"/>
          <w:szCs w:val="32"/>
          <w:highlight w:val="none"/>
        </w:rPr>
        <w:t>支出决算结构情况</w:t>
      </w:r>
    </w:p>
    <w:p>
      <w:pPr>
        <w:spacing w:line="580" w:lineRule="exact"/>
        <w:ind w:firstLine="640"/>
        <w:rPr>
          <w:rFonts w:hint="eastAsia" w:ascii="仿宋_GB2312"/>
          <w:color w:val="auto"/>
          <w:szCs w:val="32"/>
          <w:highlight w:val="none"/>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财政拨款支出</w:t>
      </w:r>
      <w:r>
        <w:rPr>
          <w:rFonts w:hint="eastAsia" w:ascii="仿宋_GB2312"/>
          <w:color w:val="auto"/>
          <w:szCs w:val="32"/>
          <w:highlight w:val="none"/>
          <w:lang w:val="en-US" w:eastAsia="zh-CN"/>
        </w:rPr>
        <w:t>798.97</w:t>
      </w:r>
      <w:r>
        <w:rPr>
          <w:rFonts w:hint="eastAsia" w:ascii="仿宋_GB2312"/>
          <w:color w:val="auto"/>
          <w:szCs w:val="32"/>
          <w:highlight w:val="none"/>
        </w:rPr>
        <w:t>万元</w:t>
      </w:r>
      <w:r>
        <w:rPr>
          <w:rFonts w:ascii="仿宋_GB2312"/>
          <w:color w:val="auto"/>
          <w:szCs w:val="32"/>
          <w:highlight w:val="none"/>
        </w:rPr>
        <w:t>，主要用于以下方面：；</w:t>
      </w:r>
      <w:r>
        <w:rPr>
          <w:rFonts w:hint="eastAsia" w:ascii="仿宋_GB2312"/>
          <w:b/>
          <w:color w:val="auto"/>
          <w:szCs w:val="32"/>
          <w:highlight w:val="none"/>
        </w:rPr>
        <w:t>社会</w:t>
      </w:r>
      <w:r>
        <w:rPr>
          <w:rFonts w:ascii="仿宋_GB2312"/>
          <w:b/>
          <w:color w:val="auto"/>
          <w:szCs w:val="32"/>
          <w:highlight w:val="none"/>
        </w:rPr>
        <w:t>保障和就业（</w:t>
      </w:r>
      <w:r>
        <w:rPr>
          <w:rFonts w:hint="eastAsia" w:ascii="仿宋_GB2312"/>
          <w:b/>
          <w:color w:val="auto"/>
          <w:szCs w:val="32"/>
          <w:highlight w:val="none"/>
        </w:rPr>
        <w:t>类</w:t>
      </w:r>
      <w:r>
        <w:rPr>
          <w:rFonts w:ascii="仿宋_GB2312"/>
          <w:b/>
          <w:color w:val="auto"/>
          <w:szCs w:val="32"/>
          <w:highlight w:val="none"/>
        </w:rPr>
        <w:t>）</w:t>
      </w:r>
      <w:r>
        <w:rPr>
          <w:rFonts w:hint="eastAsia" w:ascii="仿宋_GB2312"/>
          <w:color w:val="auto"/>
          <w:szCs w:val="32"/>
          <w:highlight w:val="none"/>
        </w:rPr>
        <w:t>支出</w:t>
      </w:r>
      <w:r>
        <w:rPr>
          <w:rFonts w:hint="eastAsia" w:ascii="仿宋_GB2312"/>
          <w:color w:val="auto"/>
          <w:szCs w:val="32"/>
          <w:highlight w:val="none"/>
          <w:lang w:val="en-US" w:eastAsia="zh-CN"/>
        </w:rPr>
        <w:t>798.97</w:t>
      </w:r>
      <w:r>
        <w:rPr>
          <w:rFonts w:hint="eastAsia" w:ascii="仿宋_GB2312"/>
          <w:color w:val="auto"/>
          <w:szCs w:val="32"/>
          <w:highlight w:val="none"/>
        </w:rPr>
        <w:t>万元</w:t>
      </w:r>
      <w:r>
        <w:rPr>
          <w:rFonts w:ascii="仿宋_GB2312"/>
          <w:color w:val="auto"/>
          <w:szCs w:val="32"/>
          <w:highlight w:val="none"/>
        </w:rPr>
        <w:t>，占</w:t>
      </w:r>
      <w:r>
        <w:rPr>
          <w:rFonts w:hint="eastAsia" w:ascii="仿宋_GB2312"/>
          <w:color w:val="auto"/>
          <w:szCs w:val="32"/>
          <w:highlight w:val="none"/>
          <w:lang w:val="en-US" w:eastAsia="zh-CN"/>
        </w:rPr>
        <w:t>100</w:t>
      </w:r>
      <w:r>
        <w:rPr>
          <w:rFonts w:ascii="仿宋_GB2312"/>
          <w:color w:val="auto"/>
          <w:szCs w:val="32"/>
          <w:highlight w:val="none"/>
        </w:rPr>
        <w:t>%；</w:t>
      </w:r>
    </w:p>
    <w:p>
      <w:pPr>
        <w:spacing w:line="580" w:lineRule="exact"/>
        <w:ind w:firstLine="643"/>
        <w:rPr>
          <w:rFonts w:hint="eastAsia" w:ascii="仿宋_GB2312"/>
          <w:b/>
          <w:color w:val="auto"/>
          <w:szCs w:val="32"/>
          <w:highlight w:val="none"/>
        </w:rPr>
      </w:pPr>
      <w:r>
        <w:rPr>
          <w:rFonts w:hint="eastAsia" w:ascii="仿宋_GB2312"/>
          <w:b/>
          <w:color w:val="auto"/>
          <w:szCs w:val="32"/>
          <w:highlight w:val="none"/>
        </w:rPr>
        <w:t>（三）财政拨款支出决算具体情况</w:t>
      </w:r>
    </w:p>
    <w:p>
      <w:pPr>
        <w:spacing w:line="580" w:lineRule="exact"/>
        <w:ind w:firstLine="640"/>
        <w:rPr>
          <w:rFonts w:hint="eastAsia" w:ascii="仿宋" w:hAnsi="仿宋" w:eastAsia="仿宋" w:cs="仿宋"/>
          <w:color w:val="auto"/>
          <w:sz w:val="32"/>
          <w:szCs w:val="32"/>
          <w:highlight w:val="none"/>
          <w:lang w:eastAsia="zh-CN"/>
        </w:rPr>
      </w:pPr>
      <w:r>
        <w:rPr>
          <w:rFonts w:hint="eastAsia"/>
          <w:color w:val="auto"/>
          <w:szCs w:val="32"/>
          <w:highlight w:val="none"/>
        </w:rPr>
        <w:t>2</w:t>
      </w:r>
      <w:r>
        <w:rPr>
          <w:color w:val="auto"/>
          <w:szCs w:val="32"/>
          <w:highlight w:val="none"/>
        </w:rPr>
        <w:t>02</w:t>
      </w:r>
      <w:r>
        <w:rPr>
          <w:rFonts w:hint="eastAsia"/>
          <w:color w:val="auto"/>
          <w:szCs w:val="32"/>
          <w:highlight w:val="none"/>
          <w:lang w:val="en-US" w:eastAsia="zh-CN"/>
        </w:rPr>
        <w:t>1</w:t>
      </w:r>
      <w:r>
        <w:rPr>
          <w:rFonts w:hint="eastAsia"/>
          <w:color w:val="auto"/>
          <w:szCs w:val="32"/>
          <w:highlight w:val="none"/>
        </w:rPr>
        <w:t>年度财政拨款支出年初预算</w:t>
      </w:r>
      <w:r>
        <w:rPr>
          <w:rFonts w:hint="eastAsia"/>
          <w:color w:val="auto"/>
          <w:szCs w:val="32"/>
          <w:highlight w:val="none"/>
          <w:lang w:val="en-US" w:eastAsia="zh-CN"/>
        </w:rPr>
        <w:t>798.97</w:t>
      </w:r>
      <w:r>
        <w:rPr>
          <w:rFonts w:hint="eastAsia"/>
          <w:color w:val="auto"/>
          <w:szCs w:val="32"/>
          <w:highlight w:val="none"/>
        </w:rPr>
        <w:t>万元，支出决算</w:t>
      </w:r>
      <w:r>
        <w:rPr>
          <w:rFonts w:hint="eastAsia"/>
          <w:color w:val="auto"/>
          <w:szCs w:val="32"/>
          <w:highlight w:val="none"/>
          <w:lang w:val="en-US" w:eastAsia="zh-CN"/>
        </w:rPr>
        <w:t>798.97</w:t>
      </w:r>
      <w:r>
        <w:rPr>
          <w:rFonts w:hint="eastAsia"/>
          <w:color w:val="auto"/>
          <w:szCs w:val="32"/>
          <w:highlight w:val="none"/>
        </w:rPr>
        <w:t>万元，完成年初预算的</w:t>
      </w:r>
      <w:r>
        <w:rPr>
          <w:rFonts w:hint="eastAsia"/>
          <w:color w:val="auto"/>
          <w:szCs w:val="32"/>
          <w:highlight w:val="none"/>
          <w:lang w:val="en-US" w:eastAsia="zh-CN"/>
        </w:rPr>
        <w:t>100</w:t>
      </w:r>
      <w:r>
        <w:rPr>
          <w:color w:val="auto"/>
          <w:szCs w:val="32"/>
          <w:highlight w:val="none"/>
        </w:rPr>
        <w:t>%</w:t>
      </w:r>
      <w:r>
        <w:rPr>
          <w:rFonts w:hint="eastAsia"/>
          <w:color w:val="auto"/>
          <w:szCs w:val="32"/>
          <w:highlight w:val="none"/>
        </w:rPr>
        <w:t>。其中：</w:t>
      </w:r>
    </w:p>
    <w:p>
      <w:pPr>
        <w:numPr>
          <w:ilvl w:val="0"/>
          <w:numId w:val="0"/>
        </w:numPr>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按功能科目分类</w:t>
      </w:r>
      <w:r>
        <w:rPr>
          <w:rFonts w:hint="eastAsia" w:ascii="仿宋" w:hAnsi="仿宋" w:eastAsia="仿宋" w:cs="仿宋"/>
          <w:color w:val="auto"/>
          <w:sz w:val="32"/>
          <w:szCs w:val="32"/>
          <w:highlight w:val="none"/>
          <w:lang w:val="en-US" w:eastAsia="zh-CN"/>
        </w:rPr>
        <w:t>对比</w:t>
      </w:r>
      <w:r>
        <w:rPr>
          <w:rFonts w:hint="eastAsia" w:ascii="仿宋" w:hAnsi="仿宋" w:eastAsia="仿宋" w:cs="仿宋"/>
          <w:color w:val="auto"/>
          <w:sz w:val="32"/>
          <w:szCs w:val="32"/>
          <w:highlight w:val="none"/>
        </w:rPr>
        <w:t>如下：</w:t>
      </w:r>
    </w:p>
    <w:p>
      <w:pPr>
        <w:jc w:val="left"/>
        <w:rPr>
          <w:rFonts w:hint="eastAsia" w:ascii="宋体" w:hAnsi="宋体" w:cs="Arial"/>
          <w:b/>
          <w:color w:val="auto"/>
          <w:kern w:val="0"/>
          <w:sz w:val="30"/>
          <w:szCs w:val="30"/>
          <w:highlight w:val="none"/>
        </w:rPr>
      </w:pPr>
      <w:r>
        <w:rPr>
          <w:rFonts w:hint="eastAsia" w:ascii="仿宋_GB2312" w:eastAsia="仿宋_GB2312"/>
          <w:color w:val="auto"/>
          <w:sz w:val="32"/>
          <w:szCs w:val="32"/>
          <w:highlight w:val="none"/>
        </w:rPr>
        <w:t xml:space="preserve"> </w:t>
      </w:r>
      <w:r>
        <w:rPr>
          <w:rFonts w:ascii="宋体" w:hAnsi="宋体" w:cs="Arial"/>
          <w:b/>
          <w:color w:val="auto"/>
          <w:kern w:val="0"/>
          <w:sz w:val="30"/>
          <w:szCs w:val="30"/>
          <w:highlight w:val="none"/>
        </w:rPr>
        <w:t>2</w:t>
      </w:r>
      <w:r>
        <w:rPr>
          <w:rFonts w:hint="eastAsia" w:ascii="宋体" w:hAnsi="宋体" w:cs="Arial"/>
          <w:b/>
          <w:color w:val="auto"/>
          <w:kern w:val="0"/>
          <w:sz w:val="30"/>
          <w:szCs w:val="30"/>
          <w:highlight w:val="none"/>
        </w:rPr>
        <w:t>0</w:t>
      </w:r>
      <w:r>
        <w:rPr>
          <w:rFonts w:hint="eastAsia" w:ascii="宋体" w:hAnsi="宋体" w:cs="Arial"/>
          <w:b/>
          <w:color w:val="auto"/>
          <w:kern w:val="0"/>
          <w:sz w:val="30"/>
          <w:szCs w:val="30"/>
          <w:highlight w:val="none"/>
          <w:lang w:val="en-US" w:eastAsia="zh-CN"/>
        </w:rPr>
        <w:t>21</w:t>
      </w:r>
      <w:r>
        <w:rPr>
          <w:rFonts w:hint="eastAsia" w:ascii="宋体" w:hAnsi="宋体" w:cs="Arial"/>
          <w:b/>
          <w:color w:val="auto"/>
          <w:kern w:val="0"/>
          <w:sz w:val="30"/>
          <w:szCs w:val="30"/>
          <w:highlight w:val="none"/>
        </w:rPr>
        <w:t>年度支出功能科目分类对比表    单位：</w:t>
      </w:r>
      <w:r>
        <w:rPr>
          <w:rFonts w:hint="eastAsia" w:ascii="宋体" w:hAnsi="宋体" w:cs="Arial"/>
          <w:b/>
          <w:color w:val="auto"/>
          <w:kern w:val="0"/>
          <w:sz w:val="30"/>
          <w:szCs w:val="30"/>
          <w:highlight w:val="none"/>
          <w:lang w:val="en-US" w:eastAsia="zh-CN"/>
        </w:rPr>
        <w:t>万</w:t>
      </w:r>
      <w:r>
        <w:rPr>
          <w:rFonts w:hint="eastAsia" w:ascii="宋体" w:hAnsi="宋体" w:cs="Arial"/>
          <w:b/>
          <w:color w:val="auto"/>
          <w:kern w:val="0"/>
          <w:sz w:val="30"/>
          <w:szCs w:val="30"/>
          <w:highlight w:val="none"/>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highlight w:val="none"/>
              </w:rPr>
            </w:pPr>
            <w:r>
              <w:rPr>
                <w:rFonts w:hint="eastAsia" w:ascii="宋体" w:hAnsi="宋体" w:cs="Arial"/>
                <w:b/>
                <w:color w:val="auto"/>
                <w:kern w:val="0"/>
                <w:sz w:val="24"/>
                <w:szCs w:val="24"/>
                <w:highlight w:val="none"/>
              </w:rPr>
              <w:t>科目代码</w:t>
            </w:r>
          </w:p>
        </w:tc>
        <w:tc>
          <w:tcPr>
            <w:tcW w:w="2479" w:type="dxa"/>
            <w:vAlign w:val="top"/>
          </w:tcPr>
          <w:p>
            <w:pPr>
              <w:widowControl/>
              <w:jc w:val="both"/>
              <w:rPr>
                <w:rFonts w:hint="eastAsia" w:ascii="宋体" w:hAnsi="宋体" w:cs="Arial"/>
                <w:b/>
                <w:color w:val="auto"/>
                <w:kern w:val="0"/>
                <w:sz w:val="24"/>
                <w:szCs w:val="24"/>
                <w:highlight w:val="none"/>
              </w:rPr>
            </w:pPr>
            <w:r>
              <w:rPr>
                <w:rFonts w:hint="eastAsia" w:ascii="宋体" w:hAnsi="宋体" w:cs="Arial"/>
                <w:b/>
                <w:color w:val="auto"/>
                <w:kern w:val="0"/>
                <w:sz w:val="24"/>
                <w:szCs w:val="24"/>
                <w:highlight w:val="none"/>
              </w:rPr>
              <w:t>科目名称</w:t>
            </w:r>
          </w:p>
        </w:tc>
        <w:tc>
          <w:tcPr>
            <w:tcW w:w="1876" w:type="dxa"/>
            <w:vAlign w:val="top"/>
          </w:tcPr>
          <w:p>
            <w:pPr>
              <w:widowControl/>
              <w:jc w:val="left"/>
              <w:rPr>
                <w:rFonts w:hint="eastAsia" w:ascii="宋体" w:hAnsi="宋体" w:eastAsia="宋体" w:cs="Arial"/>
                <w:b/>
                <w:color w:val="auto"/>
                <w:kern w:val="0"/>
                <w:sz w:val="24"/>
                <w:szCs w:val="24"/>
                <w:highlight w:val="none"/>
                <w:lang w:val="en-US" w:eastAsia="zh-CN"/>
              </w:rPr>
            </w:pPr>
            <w:r>
              <w:rPr>
                <w:rFonts w:hint="eastAsia" w:ascii="宋体" w:hAnsi="宋体" w:cs="Arial"/>
                <w:b/>
                <w:color w:val="auto"/>
                <w:kern w:val="0"/>
                <w:sz w:val="24"/>
                <w:szCs w:val="24"/>
                <w:highlight w:val="none"/>
                <w:lang w:val="en-US" w:eastAsia="zh-CN"/>
              </w:rPr>
              <w:t>2020年</w:t>
            </w:r>
          </w:p>
        </w:tc>
        <w:tc>
          <w:tcPr>
            <w:tcW w:w="1684" w:type="dxa"/>
            <w:vAlign w:val="top"/>
          </w:tcPr>
          <w:p>
            <w:pPr>
              <w:widowControl/>
              <w:jc w:val="left"/>
              <w:rPr>
                <w:rFonts w:hint="default" w:ascii="宋体" w:hAnsi="宋体" w:eastAsia="宋体" w:cs="Arial"/>
                <w:b/>
                <w:color w:val="auto"/>
                <w:kern w:val="0"/>
                <w:sz w:val="24"/>
                <w:szCs w:val="24"/>
                <w:highlight w:val="none"/>
                <w:lang w:val="en-US" w:eastAsia="zh-CN"/>
              </w:rPr>
            </w:pPr>
            <w:r>
              <w:rPr>
                <w:rFonts w:hint="eastAsia" w:ascii="宋体" w:hAnsi="宋体" w:eastAsia="宋体" w:cs="Arial"/>
                <w:b/>
                <w:color w:val="auto"/>
                <w:kern w:val="0"/>
                <w:sz w:val="24"/>
                <w:szCs w:val="24"/>
                <w:highlight w:val="none"/>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highlight w:val="none"/>
                <w:lang w:eastAsia="zh-CN"/>
              </w:rPr>
            </w:pPr>
            <w:r>
              <w:rPr>
                <w:rFonts w:hint="eastAsia" w:ascii="宋体" w:hAnsi="宋体" w:cs="Arial"/>
                <w:b/>
                <w:color w:val="auto"/>
                <w:kern w:val="0"/>
                <w:sz w:val="24"/>
                <w:szCs w:val="24"/>
                <w:highlight w:val="none"/>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8</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color w:val="auto"/>
                <w:sz w:val="24"/>
                <w:szCs w:val="24"/>
                <w:highlight w:val="none"/>
                <w:lang w:val="en-US" w:eastAsia="zh-CN"/>
              </w:rPr>
              <w:t>社会保障和就业支出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572.51</w:t>
            </w:r>
          </w:p>
        </w:tc>
        <w:tc>
          <w:tcPr>
            <w:tcW w:w="1684" w:type="dxa"/>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2"/>
                <w:sz w:val="24"/>
                <w:szCs w:val="24"/>
                <w:highlight w:val="none"/>
                <w:u w:val="none"/>
                <w:lang w:val="en-US" w:eastAsia="zh-CN" w:bidi="ar-SA"/>
              </w:rPr>
              <w:t>798.97</w:t>
            </w:r>
          </w:p>
        </w:tc>
        <w:tc>
          <w:tcPr>
            <w:tcW w:w="1393"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801</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color w:val="auto"/>
                <w:sz w:val="24"/>
                <w:szCs w:val="24"/>
                <w:highlight w:val="none"/>
                <w:lang w:val="en-US" w:eastAsia="zh-CN"/>
              </w:rPr>
              <w:t>人力资源和社会保障管理事务</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74.51</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86.97</w:t>
            </w:r>
          </w:p>
        </w:tc>
        <w:tc>
          <w:tcPr>
            <w:tcW w:w="1393"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80109</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color w:val="auto"/>
                <w:sz w:val="24"/>
                <w:szCs w:val="24"/>
                <w:highlight w:val="none"/>
                <w:lang w:val="en-US" w:eastAsia="zh-CN"/>
              </w:rPr>
              <w:t>社会保险经办机构</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74.51</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86.97</w:t>
            </w:r>
          </w:p>
        </w:tc>
        <w:tc>
          <w:tcPr>
            <w:tcW w:w="1393"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826</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color w:val="auto"/>
                <w:sz w:val="24"/>
                <w:szCs w:val="24"/>
                <w:highlight w:val="none"/>
                <w:lang w:val="en-US" w:eastAsia="zh-CN"/>
              </w:rPr>
              <w:t>财政对基本养老保险基金的补助</w:t>
            </w:r>
          </w:p>
        </w:tc>
        <w:tc>
          <w:tcPr>
            <w:tcW w:w="1876" w:type="dxa"/>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498</w:t>
            </w:r>
          </w:p>
        </w:tc>
        <w:tc>
          <w:tcPr>
            <w:tcW w:w="1684"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712</w:t>
            </w:r>
          </w:p>
        </w:tc>
        <w:tc>
          <w:tcPr>
            <w:tcW w:w="1393"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82601</w:t>
            </w:r>
          </w:p>
        </w:tc>
        <w:tc>
          <w:tcPr>
            <w:tcW w:w="2479" w:type="dxa"/>
            <w:vAlign w:val="center"/>
          </w:tcPr>
          <w:p>
            <w:pPr>
              <w:keepNext w:val="0"/>
              <w:keepLines w:val="0"/>
              <w:widowControl/>
              <w:suppressLineNumbers w:val="0"/>
              <w:ind w:left="0" w:leftChars="0" w:firstLine="0" w:firstLineChars="0"/>
              <w:jc w:val="center"/>
              <w:textAlignment w:val="center"/>
              <w:rPr>
                <w:rFonts w:hint="eastAsia"/>
                <w:color w:val="auto"/>
                <w:sz w:val="24"/>
                <w:szCs w:val="24"/>
                <w:highlight w:val="none"/>
                <w:lang w:val="en-US" w:eastAsia="zh-CN"/>
              </w:rPr>
            </w:pPr>
            <w:r>
              <w:rPr>
                <w:rFonts w:hint="eastAsia"/>
                <w:color w:val="auto"/>
                <w:sz w:val="24"/>
                <w:szCs w:val="24"/>
                <w:highlight w:val="none"/>
                <w:lang w:val="en-US" w:eastAsia="zh-CN"/>
              </w:rPr>
              <w:t>财政对企业职工基本养老保险基金的补助</w:t>
            </w:r>
          </w:p>
        </w:tc>
        <w:tc>
          <w:tcPr>
            <w:tcW w:w="1876" w:type="dxa"/>
            <w:vAlign w:val="center"/>
          </w:tcPr>
          <w:p>
            <w:pPr>
              <w:keepNext w:val="0"/>
              <w:keepLines w:val="0"/>
              <w:widowControl/>
              <w:suppressLineNumbers w:val="0"/>
              <w:ind w:firstLine="480" w:firstLineChars="200"/>
              <w:jc w:val="center"/>
              <w:textAlignment w:val="center"/>
              <w:rPr>
                <w:rFonts w:hint="default"/>
                <w:color w:val="auto"/>
                <w:sz w:val="24"/>
                <w:szCs w:val="24"/>
                <w:highlight w:val="none"/>
                <w:lang w:val="en-US" w:eastAsia="zh-CN"/>
              </w:rPr>
            </w:pPr>
            <w:r>
              <w:rPr>
                <w:rFonts w:hint="eastAsia"/>
                <w:color w:val="auto"/>
                <w:sz w:val="24"/>
                <w:szCs w:val="24"/>
                <w:highlight w:val="none"/>
                <w:lang w:val="en-US" w:eastAsia="zh-CN"/>
              </w:rPr>
              <w:t>498</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712</w:t>
            </w:r>
          </w:p>
        </w:tc>
        <w:tc>
          <w:tcPr>
            <w:tcW w:w="1393" w:type="dxa"/>
            <w:vAlign w:val="center"/>
          </w:tcPr>
          <w:p>
            <w:pPr>
              <w:ind w:left="0" w:leftChars="0" w:firstLine="0" w:firstLineChars="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30.06%</w:t>
            </w:r>
          </w:p>
        </w:tc>
      </w:tr>
    </w:tbl>
    <w:p>
      <w:pPr>
        <w:numPr>
          <w:ilvl w:val="0"/>
          <w:numId w:val="2"/>
        </w:numPr>
        <w:ind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按经济科目分类</w:t>
      </w:r>
      <w:r>
        <w:rPr>
          <w:rFonts w:hint="eastAsia" w:ascii="仿宋" w:hAnsi="仿宋" w:eastAsia="仿宋" w:cs="仿宋"/>
          <w:color w:val="auto"/>
          <w:sz w:val="32"/>
          <w:szCs w:val="32"/>
          <w:highlight w:val="none"/>
          <w:lang w:val="en-US" w:eastAsia="zh-CN"/>
        </w:rPr>
        <w:t>对比</w:t>
      </w:r>
      <w:r>
        <w:rPr>
          <w:rFonts w:hint="eastAsia" w:ascii="仿宋" w:hAnsi="仿宋" w:eastAsia="仿宋" w:cs="仿宋"/>
          <w:color w:val="auto"/>
          <w:sz w:val="32"/>
          <w:szCs w:val="32"/>
          <w:highlight w:val="none"/>
        </w:rPr>
        <w:t>如下：</w:t>
      </w:r>
    </w:p>
    <w:p>
      <w:pPr>
        <w:jc w:val="left"/>
        <w:rPr>
          <w:rFonts w:hint="eastAsia" w:ascii="仿宋" w:hAnsi="仿宋" w:eastAsia="仿宋" w:cs="仿宋"/>
          <w:color w:val="auto"/>
          <w:sz w:val="30"/>
          <w:szCs w:val="30"/>
          <w:highlight w:val="none"/>
        </w:rPr>
      </w:pPr>
      <w:r>
        <w:rPr>
          <w:rFonts w:hint="eastAsia" w:ascii="仿宋" w:hAnsi="仿宋" w:eastAsia="仿宋" w:cs="Arial"/>
          <w:b/>
          <w:color w:val="auto"/>
          <w:kern w:val="0"/>
          <w:sz w:val="30"/>
          <w:szCs w:val="30"/>
          <w:highlight w:val="none"/>
        </w:rPr>
        <w:t>20</w:t>
      </w:r>
      <w:r>
        <w:rPr>
          <w:rFonts w:hint="eastAsia" w:ascii="仿宋" w:hAnsi="仿宋" w:eastAsia="仿宋" w:cs="Arial"/>
          <w:b/>
          <w:color w:val="auto"/>
          <w:kern w:val="0"/>
          <w:sz w:val="30"/>
          <w:szCs w:val="30"/>
          <w:highlight w:val="none"/>
          <w:lang w:val="en-US" w:eastAsia="zh-CN"/>
        </w:rPr>
        <w:t>20</w:t>
      </w:r>
      <w:r>
        <w:rPr>
          <w:rFonts w:hint="eastAsia" w:ascii="仿宋" w:hAnsi="仿宋" w:eastAsia="仿宋" w:cs="Arial"/>
          <w:b/>
          <w:color w:val="auto"/>
          <w:kern w:val="0"/>
          <w:sz w:val="30"/>
          <w:szCs w:val="30"/>
          <w:highlight w:val="none"/>
        </w:rPr>
        <w:t xml:space="preserve">年度支出经济科目分类决算对比表  </w:t>
      </w:r>
      <w:r>
        <w:rPr>
          <w:rFonts w:hint="eastAsia" w:ascii="仿宋" w:hAnsi="仿宋" w:eastAsia="仿宋" w:cs="Arial"/>
          <w:b/>
          <w:color w:val="auto"/>
          <w:kern w:val="0"/>
          <w:sz w:val="30"/>
          <w:szCs w:val="30"/>
          <w:highlight w:val="none"/>
          <w:lang w:val="en-US" w:eastAsia="zh-CN"/>
        </w:rPr>
        <w:t xml:space="preserve"> </w:t>
      </w:r>
      <w:r>
        <w:rPr>
          <w:rFonts w:hint="eastAsia" w:ascii="仿宋" w:hAnsi="仿宋" w:eastAsia="仿宋" w:cs="Arial"/>
          <w:b/>
          <w:color w:val="auto"/>
          <w:kern w:val="0"/>
          <w:sz w:val="30"/>
          <w:szCs w:val="30"/>
          <w:highlight w:val="none"/>
        </w:rPr>
        <w:t xml:space="preserve">   单位：</w:t>
      </w:r>
      <w:r>
        <w:rPr>
          <w:rFonts w:hint="eastAsia" w:ascii="仿宋" w:hAnsi="仿宋" w:eastAsia="仿宋" w:cs="Arial"/>
          <w:b/>
          <w:color w:val="auto"/>
          <w:kern w:val="0"/>
          <w:sz w:val="30"/>
          <w:szCs w:val="30"/>
          <w:highlight w:val="none"/>
          <w:lang w:val="en-US" w:eastAsia="zh-CN"/>
        </w:rPr>
        <w:t>万</w:t>
      </w:r>
      <w:r>
        <w:rPr>
          <w:rFonts w:hint="eastAsia" w:ascii="仿宋" w:hAnsi="仿宋" w:eastAsia="仿宋" w:cs="Arial"/>
          <w:b/>
          <w:color w:val="auto"/>
          <w:kern w:val="0"/>
          <w:sz w:val="30"/>
          <w:szCs w:val="30"/>
          <w:highlight w:val="none"/>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val="en-US" w:eastAsia="zh-CN"/>
              </w:rPr>
              <w:t>科目</w:t>
            </w:r>
            <w:r>
              <w:rPr>
                <w:rFonts w:hint="eastAsia" w:ascii="仿宋" w:hAnsi="仿宋" w:eastAsia="仿宋" w:cs="仿宋"/>
                <w:b/>
                <w:color w:val="auto"/>
                <w:kern w:val="0"/>
                <w:sz w:val="28"/>
                <w:szCs w:val="28"/>
                <w:highlight w:val="none"/>
              </w:rPr>
              <w:t>名称</w:t>
            </w:r>
          </w:p>
        </w:tc>
        <w:tc>
          <w:tcPr>
            <w:tcW w:w="1837" w:type="dxa"/>
            <w:vAlign w:val="top"/>
          </w:tcPr>
          <w:p>
            <w:pPr>
              <w:widowControl/>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4"/>
                <w:szCs w:val="24"/>
                <w:highlight w:val="none"/>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4"/>
                <w:szCs w:val="24"/>
                <w:highlight w:val="none"/>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highlight w:val="none"/>
                <w:lang w:val="en-US"/>
              </w:rPr>
            </w:pPr>
            <w:r>
              <w:rPr>
                <w:rFonts w:hint="eastAsia" w:ascii="仿宋" w:hAnsi="仿宋" w:eastAsia="仿宋" w:cs="仿宋"/>
                <w:b/>
                <w:color w:val="auto"/>
                <w:kern w:val="0"/>
                <w:sz w:val="24"/>
                <w:szCs w:val="24"/>
                <w:highlight w:val="none"/>
                <w:lang w:eastAsia="zh-CN"/>
              </w:rPr>
              <w:t>增减变化</w:t>
            </w:r>
            <w:r>
              <w:rPr>
                <w:rFonts w:hint="eastAsia" w:ascii="仿宋" w:hAnsi="仿宋" w:eastAsia="仿宋" w:cs="仿宋"/>
                <w:b/>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合  计</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572.51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798.97</w:t>
            </w:r>
          </w:p>
        </w:tc>
        <w:tc>
          <w:tcPr>
            <w:tcW w:w="1956"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61.1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78.03</w:t>
            </w:r>
          </w:p>
        </w:tc>
        <w:tc>
          <w:tcPr>
            <w:tcW w:w="1956"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10.22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8.65</w:t>
            </w:r>
          </w:p>
        </w:tc>
        <w:tc>
          <w:tcPr>
            <w:tcW w:w="1956"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对个人和家庭的补助</w:t>
            </w:r>
          </w:p>
        </w:tc>
        <w:tc>
          <w:tcPr>
            <w:tcW w:w="1837" w:type="dxa"/>
            <w:vAlign w:val="center"/>
          </w:tcPr>
          <w:p>
            <w:pPr>
              <w:widowControl/>
              <w:jc w:val="both"/>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498.29</w:t>
            </w:r>
          </w:p>
        </w:tc>
        <w:tc>
          <w:tcPr>
            <w:tcW w:w="2071"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712.29</w:t>
            </w:r>
          </w:p>
        </w:tc>
        <w:tc>
          <w:tcPr>
            <w:tcW w:w="1956"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highlight w:val="none"/>
                <w:lang w:eastAsia="zh-CN"/>
              </w:rPr>
            </w:pPr>
            <w:r>
              <w:rPr>
                <w:rFonts w:hint="eastAsia" w:ascii="仿宋" w:hAnsi="仿宋" w:eastAsia="仿宋" w:cs="仿宋"/>
                <w:color w:val="auto"/>
                <w:kern w:val="0"/>
                <w:sz w:val="28"/>
                <w:szCs w:val="28"/>
                <w:highlight w:val="none"/>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0</w:t>
            </w:r>
          </w:p>
        </w:tc>
        <w:tc>
          <w:tcPr>
            <w:tcW w:w="1956" w:type="dxa"/>
            <w:vAlign w:val="center"/>
          </w:tcPr>
          <w:p>
            <w:pPr>
              <w:widowControl/>
              <w:jc w:val="right"/>
              <w:rPr>
                <w:rFonts w:hint="eastAsia" w:ascii="仿宋" w:hAnsi="仿宋" w:eastAsia="仿宋" w:cs="仿宋"/>
                <w:color w:val="auto"/>
                <w:kern w:val="0"/>
                <w:sz w:val="28"/>
                <w:szCs w:val="28"/>
                <w:highlight w:val="none"/>
                <w:lang w:val="en-US" w:eastAsia="zh-CN"/>
              </w:rPr>
            </w:pPr>
            <w:r>
              <w:rPr>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-2540</wp:posOffset>
                      </wp:positionV>
                      <wp:extent cx="1238250" cy="390525"/>
                      <wp:effectExtent l="1270" t="4445" r="17780" b="5080"/>
                      <wp:wrapNone/>
                      <wp:docPr id="1" name="直接连接符 1"/>
                      <wp:cNvGraphicFramePr/>
                      <a:graphic xmlns:a="http://schemas.openxmlformats.org/drawingml/2006/main">
                        <a:graphicData uri="http://schemas.microsoft.com/office/word/2010/wordprocessingShape">
                          <wps:wsp>
                            <wps:cNvCnPr/>
                            <wps:spPr>
                              <a:xfrm>
                                <a:off x="5445125" y="4062095"/>
                                <a:ext cx="1238250" cy="390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1pt;margin-top:-0.2pt;height:30.75pt;width:97.5pt;z-index:251659264;mso-width-relative:page;mso-height-relative:page;" filled="f" stroked="t" coordsize="21600,21600" o:gfxdata="UEsDBAoAAAAAAIdO4kAAAAAAAAAAAAAAAAAEAAAAZHJzL1BLAwQUAAAACACHTuJAlyRQK9cAAAAI&#10;AQAADwAAAGRycy9kb3ducmV2LnhtbE2PQUsDMRCF74L/IYzgrU221FLWzRYRhApSaBXUW3Yz7i4m&#10;kyVJ2/XfOz3pbR7v8eZ71WbyTpwwpiGQhmKuQCC1wQ7UaXh7fZqtQaRsyBoXCDX8YIJNfX1VmdKG&#10;M+3xdMid4BJKpdHQ5zyWUqa2R2/SPIxI7H2F6E1mGTtpozlzuXdyodRKejMQf+jNiI89tt+Ho9fQ&#10;7GL8uPt8H93Dy17tprQN8Xmr9e1Noe5BZJzyXxgu+IwONTM14Ug2CadhVqgFR/lYgrj46yVPaTSs&#10;igJkXcn/A+pfUEsDBBQAAAAIAIdO4kBTAidn+gEAAMIDAAAOAAAAZHJzL2Uyb0RvYy54bWytU02O&#10;0zAU3iNxB8t7mjRtqjZqOtJMNWwQVAIO4DpOYsl/8vM07SW4ABI7WLFkz21mOAbPTmcGhs0syMKx&#10;nz9/732fn9cXR63IQXiQ1tR0OskpEYbbRpquph8/XL9aUgKBmYYpa0RNTwLoxebli/XgKlHY3qpG&#10;eIIkBqrB1bQPwVVZBrwXmsHEOmFws7Ves4BL32WNZwOya5UVeb7IBusb5y0XABjdjpv0zOifQ2jb&#10;VnKxtfxGCxNGVi8UCygJeumAblK1bSt4eNe2IAJRNUWlIY2YBOf7OGabNas6z1wv+bkE9pwSnmjS&#10;TBpM+kC1ZYGRGy//odKSewu2DRNudTYKSY6gimn+xJv3PXMiaUGrwT2YDv+Plr897DyRDXYCJYZp&#10;vPC7zz9uP3399fMLjnffv5FpNGlwUCH2yuz8eQVu56PiY+t1/KMWcqxpOZ+X06Kk5FTTeb4o8lU5&#10;miyOgXAETIvZsijRf46I2SovEYyU2SOT8xBeC6tJnNRUSRNNYBU7vIEwQu8hMWzstVQK46xShgw1&#10;XcwSPcPmbLEpMJN2KBBMRwlTHXY9Dz4xglWyiafjYfDd/kp5cmDYK+Xl6nJ7X9hfsJh6y6AfcWlr&#10;FKhlwIehpK7pMo/fWZYyqC76NzoWZ3vbnJKRKY5Xm/Sf2zD2zp/rdPrx6W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ckUCvXAAAACAEAAA8AAAAAAAAAAQAgAAAAIgAAAGRycy9kb3ducmV2Lnht&#10;bFBLAQIUABQAAAAIAIdO4kBTAidn+gEAAMIDAAAOAAAAAAAAAAEAIAAAACYBAABkcnMvZTJvRG9j&#10;LnhtbFBLBQYAAAAABgAGAFkBAACSBQAAAAA=&#10;">
                      <v:fill on="f" focussize="0,0"/>
                      <v:stroke weight="0.5pt" color="#5B9BD5 [3204]" miterlimit="8" joinstyle="miter"/>
                      <v:imagedata o:title=""/>
                      <o:lock v:ext="edit" aspectratio="f"/>
                    </v:line>
                  </w:pict>
                </mc:Fallback>
              </mc:AlternateContent>
            </w:r>
          </w:p>
        </w:tc>
      </w:tr>
    </w:tbl>
    <w:p>
      <w:pPr>
        <w:spacing w:line="580" w:lineRule="exact"/>
        <w:ind w:left="0" w:leftChars="0" w:firstLine="0" w:firstLineChars="0"/>
        <w:rPr>
          <w:rFonts w:hint="eastAsia"/>
          <w:color w:val="auto"/>
          <w:szCs w:val="32"/>
          <w:highlight w:val="none"/>
        </w:rPr>
      </w:pPr>
    </w:p>
    <w:p>
      <w:pPr>
        <w:pStyle w:val="3"/>
        <w:rPr>
          <w:rFonts w:hint="eastAsia" w:ascii="仿宋" w:hAnsi="仿宋" w:eastAsia="仿宋" w:cs="仿宋"/>
          <w:b/>
          <w:bCs w:val="0"/>
          <w:color w:val="auto"/>
          <w:highlight w:val="none"/>
          <w:lang w:val="en-US" w:eastAsia="zh-CN"/>
        </w:rPr>
      </w:pPr>
      <w:bookmarkStart w:id="21" w:name="_Toc17728"/>
      <w:bookmarkStart w:id="22" w:name="_Toc841"/>
      <w:r>
        <w:rPr>
          <w:rFonts w:hint="eastAsia" w:ascii="仿宋" w:hAnsi="仿宋" w:eastAsia="仿宋" w:cs="仿宋"/>
          <w:b/>
          <w:bCs w:val="0"/>
          <w:color w:val="auto"/>
          <w:highlight w:val="none"/>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highlight w:val="none"/>
          <w:lang w:eastAsia="zh-CN"/>
        </w:rPr>
      </w:pP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w:t>
      </w:r>
      <w:r>
        <w:rPr>
          <w:rFonts w:hint="eastAsia" w:ascii="仿宋_GB2312"/>
          <w:color w:val="auto"/>
          <w:szCs w:val="32"/>
          <w:highlight w:val="none"/>
        </w:rPr>
        <w:t>基本</w:t>
      </w:r>
      <w:r>
        <w:rPr>
          <w:rFonts w:ascii="仿宋_GB2312"/>
          <w:color w:val="auto"/>
          <w:szCs w:val="32"/>
          <w:highlight w:val="none"/>
        </w:rPr>
        <w:t>支出</w:t>
      </w:r>
      <w:r>
        <w:rPr>
          <w:rFonts w:hint="eastAsia" w:ascii="仿宋_GB2312"/>
          <w:color w:val="auto"/>
          <w:szCs w:val="32"/>
          <w:highlight w:val="none"/>
          <w:lang w:val="en-US" w:eastAsia="zh-CN"/>
        </w:rPr>
        <w:t>81.81</w:t>
      </w:r>
      <w:r>
        <w:rPr>
          <w:rFonts w:hint="eastAsia" w:ascii="仿宋_GB2312"/>
          <w:color w:val="auto"/>
          <w:szCs w:val="32"/>
          <w:highlight w:val="none"/>
        </w:rPr>
        <w:t>万元</w:t>
      </w:r>
      <w:r>
        <w:rPr>
          <w:rFonts w:ascii="仿宋_GB2312"/>
          <w:color w:val="auto"/>
          <w:szCs w:val="32"/>
          <w:highlight w:val="none"/>
        </w:rPr>
        <w:t>，其中</w:t>
      </w:r>
      <w:r>
        <w:rPr>
          <w:rFonts w:hint="eastAsia" w:ascii="仿宋_GB2312"/>
          <w:color w:val="auto"/>
          <w:szCs w:val="32"/>
          <w:highlight w:val="none"/>
        </w:rPr>
        <w:t>：人员</w:t>
      </w:r>
      <w:r>
        <w:rPr>
          <w:rFonts w:ascii="仿宋_GB2312"/>
          <w:color w:val="auto"/>
          <w:szCs w:val="32"/>
          <w:highlight w:val="none"/>
        </w:rPr>
        <w:t>经费</w:t>
      </w:r>
      <w:r>
        <w:rPr>
          <w:rFonts w:hint="eastAsia" w:ascii="仿宋_GB2312"/>
          <w:color w:val="auto"/>
          <w:szCs w:val="32"/>
          <w:highlight w:val="none"/>
          <w:lang w:val="en-US" w:eastAsia="zh-CN"/>
        </w:rPr>
        <w:t>78.06</w:t>
      </w:r>
      <w:r>
        <w:rPr>
          <w:rFonts w:hint="eastAsia" w:ascii="仿宋_GB2312"/>
          <w:color w:val="auto"/>
          <w:szCs w:val="32"/>
          <w:highlight w:val="none"/>
        </w:rPr>
        <w:t>万元</w:t>
      </w:r>
      <w:r>
        <w:rPr>
          <w:rFonts w:ascii="仿宋_GB2312"/>
          <w:color w:val="auto"/>
          <w:szCs w:val="32"/>
          <w:highlight w:val="none"/>
        </w:rPr>
        <w:t>，</w:t>
      </w:r>
      <w:r>
        <w:rPr>
          <w:rFonts w:hint="eastAsia" w:ascii="仿宋_GB2312"/>
          <w:color w:val="auto"/>
          <w:szCs w:val="32"/>
          <w:highlight w:val="none"/>
        </w:rPr>
        <w:t>主要</w:t>
      </w:r>
      <w:r>
        <w:rPr>
          <w:rFonts w:ascii="仿宋_GB2312"/>
          <w:color w:val="auto"/>
          <w:szCs w:val="32"/>
          <w:highlight w:val="none"/>
        </w:rPr>
        <w:t>包括</w:t>
      </w:r>
      <w:r>
        <w:rPr>
          <w:rFonts w:hint="eastAsia" w:ascii="仿宋_GB2312"/>
          <w:color w:val="auto"/>
          <w:szCs w:val="32"/>
          <w:highlight w:val="none"/>
          <w:lang w:eastAsia="zh-CN"/>
        </w:rPr>
        <w:t>本部门人员工资发放和各项社保缴费</w:t>
      </w:r>
      <w:r>
        <w:rPr>
          <w:rFonts w:ascii="仿宋_GB2312"/>
          <w:color w:val="auto"/>
          <w:szCs w:val="32"/>
          <w:highlight w:val="none"/>
        </w:rPr>
        <w:t>；</w:t>
      </w:r>
      <w:r>
        <w:rPr>
          <w:rFonts w:hint="eastAsia" w:ascii="仿宋_GB2312"/>
          <w:color w:val="auto"/>
          <w:szCs w:val="32"/>
          <w:highlight w:val="none"/>
        </w:rPr>
        <w:t>公用</w:t>
      </w:r>
      <w:r>
        <w:rPr>
          <w:rFonts w:ascii="仿宋_GB2312"/>
          <w:color w:val="auto"/>
          <w:szCs w:val="32"/>
          <w:highlight w:val="none"/>
        </w:rPr>
        <w:t>经费</w:t>
      </w:r>
      <w:r>
        <w:rPr>
          <w:rFonts w:hint="eastAsia" w:ascii="仿宋_GB2312"/>
          <w:color w:val="auto"/>
          <w:szCs w:val="32"/>
          <w:highlight w:val="none"/>
          <w:lang w:val="en-US" w:eastAsia="zh-CN"/>
        </w:rPr>
        <w:t>3.75</w:t>
      </w:r>
      <w:r>
        <w:rPr>
          <w:rFonts w:hint="eastAsia" w:ascii="仿宋_GB2312"/>
          <w:color w:val="auto"/>
          <w:szCs w:val="32"/>
          <w:highlight w:val="none"/>
        </w:rPr>
        <w:t>万元</w:t>
      </w:r>
      <w:r>
        <w:rPr>
          <w:rFonts w:ascii="仿宋_GB2312"/>
          <w:color w:val="auto"/>
          <w:szCs w:val="32"/>
          <w:highlight w:val="none"/>
        </w:rPr>
        <w:t>，主要包括</w:t>
      </w:r>
      <w:r>
        <w:rPr>
          <w:rFonts w:hint="eastAsia" w:ascii="仿宋_GB2312"/>
          <w:color w:val="auto"/>
          <w:szCs w:val="32"/>
          <w:highlight w:val="none"/>
          <w:lang w:eastAsia="zh-CN"/>
        </w:rPr>
        <w:t>本部门日常运行支出</w:t>
      </w:r>
      <w:r>
        <w:rPr>
          <w:rFonts w:ascii="仿宋_GB2312"/>
          <w:color w:val="auto"/>
          <w:szCs w:val="32"/>
          <w:highlight w:val="none"/>
        </w:rPr>
        <w:t>。</w:t>
      </w:r>
      <w:r>
        <w:rPr>
          <w:rFonts w:hint="eastAsia" w:ascii="仿宋_GB2312"/>
          <w:color w:val="auto"/>
          <w:szCs w:val="32"/>
          <w:highlight w:val="none"/>
        </w:rPr>
        <w:t>20</w:t>
      </w:r>
      <w:r>
        <w:rPr>
          <w:rFonts w:hint="eastAsia" w:ascii="仿宋_GB2312"/>
          <w:color w:val="auto"/>
          <w:szCs w:val="32"/>
          <w:highlight w:val="none"/>
          <w:lang w:val="en-US" w:eastAsia="zh-CN"/>
        </w:rPr>
        <w:t>21</w:t>
      </w:r>
      <w:r>
        <w:rPr>
          <w:rFonts w:hint="eastAsia" w:ascii="仿宋_GB2312"/>
          <w:color w:val="auto"/>
          <w:szCs w:val="32"/>
          <w:highlight w:val="none"/>
        </w:rPr>
        <w:t>年度</w:t>
      </w:r>
      <w:r>
        <w:rPr>
          <w:rFonts w:ascii="仿宋_GB2312"/>
          <w:color w:val="auto"/>
          <w:szCs w:val="32"/>
          <w:highlight w:val="none"/>
        </w:rPr>
        <w:t>财政拨款</w:t>
      </w:r>
      <w:r>
        <w:rPr>
          <w:rFonts w:hint="eastAsia" w:ascii="仿宋_GB2312"/>
          <w:color w:val="auto"/>
          <w:szCs w:val="32"/>
          <w:highlight w:val="none"/>
          <w:lang w:val="en-US" w:eastAsia="zh-CN"/>
        </w:rPr>
        <w:t>项目</w:t>
      </w:r>
      <w:r>
        <w:rPr>
          <w:rFonts w:ascii="仿宋_GB2312"/>
          <w:color w:val="auto"/>
          <w:szCs w:val="32"/>
          <w:highlight w:val="none"/>
        </w:rPr>
        <w:t>支出</w:t>
      </w:r>
      <w:r>
        <w:rPr>
          <w:rFonts w:hint="eastAsia" w:ascii="仿宋_GB2312"/>
          <w:color w:val="auto"/>
          <w:szCs w:val="32"/>
          <w:highlight w:val="none"/>
          <w:lang w:val="en-US" w:eastAsia="zh-CN"/>
        </w:rPr>
        <w:t>717.16</w:t>
      </w:r>
      <w:r>
        <w:rPr>
          <w:rFonts w:hint="eastAsia" w:ascii="仿宋_GB2312"/>
          <w:color w:val="auto"/>
          <w:szCs w:val="32"/>
          <w:highlight w:val="none"/>
        </w:rPr>
        <w:t>万元</w:t>
      </w:r>
      <w:r>
        <w:rPr>
          <w:rFonts w:hint="eastAsia" w:ascii="仿宋_GB2312"/>
          <w:color w:val="auto"/>
          <w:szCs w:val="32"/>
          <w:highlight w:val="none"/>
          <w:lang w:eastAsia="zh-CN"/>
        </w:rPr>
        <w:t>。</w:t>
      </w:r>
      <w:bookmarkStart w:id="23" w:name="_Toc2304"/>
      <w:bookmarkStart w:id="24" w:name="_Toc26508"/>
    </w:p>
    <w:p>
      <w:pPr>
        <w:numPr>
          <w:ilvl w:val="0"/>
          <w:numId w:val="3"/>
        </w:numPr>
        <w:spacing w:line="580" w:lineRule="exact"/>
        <w:ind w:firstLine="640"/>
        <w:rPr>
          <w:rFonts w:hint="eastAsia" w:ascii="仿宋" w:hAnsi="仿宋" w:eastAsia="仿宋" w:cs="仿宋"/>
          <w:b/>
          <w:bCs w:val="0"/>
          <w:color w:val="auto"/>
          <w:highlight w:val="none"/>
          <w:lang w:val="en-US" w:eastAsia="zh-CN"/>
        </w:rPr>
      </w:pPr>
      <w:r>
        <w:rPr>
          <w:rFonts w:hint="eastAsia" w:ascii="仿宋" w:hAnsi="仿宋" w:eastAsia="仿宋" w:cs="仿宋"/>
          <w:b/>
          <w:bCs w:val="0"/>
          <w:color w:val="auto"/>
          <w:highlight w:val="none"/>
          <w:lang w:val="en-US" w:eastAsia="zh-CN"/>
        </w:rPr>
        <w:t>一般公共预算财政拨款“三公”经费支出决算情况说明</w:t>
      </w:r>
      <w:bookmarkEnd w:id="23"/>
      <w:bookmarkEnd w:id="24"/>
      <w:bookmarkStart w:id="25" w:name="_Toc1792"/>
      <w:bookmarkStart w:id="26" w:name="_Toc9078"/>
    </w:p>
    <w:p>
      <w:pPr>
        <w:numPr>
          <w:numId w:val="0"/>
        </w:numPr>
        <w:spacing w:line="580" w:lineRule="exact"/>
        <w:ind w:firstLine="960" w:firstLineChars="300"/>
        <w:rPr>
          <w:rFonts w:hint="eastAsia" w:ascii="仿宋_GB2312" w:hAnsi="Times New Roman" w:eastAsia="仿宋_GB2312" w:cstheme="minorBidi"/>
          <w:b w:val="0"/>
          <w:color w:val="auto"/>
          <w:kern w:val="2"/>
          <w:sz w:val="32"/>
          <w:szCs w:val="32"/>
          <w:highlight w:val="none"/>
          <w:lang w:val="en-US" w:eastAsia="zh-CN" w:bidi="ar-SA"/>
        </w:rPr>
      </w:pPr>
      <w:r>
        <w:rPr>
          <w:rFonts w:hint="eastAsia" w:ascii="仿宋_GB2312" w:hAnsi="Times New Roman" w:eastAsia="仿宋_GB2312" w:cstheme="minorBidi"/>
          <w:b w:val="0"/>
          <w:color w:val="auto"/>
          <w:kern w:val="2"/>
          <w:sz w:val="32"/>
          <w:szCs w:val="32"/>
          <w:highlight w:val="none"/>
          <w:lang w:val="en-US" w:eastAsia="zh-CN" w:bidi="ar-SA"/>
        </w:rPr>
        <w:t>本部门无“三公”经费</w:t>
      </w:r>
    </w:p>
    <w:p>
      <w:pPr>
        <w:pStyle w:val="3"/>
        <w:rPr>
          <w:rFonts w:hint="eastAsia" w:ascii="仿宋" w:hAnsi="仿宋" w:eastAsia="仿宋" w:cs="仿宋"/>
          <w:b/>
          <w:bCs w:val="0"/>
          <w:color w:val="auto"/>
          <w:highlight w:val="none"/>
          <w:lang w:val="en-US" w:eastAsia="zh-CN"/>
        </w:rPr>
      </w:pPr>
      <w:r>
        <w:rPr>
          <w:rFonts w:hint="eastAsia" w:ascii="仿宋" w:hAnsi="仿宋" w:eastAsia="仿宋" w:cs="仿宋"/>
          <w:b/>
          <w:bCs w:val="0"/>
          <w:color w:val="auto"/>
          <w:highlight w:val="none"/>
          <w:lang w:val="en-US" w:eastAsia="zh-CN"/>
        </w:rPr>
        <w:t>八、其他重要事项情况说明</w:t>
      </w:r>
      <w:bookmarkEnd w:id="25"/>
      <w:bookmarkEnd w:id="26"/>
    </w:p>
    <w:p>
      <w:pPr>
        <w:rPr>
          <w:rFonts w:hint="eastAsia"/>
          <w:b/>
          <w:bCs/>
          <w:color w:val="auto"/>
          <w:highlight w:val="none"/>
        </w:rPr>
      </w:pPr>
      <w:bookmarkStart w:id="27" w:name="_Toc23407"/>
      <w:r>
        <w:rPr>
          <w:rFonts w:hint="eastAsia"/>
          <w:b/>
          <w:bCs/>
          <w:color w:val="auto"/>
          <w:highlight w:val="none"/>
        </w:rPr>
        <w:t>（一）机关运行经费支出情况说明</w:t>
      </w:r>
      <w:bookmarkEnd w:id="27"/>
    </w:p>
    <w:p>
      <w:pPr>
        <w:spacing w:line="580" w:lineRule="exact"/>
        <w:ind w:firstLine="640"/>
        <w:rPr>
          <w:rFonts w:hint="eastAsia" w:ascii="仿宋_GB2312" w:hAnsi="Times New Roman" w:eastAsia="仿宋_GB2312" w:cstheme="minorBidi"/>
          <w:b w:val="0"/>
          <w:color w:val="auto"/>
          <w:kern w:val="2"/>
          <w:sz w:val="32"/>
          <w:szCs w:val="32"/>
          <w:highlight w:val="none"/>
          <w:lang w:val="en-US" w:eastAsia="zh-CN" w:bidi="ar-SA"/>
        </w:rPr>
      </w:pPr>
      <w:r>
        <w:rPr>
          <w:rFonts w:hint="eastAsia" w:ascii="仿宋_GB2312" w:hAnsi="Times New Roman" w:eastAsia="仿宋_GB2312" w:cstheme="minorBidi"/>
          <w:b w:val="0"/>
          <w:color w:val="auto"/>
          <w:kern w:val="2"/>
          <w:sz w:val="32"/>
          <w:szCs w:val="32"/>
          <w:highlight w:val="none"/>
          <w:lang w:val="en-US" w:eastAsia="zh-CN" w:bidi="ar-SA"/>
        </w:rPr>
        <w:t>本部门无机关运行经费。</w:t>
      </w:r>
    </w:p>
    <w:p>
      <w:pPr>
        <w:rPr>
          <w:rFonts w:hint="eastAsia"/>
          <w:b/>
          <w:bCs/>
          <w:color w:val="auto"/>
          <w:highlight w:val="none"/>
        </w:rPr>
      </w:pPr>
      <w:bookmarkStart w:id="28" w:name="_Toc16103"/>
      <w:r>
        <w:rPr>
          <w:rFonts w:hint="eastAsia"/>
          <w:b/>
          <w:bCs/>
          <w:color w:val="auto"/>
          <w:highlight w:val="none"/>
        </w:rPr>
        <w:t>（二）政府采购情况说明</w:t>
      </w:r>
      <w:bookmarkEnd w:id="28"/>
    </w:p>
    <w:p>
      <w:pPr>
        <w:spacing w:line="580" w:lineRule="exact"/>
        <w:ind w:firstLine="640"/>
        <w:rPr>
          <w:rFonts w:hint="eastAsia" w:ascii="仿宋_GB2312" w:hAnsi="Times New Roman" w:eastAsia="仿宋_GB2312" w:cstheme="minorBidi"/>
          <w:b w:val="0"/>
          <w:color w:val="auto"/>
          <w:kern w:val="2"/>
          <w:sz w:val="32"/>
          <w:szCs w:val="32"/>
          <w:highlight w:val="none"/>
          <w:lang w:val="en-US" w:eastAsia="zh-CN" w:bidi="ar-SA"/>
        </w:rPr>
      </w:pPr>
      <w:bookmarkStart w:id="29" w:name="_Toc19975"/>
      <w:r>
        <w:rPr>
          <w:rFonts w:hint="eastAsia" w:ascii="仿宋_GB2312" w:hAnsi="Times New Roman" w:eastAsia="仿宋_GB2312" w:cstheme="minorBidi"/>
          <w:b w:val="0"/>
          <w:color w:val="auto"/>
          <w:kern w:val="2"/>
          <w:sz w:val="32"/>
          <w:szCs w:val="32"/>
          <w:highlight w:val="none"/>
          <w:lang w:val="en-US" w:eastAsia="zh-CN" w:bidi="ar-SA"/>
        </w:rPr>
        <w:t>本部门无</w:t>
      </w:r>
      <w:r>
        <w:rPr>
          <w:rFonts w:hint="eastAsia" w:ascii="仿宋_GB2312" w:cstheme="minorBidi"/>
          <w:b w:val="0"/>
          <w:color w:val="auto"/>
          <w:kern w:val="2"/>
          <w:sz w:val="32"/>
          <w:szCs w:val="32"/>
          <w:highlight w:val="none"/>
          <w:lang w:val="en-US" w:eastAsia="zh-CN" w:bidi="ar-SA"/>
        </w:rPr>
        <w:t>政府采购</w:t>
      </w:r>
      <w:r>
        <w:rPr>
          <w:rFonts w:hint="eastAsia" w:ascii="仿宋_GB2312" w:hAnsi="Times New Roman" w:eastAsia="仿宋_GB2312" w:cstheme="minorBidi"/>
          <w:b w:val="0"/>
          <w:color w:val="auto"/>
          <w:kern w:val="2"/>
          <w:sz w:val="32"/>
          <w:szCs w:val="32"/>
          <w:highlight w:val="none"/>
          <w:lang w:val="en-US" w:eastAsia="zh-CN" w:bidi="ar-SA"/>
        </w:rPr>
        <w:t>。</w:t>
      </w:r>
    </w:p>
    <w:p>
      <w:pPr>
        <w:rPr>
          <w:rFonts w:hint="eastAsia"/>
          <w:b/>
          <w:bCs/>
          <w:color w:val="auto"/>
          <w:highlight w:val="none"/>
        </w:rPr>
      </w:pPr>
      <w:r>
        <w:rPr>
          <w:rFonts w:hint="eastAsia"/>
          <w:b/>
          <w:bCs/>
          <w:color w:val="auto"/>
          <w:highlight w:val="none"/>
        </w:rPr>
        <w:t>（三）国有资产占用情况说明</w:t>
      </w:r>
      <w:bookmarkEnd w:id="29"/>
    </w:p>
    <w:p>
      <w:pPr>
        <w:ind w:firstLine="320" w:firstLineChars="100"/>
        <w:rPr>
          <w:rFonts w:hint="eastAsia" w:ascii="仿宋_GB2312" w:eastAsia="仿宋_GB2312"/>
          <w:color w:val="auto"/>
          <w:szCs w:val="32"/>
          <w:highlight w:val="none"/>
          <w:lang w:eastAsia="zh-CN"/>
        </w:rPr>
      </w:pPr>
      <w:r>
        <w:rPr>
          <w:rFonts w:hint="eastAsia" w:ascii="仿宋_GB2312"/>
          <w:color w:val="auto"/>
          <w:szCs w:val="32"/>
          <w:highlight w:val="none"/>
        </w:rPr>
        <w:t>截至20</w:t>
      </w:r>
      <w:r>
        <w:rPr>
          <w:rFonts w:hint="eastAsia" w:ascii="仿宋_GB2312"/>
          <w:color w:val="auto"/>
          <w:szCs w:val="32"/>
          <w:highlight w:val="none"/>
          <w:lang w:val="en-US" w:eastAsia="zh-CN"/>
        </w:rPr>
        <w:t>21</w:t>
      </w:r>
      <w:r>
        <w:rPr>
          <w:rFonts w:hint="eastAsia" w:ascii="仿宋_GB2312"/>
          <w:color w:val="auto"/>
          <w:szCs w:val="32"/>
          <w:highlight w:val="none"/>
        </w:rPr>
        <w:t>年12月31日</w:t>
      </w:r>
      <w:r>
        <w:rPr>
          <w:rFonts w:hint="eastAsia" w:ascii="仿宋_GB2312"/>
          <w:color w:val="auto"/>
          <w:szCs w:val="32"/>
          <w:highlight w:val="none"/>
          <w:lang w:eastAsia="zh-CN"/>
        </w:rPr>
        <w:t>，本部门国有资产占用情况如下：</w:t>
      </w:r>
    </w:p>
    <w:p>
      <w:pPr>
        <w:ind w:firstLine="640" w:firstLineChars="200"/>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（1）车辆情况：无</w:t>
      </w:r>
    </w:p>
    <w:p>
      <w:pPr>
        <w:ind w:firstLine="640" w:firstLineChars="200"/>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（2）房屋情况：位于西林路2号，面积491平方米，原值206000元，现已交回财政统筹安排。</w:t>
      </w:r>
    </w:p>
    <w:p>
      <w:pPr>
        <w:ind w:firstLine="640" w:firstLineChars="200"/>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（3）其他国有资产占有使用情况：我单位共有国有资本为329389.00元，其中不定产为206000.00元，其他固定资产为123389.00元。</w:t>
      </w:r>
    </w:p>
    <w:p>
      <w:pPr>
        <w:ind w:left="0" w:leftChars="0" w:firstLine="643" w:firstLineChars="200"/>
        <w:rPr>
          <w:rFonts w:hint="eastAsia" w:ascii="仿宋" w:hAnsi="仿宋" w:eastAsia="仿宋" w:cs="仿宋"/>
          <w:b/>
          <w:bCs/>
          <w:color w:val="auto"/>
          <w:sz w:val="32"/>
          <w:szCs w:val="32"/>
          <w:highlight w:val="none"/>
          <w:lang w:val="en-US" w:eastAsia="zh-CN"/>
        </w:rPr>
      </w:pPr>
      <w:r>
        <w:rPr>
          <w:rFonts w:hint="eastAsia"/>
          <w:b/>
          <w:bCs/>
          <w:color w:val="auto"/>
          <w:highlight w:val="none"/>
          <w:lang w:eastAsia="zh-CN"/>
        </w:rPr>
        <w:t>（</w:t>
      </w:r>
      <w:r>
        <w:rPr>
          <w:rFonts w:hint="eastAsia"/>
          <w:b/>
          <w:bCs/>
          <w:color w:val="auto"/>
          <w:highlight w:val="none"/>
          <w:lang w:val="en-US" w:eastAsia="zh-CN"/>
        </w:rPr>
        <w:t>四）</w:t>
      </w:r>
      <w:r>
        <w:rPr>
          <w:rFonts w:hint="eastAsia"/>
          <w:b/>
          <w:bCs/>
          <w:color w:val="auto"/>
          <w:highlight w:val="none"/>
        </w:rPr>
        <w:t>重点项目预算的绩效目标情况说明：</w:t>
      </w:r>
    </w:p>
    <w:p>
      <w:pPr>
        <w:numPr>
          <w:ilvl w:val="0"/>
          <w:numId w:val="4"/>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预算绩效管理工作开展情况。</w:t>
      </w:r>
    </w:p>
    <w:p>
      <w:pPr>
        <w:numPr>
          <w:ilvl w:val="0"/>
          <w:numId w:val="0"/>
        </w:numPr>
        <w:ind w:firstLine="960" w:firstLineChars="3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根据预算绩效管理要求，我部门组织对202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县</w:t>
      </w:r>
      <w:r>
        <w:rPr>
          <w:rFonts w:hint="eastAsia" w:ascii="仿宋_GB2312" w:hAnsi="仿宋_GB2312" w:eastAsia="仿宋_GB2312" w:cs="仿宋_GB2312"/>
          <w:color w:val="auto"/>
          <w:sz w:val="32"/>
          <w:szCs w:val="32"/>
          <w:highlight w:val="none"/>
          <w:lang w:val="en-US" w:eastAsia="zh-CN"/>
        </w:rPr>
        <w:t>级财政预算安排的专项资金类和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00万元以上的经费补助类</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个项目支出全面开展绩效自评，涉及预算资金</w:t>
      </w:r>
      <w:r>
        <w:rPr>
          <w:rFonts w:hint="eastAsia" w:ascii="仿宋_GB2312" w:hAnsi="仿宋_GB2312" w:cs="仿宋_GB2312"/>
          <w:color w:val="auto"/>
          <w:sz w:val="32"/>
          <w:szCs w:val="32"/>
          <w:highlight w:val="none"/>
          <w:lang w:val="en-US" w:eastAsia="zh-CN"/>
        </w:rPr>
        <w:t>717.16</w:t>
      </w:r>
      <w:r>
        <w:rPr>
          <w:rFonts w:hint="eastAsia" w:ascii="仿宋_GB2312" w:hAnsi="仿宋_GB2312" w:eastAsia="仿宋_GB2312" w:cs="仿宋_GB2312"/>
          <w:color w:val="auto"/>
          <w:sz w:val="32"/>
          <w:szCs w:val="32"/>
          <w:highlight w:val="none"/>
          <w:lang w:val="en-US" w:eastAsia="zh-CN"/>
        </w:rPr>
        <w:t>万元，占一般公共预算项目支出总额的</w:t>
      </w:r>
      <w:r>
        <w:rPr>
          <w:rFonts w:hint="eastAsia" w:ascii="仿宋_GB2312" w:hAnsi="仿宋_GB2312" w:cs="仿宋_GB2312"/>
          <w:color w:val="auto"/>
          <w:sz w:val="32"/>
          <w:szCs w:val="32"/>
          <w:highlight w:val="none"/>
          <w:lang w:val="en-US" w:eastAsia="zh-CN"/>
        </w:rPr>
        <w:t>89.76</w:t>
      </w:r>
      <w:r>
        <w:rPr>
          <w:rFonts w:hint="eastAsia" w:ascii="仿宋_GB2312" w:hAnsi="仿宋_GB2312" w:eastAsia="仿宋_GB2312" w:cs="仿宋_GB2312"/>
          <w:color w:val="auto"/>
          <w:sz w:val="32"/>
          <w:szCs w:val="32"/>
          <w:highlight w:val="none"/>
          <w:lang w:val="en-US" w:eastAsia="zh-CN"/>
        </w:rPr>
        <w:t>%。组织对202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年度驻大厅工作人员着装费、美援朝老战士补助</w:t>
      </w:r>
      <w:r>
        <w:rPr>
          <w:rFonts w:hint="eastAsia" w:ascii="仿宋_GB2312" w:hAnsi="仿宋_GB2312" w:cs="仿宋_GB2312"/>
          <w:color w:val="auto"/>
          <w:sz w:val="32"/>
          <w:szCs w:val="32"/>
          <w:highlight w:val="none"/>
          <w:lang w:val="en-US" w:eastAsia="zh-CN"/>
        </w:rPr>
        <w:t>、基金征缴工作经费、财政对企业职工基本养老保险基金的补助</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个政府性基金预算项目支出开展绩效自评，共涉及预算资金</w:t>
      </w:r>
      <w:r>
        <w:rPr>
          <w:rFonts w:hint="eastAsia" w:ascii="仿宋_GB2312" w:hAnsi="仿宋_GB2312" w:cs="仿宋_GB2312"/>
          <w:color w:val="auto"/>
          <w:sz w:val="32"/>
          <w:szCs w:val="32"/>
          <w:highlight w:val="none"/>
          <w:lang w:val="en-US" w:eastAsia="zh-CN"/>
        </w:rPr>
        <w:t>717.16</w:t>
      </w:r>
      <w:r>
        <w:rPr>
          <w:rFonts w:hint="eastAsia" w:ascii="仿宋_GB2312" w:hAnsi="仿宋_GB2312" w:eastAsia="仿宋_GB2312" w:cs="仿宋_GB2312"/>
          <w:color w:val="auto"/>
          <w:sz w:val="32"/>
          <w:szCs w:val="32"/>
          <w:highlight w:val="none"/>
          <w:lang w:val="en-US" w:eastAsia="zh-CN"/>
        </w:rPr>
        <w:t>万元，占政府性基金预算项目支出总额的</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numPr>
          <w:ilvl w:val="0"/>
          <w:numId w:val="4"/>
        </w:numPr>
        <w:ind w:left="0" w:leftChars="0"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部门决算中项目绩效自评结果。</w:t>
      </w:r>
    </w:p>
    <w:p>
      <w:pPr>
        <w:numPr>
          <w:ilvl w:val="0"/>
          <w:numId w:val="0"/>
        </w:numPr>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项目对应的绩效自评价评分表</w:t>
      </w:r>
      <w:r>
        <w:rPr>
          <w:rFonts w:hint="eastAsia" w:ascii="仿宋_GB2312" w:hAnsi="仿宋_GB2312" w:cs="仿宋_GB2312"/>
          <w:sz w:val="32"/>
          <w:szCs w:val="32"/>
          <w:lang w:val="en-US" w:eastAsia="zh-CN"/>
        </w:rPr>
        <w:t>向社会公开。（绩效评价自评表以附件形式</w:t>
      </w:r>
      <w:r>
        <w:rPr>
          <w:rFonts w:hint="eastAsia" w:ascii="仿宋_GB2312" w:hAnsi="仿宋_GB2312" w:eastAsia="仿宋_GB2312" w:cs="仿宋_GB2312"/>
          <w:sz w:val="32"/>
          <w:szCs w:val="32"/>
          <w:lang w:val="en-US" w:eastAsia="zh-CN"/>
        </w:rPr>
        <w:t>向社会公开</w:t>
      </w:r>
      <w:r>
        <w:rPr>
          <w:rFonts w:hint="eastAsia" w:ascii="仿宋_GB2312" w:hAnsi="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5"/>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单位名称：静乐县社会保险事业所</w:t>
      </w:r>
    </w:p>
    <w:p>
      <w:pPr>
        <w:ind w:firstLine="4480" w:firstLineChars="1400"/>
        <w:rPr>
          <w:rFonts w:hint="eastAsia" w:eastAsia="仿宋_GB2312"/>
          <w:lang w:val="en-US" w:eastAsia="zh-CN"/>
        </w:rPr>
      </w:pPr>
      <w:r>
        <w:rPr>
          <w:rFonts w:hint="eastAsia"/>
          <w:lang w:val="en-US" w:eastAsia="zh-CN"/>
        </w:rPr>
        <w:t>二〇二二年六月六日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6"/>
          <w:ind w:firstLine="360"/>
          <w:jc w:val="center"/>
        </w:pPr>
        <w:r>
          <w:fldChar w:fldCharType="begin"/>
        </w:r>
        <w:r>
          <w:instrText xml:space="preserve">PAGE   \* MERGEFORMAT</w:instrText>
        </w:r>
        <w:r>
          <w:fldChar w:fldCharType="separate"/>
        </w:r>
        <w:r>
          <w:rPr>
            <w:lang w:val="zh-CN"/>
          </w:rPr>
          <w:t>7</w:t>
        </w:r>
        <w:r>
          <w:fldChar w:fldCharType="end"/>
        </w:r>
      </w:p>
    </w:sdtContent>
  </w:sdt>
  <w:p>
    <w:pPr>
      <w:pStyle w:val="6"/>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61A8F7"/>
    <w:multiLevelType w:val="singleLevel"/>
    <w:tmpl w:val="3C61A8F7"/>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7681BD5A"/>
    <w:multiLevelType w:val="singleLevel"/>
    <w:tmpl w:val="7681BD5A"/>
    <w:lvl w:ilvl="0" w:tentative="0">
      <w:start w:val="1"/>
      <w:numFmt w:val="decimal"/>
      <w:suff w:val="nothing"/>
      <w:lvlText w:val="（%1）"/>
      <w:lvlJc w:val="left"/>
    </w:lvl>
  </w:abstractNum>
  <w:abstractNum w:abstractNumId="4">
    <w:nsid w:val="7E2924B3"/>
    <w:multiLevelType w:val="singleLevel"/>
    <w:tmpl w:val="7E2924B3"/>
    <w:lvl w:ilvl="0" w:tentative="0">
      <w:start w:val="7"/>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EDC13FA"/>
    <w:rsid w:val="16654CDD"/>
    <w:rsid w:val="189218E6"/>
    <w:rsid w:val="1A4A5C33"/>
    <w:rsid w:val="22A20966"/>
    <w:rsid w:val="2701594C"/>
    <w:rsid w:val="27426717"/>
    <w:rsid w:val="37943B50"/>
    <w:rsid w:val="3821117E"/>
    <w:rsid w:val="42C12CEC"/>
    <w:rsid w:val="44401A62"/>
    <w:rsid w:val="495520D0"/>
    <w:rsid w:val="4A012068"/>
    <w:rsid w:val="4EBC4D40"/>
    <w:rsid w:val="53A30631"/>
    <w:rsid w:val="5EC01F6A"/>
    <w:rsid w:val="61631ACE"/>
    <w:rsid w:val="629A022C"/>
    <w:rsid w:val="63AB51DF"/>
    <w:rsid w:val="649C6DC9"/>
    <w:rsid w:val="6FB2676C"/>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闻政-正文一级标题"/>
    <w:basedOn w:val="5"/>
    <w:next w:val="14"/>
    <w:qFormat/>
    <w:uiPriority w:val="3"/>
    <w:pPr>
      <w:spacing w:before="120" w:after="60" w:line="500" w:lineRule="exact"/>
      <w:ind w:firstLine="0" w:firstLineChars="0"/>
      <w:outlineLvl w:val="0"/>
    </w:pPr>
    <w:rPr>
      <w:rFonts w:ascii="黑体" w:hAnsi="黑体" w:eastAsia="黑体"/>
      <w:sz w:val="32"/>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5">
    <w:name w:val="闻政-正文二级标题"/>
    <w:basedOn w:val="3"/>
    <w:next w:val="14"/>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闻政-正文三级标题"/>
    <w:basedOn w:val="1"/>
    <w:next w:val="14"/>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2507</Words>
  <Characters>2926</Characters>
  <Lines>0</Lines>
  <Paragraphs>0</Paragraphs>
  <TotalTime>5</TotalTime>
  <ScaleCrop>false</ScaleCrop>
  <LinksUpToDate>false</LinksUpToDate>
  <CharactersWithSpaces>3057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2022-07-29T10:32:02Z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3A1B18998DA84E02BF6AB1831602FA75</vt:lpwstr>
  </property>
</Properties>
</file>