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880" w:firstLineChars="0"/>
        <w:jc w:val="center"/>
        <w:rPr>
          <w:rFonts w:hint="eastAsia" w:ascii="华文中宋" w:hAnsi="华文中宋" w:eastAsia="华文中宋" w:cs="Times New Roman"/>
          <w:b/>
          <w:bCs/>
          <w:color w:val="auto"/>
          <w:sz w:val="44"/>
          <w:szCs w:val="44"/>
          <w:lang w:val="en-US" w:eastAsia="zh-CN"/>
        </w:rPr>
      </w:pPr>
      <w:bookmarkStart w:id="0" w:name="_Toc21118"/>
      <w:bookmarkStart w:id="1" w:name="_Toc32048"/>
      <w:bookmarkStart w:id="2" w:name="_Toc31071"/>
      <w:r>
        <w:rPr>
          <w:rFonts w:hint="eastAsia" w:ascii="华文中宋" w:hAnsi="华文中宋" w:eastAsia="华文中宋" w:cs="Times New Roman"/>
          <w:b/>
          <w:bCs/>
          <w:color w:val="auto"/>
          <w:sz w:val="44"/>
          <w:szCs w:val="44"/>
          <w:lang w:val="en-US" w:eastAsia="zh-CN"/>
        </w:rPr>
        <w:t>静乐县娘子神乡联合学区</w:t>
      </w:r>
    </w:p>
    <w:p>
      <w:pPr>
        <w:spacing w:line="240" w:lineRule="auto"/>
        <w:ind w:firstLine="880" w:firstLineChars="0"/>
        <w:jc w:val="center"/>
        <w:rPr>
          <w:rFonts w:hint="eastAsia" w:ascii="华文中宋" w:hAnsi="华文中宋" w:eastAsia="华文中宋" w:cs="Times New Roman"/>
          <w:b/>
          <w:bCs/>
          <w:color w:val="auto"/>
          <w:sz w:val="44"/>
          <w:szCs w:val="44"/>
          <w:lang w:val="en-US" w:eastAsia="zh-CN"/>
        </w:rPr>
      </w:pPr>
      <w:r>
        <w:rPr>
          <w:rFonts w:hint="eastAsia" w:ascii="华文中宋" w:hAnsi="华文中宋" w:eastAsia="华文中宋" w:cs="Times New Roman"/>
          <w:b/>
          <w:bCs/>
          <w:color w:val="auto"/>
          <w:sz w:val="44"/>
          <w:szCs w:val="44"/>
          <w:lang w:val="en-US" w:eastAsia="zh-CN"/>
        </w:rPr>
        <w:t>2021年度部门决算公开说明</w:t>
      </w:r>
      <w:bookmarkEnd w:id="0"/>
      <w:bookmarkEnd w:id="1"/>
      <w:bookmarkEnd w:id="2"/>
    </w:p>
    <w:p>
      <w:pPr>
        <w:spacing w:line="240" w:lineRule="auto"/>
        <w:ind w:firstLine="880" w:firstLineChars="0"/>
        <w:jc w:val="center"/>
        <w:rPr>
          <w:rFonts w:hint="eastAsia" w:ascii="华文中宋" w:hAnsi="华文中宋" w:eastAsia="华文中宋" w:cs="Times New Roman"/>
          <w:b/>
          <w:bCs/>
          <w:color w:val="auto"/>
          <w:sz w:val="44"/>
          <w:szCs w:val="44"/>
          <w:lang w:val="en-US" w:eastAsia="zh-CN"/>
        </w:rPr>
      </w:pPr>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bCs w:val="0"/>
          <w:lang w:val="en-US" w:eastAsia="zh-CN"/>
        </w:rPr>
      </w:pPr>
      <w:bookmarkStart w:id="5" w:name="_Toc24066"/>
      <w:bookmarkStart w:id="6" w:name="_Toc4461"/>
      <w:r>
        <w:rPr>
          <w:rFonts w:hint="eastAsia" w:ascii="仿宋" w:hAnsi="仿宋" w:eastAsia="仿宋" w:cs="仿宋"/>
          <w:b/>
          <w:bCs w:val="0"/>
          <w:lang w:val="en-US" w:eastAsia="zh-CN"/>
        </w:rPr>
        <w:t>一、本部门职责</w:t>
      </w:r>
      <w:bookmarkEnd w:id="5"/>
      <w:bookmarkEnd w:id="6"/>
    </w:p>
    <w:p>
      <w:pPr>
        <w:spacing w:line="580" w:lineRule="exact"/>
        <w:ind w:firstLine="640"/>
        <w:rPr>
          <w:rFonts w:hint="eastAsia" w:ascii="仿宋_GB2312"/>
          <w:szCs w:val="32"/>
          <w:lang w:val="en-US" w:eastAsia="zh-CN"/>
        </w:rPr>
      </w:pPr>
      <w:bookmarkStart w:id="7" w:name="_Toc9155"/>
      <w:bookmarkStart w:id="8" w:name="_Toc275"/>
      <w:r>
        <w:rPr>
          <w:rFonts w:hint="eastAsia" w:ascii="仿宋_GB2312"/>
          <w:szCs w:val="32"/>
          <w:lang w:val="en-US" w:eastAsia="zh-CN"/>
        </w:rPr>
        <w:t>1.执行上级教育主管部门的各项决定；</w:t>
      </w:r>
    </w:p>
    <w:p>
      <w:pPr>
        <w:spacing w:line="580" w:lineRule="exact"/>
        <w:ind w:firstLine="640"/>
        <w:rPr>
          <w:rFonts w:hint="eastAsia" w:ascii="仿宋_GB2312"/>
          <w:szCs w:val="32"/>
          <w:lang w:val="en-US" w:eastAsia="zh-CN"/>
        </w:rPr>
      </w:pPr>
      <w:r>
        <w:rPr>
          <w:rFonts w:hint="eastAsia" w:ascii="仿宋_GB2312"/>
          <w:szCs w:val="32"/>
          <w:lang w:val="en-US" w:eastAsia="zh-CN"/>
        </w:rPr>
        <w:t>2.实施发展规划，拟订年度工作计划、</w:t>
      </w:r>
      <w:r>
        <w:rPr>
          <w:rFonts w:hint="eastAsia" w:ascii="仿宋_GB2312"/>
          <w:szCs w:val="32"/>
          <w:lang w:val="en-US" w:eastAsia="zh-CN"/>
        </w:rPr>
        <w:fldChar w:fldCharType="begin"/>
      </w:r>
      <w:r>
        <w:rPr>
          <w:rFonts w:hint="eastAsia" w:ascii="仿宋_GB2312"/>
          <w:szCs w:val="32"/>
          <w:lang w:val="en-US" w:eastAsia="zh-CN"/>
        </w:rPr>
        <w:instrText xml:space="preserve"> HYPERLINK "https://www.baidu.com/s?wd=%E8%B4%A2%E5%8A%A1%E9%A2%84%E7%AE%97&amp;from=1012015a&amp;fenlei=mv6quAkxTZn0IZRqIHckPjm4nH00T1Y4PAwhn1u-PAD3uhDzPyc10ZwV5Hcvrjm3rH6sPfKWUMw85HfYnjn4nH6sgvPsT6KdThsqpZwYTjCEQLGCpyw9Uz4Bmy-bIi4WUvYETgN-TLwGUv3En1RzPWnzPW0d" \t "https://zhidao.baidu.com/question/_blank" </w:instrText>
      </w:r>
      <w:r>
        <w:rPr>
          <w:rFonts w:hint="eastAsia" w:ascii="仿宋_GB2312"/>
          <w:szCs w:val="32"/>
          <w:lang w:val="en-US" w:eastAsia="zh-CN"/>
        </w:rPr>
        <w:fldChar w:fldCharType="separate"/>
      </w:r>
      <w:r>
        <w:rPr>
          <w:rFonts w:hint="eastAsia" w:ascii="仿宋_GB2312"/>
          <w:szCs w:val="32"/>
          <w:lang w:val="en-US" w:eastAsia="zh-CN"/>
        </w:rPr>
        <w:t>财务预算</w:t>
      </w:r>
      <w:r>
        <w:rPr>
          <w:rFonts w:hint="eastAsia" w:ascii="仿宋_GB2312"/>
          <w:szCs w:val="32"/>
          <w:lang w:val="en-US" w:eastAsia="zh-CN"/>
        </w:rPr>
        <w:fldChar w:fldCharType="end"/>
      </w:r>
      <w:r>
        <w:rPr>
          <w:rFonts w:hint="eastAsia" w:ascii="仿宋_GB2312"/>
          <w:szCs w:val="32"/>
          <w:lang w:val="en-US" w:eastAsia="zh-CN"/>
        </w:rPr>
        <w:t>和学校规章制度；</w:t>
      </w:r>
    </w:p>
    <w:p>
      <w:pPr>
        <w:spacing w:line="580" w:lineRule="exact"/>
        <w:ind w:firstLine="640"/>
        <w:rPr>
          <w:rFonts w:hint="eastAsia" w:ascii="仿宋_GB2312"/>
          <w:szCs w:val="32"/>
          <w:lang w:val="en-US" w:eastAsia="zh-CN"/>
        </w:rPr>
      </w:pPr>
      <w:r>
        <w:rPr>
          <w:rFonts w:hint="eastAsia" w:ascii="仿宋_GB2312"/>
          <w:szCs w:val="32"/>
          <w:lang w:val="en-US" w:eastAsia="zh-CN"/>
        </w:rPr>
        <w:t>3.聘任和解聘学校工作人员，实施奖惩；</w:t>
      </w:r>
    </w:p>
    <w:p>
      <w:pPr>
        <w:spacing w:line="580" w:lineRule="exact"/>
        <w:ind w:firstLine="640"/>
        <w:rPr>
          <w:rFonts w:hint="eastAsia" w:ascii="仿宋_GB2312"/>
          <w:szCs w:val="32"/>
          <w:lang w:val="en-US" w:eastAsia="zh-CN"/>
        </w:rPr>
      </w:pPr>
      <w:r>
        <w:rPr>
          <w:rFonts w:hint="eastAsia" w:ascii="仿宋_GB2312"/>
          <w:szCs w:val="32"/>
          <w:lang w:val="en-US" w:eastAsia="zh-CN"/>
        </w:rPr>
        <w:t xml:space="preserve">4.组织教育教学、科学研究活动，保证教育教学质量； </w:t>
      </w:r>
    </w:p>
    <w:p>
      <w:pPr>
        <w:spacing w:line="580" w:lineRule="exact"/>
        <w:ind w:firstLine="640"/>
        <w:rPr>
          <w:rFonts w:hint="eastAsia" w:ascii="仿宋_GB2312"/>
          <w:szCs w:val="32"/>
          <w:lang w:val="en-US" w:eastAsia="zh-CN"/>
        </w:rPr>
      </w:pPr>
      <w:r>
        <w:rPr>
          <w:rFonts w:hint="eastAsia" w:ascii="仿宋_GB2312"/>
          <w:szCs w:val="32"/>
          <w:lang w:val="en-US" w:eastAsia="zh-CN"/>
        </w:rPr>
        <w:t>5.负责学校日常管理工作；</w:t>
      </w:r>
    </w:p>
    <w:p>
      <w:pPr>
        <w:spacing w:line="580" w:lineRule="exact"/>
        <w:ind w:firstLine="640"/>
        <w:rPr>
          <w:rFonts w:hint="eastAsia" w:ascii="仿宋_GB2312"/>
          <w:szCs w:val="32"/>
          <w:lang w:val="en-US" w:eastAsia="zh-CN"/>
        </w:rPr>
      </w:pPr>
      <w:r>
        <w:rPr>
          <w:rFonts w:hint="eastAsia" w:ascii="仿宋_GB2312"/>
          <w:szCs w:val="32"/>
          <w:lang w:val="en-US" w:eastAsia="zh-CN"/>
        </w:rPr>
        <w:t>6.坚持依法办学，遵守学校章程，维护学校利益；</w:t>
      </w:r>
    </w:p>
    <w:p>
      <w:pPr>
        <w:spacing w:line="580" w:lineRule="exact"/>
        <w:ind w:firstLine="640"/>
        <w:rPr>
          <w:rFonts w:hint="eastAsia" w:ascii="仿宋_GB2312"/>
          <w:szCs w:val="32"/>
          <w:lang w:val="en-US" w:eastAsia="zh-CN"/>
        </w:rPr>
      </w:pPr>
      <w:r>
        <w:rPr>
          <w:rFonts w:hint="eastAsia" w:ascii="仿宋_GB2312"/>
          <w:szCs w:val="32"/>
          <w:lang w:val="en-US" w:eastAsia="zh-CN"/>
        </w:rPr>
        <w:t>7.合理配置学校“人、财、物、信息”资源，有效行使学校</w:t>
      </w:r>
      <w:r>
        <w:rPr>
          <w:rFonts w:hint="eastAsia" w:ascii="仿宋_GB2312"/>
          <w:szCs w:val="32"/>
          <w:lang w:val="en-US" w:eastAsia="zh-CN"/>
        </w:rPr>
        <w:fldChar w:fldCharType="begin"/>
      </w:r>
      <w:r>
        <w:rPr>
          <w:rFonts w:hint="eastAsia" w:ascii="仿宋_GB2312"/>
          <w:szCs w:val="32"/>
          <w:lang w:val="en-US" w:eastAsia="zh-CN"/>
        </w:rPr>
        <w:instrText xml:space="preserve"> HYPERLINK "https://www.baidu.com/s?wd=%E9%87%8D%E5%A4%A7%E4%BA%8B%E9%A1%B9&amp;from=1012015a&amp;fenlei=mv6quAkxTZn0IZRqIHckPjm4nH00T1Y4PAwhn1u-PAD3uhDzPyc10ZwV5Hcvrjm3rH6sPfKWUMw85HfYnjn4nH6sgvPsT6KdThsqpZwYTjCEQLGCpyw9Uz4Bmy-bIi4WUvYETgN-TLwGUv3En1RzPWnzPW0d" \t "https://zhidao.baidu.com/question/_blank" </w:instrText>
      </w:r>
      <w:r>
        <w:rPr>
          <w:rFonts w:hint="eastAsia" w:ascii="仿宋_GB2312"/>
          <w:szCs w:val="32"/>
          <w:lang w:val="en-US" w:eastAsia="zh-CN"/>
        </w:rPr>
        <w:fldChar w:fldCharType="separate"/>
      </w:r>
      <w:r>
        <w:rPr>
          <w:rFonts w:hint="eastAsia" w:ascii="仿宋_GB2312"/>
          <w:szCs w:val="32"/>
          <w:lang w:val="en-US" w:eastAsia="zh-CN"/>
        </w:rPr>
        <w:t>重大事项</w:t>
      </w:r>
      <w:r>
        <w:rPr>
          <w:rFonts w:hint="eastAsia" w:ascii="仿宋_GB2312"/>
          <w:szCs w:val="32"/>
          <w:lang w:val="en-US" w:eastAsia="zh-CN"/>
        </w:rPr>
        <w:fldChar w:fldCharType="end"/>
      </w:r>
      <w:r>
        <w:rPr>
          <w:rFonts w:hint="eastAsia" w:ascii="仿宋_GB2312"/>
          <w:szCs w:val="32"/>
          <w:lang w:val="en-US" w:eastAsia="zh-CN"/>
        </w:rPr>
        <w:t>和重大改革措施的决策权；</w:t>
      </w:r>
    </w:p>
    <w:p>
      <w:pPr>
        <w:spacing w:line="580" w:lineRule="exact"/>
        <w:ind w:firstLine="640"/>
        <w:rPr>
          <w:rFonts w:hint="eastAsia" w:ascii="仿宋_GB2312"/>
          <w:szCs w:val="32"/>
          <w:lang w:val="en-US" w:eastAsia="zh-CN"/>
        </w:rPr>
      </w:pPr>
      <w:r>
        <w:rPr>
          <w:rFonts w:hint="eastAsia" w:ascii="仿宋_GB2312"/>
          <w:szCs w:val="32"/>
          <w:lang w:val="en-US" w:eastAsia="zh-CN"/>
        </w:rPr>
        <w:t>8.及时向上级</w:t>
      </w:r>
      <w:r>
        <w:rPr>
          <w:rFonts w:hint="eastAsia" w:ascii="仿宋_GB2312"/>
          <w:szCs w:val="32"/>
          <w:lang w:val="en-US" w:eastAsia="zh-CN"/>
        </w:rPr>
        <w:fldChar w:fldCharType="begin"/>
      </w:r>
      <w:r>
        <w:rPr>
          <w:rFonts w:hint="eastAsia" w:ascii="仿宋_GB2312"/>
          <w:szCs w:val="32"/>
          <w:lang w:val="en-US" w:eastAsia="zh-CN"/>
        </w:rPr>
        <w:instrText xml:space="preserve"> HYPERLINK "https://www.baidu.com/s?wd=%E6%95%99%E8%82%B2%E8%A1%8C%E6%94%BF%E9%83%A8%E9%97%A8&amp;from=1012015a&amp;fenlei=mv6quAkxTZn0IZRqIHckPjm4nH00T1Y4PAwhn1u-PAD3uhDzPyc10ZwV5Hcvrjm3rH6sPfKWUMw85HfYnjn4nH6sgvPsT6KdThsqpZwYTjCEQLGCpyw9Uz4Bmy-bIi4WUvYETgN-TLwGUv3En1RzPWnzPW0d" \t "https://zhidao.baidu.com/question/_blank" </w:instrText>
      </w:r>
      <w:r>
        <w:rPr>
          <w:rFonts w:hint="eastAsia" w:ascii="仿宋_GB2312"/>
          <w:szCs w:val="32"/>
          <w:lang w:val="en-US" w:eastAsia="zh-CN"/>
        </w:rPr>
        <w:fldChar w:fldCharType="separate"/>
      </w:r>
      <w:r>
        <w:rPr>
          <w:rFonts w:hint="eastAsia" w:ascii="仿宋_GB2312"/>
          <w:szCs w:val="32"/>
          <w:lang w:val="en-US" w:eastAsia="zh-CN"/>
        </w:rPr>
        <w:t>教育行政部门</w:t>
      </w:r>
      <w:r>
        <w:rPr>
          <w:rFonts w:hint="eastAsia" w:ascii="仿宋_GB2312"/>
          <w:szCs w:val="32"/>
          <w:lang w:val="en-US" w:eastAsia="zh-CN"/>
        </w:rPr>
        <w:fldChar w:fldCharType="end"/>
      </w:r>
      <w:r>
        <w:rPr>
          <w:rFonts w:hint="eastAsia" w:ascii="仿宋_GB2312"/>
          <w:szCs w:val="32"/>
          <w:lang w:val="en-US" w:eastAsia="zh-CN"/>
        </w:rPr>
        <w:t>汇报学校工作；</w:t>
      </w:r>
    </w:p>
    <w:p>
      <w:pPr>
        <w:spacing w:line="580" w:lineRule="exact"/>
        <w:ind w:firstLine="640"/>
        <w:rPr>
          <w:rFonts w:hint="eastAsia" w:ascii="仿宋_GB2312"/>
          <w:szCs w:val="32"/>
          <w:lang w:val="en-US" w:eastAsia="zh-CN"/>
        </w:rPr>
      </w:pPr>
      <w:r>
        <w:rPr>
          <w:rFonts w:hint="eastAsia" w:ascii="仿宋_GB2312"/>
          <w:szCs w:val="32"/>
          <w:lang w:val="en-US" w:eastAsia="zh-CN"/>
        </w:rPr>
        <w:t>9.维护教职工利益，保障教职工合法权益，以教职工和学生的人生幸福和</w:t>
      </w:r>
      <w:r>
        <w:rPr>
          <w:rFonts w:hint="eastAsia" w:ascii="仿宋_GB2312"/>
          <w:szCs w:val="32"/>
          <w:lang w:val="en-US" w:eastAsia="zh-CN"/>
        </w:rPr>
        <w:fldChar w:fldCharType="begin"/>
      </w:r>
      <w:r>
        <w:rPr>
          <w:rFonts w:hint="eastAsia" w:ascii="仿宋_GB2312"/>
          <w:szCs w:val="32"/>
          <w:lang w:val="en-US" w:eastAsia="zh-CN"/>
        </w:rPr>
        <w:instrText xml:space="preserve"> HYPERLINK "https://www.baidu.com/s?wd=%E7%94%9F%E5%91%BD%E8%B4%A8%E9%87%8F&amp;from=1012015a&amp;fenlei=mv6quAkxTZn0IZRqIHckPjm4nH00T1Y4PAwhn1u-PAD3uhDzPyc10ZwV5Hcvrjm3rH6sPfKWUMw85HfYnjn4nH6sgvPsT6KdThsqpZwYTjCEQLGCpyw9Uz4Bmy-bIi4WUvYETgN-TLwGUv3En1RzPWnzPW0d" \t "https://zhidao.baidu.com/question/_blank" </w:instrText>
      </w:r>
      <w:r>
        <w:rPr>
          <w:rFonts w:hint="eastAsia" w:ascii="仿宋_GB2312"/>
          <w:szCs w:val="32"/>
          <w:lang w:val="en-US" w:eastAsia="zh-CN"/>
        </w:rPr>
        <w:fldChar w:fldCharType="separate"/>
      </w:r>
      <w:r>
        <w:rPr>
          <w:rFonts w:hint="eastAsia" w:ascii="仿宋_GB2312"/>
          <w:szCs w:val="32"/>
          <w:lang w:val="en-US" w:eastAsia="zh-CN"/>
        </w:rPr>
        <w:t>生命质量</w:t>
      </w:r>
      <w:r>
        <w:rPr>
          <w:rFonts w:hint="eastAsia" w:ascii="仿宋_GB2312"/>
          <w:szCs w:val="32"/>
          <w:lang w:val="en-US" w:eastAsia="zh-CN"/>
        </w:rPr>
        <w:fldChar w:fldCharType="end"/>
      </w:r>
      <w:r>
        <w:rPr>
          <w:rFonts w:hint="eastAsia" w:ascii="仿宋_GB2312"/>
          <w:szCs w:val="32"/>
          <w:lang w:val="en-US" w:eastAsia="zh-CN"/>
        </w:rPr>
        <w:t>作为关注焦点，建立信任，消除焦虑；</w:t>
      </w:r>
    </w:p>
    <w:p>
      <w:pPr>
        <w:spacing w:line="580" w:lineRule="exact"/>
        <w:ind w:firstLine="640"/>
        <w:rPr>
          <w:rFonts w:hint="eastAsia" w:ascii="仿宋_GB2312"/>
          <w:szCs w:val="32"/>
          <w:lang w:val="en-US" w:eastAsia="zh-CN"/>
        </w:rPr>
      </w:pPr>
      <w:r>
        <w:rPr>
          <w:rFonts w:hint="eastAsia" w:ascii="仿宋_GB2312"/>
          <w:szCs w:val="32"/>
          <w:lang w:val="en-US" w:eastAsia="zh-CN"/>
        </w:rPr>
        <w:t>10.尊重教职工的主人翁地位和民主管理、民主监督的权利，团结和依靠教职工办好学校。</w:t>
      </w:r>
    </w:p>
    <w:p>
      <w:pPr>
        <w:pStyle w:val="3"/>
        <w:rPr>
          <w:rFonts w:hint="eastAsia" w:ascii="仿宋" w:hAnsi="仿宋" w:eastAsia="仿宋" w:cs="仿宋"/>
          <w:b/>
          <w:bCs w:val="0"/>
          <w:lang w:val="en-US" w:eastAsia="zh-CN"/>
        </w:rPr>
      </w:pPr>
      <w:r>
        <w:rPr>
          <w:rFonts w:hint="eastAsia" w:ascii="仿宋" w:hAnsi="仿宋" w:eastAsia="仿宋" w:cs="仿宋"/>
          <w:b/>
          <w:bCs w:val="0"/>
          <w:lang w:val="en-US" w:eastAsia="zh-CN"/>
        </w:rPr>
        <w:t>二、机构设置情况</w:t>
      </w:r>
      <w:bookmarkEnd w:id="7"/>
      <w:bookmarkEnd w:id="8"/>
    </w:p>
    <w:p>
      <w:pPr>
        <w:spacing w:line="580" w:lineRule="exact"/>
        <w:ind w:firstLine="640"/>
        <w:rPr>
          <w:rFonts w:hint="eastAsia" w:ascii="仿宋_GB2312"/>
          <w:szCs w:val="32"/>
          <w:lang w:val="en-US" w:eastAsia="zh-CN"/>
        </w:rPr>
      </w:pPr>
      <w:r>
        <w:rPr>
          <w:rFonts w:hint="eastAsia" w:ascii="仿宋_GB2312"/>
          <w:szCs w:val="32"/>
          <w:lang w:val="en-US" w:eastAsia="zh-CN"/>
        </w:rPr>
        <w:t>我学区编制52人，年末实有34人，其他人员1人。现管辖4个学校：分别是娘子神小学、西会小学、娘子神小学黑汉沟教学点、娘子神小学安庆教学点。</w:t>
      </w:r>
    </w:p>
    <w:p>
      <w:pPr>
        <w:spacing w:line="580" w:lineRule="exact"/>
        <w:ind w:firstLine="640"/>
        <w:rPr>
          <w:rFonts w:hint="eastAsia" w:ascii="仿宋_GB2312"/>
          <w:szCs w:val="32"/>
          <w:lang w:val="en-US" w:eastAsia="zh-CN"/>
        </w:rPr>
      </w:pPr>
      <w:r>
        <w:rPr>
          <w:rFonts w:hint="eastAsia" w:ascii="仿宋_GB2312"/>
          <w:szCs w:val="32"/>
          <w:lang w:val="en-US" w:eastAsia="zh-CN"/>
        </w:rPr>
        <w:t>内设科室有：（1）教导处 （2）后勤处（3）办公室（4）教研室（5）财务室。</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spacing w:line="580" w:lineRule="exact"/>
        <w:ind w:firstLine="640"/>
        <w:rPr>
          <w:rFonts w:hint="eastAsia" w:ascii="仿宋_GB2312"/>
          <w:szCs w:val="32"/>
          <w:lang w:val="en-US" w:eastAsia="zh-CN"/>
        </w:rPr>
      </w:pPr>
      <w:r>
        <w:rPr>
          <w:rFonts w:hint="eastAsia" w:ascii="仿宋_GB2312"/>
          <w:szCs w:val="32"/>
          <w:lang w:val="en-US" w:eastAsia="zh-CN"/>
        </w:rPr>
        <w:t>2021年度收入总计525.47万元、支出总计525.47万元。与2020年446.20万元相比，收入总计增长79.27万元，增长17.77%，支出总计增长79.27万元，增长17.77%。主要原因是人员变动学生人数和公用经费增加。</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szCs w:val="32"/>
          <w:lang w:val="en-US" w:eastAsia="zh-CN"/>
        </w:rPr>
      </w:pPr>
      <w:r>
        <w:rPr>
          <w:rFonts w:hint="eastAsia" w:ascii="仿宋_GB2312"/>
          <w:szCs w:val="32"/>
          <w:lang w:val="en-US" w:eastAsia="zh-CN"/>
        </w:rPr>
        <w:t>本年收入合计525.47万元，其中：财政拨款收入525.47万元，占比100%。</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lang w:val="en-US" w:eastAsia="zh-CN"/>
        </w:rPr>
      </w:pPr>
      <w:r>
        <w:rPr>
          <w:rFonts w:hint="eastAsia" w:ascii="仿宋_GB2312"/>
          <w:szCs w:val="32"/>
          <w:lang w:val="en-US" w:eastAsia="zh-CN"/>
        </w:rPr>
        <w:t>本年支出合计525.47万元，其中：基本支出400.45万元，占比76.21%；项目支出125.02万元，占比23.79%。</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lang w:val="en-US" w:eastAsia="zh-CN"/>
        </w:rPr>
      </w:pPr>
      <w:r>
        <w:rPr>
          <w:rFonts w:hint="eastAsia" w:ascii="仿宋_GB2312"/>
          <w:szCs w:val="32"/>
          <w:lang w:val="en-US" w:eastAsia="zh-CN"/>
        </w:rPr>
        <w:t>2021年度财政拨款收入总计525.47万元、支出总计525.47万元。与2020年相比，财政拨款收入总计增长79.27万元，增长17.77%，财政拨款支出总计增长79.27万元，增长17.77%，主要原因是人员变动学生人数和公用经费增加。</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lang w:val="en-US" w:eastAsia="zh-CN"/>
        </w:rPr>
      </w:pPr>
      <w:r>
        <w:rPr>
          <w:rFonts w:hint="eastAsia" w:ascii="仿宋_GB2312"/>
          <w:szCs w:val="32"/>
          <w:lang w:val="en-US" w:eastAsia="zh-CN"/>
        </w:rPr>
        <w:t>2021年度财政拨款支出525.47万元，占本年支出合计的100%。与2020年相比，财政拨款支出增长79.27万元，增长17.77%，其中，一般公共预算财政拨款支出523.97万元，占比99.71%，政府性基金预算支出1.5万元，占比0.29%。</w:t>
      </w:r>
    </w:p>
    <w:p>
      <w:pPr>
        <w:spacing w:line="580" w:lineRule="exact"/>
        <w:ind w:firstLine="643"/>
        <w:rPr>
          <w:rFonts w:hint="eastAsia" w:ascii="仿宋_GB2312"/>
          <w:b/>
          <w:szCs w:val="32"/>
        </w:rPr>
      </w:pPr>
      <w:r>
        <w:rPr>
          <w:rFonts w:hint="eastAsia" w:ascii="仿宋_GB2312"/>
          <w:b/>
          <w:szCs w:val="32"/>
        </w:rPr>
        <w:t>（二）财政拨款支出决算结构情况</w:t>
      </w:r>
    </w:p>
    <w:p>
      <w:pPr>
        <w:spacing w:line="580" w:lineRule="exact"/>
        <w:ind w:firstLine="640"/>
        <w:rPr>
          <w:rFonts w:hint="eastAsia" w:ascii="仿宋_GB2312"/>
          <w:szCs w:val="32"/>
          <w:lang w:val="en-US" w:eastAsia="zh-CN"/>
        </w:rPr>
      </w:pPr>
      <w:r>
        <w:rPr>
          <w:rFonts w:hint="eastAsia" w:ascii="仿宋_GB2312"/>
          <w:szCs w:val="32"/>
          <w:lang w:val="en-US" w:eastAsia="zh-CN"/>
        </w:rPr>
        <w:t>2021年度财政拨款支出525.47万元，主要用于以下方面：教育（类）支出523.97万元，占比99.71%，其他支出1.5万元，占比0.29%。</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_GB2312"/>
          <w:szCs w:val="32"/>
          <w:lang w:val="en-US" w:eastAsia="zh-CN"/>
        </w:rPr>
      </w:pPr>
      <w:r>
        <w:rPr>
          <w:rFonts w:hint="eastAsia" w:ascii="仿宋_GB2312"/>
          <w:szCs w:val="32"/>
          <w:lang w:val="en-US" w:eastAsia="zh-CN"/>
        </w:rPr>
        <w:t>2021年度财政拨款支出年初预算423.35万元，调整预算数525.47万元，支出决算525.47万元，本年支出决算完成本年预算调整数的100%。其中：</w:t>
      </w:r>
    </w:p>
    <w:p>
      <w:pPr>
        <w:spacing w:line="580" w:lineRule="exact"/>
        <w:ind w:firstLine="640"/>
        <w:rPr>
          <w:rFonts w:hint="eastAsia" w:ascii="仿宋_GB2312"/>
          <w:szCs w:val="32"/>
          <w:lang w:val="en-US" w:eastAsia="zh-CN"/>
        </w:rPr>
      </w:pPr>
      <w:r>
        <w:rPr>
          <w:rFonts w:hint="eastAsia" w:ascii="仿宋_GB2312"/>
          <w:szCs w:val="32"/>
          <w:lang w:val="en-US" w:eastAsia="zh-CN"/>
        </w:rPr>
        <w:t>（1）按功能科目分类对比如下：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spacing w:line="240" w:lineRule="auto"/>
              <w:ind w:firstLine="0" w:firstLineChars="0"/>
              <w:rPr>
                <w:rFonts w:hint="eastAsia" w:ascii="仿宋" w:hAnsi="仿宋" w:eastAsia="仿宋" w:cs="仿宋"/>
                <w:color w:val="auto"/>
                <w:sz w:val="24"/>
                <w:szCs w:val="24"/>
                <w:lang w:val="en-US" w:eastAsia="zh-CN"/>
              </w:rPr>
            </w:pPr>
          </w:p>
        </w:tc>
        <w:tc>
          <w:tcPr>
            <w:tcW w:w="2479"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合计</w:t>
            </w:r>
          </w:p>
        </w:tc>
        <w:tc>
          <w:tcPr>
            <w:tcW w:w="1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446.20</w:t>
            </w:r>
          </w:p>
        </w:tc>
        <w:tc>
          <w:tcPr>
            <w:tcW w:w="1684"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525.47</w:t>
            </w:r>
          </w:p>
        </w:tc>
        <w:tc>
          <w:tcPr>
            <w:tcW w:w="1393" w:type="dxa"/>
            <w:vAlign w:val="top"/>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17.77</w:t>
            </w: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spacing w:line="24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205</w:t>
            </w:r>
          </w:p>
        </w:tc>
        <w:tc>
          <w:tcPr>
            <w:tcW w:w="2479" w:type="dxa"/>
            <w:vAlign w:val="center"/>
          </w:tcPr>
          <w:p>
            <w:pPr>
              <w:spacing w:line="24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教育支出</w:t>
            </w:r>
          </w:p>
        </w:tc>
        <w:tc>
          <w:tcPr>
            <w:tcW w:w="1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443.40</w:t>
            </w:r>
          </w:p>
        </w:tc>
        <w:tc>
          <w:tcPr>
            <w:tcW w:w="1684" w:type="dxa"/>
            <w:vAlign w:val="center"/>
          </w:tcPr>
          <w:p>
            <w:pPr>
              <w:spacing w:line="24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523.97</w:t>
            </w:r>
          </w:p>
        </w:tc>
        <w:tc>
          <w:tcPr>
            <w:tcW w:w="1393" w:type="dxa"/>
            <w:vAlign w:val="top"/>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18.17</w:t>
            </w: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spacing w:line="24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20502</w:t>
            </w:r>
          </w:p>
        </w:tc>
        <w:tc>
          <w:tcPr>
            <w:tcW w:w="2479" w:type="dxa"/>
            <w:vAlign w:val="center"/>
          </w:tcPr>
          <w:p>
            <w:pPr>
              <w:spacing w:line="24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普通教育</w:t>
            </w:r>
          </w:p>
        </w:tc>
        <w:tc>
          <w:tcPr>
            <w:tcW w:w="1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443.40</w:t>
            </w:r>
          </w:p>
        </w:tc>
        <w:tc>
          <w:tcPr>
            <w:tcW w:w="1684"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523.97</w:t>
            </w:r>
          </w:p>
        </w:tc>
        <w:tc>
          <w:tcPr>
            <w:tcW w:w="1393" w:type="dxa"/>
            <w:vAlign w:val="top"/>
          </w:tcPr>
          <w:p>
            <w:pPr>
              <w:spacing w:line="24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18.17</w:t>
            </w: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spacing w:line="24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2050202</w:t>
            </w:r>
          </w:p>
        </w:tc>
        <w:tc>
          <w:tcPr>
            <w:tcW w:w="2479" w:type="dxa"/>
            <w:vAlign w:val="center"/>
          </w:tcPr>
          <w:p>
            <w:pPr>
              <w:spacing w:line="24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小学教育</w:t>
            </w:r>
          </w:p>
        </w:tc>
        <w:tc>
          <w:tcPr>
            <w:tcW w:w="1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344.71</w:t>
            </w:r>
          </w:p>
        </w:tc>
        <w:tc>
          <w:tcPr>
            <w:tcW w:w="1684"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400.45</w:t>
            </w:r>
          </w:p>
        </w:tc>
        <w:tc>
          <w:tcPr>
            <w:tcW w:w="1393" w:type="dxa"/>
            <w:vAlign w:val="top"/>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16.17</w:t>
            </w: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2050299</w:t>
            </w:r>
          </w:p>
        </w:tc>
        <w:tc>
          <w:tcPr>
            <w:tcW w:w="2479"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其他普通教育支出</w:t>
            </w:r>
          </w:p>
        </w:tc>
        <w:tc>
          <w:tcPr>
            <w:tcW w:w="1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98.69</w:t>
            </w:r>
          </w:p>
        </w:tc>
        <w:tc>
          <w:tcPr>
            <w:tcW w:w="1684"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123.52</w:t>
            </w:r>
          </w:p>
        </w:tc>
        <w:tc>
          <w:tcPr>
            <w:tcW w:w="1393" w:type="dxa"/>
            <w:vAlign w:val="top"/>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25.16</w:t>
            </w: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229</w:t>
            </w:r>
          </w:p>
        </w:tc>
        <w:tc>
          <w:tcPr>
            <w:tcW w:w="2479"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其他支出</w:t>
            </w:r>
          </w:p>
        </w:tc>
        <w:tc>
          <w:tcPr>
            <w:tcW w:w="1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w:t>
            </w:r>
          </w:p>
        </w:tc>
        <w:tc>
          <w:tcPr>
            <w:tcW w:w="1684"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1393" w:type="dxa"/>
            <w:vAlign w:val="top"/>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-46.43</w:t>
            </w: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22960</w:t>
            </w:r>
          </w:p>
        </w:tc>
        <w:tc>
          <w:tcPr>
            <w:tcW w:w="2479"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彩票公益金安排的支出</w:t>
            </w:r>
          </w:p>
        </w:tc>
        <w:tc>
          <w:tcPr>
            <w:tcW w:w="1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w:t>
            </w:r>
          </w:p>
        </w:tc>
        <w:tc>
          <w:tcPr>
            <w:tcW w:w="1684"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1393" w:type="dxa"/>
            <w:vAlign w:val="top"/>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-46.43</w:t>
            </w:r>
            <w:r>
              <w:rPr>
                <w:rFonts w:hint="eastAsia" w:ascii="仿宋" w:hAnsi="仿宋" w:eastAsia="仿宋" w:cs="仿宋"/>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2296004</w:t>
            </w:r>
          </w:p>
        </w:tc>
        <w:tc>
          <w:tcPr>
            <w:tcW w:w="2479"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用于教育事业的彩票公益金支出</w:t>
            </w:r>
          </w:p>
        </w:tc>
        <w:tc>
          <w:tcPr>
            <w:tcW w:w="1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w:t>
            </w:r>
          </w:p>
        </w:tc>
        <w:tc>
          <w:tcPr>
            <w:tcW w:w="1684"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1393" w:type="dxa"/>
            <w:vAlign w:val="top"/>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-46.43</w:t>
            </w:r>
            <w:r>
              <w:rPr>
                <w:rFonts w:hint="eastAsia" w:ascii="仿宋" w:hAnsi="仿宋" w:eastAsia="仿宋" w:cs="仿宋"/>
                <w:color w:val="auto"/>
                <w:sz w:val="24"/>
                <w:szCs w:val="24"/>
              </w:rPr>
              <w:t>%</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21</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lang w:val="en-US" w:eastAsia="zh-CN"/>
              </w:rPr>
              <w:t>科目</w:t>
            </w:r>
            <w:r>
              <w:rPr>
                <w:rFonts w:hint="eastAsia" w:ascii="宋体" w:hAnsi="宋体" w:cs="Arial"/>
                <w:b/>
                <w:color w:val="000000"/>
                <w:kern w:val="0"/>
                <w:sz w:val="24"/>
                <w:szCs w:val="24"/>
              </w:rPr>
              <w:t>名称</w:t>
            </w:r>
          </w:p>
        </w:tc>
        <w:tc>
          <w:tcPr>
            <w:tcW w:w="1837"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lang w:val="en-US" w:eastAsia="zh-CN"/>
              </w:rPr>
              <w:t>2020年</w:t>
            </w:r>
          </w:p>
        </w:tc>
        <w:tc>
          <w:tcPr>
            <w:tcW w:w="2071"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lang w:val="en-US" w:eastAsia="zh-CN"/>
              </w:rPr>
              <w:t>2021年</w:t>
            </w:r>
          </w:p>
        </w:tc>
        <w:tc>
          <w:tcPr>
            <w:tcW w:w="1956" w:type="dxa"/>
            <w:vAlign w:val="top"/>
          </w:tcPr>
          <w:p>
            <w:pPr>
              <w:widowControl/>
              <w:ind w:left="0" w:leftChars="0" w:firstLine="0" w:firstLineChars="0"/>
              <w:jc w:val="both"/>
              <w:rPr>
                <w:rFonts w:hint="eastAsia" w:ascii="宋体" w:hAnsi="宋体" w:cs="Arial"/>
                <w:b/>
                <w:color w:val="000000"/>
                <w:kern w:val="0"/>
                <w:sz w:val="24"/>
                <w:szCs w:val="24"/>
                <w:lang w:val="en-US"/>
              </w:rPr>
            </w:pPr>
            <w:r>
              <w:rPr>
                <w:rFonts w:hint="eastAsia" w:ascii="宋体" w:hAnsi="宋体" w:cs="Arial"/>
                <w:b/>
                <w:color w:val="000000"/>
                <w:kern w:val="0"/>
                <w:sz w:val="24"/>
                <w:szCs w:val="24"/>
                <w:lang w:eastAsia="zh-CN"/>
              </w:rPr>
              <w:t>增减变化</w:t>
            </w:r>
            <w:r>
              <w:rPr>
                <w:rFonts w:hint="eastAsia" w:ascii="宋体" w:hAnsi="宋体" w:cs="Arial"/>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  计</w:t>
            </w:r>
          </w:p>
        </w:tc>
        <w:tc>
          <w:tcPr>
            <w:tcW w:w="1837"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446.20</w:t>
            </w:r>
          </w:p>
        </w:tc>
        <w:tc>
          <w:tcPr>
            <w:tcW w:w="2071"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525.47</w:t>
            </w:r>
          </w:p>
        </w:tc>
        <w:tc>
          <w:tcPr>
            <w:tcW w:w="195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工资福利支出</w:t>
            </w:r>
          </w:p>
        </w:tc>
        <w:tc>
          <w:tcPr>
            <w:tcW w:w="1837"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334.20</w:t>
            </w:r>
          </w:p>
        </w:tc>
        <w:tc>
          <w:tcPr>
            <w:tcW w:w="2071"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387.34</w:t>
            </w:r>
          </w:p>
        </w:tc>
        <w:tc>
          <w:tcPr>
            <w:tcW w:w="195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商品服务支出</w:t>
            </w:r>
          </w:p>
        </w:tc>
        <w:tc>
          <w:tcPr>
            <w:tcW w:w="1837"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71.45</w:t>
            </w:r>
          </w:p>
        </w:tc>
        <w:tc>
          <w:tcPr>
            <w:tcW w:w="2071"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81.74</w:t>
            </w:r>
          </w:p>
        </w:tc>
        <w:tc>
          <w:tcPr>
            <w:tcW w:w="195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对个人和家庭的补助</w:t>
            </w:r>
          </w:p>
        </w:tc>
        <w:tc>
          <w:tcPr>
            <w:tcW w:w="1837"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6.53</w:t>
            </w:r>
          </w:p>
        </w:tc>
        <w:tc>
          <w:tcPr>
            <w:tcW w:w="2071"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31.76</w:t>
            </w:r>
          </w:p>
        </w:tc>
        <w:tc>
          <w:tcPr>
            <w:tcW w:w="195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386.37%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资本性支出</w:t>
            </w:r>
          </w:p>
        </w:tc>
        <w:tc>
          <w:tcPr>
            <w:tcW w:w="1837"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34.02</w:t>
            </w:r>
          </w:p>
        </w:tc>
        <w:tc>
          <w:tcPr>
            <w:tcW w:w="2071"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24.63</w:t>
            </w:r>
          </w:p>
        </w:tc>
        <w:tc>
          <w:tcPr>
            <w:tcW w:w="1956" w:type="dxa"/>
            <w:vAlign w:val="center"/>
          </w:tcPr>
          <w:p>
            <w:pPr>
              <w:spacing w:line="24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-27。6%</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lang w:val="en-US" w:eastAsia="zh-CN"/>
        </w:rPr>
      </w:pPr>
      <w:r>
        <w:rPr>
          <w:rFonts w:hint="eastAsia" w:ascii="仿宋_GB2312"/>
          <w:szCs w:val="32"/>
          <w:lang w:val="en-US" w:eastAsia="zh-CN"/>
        </w:rPr>
        <w:t>2021年度财政拨款基本支出525.47万元，其中：人员经费387.34万元，主要包括工资福利支出387.34万元；公用经费13.11万元，主要包括</w:t>
      </w:r>
      <w:r>
        <w:rPr>
          <w:rFonts w:hint="eastAsia" w:ascii="仿宋_GB2312" w:hAnsi="Times New Roman"/>
          <w:szCs w:val="32"/>
          <w:lang w:eastAsia="zh-CN"/>
        </w:rPr>
        <w:t>福利工会费</w:t>
      </w:r>
      <w:r>
        <w:rPr>
          <w:rFonts w:hint="eastAsia" w:ascii="仿宋_GB2312"/>
          <w:szCs w:val="32"/>
          <w:lang w:val="en-US" w:eastAsia="zh-CN"/>
        </w:rPr>
        <w:t>支出13.11万元。2021年度财政拨款项目支出125.02万元。</w:t>
      </w:r>
    </w:p>
    <w:p>
      <w:pPr>
        <w:spacing w:line="580" w:lineRule="exact"/>
        <w:ind w:firstLine="640"/>
        <w:rPr>
          <w:rFonts w:hint="eastAsia" w:ascii="仿宋_GB2312"/>
          <w:szCs w:val="32"/>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szCs w:val="32"/>
          <w:lang w:val="en-US" w:eastAsia="zh-CN"/>
        </w:rPr>
      </w:pPr>
      <w:r>
        <w:rPr>
          <w:rFonts w:hint="eastAsia" w:ascii="仿宋_GB2312"/>
          <w:szCs w:val="32"/>
          <w:lang w:val="en-US" w:eastAsia="zh-CN"/>
        </w:rPr>
        <w:t>2021年度，“三公”经费财政拨款支出决算为0万元，无三公经费支出。</w:t>
      </w:r>
    </w:p>
    <w:p>
      <w:pPr>
        <w:spacing w:line="580" w:lineRule="exact"/>
        <w:ind w:firstLine="640"/>
        <w:rPr>
          <w:rFonts w:hint="eastAsia" w:ascii="仿宋_GB2312"/>
          <w:szCs w:val="32"/>
          <w:lang w:val="en-US" w:eastAsia="zh-CN"/>
        </w:rPr>
      </w:pPr>
      <w:r>
        <w:rPr>
          <w:rFonts w:hint="eastAsia" w:ascii="仿宋_GB2312"/>
          <w:szCs w:val="32"/>
          <w:lang w:val="en-US" w:eastAsia="zh-CN"/>
        </w:rPr>
        <w:t>2021年“三公”经费支出情况，分三项和2020年相比。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9"/>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因公出国（境）费</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公务接待费</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9"/>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right"/>
              <w:rPr>
                <w:rFonts w:hint="eastAsia" w:eastAsia="宋体"/>
                <w:color w:val="000000"/>
                <w:sz w:val="28"/>
                <w:szCs w:val="28"/>
                <w:lang w:val="en-US" w:eastAsia="zh-CN"/>
              </w:rPr>
            </w:pPr>
          </w:p>
        </w:tc>
      </w:tr>
    </w:tbl>
    <w:p>
      <w:pPr>
        <w:pStyle w:val="9"/>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ascii="仿宋_GB2312"/>
          <w:szCs w:val="32"/>
          <w:lang w:val="en-US" w:eastAsia="zh-CN"/>
        </w:rPr>
      </w:pPr>
      <w:r>
        <w:rPr>
          <w:rFonts w:hint="eastAsia" w:ascii="仿宋_GB2312"/>
          <w:szCs w:val="32"/>
          <w:lang w:val="en-US" w:eastAsia="zh-CN"/>
        </w:rPr>
        <w:t>2021年本单位机关运行经费支出0万元，无机关运行经费支出。</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 w:hAnsi="仿宋" w:eastAsia="仿宋" w:cs="仿宋"/>
          <w:color w:val="000000"/>
          <w:kern w:val="0"/>
          <w:sz w:val="32"/>
          <w:szCs w:val="32"/>
          <w:highlight w:val="none"/>
          <w:lang w:val="en-US" w:eastAsia="zh-CN" w:bidi="ar-SA"/>
        </w:rPr>
      </w:pPr>
      <w:r>
        <w:rPr>
          <w:rFonts w:hint="eastAsia" w:ascii="仿宋_GB2312"/>
          <w:szCs w:val="32"/>
          <w:lang w:val="en-US" w:eastAsia="zh-CN"/>
        </w:rPr>
        <w:t>2021年度，政府采购支出总额1.21万元，其中：政府采购货物支出1.21万元、政府采购工程支出0万元、政府采购服务支出0万元</w:t>
      </w:r>
      <w:r>
        <w:rPr>
          <w:rFonts w:hint="eastAsia" w:ascii="仿宋" w:hAnsi="仿宋" w:eastAsia="仿宋" w:cs="仿宋"/>
          <w:color w:val="000000"/>
          <w:kern w:val="0"/>
          <w:sz w:val="32"/>
          <w:szCs w:val="32"/>
          <w:highlight w:val="none"/>
          <w:lang w:val="en-US" w:eastAsia="zh-CN" w:bidi="ar-SA"/>
        </w:rPr>
        <w:t>。</w:t>
      </w:r>
    </w:p>
    <w:p>
      <w:pPr>
        <w:rPr>
          <w:rFonts w:hint="eastAsia"/>
          <w:b/>
          <w:bCs/>
        </w:rPr>
      </w:pPr>
      <w:bookmarkStart w:id="29" w:name="_Toc19975"/>
      <w:r>
        <w:rPr>
          <w:rFonts w:hint="eastAsia"/>
          <w:b/>
          <w:bCs/>
        </w:rPr>
        <w:t>（三）国有资产占用情况说明</w:t>
      </w:r>
      <w:bookmarkEnd w:id="29"/>
    </w:p>
    <w:p>
      <w:pPr>
        <w:numPr>
          <w:ilvl w:val="0"/>
          <w:numId w:val="0"/>
        </w:numPr>
        <w:ind w:firstLine="640" w:firstLineChars="200"/>
        <w:rPr>
          <w:rFonts w:hint="eastAsia" w:ascii="仿宋_GB2312"/>
          <w:szCs w:val="32"/>
          <w:lang w:val="en-US" w:eastAsia="zh-CN"/>
        </w:rPr>
      </w:pPr>
      <w:r>
        <w:rPr>
          <w:rFonts w:hint="eastAsia" w:ascii="仿宋_GB2312"/>
          <w:szCs w:val="32"/>
          <w:lang w:val="en-US" w:eastAsia="zh-CN"/>
        </w:rPr>
        <w:t>截至2021年12月31日，本部门共有车辆0辆。单价50万元（含）以上的通用设备0台（套），单价100万元（含）以上专用设备0台（套）。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 w:hAnsi="仿宋" w:eastAsia="仿宋" w:cs="仿宋"/>
          <w:color w:val="000000"/>
          <w:kern w:val="0"/>
          <w:sz w:val="32"/>
          <w:szCs w:val="32"/>
          <w:highlight w:val="none"/>
          <w:lang w:val="en-US" w:eastAsia="zh-CN" w:bidi="ar-SA"/>
        </w:rPr>
      </w:pPr>
      <w:r>
        <w:rPr>
          <w:rFonts w:hint="eastAsia" w:ascii="仿宋_GB2312" w:hAnsi="仿宋_GB2312" w:cs="仿宋_GB2312"/>
          <w:b/>
          <w:bCs/>
          <w:sz w:val="32"/>
          <w:szCs w:val="32"/>
          <w:lang w:val="en-US" w:eastAsia="zh-CN"/>
        </w:rPr>
        <w:t>(1)</w:t>
      </w:r>
      <w:r>
        <w:rPr>
          <w:rFonts w:hint="eastAsia" w:ascii="仿宋_GB2312" w:hAnsi="仿宋_GB2312" w:eastAsia="仿宋_GB2312" w:cs="仿宋_GB2312"/>
          <w:b/>
          <w:bCs/>
          <w:sz w:val="32"/>
          <w:szCs w:val="32"/>
          <w:lang w:val="en-US" w:eastAsia="zh-CN"/>
        </w:rPr>
        <w:t>预算绩效管理工作开展情况。</w:t>
      </w:r>
      <w:r>
        <w:rPr>
          <w:rFonts w:hint="eastAsia" w:ascii="仿宋_GB2312"/>
          <w:szCs w:val="32"/>
          <w:lang w:val="en-US" w:eastAsia="zh-CN"/>
        </w:rPr>
        <w:t>根据预算绩效管理要求，我单位</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专项资金类和</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lang w:val="en-US" w:eastAsia="zh-CN"/>
        </w:rPr>
        <w:t>00万元以上的经费补助</w:t>
      </w:r>
      <w:bookmarkStart w:id="37" w:name="_GoBack"/>
      <w:bookmarkEnd w:id="37"/>
      <w:r>
        <w:rPr>
          <w:rFonts w:hint="eastAsia" w:ascii="仿宋_GB2312" w:hAnsi="仿宋_GB2312" w:eastAsia="仿宋_GB2312" w:cs="仿宋_GB2312"/>
          <w:sz w:val="32"/>
          <w:szCs w:val="32"/>
          <w:highlight w:val="none"/>
          <w:lang w:val="en-US" w:eastAsia="zh-CN"/>
        </w:rPr>
        <w:t>类</w:t>
      </w: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lang w:val="en-US" w:eastAsia="zh-CN"/>
        </w:rPr>
        <w:t>个项目支出全面开展绩</w:t>
      </w:r>
      <w:r>
        <w:rPr>
          <w:rFonts w:hint="eastAsia" w:ascii="仿宋_GB2312" w:hAnsi="仿宋_GB2312" w:eastAsia="仿宋_GB2312" w:cs="仿宋_GB2312"/>
          <w:sz w:val="32"/>
          <w:szCs w:val="32"/>
          <w:lang w:val="en-US" w:eastAsia="zh-CN"/>
        </w:rPr>
        <w:t>效自评，涉及预算资金</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0.57</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个政府性基金预算项目支出开展绩效自评，共涉及预算资金</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万元，占政府性基金预算项目支出总额的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p>
    <w:p>
      <w:pPr>
        <w:pStyle w:val="12"/>
        <w:numPr>
          <w:ilvl w:val="0"/>
          <w:numId w:val="0"/>
        </w:numPr>
        <w:ind w:leftChars="250"/>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1.2021年中小学税费改革资金项目</w:t>
      </w:r>
      <w:bookmarkStart w:id="30" w:name="_Toc61505642"/>
      <w:r>
        <w:rPr>
          <w:rFonts w:hint="eastAsia" w:ascii="仿宋_GB2312" w:hAnsi="Times New Roman" w:eastAsia="仿宋_GB2312" w:cstheme="minorBidi"/>
          <w:kern w:val="2"/>
          <w:sz w:val="32"/>
          <w:szCs w:val="32"/>
          <w:lang w:val="en-US" w:eastAsia="zh-CN" w:bidi="ar-SA"/>
        </w:rPr>
        <w:t>自评综述：根据年初设定的绩效目标，项目自评得分为99.7分。全年预算数为3万元，执行数为3万元，完成预算的100%。项目绩效目标完成情况：资金及时到位，达到预期目标。发现的主要问题及原因：部门决算上报处理效率还需继续提升。下一步改进措施：加快完善相应制度建设和账务处理能力。</w:t>
      </w:r>
    </w:p>
    <w:p>
      <w:pPr>
        <w:pStyle w:val="13"/>
        <w:ind w:left="560"/>
        <w:rPr>
          <w:lang w:eastAsia="zh-CN"/>
        </w:rPr>
      </w:pPr>
      <w:r>
        <w:rPr>
          <w:rFonts w:hint="eastAsia"/>
        </w:rPr>
        <w:t>（一）</w:t>
      </w:r>
      <w:r>
        <w:rPr>
          <w:rFonts w:hint="eastAsia"/>
          <w:lang w:eastAsia="zh-CN"/>
        </w:rPr>
        <w:t>预算执行情况</w:t>
      </w:r>
      <w:bookmarkEnd w:id="30"/>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pStyle w:val="13"/>
        <w:ind w:left="560"/>
      </w:pPr>
      <w:bookmarkStart w:id="31" w:name="_Toc61505643"/>
      <w:r>
        <w:rPr>
          <w:rFonts w:hint="eastAsia"/>
        </w:rPr>
        <w:t>（二）项目</w:t>
      </w:r>
      <w:r>
        <w:rPr>
          <w:rFonts w:hint="eastAsia"/>
          <w:lang w:eastAsia="zh-CN"/>
        </w:rPr>
        <w:t>产出</w:t>
      </w:r>
      <w:r>
        <w:rPr>
          <w:rFonts w:hint="eastAsia"/>
        </w:rPr>
        <w:t>情况</w:t>
      </w:r>
      <w:bookmarkEnd w:id="31"/>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享受税改资金服务人数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15.01</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146人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146人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15.01</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税改资金发放标准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每生每年100元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资金到位及时性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税改资金控制额</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pStyle w:val="13"/>
        <w:ind w:left="560"/>
      </w:pPr>
      <w:bookmarkStart w:id="32" w:name="_Toc61505644"/>
      <w:r>
        <w:rPr>
          <w:rFonts w:hint="eastAsia"/>
        </w:rPr>
        <w:t>（三）项目</w:t>
      </w:r>
      <w:r>
        <w:rPr>
          <w:rFonts w:hint="eastAsia"/>
          <w:lang w:eastAsia="zh-CN"/>
        </w:rPr>
        <w:t>效益</w:t>
      </w:r>
      <w:r>
        <w:rPr>
          <w:rFonts w:hint="eastAsia"/>
        </w:rPr>
        <w:t>情况</w:t>
      </w:r>
      <w:bookmarkEnd w:id="32"/>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税改资金使用效益</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是</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widowControl/>
        <w:ind w:firstLine="0" w:firstLineChars="0"/>
        <w:jc w:val="left"/>
        <w:rPr>
          <w:szCs w:val="44"/>
        </w:rPr>
      </w:pPr>
    </w:p>
    <w:p>
      <w:pPr>
        <w:ind w:firstLine="0" w:firstLineChars="0"/>
        <w:rPr>
          <w:szCs w:val="44"/>
        </w:rPr>
      </w:pPr>
    </w:p>
    <w:p>
      <w:pPr>
        <w:pStyle w:val="13"/>
        <w:ind w:left="560"/>
      </w:pPr>
      <w:bookmarkStart w:id="33" w:name="_Toc61505645"/>
      <w:r>
        <w:rPr>
          <w:rFonts w:hint="eastAsia"/>
        </w:rPr>
        <w:t>（四）项目满意度情况</w:t>
      </w:r>
      <w:bookmarkEnd w:id="33"/>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学校满意度（%）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14.69</w:t>
            </w:r>
          </w:p>
        </w:tc>
      </w:tr>
    </w:tbl>
    <w:p>
      <w:pPr>
        <w:ind w:firstLine="0" w:firstLineChars="0"/>
        <w:rPr>
          <w:szCs w:val="44"/>
        </w:rPr>
      </w:pPr>
    </w:p>
    <w:p>
      <w:pPr>
        <w:pStyle w:val="12"/>
        <w:ind w:left="160" w:leftChars="50" w:firstLine="560"/>
        <w:rPr>
          <w:lang w:eastAsia="zh-CN"/>
        </w:rPr>
      </w:pPr>
    </w:p>
    <w:p>
      <w:pPr>
        <w:spacing w:line="580" w:lineRule="exact"/>
        <w:ind w:firstLine="518" w:firstLineChars="162"/>
        <w:rPr>
          <w:rFonts w:hint="eastAsia" w:ascii="仿宋_GB2312"/>
          <w:szCs w:val="32"/>
          <w:lang w:val="en-US" w:eastAsia="zh-CN"/>
        </w:rPr>
      </w:pPr>
      <w:r>
        <w:rPr>
          <w:rFonts w:hint="eastAsia" w:ascii="仿宋_GB2312"/>
          <w:szCs w:val="32"/>
          <w:lang w:val="en-US" w:eastAsia="zh-CN"/>
        </w:rPr>
        <w:t>2.前下达2021年中央专项彩票公益金支持乡村学校少年宫项目预算项目</w:t>
      </w:r>
      <w:r>
        <w:rPr>
          <w:rFonts w:hint="eastAsia" w:ascii="仿宋_GB2312" w:hAnsi="仿宋_GB2312" w:eastAsia="仿宋_GB2312" w:cs="仿宋_GB2312"/>
          <w:sz w:val="32"/>
          <w:szCs w:val="32"/>
          <w:lang w:val="en-US" w:eastAsia="zh-CN"/>
        </w:rPr>
        <w:t>绩效自评综述：根据年初设定的绩效目标，项目自评得分为</w:t>
      </w:r>
      <w:r>
        <w:rPr>
          <w:rFonts w:hint="eastAsia" w:ascii="仿宋_GB2312" w:hAnsi="仿宋_GB2312" w:cs="仿宋_GB2312"/>
          <w:sz w:val="32"/>
          <w:szCs w:val="32"/>
          <w:lang w:val="en-US" w:eastAsia="zh-CN"/>
        </w:rPr>
        <w:t>99.7</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%。项目绩效目标完成情况：</w:t>
      </w:r>
      <w:r>
        <w:rPr>
          <w:rFonts w:hint="eastAsia" w:ascii="仿宋_GB2312" w:hAnsi="仿宋_GB2312" w:cs="仿宋_GB2312"/>
          <w:sz w:val="32"/>
          <w:szCs w:val="32"/>
          <w:lang w:val="en-US" w:eastAsia="zh-CN"/>
        </w:rPr>
        <w:t>资金及时到位</w:t>
      </w:r>
      <w:r>
        <w:rPr>
          <w:rFonts w:hint="eastAsia"/>
          <w:lang w:eastAsia="zh-CN"/>
        </w:rPr>
        <w:t>为保障学校少年儿童丰富课外活动，确保课外活动开支能够顺利进行</w:t>
      </w:r>
      <w:r>
        <w:rPr>
          <w:rFonts w:hint="eastAsia" w:ascii="仿宋_GB2312" w:hAnsi="仿宋_GB2312" w:eastAsia="仿宋_GB2312" w:cs="仿宋_GB2312"/>
          <w:sz w:val="32"/>
          <w:szCs w:val="32"/>
          <w:lang w:val="en-US" w:eastAsia="zh-CN"/>
        </w:rPr>
        <w:t>。发现的主要问题及原因：</w:t>
      </w:r>
      <w:r>
        <w:rPr>
          <w:rFonts w:hint="eastAsia"/>
          <w:lang w:eastAsia="zh-CN"/>
        </w:rPr>
        <w:t>部门决算上报处理效率还需继续提升</w:t>
      </w:r>
      <w:r>
        <w:rPr>
          <w:rFonts w:hint="eastAsia" w:ascii="仿宋_GB2312" w:hAnsi="仿宋_GB2312" w:eastAsia="仿宋_GB2312" w:cs="仿宋_GB2312"/>
          <w:sz w:val="32"/>
          <w:szCs w:val="32"/>
          <w:lang w:val="en-US" w:eastAsia="zh-CN"/>
        </w:rPr>
        <w:t>。下一步改进措施：</w:t>
      </w:r>
      <w:r>
        <w:rPr>
          <w:rFonts w:hint="eastAsia"/>
          <w:lang w:eastAsia="zh-CN"/>
        </w:rPr>
        <w:t>加快完善相应制度建设和账务处理能力</w:t>
      </w:r>
      <w:r>
        <w:rPr>
          <w:rFonts w:hint="eastAsia" w:ascii="仿宋_GB2312" w:hAnsi="仿宋_GB2312" w:eastAsia="仿宋_GB2312" w:cs="仿宋_GB2312"/>
          <w:sz w:val="32"/>
          <w:szCs w:val="32"/>
          <w:lang w:val="en-US" w:eastAsia="zh-CN"/>
        </w:rPr>
        <w:t>。</w:t>
      </w:r>
    </w:p>
    <w:p>
      <w:pPr>
        <w:pStyle w:val="13"/>
        <w:ind w:left="560"/>
        <w:rPr>
          <w:lang w:eastAsia="zh-CN"/>
        </w:rPr>
      </w:pPr>
      <w:r>
        <w:rPr>
          <w:rFonts w:hint="eastAsia"/>
        </w:rPr>
        <w:t>（一）</w:t>
      </w:r>
      <w:r>
        <w:rPr>
          <w:rFonts w:hint="eastAsia"/>
          <w:lang w:eastAsia="zh-CN"/>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widowControl/>
        <w:ind w:firstLine="0" w:firstLineChars="0"/>
        <w:jc w:val="left"/>
        <w:rPr>
          <w:szCs w:val="44"/>
        </w:rPr>
      </w:pPr>
    </w:p>
    <w:p>
      <w:pPr>
        <w:pStyle w:val="13"/>
        <w:ind w:left="560"/>
      </w:pPr>
      <w:r>
        <w:rPr>
          <w:rFonts w:hint="eastAsia"/>
        </w:rPr>
        <w:t>（二）项目</w:t>
      </w:r>
      <w:r>
        <w:rPr>
          <w:rFonts w:hint="eastAsia"/>
          <w:lang w:eastAsia="zh-CN"/>
        </w:rPr>
        <w:t>产出</w:t>
      </w:r>
      <w:r>
        <w:rPr>
          <w:rFonts w:hint="eastAsia"/>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补贴学生人数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15.01</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175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175人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15.01</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彩票公益基金发放标准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根据当年下发文件执行</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补贴资金到位及时性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彩票公益基金控制额（万元）</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pStyle w:val="13"/>
        <w:ind w:left="560"/>
      </w:pPr>
      <w:r>
        <w:rPr>
          <w:rFonts w:hint="eastAsia"/>
        </w:rPr>
        <w:t>（三）项目</w:t>
      </w:r>
      <w:r>
        <w:rPr>
          <w:rFonts w:hint="eastAsia"/>
          <w:lang w:eastAsia="zh-CN"/>
        </w:rPr>
        <w:t>效益</w:t>
      </w:r>
      <w:r>
        <w:rPr>
          <w:rFonts w:hint="eastAsia"/>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彩票公益基金资金</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是</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pStyle w:val="13"/>
        <w:ind w:left="560"/>
      </w:pPr>
      <w:r>
        <w:rPr>
          <w:rFonts w:hint="eastAsia"/>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学校满意度（%）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14.69</w:t>
            </w:r>
          </w:p>
        </w:tc>
      </w:tr>
    </w:tbl>
    <w:p>
      <w:pPr>
        <w:widowControl/>
        <w:ind w:firstLine="0" w:firstLineChars="0"/>
        <w:jc w:val="left"/>
        <w:rPr>
          <w:szCs w:val="44"/>
        </w:rPr>
      </w:pPr>
    </w:p>
    <w:p>
      <w:pPr>
        <w:spacing w:line="580" w:lineRule="exact"/>
        <w:ind w:firstLine="518" w:firstLineChars="162"/>
        <w:rPr>
          <w:rFonts w:hint="eastAsia" w:ascii="仿宋_GB231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szCs w:val="32"/>
          <w:lang w:val="en-US" w:eastAsia="zh-CN"/>
        </w:rPr>
        <w:t>本单位重点项目评价报告向社会公开。</w:t>
      </w:r>
    </w:p>
    <w:p>
      <w:pPr>
        <w:spacing w:line="580" w:lineRule="exact"/>
        <w:ind w:firstLine="518" w:firstLineChars="162"/>
        <w:rPr>
          <w:rFonts w:hint="eastAsia" w:ascii="仿宋_GB2312"/>
          <w:szCs w:val="32"/>
          <w:lang w:val="en-US" w:eastAsia="zh-CN"/>
        </w:rPr>
      </w:pPr>
      <w:r>
        <w:rPr>
          <w:rFonts w:hint="eastAsia" w:ascii="仿宋_GB2312"/>
          <w:szCs w:val="32"/>
          <w:lang w:val="en-US" w:eastAsia="zh-CN"/>
        </w:rPr>
        <w:t>（绩效评价报告以附件形式公开）</w:t>
      </w:r>
    </w:p>
    <w:p>
      <w:pPr>
        <w:numPr>
          <w:ilvl w:val="0"/>
          <w:numId w:val="2"/>
        </w:numPr>
        <w:spacing w:line="580" w:lineRule="exact"/>
        <w:ind w:firstLine="643" w:firstLineChars="200"/>
        <w:outlineLvl w:val="0"/>
        <w:rPr>
          <w:rFonts w:hint="eastAsia" w:ascii="仿宋_GB2312" w:eastAsia="仿宋_GB2312"/>
          <w:b/>
          <w:szCs w:val="32"/>
          <w:lang w:val="en-US" w:eastAsia="zh-CN"/>
        </w:rPr>
      </w:pPr>
      <w:bookmarkStart w:id="34" w:name="_Toc8450"/>
      <w:bookmarkStart w:id="35" w:name="_Toc28108"/>
      <w:r>
        <w:rPr>
          <w:rFonts w:hint="eastAsia" w:ascii="仿宋_GB2312"/>
          <w:b/>
          <w:szCs w:val="32"/>
        </w:rPr>
        <w:t>其他需要说明的事项</w:t>
      </w:r>
      <w:bookmarkEnd w:id="34"/>
      <w:bookmarkEnd w:id="35"/>
    </w:p>
    <w:p>
      <w:pPr>
        <w:numPr>
          <w:ilvl w:val="0"/>
          <w:numId w:val="0"/>
        </w:numPr>
        <w:spacing w:line="580" w:lineRule="exact"/>
        <w:outlineLvl w:val="0"/>
        <w:rPr>
          <w:rFonts w:hint="default" w:ascii="仿宋_GB2312" w:eastAsia="仿宋_GB2312"/>
          <w:b/>
          <w:szCs w:val="32"/>
          <w:lang w:val="en-US" w:eastAsia="zh-CN"/>
        </w:rPr>
      </w:pPr>
      <w:r>
        <w:rPr>
          <w:rFonts w:hint="eastAsia" w:ascii="仿宋_GB2312"/>
          <w:b/>
          <w:szCs w:val="32"/>
          <w:lang w:val="en-US" w:eastAsia="zh-CN"/>
        </w:rPr>
        <w:t xml:space="preserve">    无</w:t>
      </w:r>
    </w:p>
    <w:p>
      <w:pPr>
        <w:pStyle w:val="2"/>
        <w:ind w:left="0" w:leftChars="0" w:firstLine="0" w:firstLineChars="0"/>
        <w:jc w:val="center"/>
        <w:rPr>
          <w:rFonts w:hint="eastAsia"/>
          <w:b/>
          <w:sz w:val="36"/>
          <w:szCs w:val="36"/>
          <w:lang w:val="en-US" w:eastAsia="zh-CN"/>
        </w:rPr>
      </w:pPr>
      <w:bookmarkStart w:id="36" w:name="_Toc8545"/>
      <w:r>
        <w:rPr>
          <w:rFonts w:hint="eastAsia"/>
          <w:b/>
          <w:sz w:val="36"/>
          <w:szCs w:val="36"/>
          <w:lang w:val="en-US" w:eastAsia="zh-CN"/>
        </w:rPr>
        <w:t>第四部分  名词解释</w:t>
      </w:r>
      <w:bookmarkEnd w:id="36"/>
    </w:p>
    <w:p>
      <w:pPr>
        <w:numPr>
          <w:ilvl w:val="0"/>
          <w:numId w:val="3"/>
        </w:numPr>
        <w:ind w:firstLine="640" w:firstLineChars="200"/>
        <w:rPr>
          <w:rFonts w:hint="eastAsia"/>
          <w:szCs w:val="32"/>
        </w:rPr>
      </w:pPr>
      <w:r>
        <w:rPr>
          <w:rFonts w:hint="eastAsia" w:ascii="仿宋" w:hAnsi="仿宋" w:eastAsia="仿宋" w:cs="仿宋"/>
          <w:color w:val="000000"/>
          <w:kern w:val="0"/>
          <w:sz w:val="32"/>
          <w:szCs w:val="32"/>
          <w:highlight w:val="none"/>
          <w:lang w:val="en-US" w:eastAsia="zh-CN" w:bidi="ar-SA"/>
        </w:rPr>
        <w:t>部门</w:t>
      </w:r>
      <w:r>
        <w:rPr>
          <w:rFonts w:hint="eastAsia"/>
          <w:szCs w:val="32"/>
        </w:rPr>
        <w:t>应当按照部门预算管理要求，对本部门涉及的专业名词进行解释。</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left="0" w:leftChars="0" w:firstLine="0" w:firstLineChars="0"/>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单位名称：静乐县娘子神乡联合学区</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8496D"/>
    <w:multiLevelType w:val="singleLevel"/>
    <w:tmpl w:val="2998496D"/>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hZjg2N2E5YjQ4ZmI2MzIwM2ZiYmUxYTcyOWMwN2MifQ=="/>
  </w:docVars>
  <w:rsids>
    <w:rsidRoot w:val="495520D0"/>
    <w:rsid w:val="0000585A"/>
    <w:rsid w:val="00604175"/>
    <w:rsid w:val="02DA1636"/>
    <w:rsid w:val="03696819"/>
    <w:rsid w:val="03992A2D"/>
    <w:rsid w:val="07B0310A"/>
    <w:rsid w:val="09C65A58"/>
    <w:rsid w:val="0A46375F"/>
    <w:rsid w:val="0A4B1B08"/>
    <w:rsid w:val="0BAE2AE3"/>
    <w:rsid w:val="0C4D30AF"/>
    <w:rsid w:val="0D7078E9"/>
    <w:rsid w:val="0DC3019B"/>
    <w:rsid w:val="14021DEC"/>
    <w:rsid w:val="14335832"/>
    <w:rsid w:val="16654CDD"/>
    <w:rsid w:val="181B0BD3"/>
    <w:rsid w:val="187C23C8"/>
    <w:rsid w:val="1A4A5C33"/>
    <w:rsid w:val="1CD85580"/>
    <w:rsid w:val="20192299"/>
    <w:rsid w:val="23405DCE"/>
    <w:rsid w:val="26177703"/>
    <w:rsid w:val="2701594C"/>
    <w:rsid w:val="27426717"/>
    <w:rsid w:val="2CFB4633"/>
    <w:rsid w:val="2ED94C7A"/>
    <w:rsid w:val="304E5B92"/>
    <w:rsid w:val="34CD187D"/>
    <w:rsid w:val="35887450"/>
    <w:rsid w:val="37943B50"/>
    <w:rsid w:val="37CF1A09"/>
    <w:rsid w:val="3821117E"/>
    <w:rsid w:val="386472B9"/>
    <w:rsid w:val="3EAB6853"/>
    <w:rsid w:val="3FAB3F0F"/>
    <w:rsid w:val="409D6291"/>
    <w:rsid w:val="41250249"/>
    <w:rsid w:val="42C12CEC"/>
    <w:rsid w:val="44401A62"/>
    <w:rsid w:val="46C67DD9"/>
    <w:rsid w:val="48E26FF5"/>
    <w:rsid w:val="4916221B"/>
    <w:rsid w:val="495520D0"/>
    <w:rsid w:val="4A012068"/>
    <w:rsid w:val="4AA9664C"/>
    <w:rsid w:val="53A30631"/>
    <w:rsid w:val="56392E30"/>
    <w:rsid w:val="57650F48"/>
    <w:rsid w:val="57846C32"/>
    <w:rsid w:val="59173FC6"/>
    <w:rsid w:val="591E2AE5"/>
    <w:rsid w:val="5B7905FD"/>
    <w:rsid w:val="5C607F1D"/>
    <w:rsid w:val="5D871EE2"/>
    <w:rsid w:val="5EC01F6A"/>
    <w:rsid w:val="5ED877BD"/>
    <w:rsid w:val="607D64A5"/>
    <w:rsid w:val="63AB51DF"/>
    <w:rsid w:val="649C6DC9"/>
    <w:rsid w:val="64C671EF"/>
    <w:rsid w:val="64CB52D6"/>
    <w:rsid w:val="663E7774"/>
    <w:rsid w:val="668F10F9"/>
    <w:rsid w:val="6D0C2AB9"/>
    <w:rsid w:val="6DED7D4E"/>
    <w:rsid w:val="6E9D3265"/>
    <w:rsid w:val="6EFF2BBA"/>
    <w:rsid w:val="715A78E4"/>
    <w:rsid w:val="73D910DA"/>
    <w:rsid w:val="74643B82"/>
    <w:rsid w:val="7761744D"/>
    <w:rsid w:val="798D00C2"/>
    <w:rsid w:val="7C3D3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3664</Words>
  <Characters>4332</Characters>
  <Lines>0</Lines>
  <Paragraphs>0</Paragraphs>
  <ScaleCrop>false</ScaleCrop>
  <LinksUpToDate>false</LinksUpToDate>
  <CharactersWithSpaces>4399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2022-07-29T01:32:23Z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A1C06E65555B438686AFF5749F8FAC19</vt:lpwstr>
  </property>
</Properties>
</file>