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华文中宋" w:hAnsi="华文中宋" w:eastAsia="华文中宋"/>
          <w:b/>
          <w:bCs/>
          <w:color w:val="auto"/>
          <w:sz w:val="44"/>
          <w:szCs w:val="44"/>
          <w:lang w:val="en-US" w:eastAsia="zh-CN"/>
        </w:rPr>
      </w:pPr>
      <w:bookmarkStart w:id="0" w:name="_Toc31071"/>
      <w:bookmarkStart w:id="1" w:name="_Toc32048"/>
      <w:bookmarkStart w:id="2" w:name="_Toc21118"/>
      <w:r>
        <w:rPr>
          <w:rFonts w:hint="eastAsia" w:ascii="华文中宋" w:hAnsi="华文中宋" w:eastAsia="华文中宋"/>
          <w:b/>
          <w:bCs/>
          <w:color w:val="auto"/>
          <w:sz w:val="44"/>
          <w:szCs w:val="44"/>
          <w:lang w:val="en-US" w:eastAsia="zh-CN"/>
        </w:rPr>
        <w:t>静乐县堂尔上乡联合学区2021年度部门决算公开说明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3"/>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5" w:name="_Toc29220"/>
      <w:r>
        <w:rPr>
          <w:rFonts w:hint="eastAsia" w:ascii="仿宋" w:hAnsi="仿宋" w:eastAsia="仿宋" w:cs="仿宋"/>
          <w:b/>
          <w:bCs w:val="0"/>
        </w:rPr>
        <w:t>本单位职责</w:t>
      </w:r>
      <w:bookmarkEnd w:id="5"/>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1、执行上级教育主管部门的各项决定;</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2、实施发展规划拟订年度工作计划、财务预算和学校规章制度;</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3、聘任和解聘学校工作人员实施奖惩; </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4、组织教育教学、科学研究活动保证教育教学质量; </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5、负责学校日常管理工作;</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6、坚持依法办学遵守学校章程维护学校利益;</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7、合理配置学校“人、财、物、信息”资源有效行使学校重大事项和重大改革措施的决策权;</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8、及时向上级教育行政部门汇报学校工作;</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9、维护教职工利益保障教职工合法权益以教职工和学生的人生幸福和生命质量作为关注焦点建立信任消除焦虑;</w:t>
      </w:r>
    </w:p>
    <w:p>
      <w:pPr>
        <w:ind w:firstLine="640" w:firstLineChars="200"/>
        <w:jc w:val="left"/>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10、尊重教职工的主人翁地位和民主管理、民主监督的权利团结和依靠教职工办好学校。 </w:t>
      </w:r>
    </w:p>
    <w:p>
      <w:pPr>
        <w:numPr>
          <w:ilvl w:val="0"/>
          <w:numId w:val="0"/>
        </w:numPr>
        <w:rPr>
          <w:rFonts w:hint="eastAsia"/>
        </w:rPr>
      </w:pPr>
    </w:p>
    <w:p>
      <w:pPr>
        <w:pStyle w:val="4"/>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6" w:name="_Toc22162"/>
      <w:r>
        <w:rPr>
          <w:rFonts w:hint="eastAsia" w:ascii="仿宋" w:hAnsi="仿宋" w:eastAsia="仿宋" w:cs="仿宋"/>
          <w:b/>
          <w:bCs w:val="0"/>
        </w:rPr>
        <w:t>机构设置情况</w:t>
      </w:r>
      <w:bookmarkEnd w:id="6"/>
    </w:p>
    <w:p>
      <w:pPr>
        <w:ind w:firstLine="600" w:firstLineChars="200"/>
        <w:rPr>
          <w:rFonts w:hint="eastAsia"/>
          <w:sz w:val="30"/>
          <w:szCs w:val="30"/>
          <w:highlight w:val="none"/>
          <w:lang w:eastAsia="zh-CN"/>
        </w:rPr>
      </w:pPr>
      <w:bookmarkStart w:id="7" w:name="_Toc9155"/>
      <w:bookmarkStart w:id="8" w:name="_Toc275"/>
      <w:r>
        <w:rPr>
          <w:rFonts w:hint="eastAsia" w:ascii="仿宋_GB2312" w:hAnsi="仿宋_GB2312" w:eastAsia="仿宋_GB2312" w:cs="仿宋_GB2312"/>
          <w:color w:val="auto"/>
          <w:sz w:val="30"/>
          <w:szCs w:val="30"/>
          <w:highlight w:val="none"/>
          <w:lang w:val="en-US" w:eastAsia="zh-CN" w:bidi="ar-SA"/>
        </w:rPr>
        <w:t>堂尔上乡联合学区编制</w:t>
      </w:r>
      <w:r>
        <w:rPr>
          <w:rFonts w:hint="eastAsia" w:ascii="仿宋_GB2312" w:hAnsi="仿宋_GB2312" w:cs="仿宋_GB2312"/>
          <w:color w:val="auto"/>
          <w:sz w:val="30"/>
          <w:szCs w:val="30"/>
          <w:highlight w:val="none"/>
          <w:lang w:val="en-US" w:eastAsia="zh-CN" w:bidi="ar-SA"/>
        </w:rPr>
        <w:t>11</w:t>
      </w:r>
      <w:r>
        <w:rPr>
          <w:rFonts w:hint="eastAsia" w:ascii="仿宋_GB2312" w:hAnsi="仿宋_GB2312" w:eastAsia="仿宋_GB2312" w:cs="仿宋_GB2312"/>
          <w:color w:val="auto"/>
          <w:sz w:val="30"/>
          <w:szCs w:val="30"/>
          <w:highlight w:val="none"/>
          <w:lang w:val="en-US" w:eastAsia="zh-CN" w:bidi="ar-SA"/>
        </w:rPr>
        <w:t>人</w:t>
      </w:r>
      <w:r>
        <w:rPr>
          <w:rFonts w:hint="eastAsia" w:ascii="仿宋_GB2312" w:hAnsi="仿宋_GB2312" w:cs="仿宋_GB2312"/>
          <w:color w:val="auto"/>
          <w:sz w:val="30"/>
          <w:szCs w:val="30"/>
          <w:highlight w:val="none"/>
          <w:lang w:val="en-US" w:eastAsia="zh-CN" w:bidi="ar-SA"/>
        </w:rPr>
        <w:t>，</w:t>
      </w:r>
      <w:r>
        <w:rPr>
          <w:rFonts w:hint="eastAsia" w:ascii="仿宋_GB2312" w:hAnsi="仿宋_GB2312" w:eastAsia="仿宋_GB2312" w:cs="仿宋_GB2312"/>
          <w:color w:val="auto"/>
          <w:sz w:val="30"/>
          <w:szCs w:val="30"/>
          <w:highlight w:val="none"/>
          <w:lang w:val="en-US" w:eastAsia="zh-CN" w:bidi="ar-SA"/>
        </w:rPr>
        <w:t>实有</w:t>
      </w:r>
      <w:r>
        <w:rPr>
          <w:rFonts w:hint="eastAsia" w:ascii="仿宋_GB2312" w:hAnsi="仿宋_GB2312" w:cs="仿宋_GB2312"/>
          <w:color w:val="auto"/>
          <w:sz w:val="30"/>
          <w:szCs w:val="30"/>
          <w:highlight w:val="none"/>
          <w:lang w:val="en-US" w:eastAsia="zh-CN" w:bidi="ar-SA"/>
        </w:rPr>
        <w:t>8</w:t>
      </w:r>
      <w:r>
        <w:rPr>
          <w:rFonts w:hint="eastAsia" w:ascii="仿宋_GB2312" w:hAnsi="仿宋_GB2312" w:eastAsia="仿宋_GB2312" w:cs="仿宋_GB2312"/>
          <w:color w:val="auto"/>
          <w:sz w:val="30"/>
          <w:szCs w:val="30"/>
          <w:highlight w:val="none"/>
          <w:lang w:val="en-US" w:eastAsia="zh-CN" w:bidi="ar-SA"/>
        </w:rPr>
        <w:t>人。学区管辖</w:t>
      </w:r>
      <w:r>
        <w:rPr>
          <w:rFonts w:hint="eastAsia" w:ascii="仿宋_GB2312" w:hAnsi="仿宋_GB2312" w:cs="仿宋_GB2312"/>
          <w:color w:val="auto"/>
          <w:sz w:val="30"/>
          <w:szCs w:val="30"/>
          <w:highlight w:val="none"/>
          <w:lang w:val="en-US" w:eastAsia="zh-CN" w:bidi="ar-SA"/>
        </w:rPr>
        <w:t>1</w:t>
      </w:r>
      <w:r>
        <w:rPr>
          <w:rFonts w:hint="eastAsia" w:ascii="仿宋_GB2312" w:hAnsi="仿宋_GB2312" w:eastAsia="仿宋_GB2312" w:cs="仿宋_GB2312"/>
          <w:color w:val="auto"/>
          <w:sz w:val="30"/>
          <w:szCs w:val="30"/>
          <w:highlight w:val="none"/>
          <w:lang w:val="en-US" w:eastAsia="zh-CN" w:bidi="ar-SA"/>
        </w:rPr>
        <w:t>个学校</w:t>
      </w:r>
      <w:r>
        <w:rPr>
          <w:rFonts w:hint="eastAsia" w:ascii="仿宋_GB2312" w:hAnsi="仿宋_GB2312" w:cs="仿宋_GB2312"/>
          <w:color w:val="auto"/>
          <w:sz w:val="30"/>
          <w:szCs w:val="30"/>
          <w:highlight w:val="none"/>
          <w:lang w:val="en-US" w:eastAsia="zh-CN" w:bidi="ar-SA"/>
        </w:rPr>
        <w:t>静乐县堂尔上中心小学</w:t>
      </w:r>
      <w:r>
        <w:rPr>
          <w:rFonts w:hint="eastAsia" w:ascii="仿宋_GB2312" w:hAnsi="仿宋_GB2312" w:eastAsia="仿宋_GB2312" w:cs="仿宋_GB2312"/>
          <w:color w:val="auto"/>
          <w:sz w:val="30"/>
          <w:szCs w:val="30"/>
          <w:highlight w:val="none"/>
          <w:lang w:val="en-US" w:eastAsia="zh-CN" w:bidi="ar-SA"/>
        </w:rPr>
        <w:t>。</w:t>
      </w:r>
    </w:p>
    <w:bookmarkEnd w:id="7"/>
    <w:bookmarkEnd w:id="8"/>
    <w:p>
      <w:pPr>
        <w:pStyle w:val="3"/>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2021年度收入总计97.07万元、支出总计97.07万元。与2020年相比，2020年收入总计113.27万元,减少16.2万元，下降17%，支出总计减少16.2万元，下降17%。主要原因是城镇化发展加快，农村教师学生人数减少，人员和公用经费也相应减少。</w:t>
      </w:r>
    </w:p>
    <w:p>
      <w:pPr>
        <w:ind w:firstLine="640"/>
        <w:rPr>
          <w:rFonts w:hint="eastAsia" w:ascii="仿宋_GB2312"/>
          <w:szCs w:val="32"/>
        </w:rPr>
      </w:pPr>
      <w:r>
        <w:rPr>
          <w:rFonts w:hint="eastAsia" w:ascii="仿宋_GB2312"/>
          <w:szCs w:val="32"/>
        </w:rPr>
        <w:t>。</w:t>
      </w:r>
    </w:p>
    <w:p>
      <w:pPr>
        <w:pStyle w:val="4"/>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szCs w:val="32"/>
          <w:lang w:val="en-US" w:eastAsia="zh-CN"/>
        </w:rPr>
      </w:pPr>
      <w:r>
        <w:rPr>
          <w:rFonts w:hint="eastAsia" w:ascii="仿宋_GB2312"/>
          <w:szCs w:val="32"/>
        </w:rPr>
        <w:t>本年收入合计</w:t>
      </w:r>
      <w:r>
        <w:rPr>
          <w:rFonts w:hint="eastAsia" w:ascii="仿宋" w:hAnsi="仿宋" w:eastAsia="仿宋" w:cs="仿宋"/>
          <w:b w:val="0"/>
          <w:bCs w:val="0"/>
          <w:color w:val="auto"/>
          <w:kern w:val="2"/>
          <w:sz w:val="32"/>
          <w:szCs w:val="32"/>
          <w:lang w:val="en-US" w:eastAsia="zh-CN" w:bidi="ar-SA"/>
        </w:rPr>
        <w:t>97.07万元</w:t>
      </w:r>
      <w:r>
        <w:rPr>
          <w:rFonts w:hint="eastAsia" w:ascii="仿宋_GB2312"/>
          <w:szCs w:val="32"/>
        </w:rPr>
        <w:t>，其中：财政拨款收入</w:t>
      </w:r>
      <w:r>
        <w:rPr>
          <w:rFonts w:hint="eastAsia" w:ascii="仿宋" w:hAnsi="仿宋" w:eastAsia="仿宋" w:cs="仿宋"/>
          <w:b w:val="0"/>
          <w:bCs w:val="0"/>
          <w:color w:val="auto"/>
          <w:kern w:val="2"/>
          <w:sz w:val="32"/>
          <w:szCs w:val="32"/>
          <w:lang w:val="en-US" w:eastAsia="zh-CN" w:bidi="ar-SA"/>
        </w:rPr>
        <w:t>97.07</w:t>
      </w:r>
      <w:r>
        <w:rPr>
          <w:rFonts w:hint="eastAsia" w:ascii="仿宋_GB2312" w:hAnsi="Times New Roman"/>
          <w:szCs w:val="32"/>
          <w:lang w:val="en-US" w:eastAsia="zh-CN"/>
        </w:rPr>
        <w:t>万元</w:t>
      </w:r>
      <w:r>
        <w:rPr>
          <w:rFonts w:hint="eastAsia" w:ascii="仿宋_GB2312" w:hAnsi="Times New Roman"/>
          <w:szCs w:val="32"/>
        </w:rPr>
        <w:t>，占比</w:t>
      </w:r>
      <w:r>
        <w:rPr>
          <w:rFonts w:hint="eastAsia" w:ascii="仿宋_GB2312" w:hAnsi="Times New Roman"/>
          <w:szCs w:val="32"/>
          <w:lang w:val="en-US" w:eastAsia="zh-CN"/>
        </w:rPr>
        <w:t>100</w:t>
      </w:r>
      <w:r>
        <w:rPr>
          <w:rFonts w:hint="eastAsia" w:ascii="仿宋_GB2312" w:hAnsi="Times New Roman"/>
          <w:szCs w:val="32"/>
        </w:rPr>
        <w:t>%</w:t>
      </w:r>
      <w:r>
        <w:rPr>
          <w:rFonts w:hint="eastAsia" w:ascii="仿宋_GB2312"/>
          <w:szCs w:val="32"/>
          <w:lang w:eastAsia="zh-CN"/>
        </w:rPr>
        <w:t>。</w:t>
      </w:r>
    </w:p>
    <w:p>
      <w:pPr>
        <w:pStyle w:val="4"/>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本年支出合计</w:t>
      </w:r>
      <w:r>
        <w:rPr>
          <w:rFonts w:hint="eastAsia" w:ascii="仿宋_GB2312"/>
          <w:szCs w:val="32"/>
          <w:lang w:val="en-US" w:eastAsia="zh-CN"/>
        </w:rPr>
        <w:t>97.07</w:t>
      </w:r>
      <w:r>
        <w:rPr>
          <w:rFonts w:hint="eastAsia" w:ascii="仿宋_GB2312" w:hAnsi="Times New Roman"/>
          <w:szCs w:val="32"/>
          <w:lang w:val="en-US" w:eastAsia="zh-CN"/>
        </w:rPr>
        <w:t>万元，其中：基本支出</w:t>
      </w:r>
      <w:r>
        <w:rPr>
          <w:rFonts w:hint="eastAsia" w:ascii="仿宋_GB2312"/>
          <w:szCs w:val="32"/>
          <w:lang w:val="en-US" w:eastAsia="zh-CN"/>
        </w:rPr>
        <w:t>90.90</w:t>
      </w:r>
      <w:r>
        <w:rPr>
          <w:rFonts w:hint="eastAsia" w:ascii="仿宋_GB2312" w:hAnsi="Times New Roman"/>
          <w:szCs w:val="32"/>
          <w:lang w:val="en-US" w:eastAsia="zh-CN"/>
        </w:rPr>
        <w:t>万元，占比</w:t>
      </w:r>
      <w:r>
        <w:rPr>
          <w:rFonts w:hint="eastAsia" w:ascii="仿宋_GB2312"/>
          <w:szCs w:val="32"/>
          <w:lang w:val="en-US" w:eastAsia="zh-CN"/>
        </w:rPr>
        <w:t>93</w:t>
      </w:r>
      <w:r>
        <w:rPr>
          <w:rFonts w:hint="eastAsia" w:ascii="仿宋_GB2312" w:hAnsi="Times New Roman"/>
          <w:szCs w:val="32"/>
          <w:lang w:val="en-US" w:eastAsia="zh-CN"/>
        </w:rPr>
        <w:t>%；项目支出</w:t>
      </w:r>
      <w:r>
        <w:rPr>
          <w:rFonts w:hint="eastAsia" w:ascii="仿宋_GB2312"/>
          <w:szCs w:val="32"/>
          <w:lang w:val="en-US" w:eastAsia="zh-CN"/>
        </w:rPr>
        <w:t>6.17</w:t>
      </w:r>
      <w:r>
        <w:rPr>
          <w:rFonts w:hint="eastAsia" w:ascii="仿宋_GB2312" w:hAnsi="Times New Roman"/>
          <w:szCs w:val="32"/>
          <w:lang w:val="en-US" w:eastAsia="zh-CN"/>
        </w:rPr>
        <w:t>万元，占比</w:t>
      </w:r>
      <w:r>
        <w:rPr>
          <w:rFonts w:hint="eastAsia" w:ascii="仿宋_GB2312"/>
          <w:szCs w:val="32"/>
          <w:lang w:val="en-US" w:eastAsia="zh-CN"/>
        </w:rPr>
        <w:t>7</w:t>
      </w:r>
      <w:r>
        <w:rPr>
          <w:rFonts w:hint="eastAsia" w:ascii="仿宋_GB2312" w:hAnsi="Times New Roman"/>
          <w:szCs w:val="32"/>
          <w:lang w:val="en-US" w:eastAsia="zh-CN"/>
        </w:rPr>
        <w:t>%。</w:t>
      </w:r>
    </w:p>
    <w:p>
      <w:pPr>
        <w:pStyle w:val="4"/>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hAnsi="Times New Roman"/>
          <w:szCs w:val="32"/>
          <w:lang w:val="en-US" w:eastAsia="zh-CN"/>
        </w:rPr>
      </w:pPr>
      <w:r>
        <w:rPr>
          <w:rFonts w:hint="eastAsia" w:ascii="仿宋_GB2312" w:hAnsi="Times New Roman"/>
          <w:szCs w:val="32"/>
          <w:lang w:val="en-US" w:eastAsia="zh-CN"/>
        </w:rPr>
        <w:t>2021年度财政拨款收入总计</w:t>
      </w:r>
      <w:r>
        <w:rPr>
          <w:rFonts w:hint="eastAsia" w:ascii="仿宋_GB2312"/>
          <w:szCs w:val="32"/>
          <w:lang w:val="en-US" w:eastAsia="zh-CN"/>
        </w:rPr>
        <w:t>97.07</w:t>
      </w:r>
      <w:r>
        <w:rPr>
          <w:rFonts w:hint="eastAsia" w:ascii="仿宋_GB2312" w:hAnsi="Times New Roman"/>
          <w:szCs w:val="32"/>
          <w:lang w:val="en-US" w:eastAsia="zh-CN"/>
        </w:rPr>
        <w:t>万元、支出总计</w:t>
      </w:r>
      <w:r>
        <w:rPr>
          <w:rFonts w:hint="eastAsia" w:ascii="仿宋_GB2312"/>
          <w:szCs w:val="32"/>
          <w:lang w:val="en-US" w:eastAsia="zh-CN"/>
        </w:rPr>
        <w:t>97.07</w:t>
      </w:r>
      <w:r>
        <w:rPr>
          <w:rFonts w:hint="eastAsia" w:ascii="仿宋_GB2312" w:hAnsi="Times New Roman"/>
          <w:szCs w:val="32"/>
          <w:lang w:val="en-US" w:eastAsia="zh-CN"/>
        </w:rPr>
        <w:t>万元。2020年财政拨款收入总计</w:t>
      </w:r>
      <w:r>
        <w:rPr>
          <w:rFonts w:hint="eastAsia" w:ascii="仿宋_GB2312"/>
          <w:szCs w:val="32"/>
          <w:lang w:val="en-US" w:eastAsia="zh-CN"/>
        </w:rPr>
        <w:t>113.27</w:t>
      </w:r>
      <w:r>
        <w:rPr>
          <w:rFonts w:hint="eastAsia" w:ascii="仿宋_GB2312" w:hAnsi="Times New Roman"/>
          <w:szCs w:val="32"/>
          <w:lang w:val="en-US" w:eastAsia="zh-CN"/>
        </w:rPr>
        <w:t>万元，2021年与2020年相比减少</w:t>
      </w:r>
      <w:r>
        <w:rPr>
          <w:rFonts w:hint="eastAsia" w:ascii="仿宋_GB2312"/>
          <w:szCs w:val="32"/>
          <w:lang w:val="en-US" w:eastAsia="zh-CN"/>
        </w:rPr>
        <w:t>16.2</w:t>
      </w:r>
      <w:r>
        <w:rPr>
          <w:rFonts w:hint="eastAsia" w:ascii="仿宋_GB2312" w:hAnsi="Times New Roman"/>
          <w:szCs w:val="32"/>
          <w:lang w:val="en-US" w:eastAsia="zh-CN"/>
        </w:rPr>
        <w:t>万元，下降</w:t>
      </w:r>
      <w:r>
        <w:rPr>
          <w:rFonts w:hint="eastAsia" w:ascii="仿宋_GB2312"/>
          <w:szCs w:val="32"/>
          <w:lang w:val="en-US" w:eastAsia="zh-CN"/>
        </w:rPr>
        <w:t>17</w:t>
      </w:r>
      <w:r>
        <w:rPr>
          <w:rFonts w:hint="eastAsia" w:ascii="仿宋_GB2312" w:hAnsi="Times New Roman"/>
          <w:szCs w:val="32"/>
          <w:lang w:val="en-US" w:eastAsia="zh-CN"/>
        </w:rPr>
        <w:t>%，2020年财政拨款支出总计</w:t>
      </w:r>
      <w:r>
        <w:rPr>
          <w:rFonts w:hint="eastAsia" w:ascii="仿宋" w:hAnsi="仿宋" w:eastAsia="仿宋" w:cs="仿宋"/>
          <w:b w:val="0"/>
          <w:bCs w:val="0"/>
          <w:color w:val="auto"/>
          <w:kern w:val="2"/>
          <w:sz w:val="32"/>
          <w:szCs w:val="32"/>
          <w:lang w:val="en-US" w:eastAsia="zh-CN" w:bidi="ar-SA"/>
        </w:rPr>
        <w:t>113.27</w:t>
      </w:r>
      <w:r>
        <w:rPr>
          <w:rFonts w:hint="eastAsia" w:ascii="仿宋_GB2312" w:hAnsi="Times New Roman"/>
          <w:szCs w:val="32"/>
          <w:lang w:val="en-US" w:eastAsia="zh-CN"/>
        </w:rPr>
        <w:t>万元，2021年与2020年相比减少</w:t>
      </w:r>
      <w:r>
        <w:rPr>
          <w:rFonts w:hint="eastAsia" w:ascii="仿宋_GB2312"/>
          <w:szCs w:val="32"/>
          <w:lang w:val="en-US" w:eastAsia="zh-CN"/>
        </w:rPr>
        <w:t>16.2</w:t>
      </w:r>
      <w:r>
        <w:rPr>
          <w:rFonts w:hint="eastAsia" w:ascii="仿宋_GB2312" w:hAnsi="Times New Roman"/>
          <w:szCs w:val="32"/>
          <w:lang w:val="en-US" w:eastAsia="zh-CN"/>
        </w:rPr>
        <w:t>万元，下降</w:t>
      </w:r>
      <w:r>
        <w:rPr>
          <w:rFonts w:hint="eastAsia" w:ascii="仿宋_GB2312"/>
          <w:szCs w:val="32"/>
          <w:lang w:val="en-US" w:eastAsia="zh-CN"/>
        </w:rPr>
        <w:t>17</w:t>
      </w:r>
      <w:r>
        <w:rPr>
          <w:rFonts w:hint="eastAsia" w:ascii="仿宋_GB2312" w:hAnsi="Times New Roman"/>
          <w:szCs w:val="32"/>
          <w:lang w:val="en-US" w:eastAsia="zh-CN"/>
        </w:rPr>
        <w:t>%，主要原因是城镇化发展加快，农村教师学生人数减少，人员和公用经费也相应减少。</w:t>
      </w:r>
    </w:p>
    <w:p>
      <w:pPr>
        <w:pStyle w:val="4"/>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97.07</w:t>
      </w:r>
      <w:r>
        <w:rPr>
          <w:rFonts w:hint="eastAsia" w:ascii="仿宋_GB2312"/>
          <w:szCs w:val="32"/>
        </w:rPr>
        <w:t>万元，占本年支出合计的</w:t>
      </w:r>
      <w:r>
        <w:rPr>
          <w:rFonts w:hint="eastAsia" w:ascii="仿宋_GB2312" w:hAnsi="Times New Roman"/>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w:t>
      </w:r>
      <w:r>
        <w:rPr>
          <w:rFonts w:hint="eastAsia" w:ascii="仿宋_GB2312" w:hAnsi="Times New Roman"/>
          <w:szCs w:val="32"/>
          <w:lang w:val="en-US" w:eastAsia="zh-CN"/>
        </w:rPr>
        <w:t>2020年财政拨款支出总计</w:t>
      </w:r>
      <w:r>
        <w:rPr>
          <w:rFonts w:hint="eastAsia" w:ascii="仿宋_GB2312"/>
          <w:szCs w:val="32"/>
          <w:lang w:val="en-US" w:eastAsia="zh-CN"/>
        </w:rPr>
        <w:t>113.27</w:t>
      </w:r>
      <w:r>
        <w:rPr>
          <w:rFonts w:hint="eastAsia" w:ascii="仿宋_GB2312" w:hAnsi="Times New Roman"/>
          <w:szCs w:val="32"/>
          <w:lang w:val="en-US" w:eastAsia="zh-CN"/>
        </w:rPr>
        <w:t>万元，2021年与2020年相比减少</w:t>
      </w:r>
      <w:r>
        <w:rPr>
          <w:rFonts w:hint="eastAsia" w:ascii="仿宋_GB2312"/>
          <w:szCs w:val="32"/>
          <w:lang w:val="en-US" w:eastAsia="zh-CN"/>
        </w:rPr>
        <w:t>16.2</w:t>
      </w:r>
      <w:r>
        <w:rPr>
          <w:rFonts w:hint="eastAsia" w:ascii="仿宋_GB2312" w:hAnsi="Times New Roman"/>
          <w:szCs w:val="32"/>
          <w:lang w:val="en-US" w:eastAsia="zh-CN"/>
        </w:rPr>
        <w:t>万元，下降</w:t>
      </w:r>
      <w:r>
        <w:rPr>
          <w:rFonts w:hint="eastAsia" w:ascii="仿宋_GB2312"/>
          <w:szCs w:val="32"/>
          <w:lang w:val="en-US" w:eastAsia="zh-CN"/>
        </w:rPr>
        <w:t>17</w:t>
      </w:r>
      <w:r>
        <w:rPr>
          <w:rFonts w:hint="eastAsia" w:ascii="仿宋_GB2312" w:hAnsi="Times New Roman"/>
          <w:szCs w:val="32"/>
          <w:lang w:val="en-US" w:eastAsia="zh-CN"/>
        </w:rPr>
        <w:t>%，主要原因是城镇化发展加快，农村教师学生人数减少，人员和公用经费也相应减少。</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szCs w:val="32"/>
          <w:lang w:val="en-US" w:eastAsia="zh-CN"/>
        </w:rPr>
        <w:t>97.07</w:t>
      </w:r>
      <w:r>
        <w:rPr>
          <w:rFonts w:hint="eastAsia" w:ascii="仿宋_GB2312" w:hAnsi="Times New Roman"/>
          <w:color w:val="auto"/>
          <w:szCs w:val="32"/>
          <w:lang w:val="en-US" w:eastAsia="zh-CN"/>
        </w:rPr>
        <w:t>939.56</w:t>
      </w:r>
      <w:r>
        <w:rPr>
          <w:rFonts w:hint="eastAsia" w:ascii="仿宋_GB2312"/>
          <w:color w:val="auto"/>
          <w:szCs w:val="32"/>
        </w:rPr>
        <w:t>万元</w:t>
      </w:r>
      <w:r>
        <w:rPr>
          <w:rFonts w:ascii="仿宋_GB2312"/>
          <w:color w:val="auto"/>
          <w:szCs w:val="32"/>
        </w:rPr>
        <w:t>，主要用于以下方面：</w:t>
      </w:r>
      <w:r>
        <w:rPr>
          <w:rFonts w:hint="eastAsia" w:ascii="仿宋_GB2312"/>
          <w:color w:val="auto"/>
          <w:szCs w:val="32"/>
        </w:rPr>
        <w:t>教育支出</w:t>
      </w:r>
      <w:r>
        <w:rPr>
          <w:rFonts w:hint="eastAsia" w:ascii="仿宋_GB2312"/>
          <w:szCs w:val="32"/>
          <w:lang w:val="en-US" w:eastAsia="zh-CN"/>
        </w:rPr>
        <w:t>97.07</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w:t>
      </w:r>
      <w:r>
        <w:rPr>
          <w:rFonts w:hint="eastAsia"/>
          <w:color w:val="auto"/>
          <w:szCs w:val="32"/>
          <w:lang w:val="en-US" w:eastAsia="zh-CN"/>
        </w:rPr>
        <w:t>97.07万元</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ind w:left="0" w:leftChars="0" w:firstLine="0" w:firstLineChars="0"/>
        <w:jc w:val="left"/>
        <w:rPr>
          <w:rFonts w:hint="eastAsia" w:ascii="宋体" w:hAnsi="宋体" w:cs="Arial"/>
          <w:b/>
          <w:color w:val="000000"/>
          <w:kern w:val="0"/>
          <w:sz w:val="30"/>
          <w:szCs w:val="30"/>
        </w:rPr>
      </w:pP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 xml:space="preserve">年度支出功能科目分类对比表   </w:t>
      </w:r>
      <w:r>
        <w:rPr>
          <w:rFonts w:hint="eastAsia" w:ascii="宋体" w:hAnsi="宋体" w:cs="Arial"/>
          <w:b/>
          <w:color w:val="000000"/>
          <w:kern w:val="0"/>
          <w:sz w:val="30"/>
          <w:szCs w:val="30"/>
          <w:lang w:val="en-US" w:eastAsia="zh-CN"/>
        </w:rPr>
        <w:t xml:space="preserve">           </w:t>
      </w:r>
      <w:r>
        <w:rPr>
          <w:rFonts w:hint="eastAsia" w:ascii="宋体" w:hAnsi="宋体" w:cs="Arial"/>
          <w:b/>
          <w:color w:val="000000"/>
          <w:kern w:val="0"/>
          <w:sz w:val="30"/>
          <w:szCs w:val="30"/>
        </w:rPr>
        <w:t xml:space="preserve">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65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2905"/>
        <w:gridCol w:w="2085"/>
        <w:gridCol w:w="165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1" w:type="dxa"/>
            <w:tcBorders>
              <w:tl2br w:val="nil"/>
              <w:tr2bl w:val="nil"/>
            </w:tcBorders>
            <w:vAlign w:val="top"/>
          </w:tcPr>
          <w:p>
            <w:pPr>
              <w:widowControl/>
              <w:ind w:left="0" w:leftChars="0" w:firstLine="0" w:firstLineChars="0"/>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905" w:type="dxa"/>
            <w:tcBorders>
              <w:tl2br w:val="nil"/>
              <w:tr2bl w:val="nil"/>
            </w:tcBorders>
            <w:vAlign w:val="top"/>
          </w:tcPr>
          <w:p>
            <w:pPr>
              <w:widowControl/>
              <w:jc w:val="center"/>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2085" w:type="dxa"/>
            <w:tcBorders>
              <w:tl2br w:val="nil"/>
              <w:tr2bl w:val="nil"/>
            </w:tcBorders>
            <w:vAlign w:val="top"/>
          </w:tcPr>
          <w:p>
            <w:pPr>
              <w:widowControl/>
              <w:jc w:val="center"/>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50" w:type="dxa"/>
            <w:tcBorders>
              <w:tl2br w:val="nil"/>
              <w:tr2bl w:val="nil"/>
            </w:tcBorders>
            <w:vAlign w:val="top"/>
          </w:tcPr>
          <w:p>
            <w:pPr>
              <w:widowControl/>
              <w:jc w:val="center"/>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50" w:type="dxa"/>
            <w:tcBorders>
              <w:tl2br w:val="nil"/>
              <w:tr2bl w:val="nil"/>
            </w:tcBorders>
            <w:vAlign w:val="top"/>
          </w:tcPr>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61"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2085"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113.27</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i w:val="0"/>
                <w:iCs w:val="0"/>
                <w:color w:val="000000"/>
                <w:kern w:val="0"/>
                <w:sz w:val="24"/>
                <w:szCs w:val="24"/>
                <w:u w:val="none"/>
                <w:lang w:val="en-US" w:eastAsia="zh-CN" w:bidi="ar"/>
              </w:rPr>
            </w:pPr>
            <w:r>
              <w:rPr>
                <w:rFonts w:hint="eastAsia" w:ascii="新宋体" w:hAnsi="新宋体" w:eastAsia="新宋体" w:cs="新宋体"/>
                <w:b w:val="0"/>
                <w:bCs w:val="0"/>
                <w:i w:val="0"/>
                <w:iCs w:val="0"/>
                <w:color w:val="000000"/>
                <w:kern w:val="0"/>
                <w:sz w:val="24"/>
                <w:szCs w:val="24"/>
                <w:u w:val="none"/>
                <w:lang w:val="en-US" w:eastAsia="zh-CN" w:bidi="ar"/>
              </w:rPr>
              <w:t>97.07</w:t>
            </w:r>
          </w:p>
        </w:tc>
        <w:tc>
          <w:tcPr>
            <w:tcW w:w="1350" w:type="dxa"/>
            <w:tcBorders>
              <w:tl2br w:val="nil"/>
              <w:tr2bl w:val="nil"/>
            </w:tcBorders>
            <w:vAlign w:val="bottom"/>
          </w:tcPr>
          <w:p>
            <w:pPr>
              <w:keepNext w:val="0"/>
              <w:keepLines w:val="0"/>
              <w:widowControl/>
              <w:suppressLineNumbers w:val="0"/>
              <w:spacing w:line="480" w:lineRule="auto"/>
              <w:ind w:firstLine="420" w:firstLineChars="200"/>
              <w:jc w:val="both"/>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1"/>
                <w:szCs w:val="21"/>
                <w:lang w:val="en-US" w:eastAsia="zh-CN"/>
              </w:rPr>
              <w:t>-16.18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普通教育</w:t>
            </w:r>
          </w:p>
        </w:tc>
        <w:tc>
          <w:tcPr>
            <w:tcW w:w="2085" w:type="dxa"/>
            <w:tcBorders>
              <w:tl2br w:val="nil"/>
              <w:tr2bl w:val="nil"/>
            </w:tcBorders>
            <w:vAlign w:val="top"/>
          </w:tcPr>
          <w:p>
            <w:pPr>
              <w:spacing w:line="480" w:lineRule="auto"/>
              <w:ind w:firstLine="480" w:firstLineChars="200"/>
              <w:jc w:val="both"/>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113.27</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97.07</w:t>
            </w:r>
          </w:p>
        </w:tc>
        <w:tc>
          <w:tcPr>
            <w:tcW w:w="1350" w:type="dxa"/>
            <w:tcBorders>
              <w:tl2br w:val="nil"/>
              <w:tr2bl w:val="nil"/>
            </w:tcBorders>
            <w:vAlign w:val="bottom"/>
          </w:tcPr>
          <w:p>
            <w:pPr>
              <w:keepNext w:val="0"/>
              <w:keepLines w:val="0"/>
              <w:widowControl/>
              <w:suppressLineNumbers w:val="0"/>
              <w:spacing w:line="480" w:lineRule="auto"/>
              <w:ind w:firstLine="420" w:firstLineChars="200"/>
              <w:jc w:val="both"/>
              <w:textAlignment w:val="bottom"/>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1"/>
                <w:szCs w:val="21"/>
                <w:lang w:val="en-US" w:eastAsia="zh-CN"/>
              </w:rPr>
              <w:t>-16.18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1661" w:type="dxa"/>
            <w:tcBorders>
              <w:tl2br w:val="nil"/>
              <w:tr2bl w:val="nil"/>
            </w:tcBorders>
            <w:vAlign w:val="top"/>
          </w:tcPr>
          <w:p>
            <w:pPr>
              <w:spacing w:line="480" w:lineRule="auto"/>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202</w:t>
            </w:r>
          </w:p>
        </w:tc>
        <w:tc>
          <w:tcPr>
            <w:tcW w:w="2905" w:type="dxa"/>
            <w:tcBorders>
              <w:tl2br w:val="nil"/>
              <w:tr2bl w:val="nil"/>
            </w:tcBorders>
            <w:vAlign w:val="top"/>
          </w:tcPr>
          <w:p>
            <w:pPr>
              <w:spacing w:line="480" w:lineRule="auto"/>
              <w:ind w:left="0" w:leftChars="0" w:firstLine="0" w:firstLineChars="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小学教育</w:t>
            </w:r>
          </w:p>
        </w:tc>
        <w:tc>
          <w:tcPr>
            <w:tcW w:w="2085" w:type="dxa"/>
            <w:tcBorders>
              <w:tl2br w:val="nil"/>
              <w:tr2bl w:val="nil"/>
            </w:tcBorders>
            <w:vAlign w:val="top"/>
          </w:tcPr>
          <w:p>
            <w:pPr>
              <w:spacing w:line="480" w:lineRule="auto"/>
              <w:jc w:val="both"/>
              <w:rPr>
                <w:rFonts w:hint="eastAsia"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97.82</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90.9</w:t>
            </w:r>
          </w:p>
        </w:tc>
        <w:tc>
          <w:tcPr>
            <w:tcW w:w="1350" w:type="dxa"/>
            <w:tcBorders>
              <w:tl2br w:val="nil"/>
              <w:tr2bl w:val="nil"/>
            </w:tcBorders>
            <w:vAlign w:val="bottom"/>
          </w:tcPr>
          <w:p>
            <w:pPr>
              <w:keepNext w:val="0"/>
              <w:keepLines w:val="0"/>
              <w:widowControl/>
              <w:suppressLineNumbers w:val="0"/>
              <w:spacing w:line="480" w:lineRule="auto"/>
              <w:jc w:val="both"/>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661" w:type="dxa"/>
            <w:tcBorders>
              <w:tl2br w:val="nil"/>
              <w:tr2bl w:val="nil"/>
            </w:tcBorders>
            <w:vAlign w:val="top"/>
          </w:tcPr>
          <w:p>
            <w:pPr>
              <w:spacing w:line="480" w:lineRule="auto"/>
              <w:jc w:val="both"/>
              <w:rPr>
                <w:rFonts w:hint="default" w:ascii="仿宋" w:hAnsi="仿宋" w:eastAsia="仿宋" w:cs="仿宋"/>
                <w:color w:val="auto"/>
                <w:sz w:val="24"/>
                <w:szCs w:val="24"/>
                <w:lang w:val="en-US"/>
              </w:rPr>
            </w:pPr>
            <w:r>
              <w:rPr>
                <w:rFonts w:hint="eastAsia" w:ascii="仿宋" w:hAnsi="仿宋" w:eastAsia="仿宋" w:cs="仿宋"/>
                <w:color w:val="auto"/>
                <w:sz w:val="24"/>
                <w:szCs w:val="24"/>
              </w:rPr>
              <w:t>2050</w:t>
            </w:r>
            <w:r>
              <w:rPr>
                <w:rFonts w:hint="eastAsia" w:ascii="仿宋" w:hAnsi="仿宋" w:eastAsia="仿宋" w:cs="仿宋"/>
                <w:color w:val="auto"/>
                <w:sz w:val="24"/>
                <w:szCs w:val="24"/>
                <w:lang w:val="en-US" w:eastAsia="zh-CN"/>
              </w:rPr>
              <w:t>299</w:t>
            </w:r>
          </w:p>
        </w:tc>
        <w:tc>
          <w:tcPr>
            <w:tcW w:w="2905" w:type="dxa"/>
            <w:tcBorders>
              <w:tl2br w:val="nil"/>
              <w:tr2bl w:val="nil"/>
            </w:tcBorders>
            <w:vAlign w:val="top"/>
          </w:tcPr>
          <w:p>
            <w:pPr>
              <w:spacing w:line="480" w:lineRule="auto"/>
              <w:ind w:left="0" w:leftChars="0" w:firstLine="240" w:firstLineChars="1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其他普通教育支出</w:t>
            </w:r>
          </w:p>
        </w:tc>
        <w:tc>
          <w:tcPr>
            <w:tcW w:w="2085" w:type="dxa"/>
            <w:tcBorders>
              <w:tl2br w:val="nil"/>
              <w:tr2bl w:val="nil"/>
            </w:tcBorders>
            <w:vAlign w:val="top"/>
          </w:tcPr>
          <w:p>
            <w:pPr>
              <w:spacing w:line="480" w:lineRule="auto"/>
              <w:jc w:val="both"/>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15.45</w:t>
            </w:r>
          </w:p>
        </w:tc>
        <w:tc>
          <w:tcPr>
            <w:tcW w:w="1650" w:type="dxa"/>
            <w:tcBorders>
              <w:tl2br w:val="nil"/>
              <w:tr2bl w:val="nil"/>
            </w:tcBorders>
            <w:vAlign w:val="center"/>
          </w:tcPr>
          <w:p>
            <w:pPr>
              <w:keepNext w:val="0"/>
              <w:keepLines w:val="0"/>
              <w:widowControl/>
              <w:suppressLineNumbers w:val="0"/>
              <w:spacing w:line="480" w:lineRule="auto"/>
              <w:ind w:firstLine="480" w:firstLineChars="200"/>
              <w:jc w:val="both"/>
              <w:textAlignment w:val="center"/>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6.17</w:t>
            </w:r>
          </w:p>
        </w:tc>
        <w:tc>
          <w:tcPr>
            <w:tcW w:w="1350" w:type="dxa"/>
            <w:tcBorders>
              <w:tl2br w:val="nil"/>
              <w:tr2bl w:val="nil"/>
            </w:tcBorders>
            <w:vAlign w:val="bottom"/>
          </w:tcPr>
          <w:p>
            <w:pPr>
              <w:keepNext w:val="0"/>
              <w:keepLines w:val="0"/>
              <w:widowControl/>
              <w:suppressLineNumbers w:val="0"/>
              <w:spacing w:line="480" w:lineRule="auto"/>
              <w:ind w:left="0" w:leftChars="0" w:firstLine="480" w:firstLineChars="200"/>
              <w:jc w:val="both"/>
              <w:textAlignment w:val="bottom"/>
              <w:rPr>
                <w:rFonts w:hint="default" w:ascii="新宋体" w:hAnsi="新宋体" w:eastAsia="新宋体" w:cs="新宋体"/>
                <w:b w:val="0"/>
                <w:bCs w:val="0"/>
                <w:color w:val="000000"/>
                <w:sz w:val="24"/>
                <w:szCs w:val="24"/>
                <w:lang w:val="en-US" w:eastAsia="zh-CN"/>
              </w:rPr>
            </w:pPr>
            <w:r>
              <w:rPr>
                <w:rFonts w:hint="eastAsia" w:ascii="新宋体" w:hAnsi="新宋体" w:eastAsia="新宋体" w:cs="新宋体"/>
                <w:b w:val="0"/>
                <w:bCs w:val="0"/>
                <w:color w:val="000000"/>
                <w:sz w:val="24"/>
                <w:szCs w:val="24"/>
                <w:lang w:val="en-US" w:eastAsia="zh-CN"/>
              </w:rPr>
              <w:t>-9.37</w:t>
            </w:r>
          </w:p>
        </w:tc>
      </w:tr>
    </w:tbl>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p>
    <w:p>
      <w:pPr>
        <w:numPr>
          <w:ilvl w:val="0"/>
          <w:numId w:val="0"/>
        </w:numPr>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71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9"/>
        <w:gridCol w:w="1832"/>
        <w:gridCol w:w="2066"/>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2869"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2"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66"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1"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  计</w:t>
            </w:r>
          </w:p>
        </w:tc>
        <w:tc>
          <w:tcPr>
            <w:tcW w:w="1832" w:type="dxa"/>
            <w:vAlign w:val="center"/>
          </w:tcPr>
          <w:p>
            <w:pPr>
              <w:spacing w:line="360" w:lineRule="auto"/>
              <w:ind w:left="0" w:leftChars="0" w:firstLine="480" w:firstLineChars="2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113.27</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97.07</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工资福利支出</w:t>
            </w:r>
          </w:p>
        </w:tc>
        <w:tc>
          <w:tcPr>
            <w:tcW w:w="1832"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000000"/>
                <w:kern w:val="2"/>
                <w:sz w:val="22"/>
                <w:szCs w:val="22"/>
                <w:u w:val="none"/>
                <w:lang w:val="en-US" w:eastAsia="zh-CN" w:bidi="ar-SA"/>
              </w:rPr>
              <w:t>94.50</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90.14</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-4.8</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商品服务支出</w:t>
            </w:r>
          </w:p>
        </w:tc>
        <w:tc>
          <w:tcPr>
            <w:tcW w:w="1832" w:type="dxa"/>
            <w:vAlign w:val="center"/>
          </w:tcPr>
          <w:p>
            <w:pPr>
              <w:keepNext w:val="0"/>
              <w:keepLines w:val="0"/>
              <w:widowControl/>
              <w:suppressLineNumbers w:val="0"/>
              <w:ind w:firstLine="440" w:firstLineChars="200"/>
              <w:jc w:val="center"/>
              <w:textAlignment w:val="center"/>
              <w:rPr>
                <w:rFonts w:hint="default" w:ascii="仿宋" w:hAnsi="仿宋" w:eastAsia="仿宋" w:cs="仿宋"/>
                <w:color w:val="auto"/>
                <w:sz w:val="24"/>
                <w:szCs w:val="24"/>
                <w:lang w:val="en-US"/>
              </w:rPr>
            </w:pPr>
            <w:r>
              <w:rPr>
                <w:rFonts w:hint="eastAsia" w:ascii="宋体" w:hAnsi="宋体" w:eastAsia="宋体" w:cs="宋体"/>
                <w:i w:val="0"/>
                <w:color w:val="000000"/>
                <w:kern w:val="2"/>
                <w:sz w:val="22"/>
                <w:szCs w:val="22"/>
                <w:u w:val="none"/>
                <w:lang w:val="en-US" w:eastAsia="zh-CN" w:bidi="ar-SA"/>
              </w:rPr>
              <w:t>16.56</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4.84</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-70.8</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2869"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对个人和家庭的补助</w:t>
            </w:r>
          </w:p>
        </w:tc>
        <w:tc>
          <w:tcPr>
            <w:tcW w:w="1832" w:type="dxa"/>
            <w:vAlign w:val="center"/>
          </w:tcPr>
          <w:p>
            <w:pPr>
              <w:keepNext w:val="0"/>
              <w:keepLines w:val="0"/>
              <w:widowControl/>
              <w:suppressLineNumbers w:val="0"/>
              <w:ind w:firstLine="440" w:firstLineChars="200"/>
              <w:jc w:val="center"/>
              <w:textAlignment w:val="center"/>
              <w:rPr>
                <w:rFonts w:hint="default" w:ascii="仿宋" w:hAnsi="仿宋" w:eastAsia="仿宋" w:cs="仿宋"/>
                <w:color w:val="auto"/>
                <w:sz w:val="24"/>
                <w:szCs w:val="24"/>
                <w:lang w:val="en-US"/>
              </w:rPr>
            </w:pPr>
            <w:r>
              <w:rPr>
                <w:rFonts w:hint="eastAsia" w:ascii="宋体" w:hAnsi="宋体" w:eastAsia="宋体" w:cs="宋体"/>
                <w:i w:val="0"/>
                <w:color w:val="000000"/>
                <w:kern w:val="2"/>
                <w:sz w:val="22"/>
                <w:szCs w:val="22"/>
                <w:u w:val="none"/>
                <w:lang w:val="en-US" w:eastAsia="zh-CN" w:bidi="ar-SA"/>
              </w:rPr>
              <w:t>1.04</w:t>
            </w:r>
          </w:p>
        </w:tc>
        <w:tc>
          <w:tcPr>
            <w:tcW w:w="2066" w:type="dxa"/>
            <w:vAlign w:val="center"/>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2.09</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2869" w:type="dxa"/>
            <w:vAlign w:val="center"/>
          </w:tcPr>
          <w:p>
            <w:pPr>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资本性支出</w:t>
            </w:r>
          </w:p>
        </w:tc>
        <w:tc>
          <w:tcPr>
            <w:tcW w:w="1832"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000000"/>
                <w:kern w:val="2"/>
                <w:sz w:val="22"/>
                <w:szCs w:val="22"/>
                <w:u w:val="none"/>
                <w:lang w:val="en-US" w:eastAsia="zh-CN" w:bidi="ar-SA"/>
              </w:rPr>
              <w:t>1.17</w:t>
            </w:r>
          </w:p>
        </w:tc>
        <w:tc>
          <w:tcPr>
            <w:tcW w:w="2066" w:type="dxa"/>
            <w:vAlign w:val="center"/>
          </w:tcPr>
          <w:p>
            <w:pPr>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w:t>
            </w:r>
          </w:p>
        </w:tc>
        <w:tc>
          <w:tcPr>
            <w:tcW w:w="1951" w:type="dxa"/>
            <w:vAlign w:val="bottom"/>
          </w:tcPr>
          <w:p>
            <w:pPr>
              <w:spacing w:line="360" w:lineRule="auto"/>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r>
              <w:rPr>
                <w:rFonts w:hint="eastAsia" w:ascii="仿宋" w:hAnsi="仿宋" w:eastAsia="仿宋" w:cs="仿宋"/>
                <w:b/>
                <w:color w:val="000000"/>
                <w:kern w:val="0"/>
                <w:sz w:val="24"/>
                <w:szCs w:val="24"/>
                <w:lang w:val="en-US" w:eastAsia="zh-CN"/>
              </w:rPr>
              <w:t>%</w:t>
            </w:r>
          </w:p>
        </w:tc>
      </w:tr>
    </w:tbl>
    <w:p>
      <w:pPr>
        <w:spacing w:line="580" w:lineRule="exact"/>
        <w:ind w:left="0" w:leftChars="0" w:firstLine="0" w:firstLineChars="0"/>
        <w:rPr>
          <w:rFonts w:hint="eastAsia"/>
          <w:color w:val="FF0000"/>
          <w:szCs w:val="32"/>
        </w:rPr>
      </w:pPr>
    </w:p>
    <w:p>
      <w:pPr>
        <w:pStyle w:val="4"/>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color w:val="auto"/>
          <w:szCs w:val="32"/>
          <w:lang w:val="en-US" w:eastAsia="zh-CN"/>
        </w:rPr>
        <w:t>97.07</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90.2</w:t>
      </w:r>
      <w:r>
        <w:rPr>
          <w:rFonts w:hint="eastAsia" w:ascii="仿宋_GB2312" w:hAnsi="Times New Roman"/>
          <w:szCs w:val="32"/>
        </w:rPr>
        <w:t>万元</w:t>
      </w:r>
      <w:r>
        <w:rPr>
          <w:rFonts w:ascii="仿宋_GB2312" w:hAnsi="Times New Roman"/>
          <w:szCs w:val="32"/>
        </w:rPr>
        <w:t>，</w:t>
      </w:r>
      <w:r>
        <w:rPr>
          <w:rFonts w:hint="eastAsia" w:ascii="仿宋_GB2312" w:hAnsi="Times New Roman"/>
          <w:szCs w:val="32"/>
        </w:rPr>
        <w:t>主要</w:t>
      </w:r>
      <w:r>
        <w:rPr>
          <w:rFonts w:ascii="仿宋_GB2312" w:hAnsi="Times New Roman"/>
          <w:szCs w:val="32"/>
        </w:rPr>
        <w:t>包括</w:t>
      </w:r>
      <w:r>
        <w:rPr>
          <w:rFonts w:hint="eastAsia" w:ascii="仿宋_GB2312" w:hAnsi="Times New Roman"/>
          <w:szCs w:val="32"/>
          <w:lang w:eastAsia="zh-CN"/>
        </w:rPr>
        <w:t>工资福利支出和对个人家庭补助支出</w:t>
      </w:r>
      <w:r>
        <w:rPr>
          <w:rFonts w:ascii="仿宋_GB2312" w:hAnsi="Times New Roman"/>
          <w:szCs w:val="32"/>
        </w:rPr>
        <w:t>；</w:t>
      </w:r>
      <w:r>
        <w:rPr>
          <w:rFonts w:hint="eastAsia" w:ascii="仿宋_GB2312" w:hAnsi="Times New Roman"/>
          <w:szCs w:val="32"/>
        </w:rPr>
        <w:t>公用</w:t>
      </w:r>
      <w:r>
        <w:rPr>
          <w:rFonts w:ascii="仿宋_GB2312" w:hAnsi="Times New Roman"/>
          <w:szCs w:val="32"/>
        </w:rPr>
        <w:t>经费</w:t>
      </w:r>
      <w:r>
        <w:rPr>
          <w:rFonts w:hint="eastAsia" w:ascii="仿宋_GB2312"/>
          <w:szCs w:val="32"/>
          <w:lang w:val="en-US" w:eastAsia="zh-CN"/>
        </w:rPr>
        <w:t>0.7</w:t>
      </w:r>
      <w:r>
        <w:rPr>
          <w:rFonts w:hint="eastAsia" w:ascii="仿宋_GB2312" w:hAnsi="Times New Roman"/>
          <w:szCs w:val="32"/>
        </w:rPr>
        <w:t>万元</w:t>
      </w:r>
      <w:r>
        <w:rPr>
          <w:rFonts w:ascii="仿宋_GB2312" w:hAnsi="Times New Roman"/>
          <w:szCs w:val="32"/>
        </w:rPr>
        <w:t>，主要包括</w:t>
      </w:r>
      <w:r>
        <w:rPr>
          <w:rFonts w:hint="eastAsia" w:ascii="仿宋_GB2312" w:hAnsi="Times New Roman"/>
          <w:szCs w:val="32"/>
          <w:lang w:eastAsia="zh-CN"/>
        </w:rPr>
        <w:t>福利工会费</w:t>
      </w:r>
      <w:r>
        <w:rPr>
          <w:rFonts w:ascii="仿宋_GB2312" w:hAnsi="Times New Roman"/>
          <w:szCs w:val="32"/>
        </w:rPr>
        <w:t>。</w:t>
      </w:r>
      <w:r>
        <w:rPr>
          <w:rFonts w:hint="eastAsia" w:ascii="仿宋_GB2312" w:hAnsi="Times New Roman"/>
          <w:szCs w:val="32"/>
        </w:rPr>
        <w:t>20</w:t>
      </w:r>
      <w:r>
        <w:rPr>
          <w:rFonts w:hint="eastAsia" w:ascii="仿宋_GB2312" w:hAnsi="Times New Roman"/>
          <w:szCs w:val="32"/>
          <w:lang w:val="en-US" w:eastAsia="zh-CN"/>
        </w:rPr>
        <w:t>21</w:t>
      </w:r>
      <w:r>
        <w:rPr>
          <w:rFonts w:hint="eastAsia" w:ascii="仿宋_GB2312" w:hAnsi="Times New Roman"/>
          <w:szCs w:val="32"/>
        </w:rPr>
        <w:t>年度</w:t>
      </w:r>
      <w:r>
        <w:rPr>
          <w:rFonts w:ascii="仿宋_GB2312" w:hAnsi="Times New Roman"/>
          <w:szCs w:val="32"/>
        </w:rPr>
        <w:t>财政拨款</w:t>
      </w:r>
      <w:r>
        <w:rPr>
          <w:rFonts w:hint="eastAsia" w:ascii="仿宋_GB2312" w:hAnsi="Times New Roman"/>
          <w:szCs w:val="32"/>
          <w:lang w:val="en-US" w:eastAsia="zh-CN"/>
        </w:rPr>
        <w:t>项目</w:t>
      </w:r>
      <w:r>
        <w:rPr>
          <w:rFonts w:ascii="仿宋_GB2312" w:hAnsi="Times New Roman"/>
          <w:szCs w:val="32"/>
        </w:rPr>
        <w:t>支出</w:t>
      </w:r>
      <w:r>
        <w:rPr>
          <w:rFonts w:hint="eastAsia" w:ascii="仿宋_GB2312"/>
          <w:szCs w:val="32"/>
          <w:lang w:val="en-US" w:eastAsia="zh-CN"/>
        </w:rPr>
        <w:t>6.17</w:t>
      </w:r>
      <w:r>
        <w:rPr>
          <w:rFonts w:hint="eastAsia" w:ascii="仿宋_GB2312"/>
          <w:szCs w:val="32"/>
        </w:rPr>
        <w:t>万元</w:t>
      </w:r>
      <w:r>
        <w:rPr>
          <w:rFonts w:hint="eastAsia" w:ascii="仿宋_GB2312"/>
          <w:szCs w:val="32"/>
          <w:lang w:eastAsia="zh-CN"/>
        </w:rPr>
        <w:t>。</w:t>
      </w:r>
    </w:p>
    <w:p>
      <w:pPr>
        <w:pStyle w:val="4"/>
        <w:rPr>
          <w:rFonts w:hint="eastAsia" w:ascii="仿宋" w:hAnsi="仿宋" w:eastAsia="仿宋" w:cs="仿宋"/>
          <w:b/>
          <w:bCs w:val="0"/>
          <w:lang w:val="en-US" w:eastAsia="zh-CN"/>
        </w:rPr>
      </w:pPr>
      <w:bookmarkStart w:id="23" w:name="_Toc2304"/>
      <w:bookmarkStart w:id="24" w:name="_Toc26508"/>
      <w:r>
        <w:rPr>
          <w:rFonts w:hint="eastAsia" w:ascii="仿宋" w:hAnsi="仿宋" w:eastAsia="仿宋" w:cs="仿宋"/>
          <w:b/>
          <w:bCs w:val="0"/>
          <w:lang w:val="en-US" w:eastAsia="zh-CN"/>
        </w:rPr>
        <w:t>七、一般公共预算财政拨款“三公”经费支出决算情况说明</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 w:hAnsi="仿宋" w:eastAsia="仿宋" w:cs="仿宋"/>
          <w:color w:val="000000"/>
          <w:kern w:val="0"/>
          <w:sz w:val="32"/>
          <w:szCs w:val="32"/>
          <w:lang w:val="en-US" w:eastAsia="zh-CN" w:bidi="ar-SA"/>
        </w:rPr>
        <w:t>“三公”经费财政拨款支出决算为0元，其中：因公出国（境）费支出决算0元，占比0%；公务用车购置及运行费支出决算0元，占比0%；公务接待费支出决算0元，占比0%。</w:t>
      </w:r>
    </w:p>
    <w:p>
      <w:pPr>
        <w:pStyle w:val="9"/>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9"/>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9"/>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9"/>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因公出国（境）费</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sz w:val="28"/>
                <w:szCs w:val="28"/>
              </w:rPr>
            </w:pPr>
            <w:r>
              <w:rPr>
                <w:rFonts w:hint="eastAsia"/>
                <w:color w:val="000000"/>
                <w:sz w:val="28"/>
                <w:szCs w:val="28"/>
              </w:rPr>
              <w:t>公务接待费</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center"/>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9"/>
              <w:jc w:val="center"/>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9"/>
              <w:jc w:val="center"/>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9"/>
              <w:jc w:val="center"/>
              <w:rPr>
                <w:rFonts w:hint="eastAsia" w:eastAsia="宋体"/>
                <w:color w:val="000000"/>
                <w:sz w:val="28"/>
                <w:szCs w:val="28"/>
                <w:lang w:val="en-US" w:eastAsia="zh-CN"/>
              </w:rPr>
            </w:pPr>
          </w:p>
        </w:tc>
      </w:tr>
    </w:tbl>
    <w:p>
      <w:pPr>
        <w:pStyle w:val="9"/>
        <w:spacing w:before="0" w:beforeAutospacing="0" w:after="0" w:afterAutospacing="0"/>
        <w:rPr>
          <w:rFonts w:hint="eastAsia"/>
          <w:b/>
          <w:szCs w:val="32"/>
        </w:rPr>
      </w:pPr>
    </w:p>
    <w:p>
      <w:pPr>
        <w:pStyle w:val="4"/>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b/>
          <w:szCs w:val="32"/>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w:t>
      </w:r>
      <w:r>
        <w:rPr>
          <w:rFonts w:hint="eastAsia" w:ascii="仿宋" w:hAnsi="仿宋" w:eastAsia="仿宋" w:cs="仿宋"/>
          <w:color w:val="000000"/>
          <w:kern w:val="0"/>
          <w:sz w:val="32"/>
          <w:szCs w:val="32"/>
          <w:lang w:val="en-US" w:eastAsia="zh-CN" w:bidi="ar-SA"/>
        </w:rPr>
        <w:t>本单位无机关运行经费的开支情况。</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hAnsi="Times New Roman"/>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w:t>
      </w:r>
      <w:r>
        <w:rPr>
          <w:rFonts w:hint="eastAsia" w:ascii="仿宋_GB2312" w:hAnsi="Times New Roman"/>
          <w:szCs w:val="32"/>
          <w:lang w:val="en-US" w:eastAsia="zh-CN"/>
        </w:rPr>
        <w:t>购支出总额</w:t>
      </w:r>
      <w:r>
        <w:rPr>
          <w:rFonts w:hint="eastAsia" w:ascii="仿宋_GB2312"/>
          <w:szCs w:val="32"/>
          <w:lang w:val="en-US" w:eastAsia="zh-CN"/>
        </w:rPr>
        <w:t>0.096</w:t>
      </w:r>
      <w:r>
        <w:rPr>
          <w:rFonts w:hint="eastAsia" w:ascii="仿宋_GB2312" w:hAnsi="Times New Roman"/>
          <w:szCs w:val="32"/>
          <w:lang w:val="en-US" w:eastAsia="zh-CN"/>
        </w:rPr>
        <w:t>万元，其中：政府采购货物支出</w:t>
      </w:r>
      <w:r>
        <w:rPr>
          <w:rFonts w:hint="eastAsia" w:ascii="仿宋_GB2312"/>
          <w:szCs w:val="32"/>
          <w:lang w:val="en-US" w:eastAsia="zh-CN"/>
        </w:rPr>
        <w:t>0.096</w:t>
      </w:r>
      <w:r>
        <w:rPr>
          <w:rFonts w:hint="eastAsia" w:ascii="仿宋_GB2312" w:hAnsi="Times New Roman"/>
          <w:szCs w:val="32"/>
          <w:lang w:val="en-US" w:eastAsia="zh-CN"/>
        </w:rPr>
        <w:t>6万元、政府采购工程支出0万元、政府采购服务支出0万元。</w:t>
      </w:r>
    </w:p>
    <w:p>
      <w:pPr>
        <w:rPr>
          <w:rFonts w:hint="eastAsia"/>
          <w:b/>
          <w:bCs/>
        </w:rPr>
      </w:pPr>
      <w:bookmarkStart w:id="29" w:name="_Toc19975"/>
      <w:r>
        <w:rPr>
          <w:rFonts w:hint="eastAsia"/>
          <w:b/>
          <w:bCs/>
        </w:rPr>
        <w:t>（三）国有资产占用情况说明</w:t>
      </w:r>
      <w:bookmarkEnd w:id="29"/>
    </w:p>
    <w:p>
      <w:pPr>
        <w:pStyle w:val="9"/>
        <w:keepNext w:val="0"/>
        <w:keepLines w:val="0"/>
        <w:pageBreakBefore w:val="0"/>
        <w:numPr>
          <w:ilvl w:val="0"/>
          <w:numId w:val="0"/>
        </w:numPr>
        <w:kinsoku/>
        <w:wordWrap/>
        <w:overflowPunct/>
        <w:topLinePunct w:val="0"/>
        <w:autoSpaceDE/>
        <w:autoSpaceDN/>
        <w:bidi w:val="0"/>
        <w:adjustRightInd/>
        <w:snapToGrid/>
        <w:spacing w:line="360" w:lineRule="auto"/>
        <w:ind w:leftChars="0" w:firstLine="640" w:firstLineChars="200"/>
        <w:rPr>
          <w:rFonts w:hint="eastAsia"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截至2021年12月31日，截至2020年12月31日，我单位房屋账面面积</w:t>
      </w:r>
      <w:r>
        <w:rPr>
          <w:rFonts w:hint="eastAsia" w:ascii="仿宋_GB2312" w:hAnsi="Times New Roman" w:cstheme="minorBidi"/>
          <w:kern w:val="2"/>
          <w:sz w:val="32"/>
          <w:szCs w:val="32"/>
          <w:lang w:val="en-US" w:eastAsia="zh-CN" w:bidi="ar-SA"/>
        </w:rPr>
        <w:t>550</w:t>
      </w:r>
      <w:r>
        <w:rPr>
          <w:rFonts w:hint="eastAsia" w:ascii="仿宋_GB2312" w:hAnsi="Times New Roman" w:eastAsia="仿宋_GB2312" w:cstheme="minorBidi"/>
          <w:kern w:val="2"/>
          <w:sz w:val="32"/>
          <w:szCs w:val="32"/>
          <w:lang w:val="en-US" w:eastAsia="zh-CN" w:bidi="ar-SA"/>
        </w:rPr>
        <w:t>平方米，账面价值</w:t>
      </w:r>
      <w:r>
        <w:rPr>
          <w:rFonts w:hint="eastAsia" w:ascii="仿宋_GB2312" w:hAnsi="Times New Roman" w:cstheme="minorBidi"/>
          <w:kern w:val="2"/>
          <w:sz w:val="32"/>
          <w:szCs w:val="32"/>
          <w:lang w:val="en-US" w:eastAsia="zh-CN" w:bidi="ar-SA"/>
        </w:rPr>
        <w:t>20</w:t>
      </w:r>
      <w:r>
        <w:rPr>
          <w:rFonts w:hint="eastAsia" w:ascii="仿宋_GB2312" w:hAnsi="Times New Roman" w:eastAsia="仿宋_GB2312" w:cstheme="minorBidi"/>
          <w:kern w:val="2"/>
          <w:sz w:val="32"/>
          <w:szCs w:val="32"/>
          <w:lang w:val="en-US" w:eastAsia="zh-CN" w:bidi="ar-SA"/>
        </w:rPr>
        <w:t>万元，</w:t>
      </w:r>
      <w:r>
        <w:rPr>
          <w:rFonts w:hint="eastAsia" w:ascii="仿宋_GB2312" w:hAnsi="Times New Roman" w:cstheme="minorBidi"/>
          <w:kern w:val="2"/>
          <w:sz w:val="32"/>
          <w:szCs w:val="32"/>
          <w:lang w:val="en-US" w:eastAsia="zh-CN" w:bidi="ar-SA"/>
        </w:rPr>
        <w:t>由于学校7月份合并，所有房屋已不再使用</w:t>
      </w:r>
      <w:r>
        <w:rPr>
          <w:rFonts w:hint="eastAsia" w:ascii="仿宋_GB2312" w:hAnsi="Times New Roman" w:eastAsia="仿宋_GB2312" w:cstheme="minorBidi"/>
          <w:kern w:val="2"/>
          <w:sz w:val="32"/>
          <w:szCs w:val="32"/>
          <w:lang w:val="en-US" w:eastAsia="zh-CN" w:bidi="ar-SA"/>
        </w:rPr>
        <w:t>。</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本年度新增账面面积0.00平方米，账面原值0元；本年度处置账面面积0.00平方米，账面原值0元。</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640" w:firstLineChars="200"/>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本单位没有50万元以上的通用设备及100万元以上的专用设备。</w:t>
      </w:r>
    </w:p>
    <w:p>
      <w:pPr>
        <w:spacing w:line="580" w:lineRule="exact"/>
        <w:ind w:firstLine="640"/>
        <w:rPr>
          <w:rFonts w:hint="eastAsia" w:ascii="仿宋_GB2312"/>
          <w:szCs w:val="32"/>
        </w:rPr>
      </w:pPr>
    </w:p>
    <w:p>
      <w:pPr>
        <w:rPr>
          <w:rFonts w:hint="eastAsia"/>
          <w:b/>
          <w:bCs/>
          <w:highlight w:val="none"/>
        </w:rPr>
      </w:pPr>
      <w:r>
        <w:rPr>
          <w:rFonts w:hint="eastAsia"/>
          <w:b/>
          <w:bCs/>
          <w:highlight w:val="none"/>
          <w:lang w:eastAsia="zh-CN"/>
        </w:rPr>
        <w:t>（</w:t>
      </w:r>
      <w:r>
        <w:rPr>
          <w:rFonts w:hint="eastAsia"/>
          <w:b/>
          <w:bCs/>
          <w:highlight w:val="none"/>
          <w:lang w:val="en-US" w:eastAsia="zh-CN"/>
        </w:rPr>
        <w:t>四）</w:t>
      </w:r>
      <w:r>
        <w:rPr>
          <w:rFonts w:hint="eastAsia"/>
          <w:b/>
          <w:bCs/>
          <w:highlight w:val="none"/>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2021年本单位无重点项目绩效目标情况自评说明，涉及金额等。</w:t>
      </w:r>
    </w:p>
    <w:p>
      <w:pPr>
        <w:pStyle w:val="3"/>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单位名称：静乐县堂尔上乡联合学区</w:t>
      </w:r>
    </w:p>
    <w:p>
      <w:pPr>
        <w:ind w:firstLine="4800" w:firstLineChars="1500"/>
        <w:rPr>
          <w:rFonts w:hint="eastAsia" w:eastAsia="仿宋_GB2312"/>
          <w:lang w:val="en-US" w:eastAsia="zh-CN"/>
        </w:rPr>
      </w:pPr>
      <w:r>
        <w:rPr>
          <w:rFonts w:hint="eastAsia"/>
          <w:lang w:val="en-US" w:eastAsia="zh-CN"/>
        </w:rPr>
        <w:t>二〇二二年六月六</w:t>
      </w:r>
      <w:bookmarkStart w:id="31" w:name="_GoBack"/>
      <w:bookmarkEnd w:id="31"/>
      <w:r>
        <w:rPr>
          <w:rFonts w:hint="eastAsia"/>
          <w:lang w:val="en-US" w:eastAsia="zh-CN"/>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86AA4E"/>
    <w:multiLevelType w:val="singleLevel"/>
    <w:tmpl w:val="C386AA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NDM2YjRhZjMwN2NjNjQ3NGI3YTc3NmFiNTkwMWMifQ=="/>
  </w:docVars>
  <w:rsids>
    <w:rsidRoot w:val="495520D0"/>
    <w:rsid w:val="01B20354"/>
    <w:rsid w:val="02537EA0"/>
    <w:rsid w:val="03696819"/>
    <w:rsid w:val="126B5341"/>
    <w:rsid w:val="16654CDD"/>
    <w:rsid w:val="1A4A5C33"/>
    <w:rsid w:val="2701594C"/>
    <w:rsid w:val="27426717"/>
    <w:rsid w:val="2C972126"/>
    <w:rsid w:val="37943B50"/>
    <w:rsid w:val="3821117E"/>
    <w:rsid w:val="42C12CEC"/>
    <w:rsid w:val="44401A62"/>
    <w:rsid w:val="495520D0"/>
    <w:rsid w:val="4A012068"/>
    <w:rsid w:val="4DCE3645"/>
    <w:rsid w:val="53A30631"/>
    <w:rsid w:val="5EC01F6A"/>
    <w:rsid w:val="5FC24B51"/>
    <w:rsid w:val="63AB51DF"/>
    <w:rsid w:val="649C6DC9"/>
    <w:rsid w:val="6D0A7605"/>
    <w:rsid w:val="715A78E4"/>
    <w:rsid w:val="7761744D"/>
    <w:rsid w:val="78183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3154</Words>
  <Characters>3580</Characters>
  <Lines>0</Lines>
  <Paragraphs>0</Paragraphs>
  <TotalTime>0</TotalTime>
  <ScaleCrop>false</ScaleCrop>
  <LinksUpToDate>false</LinksUpToDate>
  <CharactersWithSpaces>3666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2022-07-21T02:22:05Z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91A1DF8448E84EF280DE76F88FF77B7F</vt:lpwstr>
  </property>
</Properties>
</file>