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1762" w:firstLineChars="400"/>
        <w:rPr>
          <w:rFonts w:hint="eastAsia" w:ascii="华文中宋" w:hAnsi="华文中宋" w:eastAsia="华文中宋"/>
          <w:color w:val="auto"/>
          <w:sz w:val="44"/>
          <w:szCs w:val="44"/>
        </w:rPr>
      </w:pPr>
      <w:bookmarkStart w:id="0" w:name="_Toc32048"/>
      <w:bookmarkStart w:id="1" w:name="_Toc21118"/>
      <w:bookmarkStart w:id="2" w:name="_Toc31071"/>
      <w:r>
        <w:rPr>
          <w:rFonts w:hint="eastAsia" w:ascii="华文中宋" w:hAnsi="华文中宋" w:eastAsia="华文中宋"/>
          <w:color w:val="auto"/>
          <w:sz w:val="44"/>
          <w:szCs w:val="44"/>
        </w:rPr>
        <w:t>静乐县交通运输执法监督所</w:t>
      </w:r>
    </w:p>
    <w:p>
      <w:pPr>
        <w:pStyle w:val="2"/>
        <w:ind w:firstLine="1762" w:firstLineChars="400"/>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rFonts w:hint="eastAsia"/>
          <w:color w:val="auto"/>
          <w:lang w:val="en-US" w:eastAsia="zh-CN"/>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一、本部门职责</w:t>
      </w:r>
      <w:bookmarkEnd w:id="5"/>
      <w:bookmarkEnd w:id="6"/>
    </w:p>
    <w:p>
      <w:pPr>
        <w:rPr>
          <w:rFonts w:hint="eastAsia"/>
          <w:color w:val="auto"/>
        </w:rPr>
      </w:pPr>
      <w:bookmarkStart w:id="7" w:name="_Toc12749"/>
      <w:r>
        <w:rPr>
          <w:rFonts w:hint="eastAsia"/>
          <w:color w:val="auto"/>
        </w:rPr>
        <w:t>静乐县</w:t>
      </w:r>
      <w:r>
        <w:rPr>
          <w:rFonts w:hint="eastAsia"/>
          <w:color w:val="auto"/>
          <w:lang w:eastAsia="zh-CN"/>
        </w:rPr>
        <w:t>交通运输执法监督所</w:t>
      </w:r>
      <w:r>
        <w:rPr>
          <w:rFonts w:hint="eastAsia"/>
          <w:color w:val="auto"/>
        </w:rPr>
        <w:t>主要职责：负责对交通运输系统执法单位执法行为进行监督、指导、评价和考核，开展人员培训和执法证件管理，组织协调交通行政复议和行政诉讼等工作。</w:t>
      </w:r>
    </w:p>
    <w:p>
      <w:pPr>
        <w:pStyle w:val="3"/>
        <w:rPr>
          <w:rFonts w:hint="eastAsia" w:ascii="仿宋" w:hAnsi="仿宋" w:eastAsia="仿宋" w:cs="仿宋"/>
          <w:b w:val="0"/>
          <w:bCs/>
          <w:color w:val="auto"/>
          <w:lang w:eastAsia="zh-CN"/>
        </w:rPr>
      </w:pPr>
      <w:bookmarkStart w:id="8" w:name="_Toc1343"/>
      <w:r>
        <w:rPr>
          <w:rFonts w:hint="eastAsia" w:ascii="仿宋" w:hAnsi="仿宋" w:eastAsia="仿宋" w:cs="仿宋"/>
          <w:b w:val="0"/>
          <w:bCs/>
          <w:color w:val="auto"/>
          <w:lang w:eastAsia="zh-CN"/>
        </w:rPr>
        <w:t>二、机构设置情况</w:t>
      </w:r>
      <w:bookmarkEnd w:id="8"/>
    </w:p>
    <w:p>
      <w:pPr>
        <w:rPr>
          <w:rFonts w:hint="eastAsia"/>
          <w:color w:val="auto"/>
          <w:lang w:val="en-US" w:eastAsia="zh-CN"/>
        </w:rPr>
      </w:pPr>
      <w:r>
        <w:rPr>
          <w:rFonts w:hint="eastAsia"/>
          <w:color w:val="auto"/>
          <w:lang w:eastAsia="zh-CN"/>
        </w:rPr>
        <w:t>交通运输执法监督所为交通运输局下属全额事业单位，股级建制，核定全额事业</w:t>
      </w:r>
      <w:r>
        <w:rPr>
          <w:rFonts w:hint="eastAsia"/>
          <w:color w:val="auto"/>
        </w:rPr>
        <w:t>编制</w:t>
      </w:r>
      <w:r>
        <w:rPr>
          <w:rFonts w:hint="eastAsia"/>
          <w:color w:val="auto"/>
          <w:lang w:val="en-US" w:eastAsia="zh-CN"/>
        </w:rPr>
        <w:t>16</w:t>
      </w:r>
      <w:r>
        <w:rPr>
          <w:rFonts w:hint="eastAsia"/>
          <w:color w:val="auto"/>
        </w:rPr>
        <w:t>人，</w:t>
      </w:r>
      <w:r>
        <w:rPr>
          <w:rFonts w:hint="eastAsia"/>
          <w:color w:val="auto"/>
          <w:lang w:eastAsia="zh-CN"/>
        </w:rPr>
        <w:t>实有人数</w:t>
      </w:r>
      <w:r>
        <w:rPr>
          <w:rFonts w:hint="eastAsia"/>
          <w:color w:val="auto"/>
          <w:lang w:val="en-US" w:eastAsia="zh-CN"/>
        </w:rPr>
        <w:t>12人。</w:t>
      </w:r>
    </w:p>
    <w:p>
      <w:pPr>
        <w:rPr>
          <w:rFonts w:hint="eastAsia"/>
          <w:color w:val="auto"/>
        </w:rPr>
      </w:pPr>
      <w:r>
        <w:rPr>
          <w:rFonts w:hint="eastAsia"/>
          <w:color w:val="auto"/>
        </w:rPr>
        <w:t>内设股室有</w:t>
      </w:r>
      <w:r>
        <w:rPr>
          <w:rFonts w:hint="eastAsia"/>
          <w:color w:val="auto"/>
          <w:lang w:val="en-US" w:eastAsia="zh-CN"/>
        </w:rPr>
        <w:t>4个</w:t>
      </w:r>
      <w:r>
        <w:rPr>
          <w:rFonts w:hint="eastAsia"/>
          <w:color w:val="auto"/>
        </w:rPr>
        <w:t>：</w:t>
      </w:r>
    </w:p>
    <w:p>
      <w:pPr>
        <w:rPr>
          <w:rFonts w:hint="eastAsia"/>
          <w:color w:val="auto"/>
        </w:rPr>
      </w:pPr>
      <w:r>
        <w:rPr>
          <w:rFonts w:hint="eastAsia"/>
          <w:color w:val="auto"/>
        </w:rPr>
        <w:t>（1）</w:t>
      </w:r>
      <w:r>
        <w:rPr>
          <w:rFonts w:hint="eastAsia"/>
          <w:color w:val="auto"/>
          <w:lang w:eastAsia="zh-CN"/>
        </w:rPr>
        <w:t>办公室</w:t>
      </w:r>
      <w:r>
        <w:rPr>
          <w:rFonts w:hint="eastAsia"/>
          <w:color w:val="auto"/>
        </w:rPr>
        <w:t>（2）</w:t>
      </w:r>
      <w:r>
        <w:rPr>
          <w:rFonts w:hint="eastAsia"/>
          <w:color w:val="auto"/>
          <w:lang w:eastAsia="zh-CN"/>
        </w:rPr>
        <w:t>财务室</w:t>
      </w:r>
      <w:r>
        <w:rPr>
          <w:rFonts w:hint="eastAsia"/>
          <w:color w:val="auto"/>
        </w:rPr>
        <w:t>（3）</w:t>
      </w:r>
      <w:r>
        <w:rPr>
          <w:rFonts w:hint="eastAsia"/>
          <w:color w:val="auto"/>
          <w:lang w:eastAsia="zh-CN"/>
        </w:rPr>
        <w:t>监督一室</w:t>
      </w:r>
      <w:r>
        <w:rPr>
          <w:rFonts w:hint="eastAsia"/>
          <w:color w:val="auto"/>
        </w:rPr>
        <w:t>（4）</w:t>
      </w:r>
      <w:r>
        <w:rPr>
          <w:rFonts w:hint="eastAsia"/>
          <w:color w:val="auto"/>
          <w:lang w:eastAsia="zh-CN"/>
        </w:rPr>
        <w:t>监督二室</w:t>
      </w:r>
      <w:r>
        <w:rPr>
          <w:rFonts w:hint="eastAsia"/>
          <w:color w:val="auto"/>
        </w:rPr>
        <w:t>。</w:t>
      </w:r>
    </w:p>
    <w:p>
      <w:pPr>
        <w:pStyle w:val="2"/>
        <w:rPr>
          <w:rFonts w:hint="eastAsia"/>
          <w:b/>
          <w:bCs w:val="0"/>
          <w:color w:val="auto"/>
          <w:sz w:val="36"/>
          <w:szCs w:val="36"/>
          <w:lang w:val="en-US" w:eastAsia="zh-CN"/>
        </w:rPr>
      </w:pPr>
      <w:r>
        <w:rPr>
          <w:rFonts w:hint="eastAsia"/>
          <w:b/>
          <w:color w:val="auto"/>
          <w:sz w:val="36"/>
          <w:szCs w:val="36"/>
          <w:lang w:val="en-US" w:eastAsia="zh-CN"/>
        </w:rPr>
        <w:t>第二部分  2021年度部门决算报表（附表）</w:t>
      </w:r>
      <w:bookmarkEnd w:id="7"/>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9" w:name="_Toc29325"/>
      <w:r>
        <w:rPr>
          <w:rFonts w:hint="eastAsia"/>
          <w:b/>
          <w:color w:val="auto"/>
          <w:sz w:val="36"/>
          <w:szCs w:val="36"/>
          <w:lang w:val="en-US" w:eastAsia="zh-CN"/>
        </w:rPr>
        <w:t>第三部分  2021年度部门决算情况说明</w:t>
      </w:r>
      <w:bookmarkEnd w:id="9"/>
    </w:p>
    <w:p>
      <w:pPr>
        <w:pStyle w:val="3"/>
        <w:rPr>
          <w:rFonts w:hint="eastAsia" w:ascii="仿宋" w:hAnsi="仿宋" w:eastAsia="仿宋" w:cs="仿宋"/>
          <w:b/>
          <w:bCs w:val="0"/>
          <w:color w:val="auto"/>
          <w:lang w:val="en-US" w:eastAsia="zh-CN"/>
        </w:rPr>
      </w:pPr>
      <w:bookmarkStart w:id="10" w:name="_Toc8717"/>
      <w:bookmarkStart w:id="11" w:name="_Toc437"/>
      <w:r>
        <w:rPr>
          <w:rFonts w:hint="eastAsia" w:ascii="仿宋" w:hAnsi="仿宋" w:eastAsia="仿宋" w:cs="仿宋"/>
          <w:b/>
          <w:bCs w:val="0"/>
          <w:color w:val="auto"/>
          <w:lang w:val="en-US" w:eastAsia="zh-CN"/>
        </w:rPr>
        <w:t>一、收入支出决算总体情况说明</w:t>
      </w:r>
      <w:bookmarkEnd w:id="10"/>
      <w:bookmarkEnd w:id="11"/>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116.34</w:t>
      </w:r>
      <w:r>
        <w:rPr>
          <w:rFonts w:hint="eastAsia" w:ascii="仿宋_GB2312"/>
          <w:color w:val="auto"/>
          <w:szCs w:val="32"/>
        </w:rPr>
        <w:t>万元、支出总计</w:t>
      </w:r>
      <w:r>
        <w:rPr>
          <w:rFonts w:hint="eastAsia" w:ascii="仿宋_GB2312"/>
          <w:color w:val="auto"/>
          <w:szCs w:val="32"/>
          <w:lang w:val="en-US" w:eastAsia="zh-CN"/>
        </w:rPr>
        <w:t>116.34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6.06</w:t>
      </w:r>
      <w:r>
        <w:rPr>
          <w:rFonts w:hint="eastAsia" w:ascii="仿宋_GB2312"/>
          <w:color w:val="auto"/>
          <w:szCs w:val="32"/>
        </w:rPr>
        <w:t>万元，下降</w:t>
      </w:r>
      <w:r>
        <w:rPr>
          <w:rFonts w:hint="eastAsia" w:ascii="仿宋_GB2312"/>
          <w:color w:val="auto"/>
          <w:szCs w:val="32"/>
          <w:lang w:val="en-US" w:eastAsia="zh-CN"/>
        </w:rPr>
        <w:t>4.95</w:t>
      </w:r>
      <w:r>
        <w:rPr>
          <w:rFonts w:hint="eastAsia" w:ascii="仿宋_GB2312"/>
          <w:color w:val="auto"/>
          <w:szCs w:val="32"/>
        </w:rPr>
        <w:t>XX%，</w:t>
      </w:r>
      <w:r>
        <w:rPr>
          <w:rFonts w:ascii="仿宋_GB2312"/>
          <w:color w:val="auto"/>
          <w:szCs w:val="32"/>
        </w:rPr>
        <w:t>支出总计减少</w:t>
      </w:r>
      <w:r>
        <w:rPr>
          <w:rFonts w:hint="eastAsia" w:ascii="仿宋_GB2312"/>
          <w:color w:val="auto"/>
          <w:szCs w:val="32"/>
          <w:lang w:val="en-US" w:eastAsia="zh-CN"/>
        </w:rPr>
        <w:t>6.06</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4.95</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人员减少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2" w:name="_Toc17404"/>
      <w:bookmarkStart w:id="13" w:name="_Toc16754"/>
      <w:r>
        <w:rPr>
          <w:rFonts w:hint="eastAsia" w:ascii="仿宋" w:hAnsi="仿宋" w:eastAsia="仿宋" w:cs="仿宋"/>
          <w:b/>
          <w:bCs w:val="0"/>
          <w:color w:val="auto"/>
          <w:lang w:val="en-US" w:eastAsia="zh-CN"/>
        </w:rPr>
        <w:t>二、收入决算情况说明</w:t>
      </w:r>
      <w:bookmarkEnd w:id="12"/>
      <w:bookmarkEnd w:id="13"/>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本年收入合计</w:t>
      </w:r>
      <w:r>
        <w:rPr>
          <w:rFonts w:hint="eastAsia" w:ascii="仿宋_GB2312"/>
          <w:color w:val="auto"/>
          <w:szCs w:val="32"/>
          <w:lang w:val="en-US" w:eastAsia="zh-CN"/>
        </w:rPr>
        <w:t>116.34</w:t>
      </w:r>
      <w:r>
        <w:rPr>
          <w:rFonts w:hint="eastAsia" w:ascii="仿宋_GB2312"/>
          <w:color w:val="auto"/>
          <w:szCs w:val="32"/>
        </w:rPr>
        <w:t>万元，其中：财政拨款收入</w:t>
      </w:r>
      <w:r>
        <w:rPr>
          <w:rFonts w:hint="eastAsia" w:ascii="仿宋_GB2312"/>
          <w:color w:val="auto"/>
          <w:szCs w:val="32"/>
          <w:lang w:val="en-US" w:eastAsia="zh-CN"/>
        </w:rPr>
        <w:t>116.34</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4" w:name="_Toc9596"/>
      <w:bookmarkStart w:id="15" w:name="_Toc22098"/>
      <w:r>
        <w:rPr>
          <w:rFonts w:hint="eastAsia" w:ascii="仿宋" w:hAnsi="仿宋" w:eastAsia="仿宋" w:cs="仿宋"/>
          <w:b/>
          <w:bCs w:val="0"/>
          <w:color w:val="auto"/>
          <w:lang w:val="en-US" w:eastAsia="zh-CN"/>
        </w:rPr>
        <w:t>三、支出决算情况说明</w:t>
      </w:r>
      <w:bookmarkEnd w:id="14"/>
      <w:bookmarkEnd w:id="15"/>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116.34</w:t>
      </w:r>
      <w:r>
        <w:rPr>
          <w:rFonts w:hint="eastAsia" w:ascii="仿宋_GB2312"/>
          <w:color w:val="auto"/>
          <w:szCs w:val="32"/>
        </w:rPr>
        <w:t>万元，其中：基本支出</w:t>
      </w:r>
      <w:r>
        <w:rPr>
          <w:rFonts w:hint="eastAsia" w:ascii="仿宋_GB2312"/>
          <w:color w:val="auto"/>
          <w:szCs w:val="32"/>
          <w:lang w:val="en-US" w:eastAsia="zh-CN"/>
        </w:rPr>
        <w:t>116.34</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6" w:name="_Toc2142"/>
      <w:bookmarkStart w:id="17" w:name="_Toc4614"/>
      <w:r>
        <w:rPr>
          <w:rFonts w:hint="eastAsia" w:ascii="仿宋" w:hAnsi="仿宋" w:eastAsia="仿宋" w:cs="仿宋"/>
          <w:b/>
          <w:bCs w:val="0"/>
          <w:color w:val="auto"/>
          <w:lang w:val="en-US" w:eastAsia="zh-CN"/>
        </w:rPr>
        <w:t>四、财政拨款收入支出决算总体情况说明</w:t>
      </w:r>
      <w:bookmarkEnd w:id="16"/>
      <w:bookmarkEnd w:id="17"/>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116.34</w:t>
      </w:r>
      <w:r>
        <w:rPr>
          <w:rFonts w:hint="eastAsia" w:ascii="仿宋_GB2312"/>
          <w:color w:val="auto"/>
          <w:szCs w:val="32"/>
        </w:rPr>
        <w:t>万元、支出总计</w:t>
      </w:r>
      <w:r>
        <w:rPr>
          <w:rFonts w:hint="eastAsia" w:ascii="仿宋_GB2312"/>
          <w:color w:val="auto"/>
          <w:szCs w:val="32"/>
          <w:lang w:val="en-US" w:eastAsia="zh-CN"/>
        </w:rPr>
        <w:t>116.34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6.06</w:t>
      </w:r>
      <w:r>
        <w:rPr>
          <w:rFonts w:hint="eastAsia" w:ascii="仿宋_GB2312"/>
          <w:color w:val="auto"/>
          <w:szCs w:val="32"/>
        </w:rPr>
        <w:t>万元，下降</w:t>
      </w:r>
      <w:r>
        <w:rPr>
          <w:rFonts w:hint="eastAsia" w:ascii="仿宋_GB2312"/>
          <w:color w:val="auto"/>
          <w:szCs w:val="32"/>
          <w:lang w:val="en-US" w:eastAsia="zh-CN"/>
        </w:rPr>
        <w:t>4.95</w:t>
      </w:r>
      <w:r>
        <w:rPr>
          <w:rFonts w:hint="eastAsia" w:ascii="仿宋_GB2312"/>
          <w:color w:val="auto"/>
          <w:szCs w:val="32"/>
        </w:rPr>
        <w:t>%，财政拨款支出总计减少</w:t>
      </w:r>
      <w:r>
        <w:rPr>
          <w:rFonts w:hint="eastAsia" w:ascii="仿宋_GB2312"/>
          <w:color w:val="auto"/>
          <w:szCs w:val="32"/>
          <w:lang w:val="en-US" w:eastAsia="zh-CN"/>
        </w:rPr>
        <w:t>6.06</w:t>
      </w:r>
      <w:r>
        <w:rPr>
          <w:rFonts w:hint="eastAsia" w:ascii="仿宋_GB2312"/>
          <w:color w:val="auto"/>
          <w:szCs w:val="32"/>
        </w:rPr>
        <w:t>万元，下降</w:t>
      </w:r>
      <w:r>
        <w:rPr>
          <w:rFonts w:hint="eastAsia" w:ascii="仿宋_GB2312"/>
          <w:color w:val="auto"/>
          <w:szCs w:val="32"/>
          <w:lang w:val="en-US" w:eastAsia="zh-CN"/>
        </w:rPr>
        <w:t>4.95</w:t>
      </w:r>
      <w:r>
        <w:rPr>
          <w:rFonts w:hint="eastAsia" w:ascii="仿宋_GB2312"/>
          <w:color w:val="auto"/>
          <w:szCs w:val="32"/>
        </w:rPr>
        <w:t>%。主要原因是</w:t>
      </w:r>
      <w:r>
        <w:rPr>
          <w:rFonts w:hint="eastAsia" w:ascii="仿宋_GB2312"/>
          <w:color w:val="auto"/>
          <w:szCs w:val="32"/>
          <w:lang w:val="en-US" w:eastAsia="zh-CN"/>
        </w:rPr>
        <w:t>人员减少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8" w:name="_Toc9341"/>
      <w:bookmarkStart w:id="19" w:name="_Toc6501"/>
      <w:r>
        <w:rPr>
          <w:rFonts w:hint="eastAsia" w:ascii="仿宋" w:hAnsi="仿宋" w:eastAsia="仿宋" w:cs="仿宋"/>
          <w:b/>
          <w:bCs w:val="0"/>
          <w:color w:val="auto"/>
          <w:lang w:val="en-US" w:eastAsia="zh-CN"/>
        </w:rPr>
        <w:t>五、一般公共预算财政拨款支出决算情况说明</w:t>
      </w:r>
      <w:bookmarkEnd w:id="18"/>
      <w:bookmarkEnd w:id="19"/>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116.34</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6.06</w:t>
      </w:r>
      <w:r>
        <w:rPr>
          <w:rFonts w:hint="eastAsia" w:ascii="仿宋_GB2312"/>
          <w:color w:val="auto"/>
          <w:szCs w:val="32"/>
        </w:rPr>
        <w:t>万元，下降</w:t>
      </w:r>
      <w:r>
        <w:rPr>
          <w:rFonts w:hint="eastAsia" w:ascii="仿宋_GB2312"/>
          <w:color w:val="auto"/>
          <w:szCs w:val="32"/>
          <w:lang w:val="en-US" w:eastAsia="zh-CN"/>
        </w:rPr>
        <w:t>4.95</w:t>
      </w:r>
      <w:r>
        <w:rPr>
          <w:rFonts w:hint="eastAsia" w:ascii="仿宋_GB2312"/>
          <w:color w:val="auto"/>
          <w:szCs w:val="32"/>
        </w:rPr>
        <w:t>%。主要原因是</w:t>
      </w:r>
      <w:r>
        <w:rPr>
          <w:rFonts w:hint="eastAsia" w:ascii="仿宋_GB2312"/>
          <w:color w:val="auto"/>
          <w:szCs w:val="32"/>
          <w:lang w:val="en-US" w:eastAsia="zh-CN"/>
        </w:rPr>
        <w:t>人员减少</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116.34</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116.34</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116.34</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104.92</w:t>
      </w:r>
      <w:r>
        <w:rPr>
          <w:rFonts w:hint="eastAsia"/>
          <w:color w:val="auto"/>
          <w:szCs w:val="32"/>
        </w:rPr>
        <w:t>万元，</w:t>
      </w:r>
      <w:r>
        <w:rPr>
          <w:rFonts w:hint="eastAsia"/>
          <w:color w:val="auto"/>
          <w:szCs w:val="32"/>
          <w:lang w:val="en-US" w:eastAsia="zh-CN"/>
        </w:rPr>
        <w:t>本年调整预算116.34万元。</w:t>
      </w:r>
      <w:r>
        <w:rPr>
          <w:rFonts w:hint="eastAsia"/>
          <w:color w:val="auto"/>
          <w:szCs w:val="32"/>
        </w:rPr>
        <w:t>支出决算</w:t>
      </w:r>
      <w:r>
        <w:rPr>
          <w:rFonts w:hint="eastAsia"/>
          <w:color w:val="auto"/>
          <w:szCs w:val="32"/>
          <w:lang w:val="en-US" w:eastAsia="zh-CN"/>
        </w:rPr>
        <w:t>116.34</w:t>
      </w:r>
      <w:r>
        <w:rPr>
          <w:rFonts w:hint="eastAsia"/>
          <w:color w:val="auto"/>
          <w:szCs w:val="32"/>
        </w:rPr>
        <w:t>万元，完成</w:t>
      </w:r>
      <w:r>
        <w:rPr>
          <w:rFonts w:hint="eastAsia"/>
          <w:color w:val="auto"/>
          <w:szCs w:val="32"/>
          <w:lang w:val="en-US" w:eastAsia="zh-CN"/>
        </w:rPr>
        <w:t>本年调整</w:t>
      </w:r>
      <w:r>
        <w:rPr>
          <w:rFonts w:hint="eastAsia"/>
          <w:color w:val="auto"/>
          <w:szCs w:val="32"/>
        </w:rPr>
        <w:t>预算的</w:t>
      </w:r>
      <w:r>
        <w:rPr>
          <w:rFonts w:hint="eastAsia"/>
          <w:color w:val="auto"/>
          <w:szCs w:val="32"/>
          <w:lang w:val="en-US" w:eastAsia="zh-CN"/>
        </w:rPr>
        <w:t>100</w:t>
      </w:r>
      <w:bookmarkStart w:id="32" w:name="_GoBack"/>
      <w:bookmarkEnd w:id="32"/>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214</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交通运输支出</w:t>
            </w:r>
          </w:p>
        </w:tc>
        <w:tc>
          <w:tcPr>
            <w:tcW w:w="1876"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122.40</w:t>
            </w:r>
          </w:p>
        </w:tc>
        <w:tc>
          <w:tcPr>
            <w:tcW w:w="1684" w:type="dxa"/>
            <w:vAlign w:val="center"/>
          </w:tcPr>
          <w:p>
            <w:pPr>
              <w:keepNext w:val="0"/>
              <w:keepLines w:val="0"/>
              <w:widowControl/>
              <w:suppressLineNumbers w:val="0"/>
              <w:ind w:firstLine="480" w:firstLineChars="200"/>
              <w:jc w:val="lef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116.34</w:t>
            </w:r>
          </w:p>
        </w:tc>
        <w:tc>
          <w:tcPr>
            <w:tcW w:w="1393" w:type="dxa"/>
            <w:vAlign w:val="center"/>
          </w:tcPr>
          <w:p>
            <w:pPr>
              <w:keepNext w:val="0"/>
              <w:keepLines w:val="0"/>
              <w:widowControl/>
              <w:suppressLineNumbers w:val="0"/>
              <w:jc w:val="lef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21401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公路水路运输</w:t>
            </w:r>
          </w:p>
        </w:tc>
        <w:tc>
          <w:tcPr>
            <w:tcW w:w="1876"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122.40</w:t>
            </w:r>
          </w:p>
        </w:tc>
        <w:tc>
          <w:tcPr>
            <w:tcW w:w="1684" w:type="dxa"/>
            <w:vAlign w:val="center"/>
          </w:tcPr>
          <w:p>
            <w:pPr>
              <w:keepNext w:val="0"/>
              <w:keepLines w:val="0"/>
              <w:widowControl/>
              <w:suppressLineNumbers w:val="0"/>
              <w:ind w:firstLine="480" w:firstLineChars="200"/>
              <w:jc w:val="lef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116.34</w:t>
            </w:r>
          </w:p>
        </w:tc>
        <w:tc>
          <w:tcPr>
            <w:tcW w:w="1393" w:type="dxa"/>
            <w:vAlign w:val="center"/>
          </w:tcPr>
          <w:p>
            <w:pPr>
              <w:keepNext w:val="0"/>
              <w:keepLines w:val="0"/>
              <w:widowControl/>
              <w:suppressLineNumbers w:val="0"/>
              <w:ind w:firstLine="480" w:firstLineChars="200"/>
              <w:jc w:val="lef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2140112</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公路运输管理</w:t>
            </w:r>
          </w:p>
        </w:tc>
        <w:tc>
          <w:tcPr>
            <w:tcW w:w="1876"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122.40</w:t>
            </w:r>
          </w:p>
        </w:tc>
        <w:tc>
          <w:tcPr>
            <w:tcW w:w="1684" w:type="dxa"/>
            <w:vAlign w:val="center"/>
          </w:tcPr>
          <w:p>
            <w:pPr>
              <w:keepNext w:val="0"/>
              <w:keepLines w:val="0"/>
              <w:widowControl/>
              <w:suppressLineNumbers w:val="0"/>
              <w:jc w:val="lef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116.34</w:t>
            </w:r>
          </w:p>
        </w:tc>
        <w:tc>
          <w:tcPr>
            <w:tcW w:w="1393" w:type="dxa"/>
            <w:vAlign w:val="center"/>
          </w:tcPr>
          <w:p>
            <w:pPr>
              <w:keepNext w:val="0"/>
              <w:keepLines w:val="0"/>
              <w:widowControl/>
              <w:suppressLineNumbers w:val="0"/>
              <w:ind w:firstLine="440" w:firstLineChars="200"/>
              <w:jc w:val="left"/>
              <w:textAlignment w:val="center"/>
              <w:rPr>
                <w:rFonts w:hint="default"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-4.95</w:t>
            </w:r>
          </w:p>
        </w:tc>
      </w:tr>
    </w:tbl>
    <w:p>
      <w:pPr>
        <w:numPr>
          <w:ilvl w:val="0"/>
          <w:numId w:val="1"/>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122.40</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116.34</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560" w:firstLineChars="200"/>
              <w:jc w:val="right"/>
              <w:textAlignment w:val="auto"/>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113.62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116.34</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560" w:firstLineChars="200"/>
              <w:jc w:val="right"/>
              <w:textAlignment w:val="auto"/>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8.78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 w:hAnsi="仿宋" w:eastAsia="仿宋" w:cs="仿宋"/>
                <w:color w:val="auto"/>
                <w:kern w:val="0"/>
                <w:sz w:val="28"/>
                <w:szCs w:val="28"/>
              </w:rPr>
            </w:pPr>
          </w:p>
        </w:tc>
        <w:tc>
          <w:tcPr>
            <w:tcW w:w="2071" w:type="dxa"/>
            <w:vAlign w:val="center"/>
          </w:tcPr>
          <w:p>
            <w:pPr>
              <w:widowControl/>
              <w:jc w:val="right"/>
              <w:rPr>
                <w:rFonts w:hint="eastAsia" w:ascii="仿宋" w:hAnsi="仿宋" w:eastAsia="仿宋" w:cs="仿宋"/>
                <w:color w:val="auto"/>
                <w:kern w:val="0"/>
                <w:sz w:val="28"/>
                <w:szCs w:val="28"/>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0" w:name="_Toc17728"/>
      <w:bookmarkStart w:id="21" w:name="_Toc841"/>
      <w:r>
        <w:rPr>
          <w:rFonts w:hint="eastAsia" w:ascii="仿宋" w:hAnsi="仿宋" w:eastAsia="仿宋" w:cs="仿宋"/>
          <w:b/>
          <w:bCs w:val="0"/>
          <w:color w:val="auto"/>
          <w:lang w:val="en-US" w:eastAsia="zh-CN"/>
        </w:rPr>
        <w:t>六、一般公共预算财政拨款基本支出决算情况说明</w:t>
      </w:r>
      <w:bookmarkEnd w:id="20"/>
      <w:bookmarkEnd w:id="21"/>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116.34</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116.34</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rPr>
        <w:t xml:space="preserve"> 基本工资</w:t>
      </w:r>
      <w:r>
        <w:rPr>
          <w:rFonts w:hint="eastAsia" w:ascii="仿宋_GB2312"/>
          <w:color w:val="auto"/>
          <w:szCs w:val="32"/>
          <w:lang w:val="en-US" w:eastAsia="zh-CN"/>
        </w:rPr>
        <w:t>52.27万元  津贴补贴7.35万元 绩效工资30.18万元；职工基本医疗保险缴费5.90万元；机关事业单位基本养老保险缴费13.65万元</w:t>
      </w:r>
      <w:r>
        <w:rPr>
          <w:rFonts w:ascii="仿宋_GB2312"/>
          <w:color w:val="auto"/>
          <w:szCs w:val="32"/>
        </w:rPr>
        <w:t>；</w:t>
      </w:r>
      <w:r>
        <w:rPr>
          <w:rFonts w:hint="eastAsia" w:ascii="仿宋_GB2312"/>
          <w:color w:val="auto"/>
          <w:szCs w:val="32"/>
        </w:rPr>
        <w:t xml:space="preserve">  其他社会保障缴费</w:t>
      </w:r>
      <w:r>
        <w:rPr>
          <w:rFonts w:hint="eastAsia" w:ascii="仿宋_GB2312"/>
          <w:color w:val="auto"/>
          <w:szCs w:val="32"/>
          <w:lang w:val="en-US" w:eastAsia="zh-CN"/>
        </w:rPr>
        <w:t>0.73万元；住房公积金6.26万元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2" w:name="_Toc26508"/>
      <w:bookmarkStart w:id="23" w:name="_Toc2304"/>
      <w:r>
        <w:rPr>
          <w:rFonts w:hint="eastAsia" w:ascii="仿宋" w:hAnsi="仿宋" w:eastAsia="仿宋" w:cs="仿宋"/>
          <w:b/>
          <w:bCs w:val="0"/>
          <w:color w:val="auto"/>
          <w:lang w:val="en-US" w:eastAsia="zh-CN"/>
        </w:rPr>
        <w:t>七、一般公共预算财政拨款“三公”经费支出决算情况说明</w:t>
      </w:r>
      <w:bookmarkEnd w:id="22"/>
      <w:bookmarkEnd w:id="23"/>
    </w:p>
    <w:p>
      <w:pPr>
        <w:spacing w:line="580" w:lineRule="exact"/>
        <w:ind w:firstLine="640"/>
        <w:rPr>
          <w:rFonts w:hint="eastAsia" w:eastAsia="仿宋_GB2312"/>
          <w:b/>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ascii="仿宋_GB2312"/>
          <w:color w:val="auto"/>
          <w:szCs w:val="32"/>
          <w:lang w:val="en-US" w:eastAsia="zh-CN"/>
        </w:rPr>
        <w:t>本单位</w:t>
      </w:r>
      <w:r>
        <w:rPr>
          <w:rFonts w:hint="eastAsia"/>
          <w:b/>
          <w:color w:val="auto"/>
          <w:szCs w:val="32"/>
        </w:rPr>
        <w:t>无三公经费的部门</w:t>
      </w:r>
      <w:r>
        <w:rPr>
          <w:rFonts w:hint="eastAsia"/>
          <w:b/>
          <w:color w:val="auto"/>
          <w:szCs w:val="32"/>
          <w:lang w:eastAsia="zh-CN"/>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color w:val="auto"/>
                <w:sz w:val="28"/>
                <w:szCs w:val="28"/>
              </w:rPr>
            </w:pP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color w:val="auto"/>
                <w:sz w:val="28"/>
                <w:szCs w:val="28"/>
              </w:rPr>
            </w:pP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4" w:name="_Toc1792"/>
      <w:bookmarkStart w:id="25" w:name="_Toc9078"/>
      <w:r>
        <w:rPr>
          <w:rFonts w:hint="eastAsia" w:ascii="仿宋" w:hAnsi="仿宋" w:eastAsia="仿宋" w:cs="仿宋"/>
          <w:b/>
          <w:bCs w:val="0"/>
          <w:color w:val="auto"/>
          <w:lang w:val="en-US" w:eastAsia="zh-CN"/>
        </w:rPr>
        <w:t>八、其他重要事项情况说明</w:t>
      </w:r>
      <w:bookmarkEnd w:id="24"/>
      <w:bookmarkEnd w:id="25"/>
    </w:p>
    <w:p>
      <w:pPr>
        <w:rPr>
          <w:rFonts w:hint="eastAsia"/>
          <w:b/>
          <w:bCs/>
          <w:color w:val="auto"/>
        </w:rPr>
      </w:pPr>
      <w:bookmarkStart w:id="26" w:name="_Toc23407"/>
      <w:r>
        <w:rPr>
          <w:rFonts w:hint="eastAsia"/>
          <w:b/>
          <w:bCs/>
          <w:color w:val="auto"/>
        </w:rPr>
        <w:t>（一）机关运行经费支出情况说明</w:t>
      </w:r>
      <w:bookmarkEnd w:id="26"/>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w:t>
      </w:r>
      <w:r>
        <w:rPr>
          <w:rFonts w:hint="eastAsia"/>
          <w:color w:val="auto"/>
          <w:lang w:val="en-US" w:eastAsia="zh-CN"/>
        </w:rPr>
        <w:t>本单位为事业单位，无机关运行经费支出。</w:t>
      </w:r>
    </w:p>
    <w:p>
      <w:pPr>
        <w:rPr>
          <w:rFonts w:hint="eastAsia"/>
          <w:b/>
          <w:bCs/>
          <w:color w:val="auto"/>
        </w:rPr>
      </w:pPr>
      <w:bookmarkStart w:id="27" w:name="_Toc16103"/>
      <w:r>
        <w:rPr>
          <w:rFonts w:hint="eastAsia"/>
          <w:b/>
          <w:bCs/>
          <w:color w:val="auto"/>
        </w:rPr>
        <w:t>（二）政府采购情况说明</w:t>
      </w:r>
      <w:bookmarkEnd w:id="27"/>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0</w:t>
      </w:r>
      <w:r>
        <w:rPr>
          <w:rFonts w:hint="eastAsia" w:ascii="仿宋_GB2312"/>
          <w:color w:val="auto"/>
          <w:szCs w:val="32"/>
        </w:rPr>
        <w:t>万元</w:t>
      </w:r>
      <w:r>
        <w:rPr>
          <w:rFonts w:hint="eastAsia" w:ascii="仿宋_GB2312"/>
          <w:color w:val="auto"/>
          <w:szCs w:val="32"/>
          <w:lang w:eastAsia="zh-CN"/>
        </w:rPr>
        <w:t>。</w:t>
      </w:r>
    </w:p>
    <w:p>
      <w:pPr>
        <w:rPr>
          <w:rFonts w:hint="eastAsia"/>
          <w:b/>
          <w:bCs/>
          <w:color w:val="auto"/>
        </w:rPr>
      </w:pPr>
      <w:bookmarkStart w:id="28" w:name="_Toc19975"/>
      <w:r>
        <w:rPr>
          <w:rFonts w:hint="eastAsia"/>
          <w:b/>
          <w:bCs/>
          <w:color w:val="auto"/>
        </w:rPr>
        <w:t>（三）国有资产占用情况说明</w:t>
      </w:r>
      <w:bookmarkEnd w:id="28"/>
    </w:p>
    <w:p>
      <w:pPr>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w:t>
      </w:r>
      <w:r>
        <w:rPr>
          <w:rFonts w:hint="eastAsia"/>
          <w:color w:val="auto"/>
          <w:lang w:val="en-US" w:eastAsia="zh-CN"/>
        </w:rPr>
        <w:t>本部门共有车辆2辆，全部封存待报废。</w:t>
      </w:r>
      <w:r>
        <w:rPr>
          <w:rFonts w:hint="eastAsia" w:ascii="仿宋_GB2312"/>
          <w:color w:val="auto"/>
          <w:szCs w:val="32"/>
          <w:lang w:val="en-US" w:eastAsia="zh-CN"/>
        </w:rPr>
        <w:t>无</w:t>
      </w:r>
      <w:r>
        <w:rPr>
          <w:rFonts w:hint="eastAsia" w:ascii="仿宋_GB2312"/>
          <w:color w:val="auto"/>
          <w:szCs w:val="32"/>
        </w:rPr>
        <w:t>单价50万元（含）以上的通用设备，</w:t>
      </w:r>
      <w:r>
        <w:rPr>
          <w:rFonts w:hint="eastAsia" w:ascii="仿宋_GB2312"/>
          <w:color w:val="auto"/>
          <w:szCs w:val="32"/>
          <w:lang w:val="en-US" w:eastAsia="zh-CN"/>
        </w:rPr>
        <w:t>无</w:t>
      </w:r>
      <w:r>
        <w:rPr>
          <w:rFonts w:hint="eastAsia" w:ascii="仿宋_GB2312"/>
          <w:color w:val="auto"/>
          <w:szCs w:val="32"/>
        </w:rPr>
        <w:t>单价100万元（含）以上专用设备。</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2021年本单位无重点项目绩效目标情况自评说明，涉及金额等。</w:t>
      </w:r>
    </w:p>
    <w:p>
      <w:pPr>
        <w:numPr>
          <w:ilvl w:val="0"/>
          <w:numId w:val="2"/>
        </w:numPr>
        <w:spacing w:line="580" w:lineRule="exact"/>
        <w:ind w:firstLine="643" w:firstLineChars="200"/>
        <w:outlineLvl w:val="0"/>
        <w:rPr>
          <w:rFonts w:hint="eastAsia" w:ascii="仿宋_GB2312" w:eastAsia="仿宋_GB2312"/>
          <w:b/>
          <w:color w:val="auto"/>
          <w:szCs w:val="32"/>
          <w:lang w:val="en-US" w:eastAsia="zh-CN"/>
        </w:rPr>
      </w:pPr>
      <w:bookmarkStart w:id="29" w:name="_Toc28108"/>
      <w:bookmarkStart w:id="30" w:name="_Toc8450"/>
      <w:r>
        <w:rPr>
          <w:rFonts w:hint="eastAsia" w:ascii="仿宋_GB2312"/>
          <w:b/>
          <w:color w:val="auto"/>
          <w:szCs w:val="32"/>
        </w:rPr>
        <w:t>其他需要说明的事项</w:t>
      </w:r>
      <w:bookmarkEnd w:id="29"/>
      <w:bookmarkEnd w:id="30"/>
      <w:r>
        <w:rPr>
          <w:rFonts w:hint="eastAsia" w:ascii="仿宋_GB2312"/>
          <w:b/>
          <w:color w:val="auto"/>
          <w:szCs w:val="32"/>
          <w:lang w:eastAsia="zh-CN"/>
        </w:rPr>
        <w:t>：</w:t>
      </w:r>
      <w:r>
        <w:rPr>
          <w:rFonts w:hint="eastAsia" w:ascii="仿宋_GB2312"/>
          <w:b w:val="0"/>
          <w:bCs/>
          <w:color w:val="auto"/>
          <w:szCs w:val="32"/>
          <w:lang w:val="en-US" w:eastAsia="zh-CN"/>
        </w:rPr>
        <w:t>无</w:t>
      </w:r>
    </w:p>
    <w:p>
      <w:pPr>
        <w:pStyle w:val="2"/>
        <w:ind w:left="0" w:leftChars="0" w:firstLine="0" w:firstLineChars="0"/>
        <w:jc w:val="center"/>
        <w:rPr>
          <w:rFonts w:hint="eastAsia"/>
          <w:b/>
          <w:color w:val="auto"/>
          <w:sz w:val="36"/>
          <w:szCs w:val="36"/>
          <w:lang w:val="en-US" w:eastAsia="zh-CN"/>
        </w:rPr>
      </w:pPr>
      <w:bookmarkStart w:id="31" w:name="_Toc8545"/>
      <w:r>
        <w:rPr>
          <w:rFonts w:hint="eastAsia"/>
          <w:b/>
          <w:color w:val="auto"/>
          <w:sz w:val="36"/>
          <w:szCs w:val="36"/>
          <w:lang w:val="en-US" w:eastAsia="zh-CN"/>
        </w:rPr>
        <w:t>第四部分  名词解释</w:t>
      </w:r>
      <w:bookmarkEnd w:id="31"/>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lang w:val="en-US" w:eastAsia="zh-CN"/>
        </w:rPr>
        <w:t xml:space="preserve">                单位名称：静乐县交通执法监督所</w:t>
      </w:r>
    </w:p>
    <w:p>
      <w:pPr>
        <w:ind w:firstLine="4160" w:firstLineChars="1300"/>
        <w:rPr>
          <w:rFonts w:hint="eastAsia" w:eastAsia="仿宋_GB2312"/>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1CC206C"/>
    <w:rsid w:val="03696819"/>
    <w:rsid w:val="09D907FD"/>
    <w:rsid w:val="0E6679FA"/>
    <w:rsid w:val="16654CDD"/>
    <w:rsid w:val="1A4A5C33"/>
    <w:rsid w:val="1E634758"/>
    <w:rsid w:val="1ED254D7"/>
    <w:rsid w:val="2701594C"/>
    <w:rsid w:val="27426717"/>
    <w:rsid w:val="29EF12D6"/>
    <w:rsid w:val="2F7936DB"/>
    <w:rsid w:val="37943B50"/>
    <w:rsid w:val="3821117E"/>
    <w:rsid w:val="3D550340"/>
    <w:rsid w:val="42C12CEC"/>
    <w:rsid w:val="44401A62"/>
    <w:rsid w:val="48D9795D"/>
    <w:rsid w:val="493C0F64"/>
    <w:rsid w:val="495520D0"/>
    <w:rsid w:val="4A012068"/>
    <w:rsid w:val="4A7C4A0A"/>
    <w:rsid w:val="4AD71F67"/>
    <w:rsid w:val="4E396009"/>
    <w:rsid w:val="50B55A69"/>
    <w:rsid w:val="526B56C0"/>
    <w:rsid w:val="53A30631"/>
    <w:rsid w:val="590D40F5"/>
    <w:rsid w:val="5BAE5D4E"/>
    <w:rsid w:val="5D276FCA"/>
    <w:rsid w:val="5EC01F6A"/>
    <w:rsid w:val="5F06020C"/>
    <w:rsid w:val="611D45D2"/>
    <w:rsid w:val="63AB51DF"/>
    <w:rsid w:val="649C6DC9"/>
    <w:rsid w:val="67085E89"/>
    <w:rsid w:val="715A78E4"/>
    <w:rsid w:val="73CD3404"/>
    <w:rsid w:val="7761744D"/>
    <w:rsid w:val="785B54BD"/>
    <w:rsid w:val="78905337"/>
    <w:rsid w:val="78E51F3C"/>
    <w:rsid w:val="7D993F78"/>
    <w:rsid w:val="7E8020F0"/>
    <w:rsid w:val="7FCA7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2265</Words>
  <Characters>2601</Characters>
  <Lines>0</Lines>
  <Paragraphs>0</Paragraphs>
  <TotalTime>16</TotalTime>
  <ScaleCrop>false</ScaleCrop>
  <LinksUpToDate>false</LinksUpToDate>
  <CharactersWithSpaces>2670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2022-08-03T03:13:49Z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72121C7C4CDE4BA485AF57D0E9739F62</vt:lpwstr>
  </property>
</Properties>
</file>