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政法委2021年雪亮工程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中共静乐县委政法委员会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中共静乐县委政法委员会-027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根据《关于申报全国“雪亮工程”重点支持城市建设项目的请示》文件精神，开展雪亮工程项目建设。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 雪亮通【2020】1号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维护社会治安稳定，努力创建平安静乐。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严格按照规定，做到专款专用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根据文件精神，逐步推进。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bookmarkStart w:id="17" w:name="_GoBack"/>
            <w:r>
              <w:rPr>
                <w:rFonts w:hint="eastAsia"/>
                <w:sz w:val="21"/>
              </w:rPr>
              <w:t>100</w:t>
            </w:r>
            <w:bookmarkEnd w:id="17"/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完成县综治中心“雪亮工程”系统工程建设。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通过雪亮工程实施，提高人民安全感，保障社会和谐安定。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政法委2021年雪亮工程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68.5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工程按期完成率（%）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公共服务质量要求、保障范围达标率（%）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空气质量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按照雪亮工程合同规定，拨付款额。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开展技术监控，提高社会治理能力。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为全县社会治理提供技术支持。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群众满意度提高。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按照工程合同稳步推进。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暂无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暂无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工程按期完成率（%）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公共服务质量要求、保障范围达标率（%）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104.17%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由于疫情影响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空气质量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lMjc5MjNkZGU3M2ZhNDNmYWZhYjdiNDRlNjJiZDg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0469002A"/>
    <w:rsid w:val="17D646C5"/>
    <w:rsid w:val="42B664ED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1338</Words>
  <Characters>1592</Characters>
  <Lines>21</Lines>
  <Paragraphs>5</Paragraphs>
  <TotalTime>2898</TotalTime>
  <ScaleCrop>false</ScaleCrop>
  <LinksUpToDate>false</LinksUpToDate>
  <CharactersWithSpaces>1618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09</cp:lastModifiedBy>
  <dcterms:modified xsi:type="dcterms:W3CDTF">2022-07-15T08:07:18Z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7B7A536EEB50429A8F748526D5E81771</vt:lpwstr>
  </property>
</Properties>
</file>