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lang w:val="en-US" w:eastAsia="zh-CN"/>
        </w:rPr>
      </w:pPr>
      <w:bookmarkStart w:id="0" w:name="_Toc31071"/>
      <w:bookmarkStart w:id="1" w:name="_Toc21118"/>
      <w:bookmarkStart w:id="2" w:name="_Toc32048"/>
      <w:r>
        <w:rPr>
          <w:rFonts w:hint="eastAsia" w:ascii="华文中宋" w:hAnsi="华文中宋" w:eastAsia="华文中宋"/>
          <w:color w:val="auto"/>
          <w:sz w:val="44"/>
          <w:szCs w:val="44"/>
          <w:lang w:val="en-US" w:eastAsia="zh-CN"/>
        </w:rPr>
        <w:t>静乐县收费事务中心</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numPr>
          <w:ilvl w:val="0"/>
          <w:numId w:val="1"/>
        </w:numPr>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本部门职责</w:t>
      </w:r>
      <w:bookmarkEnd w:id="5"/>
      <w:bookmarkEnd w:id="6"/>
    </w:p>
    <w:p>
      <w:pPr>
        <w:pStyle w:val="8"/>
        <w:spacing w:before="0" w:beforeAutospacing="0" w:after="0" w:afterAutospacing="0"/>
        <w:ind w:firstLine="640" w:firstLineChars="200"/>
        <w:rPr>
          <w:rFonts w:hint="eastAsia"/>
          <w:color w:val="auto"/>
        </w:rPr>
      </w:pPr>
      <w:r>
        <w:rPr>
          <w:rFonts w:ascii="仿宋_GB2312" w:hAnsi="仿宋_GB2312" w:eastAsia="仿宋_GB2312"/>
          <w:color w:val="auto"/>
          <w:sz w:val="32"/>
          <w:szCs w:val="32"/>
        </w:rPr>
        <w:t>负责全县行政事业性收费、基金和附加收入的征收和管理。</w:t>
      </w:r>
    </w:p>
    <w:p>
      <w:pPr>
        <w:pStyle w:val="3"/>
        <w:keepNext/>
        <w:keepLines/>
        <w:pageBreakBefore w:val="0"/>
        <w:widowControl w:val="0"/>
        <w:numPr>
          <w:ilvl w:val="0"/>
          <w:numId w:val="1"/>
        </w:numPr>
        <w:kinsoku/>
        <w:wordWrap/>
        <w:overflowPunct/>
        <w:topLinePunct w:val="0"/>
        <w:autoSpaceDE/>
        <w:autoSpaceDN/>
        <w:bidi w:val="0"/>
        <w:adjustRightInd/>
        <w:snapToGrid/>
        <w:spacing w:before="20" w:beforeLines="0" w:after="2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pPr>
        <w:numPr>
          <w:ilvl w:val="0"/>
          <w:numId w:val="0"/>
        </w:numPr>
        <w:ind w:firstLine="640" w:firstLineChars="200"/>
        <w:rPr>
          <w:rFonts w:hint="eastAsia"/>
          <w:color w:val="auto"/>
        </w:rPr>
      </w:pPr>
      <w:r>
        <w:rPr>
          <w:rFonts w:hint="eastAsia" w:ascii="仿宋_GB2312" w:eastAsia="仿宋_GB2312"/>
          <w:color w:val="auto"/>
          <w:sz w:val="32"/>
          <w:szCs w:val="32"/>
          <w:lang w:eastAsia="zh-CN"/>
        </w:rPr>
        <w:t>静</w:t>
      </w:r>
      <w:r>
        <w:rPr>
          <w:rFonts w:ascii="仿宋_GB2312" w:hAnsi="仿宋_GB2312" w:eastAsia="仿宋_GB2312"/>
          <w:color w:val="auto"/>
          <w:sz w:val="32"/>
          <w:szCs w:val="32"/>
        </w:rPr>
        <w:t>乐县收费管理局内设办公室、征管股、票证股、稽查股、收费大厅；人员编制20人，实有人数</w:t>
      </w:r>
      <w:r>
        <w:rPr>
          <w:rFonts w:hint="eastAsia" w:ascii="仿宋_GB2312" w:hAnsi="仿宋_GB2312" w:eastAsia="仿宋_GB2312"/>
          <w:color w:val="auto"/>
          <w:sz w:val="32"/>
          <w:szCs w:val="32"/>
          <w:lang w:val="en-US" w:eastAsia="zh-CN"/>
        </w:rPr>
        <w:t>19</w:t>
      </w:r>
      <w:r>
        <w:rPr>
          <w:rFonts w:ascii="仿宋_GB2312" w:hAnsi="仿宋_GB2312" w:eastAsia="仿宋_GB2312"/>
          <w:color w:val="auto"/>
          <w:sz w:val="32"/>
          <w:szCs w:val="32"/>
        </w:rPr>
        <w:t>人。</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187.19</w:t>
      </w:r>
      <w:r>
        <w:rPr>
          <w:rFonts w:hint="eastAsia" w:ascii="仿宋_GB2312"/>
          <w:color w:val="auto"/>
          <w:szCs w:val="32"/>
        </w:rPr>
        <w:t>万元、支出总计</w:t>
      </w:r>
      <w:r>
        <w:rPr>
          <w:rFonts w:hint="eastAsia" w:ascii="仿宋_GB2312"/>
          <w:color w:val="auto"/>
          <w:szCs w:val="32"/>
          <w:lang w:val="en-US" w:eastAsia="zh-CN"/>
        </w:rPr>
        <w:t>187.19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增长11.65</w:t>
      </w:r>
      <w:r>
        <w:rPr>
          <w:rFonts w:hint="eastAsia" w:ascii="仿宋_GB2312"/>
          <w:color w:val="auto"/>
          <w:szCs w:val="32"/>
        </w:rPr>
        <w:t>万元，</w:t>
      </w:r>
      <w:r>
        <w:rPr>
          <w:rFonts w:hint="eastAsia" w:ascii="仿宋_GB2312"/>
          <w:color w:val="auto"/>
          <w:szCs w:val="32"/>
          <w:lang w:val="en-US" w:eastAsia="zh-CN"/>
        </w:rPr>
        <w:t>增长6.63</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增长11.65</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增长6.63</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本年增加人员支出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187.19</w:t>
      </w:r>
      <w:r>
        <w:rPr>
          <w:rFonts w:hint="eastAsia" w:ascii="仿宋_GB2312"/>
          <w:color w:val="auto"/>
          <w:szCs w:val="32"/>
        </w:rPr>
        <w:t>万元，其中：财政拨款收入</w:t>
      </w:r>
      <w:r>
        <w:rPr>
          <w:rFonts w:hint="eastAsia" w:ascii="仿宋_GB2312"/>
          <w:color w:val="auto"/>
          <w:szCs w:val="32"/>
          <w:lang w:val="en-US" w:eastAsia="zh-CN"/>
        </w:rPr>
        <w:t>187.19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187.19</w:t>
      </w:r>
      <w:r>
        <w:rPr>
          <w:rFonts w:hint="eastAsia" w:ascii="仿宋_GB2312"/>
          <w:color w:val="auto"/>
          <w:szCs w:val="32"/>
        </w:rPr>
        <w:t>万元，其中：基本支出</w:t>
      </w:r>
      <w:r>
        <w:rPr>
          <w:rFonts w:hint="eastAsia" w:ascii="仿宋_GB2312"/>
          <w:color w:val="auto"/>
          <w:szCs w:val="32"/>
          <w:lang w:val="en-US" w:eastAsia="zh-CN"/>
        </w:rPr>
        <w:t>179.07</w:t>
      </w:r>
      <w:r>
        <w:rPr>
          <w:rFonts w:hint="eastAsia" w:ascii="仿宋_GB2312"/>
          <w:color w:val="auto"/>
          <w:szCs w:val="32"/>
        </w:rPr>
        <w:t>万元，占比</w:t>
      </w:r>
      <w:r>
        <w:rPr>
          <w:rFonts w:hint="eastAsia" w:ascii="仿宋_GB2312"/>
          <w:color w:val="auto"/>
          <w:szCs w:val="32"/>
          <w:lang w:val="en-US" w:eastAsia="zh-CN"/>
        </w:rPr>
        <w:t>95.66</w:t>
      </w:r>
      <w:r>
        <w:rPr>
          <w:rFonts w:hint="eastAsia" w:ascii="仿宋_GB2312"/>
          <w:color w:val="auto"/>
          <w:szCs w:val="32"/>
        </w:rPr>
        <w:t>%；项目支出</w:t>
      </w:r>
      <w:r>
        <w:rPr>
          <w:rFonts w:hint="eastAsia" w:ascii="仿宋_GB2312"/>
          <w:color w:val="auto"/>
          <w:szCs w:val="32"/>
          <w:lang w:val="en-US" w:eastAsia="zh-CN"/>
        </w:rPr>
        <w:t>8.11</w:t>
      </w:r>
      <w:r>
        <w:rPr>
          <w:rFonts w:hint="eastAsia" w:ascii="仿宋_GB2312"/>
          <w:color w:val="auto"/>
          <w:szCs w:val="32"/>
        </w:rPr>
        <w:t>万元，占比</w:t>
      </w:r>
      <w:r>
        <w:rPr>
          <w:rFonts w:hint="eastAsia" w:ascii="仿宋_GB2312"/>
          <w:color w:val="auto"/>
          <w:szCs w:val="32"/>
          <w:lang w:val="en-US" w:eastAsia="zh-CN"/>
        </w:rPr>
        <w:t>4.3</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187.19</w:t>
      </w:r>
      <w:r>
        <w:rPr>
          <w:rFonts w:hint="eastAsia" w:ascii="仿宋_GB2312"/>
          <w:color w:val="auto"/>
          <w:szCs w:val="32"/>
        </w:rPr>
        <w:t>万元、支出总计</w:t>
      </w:r>
      <w:r>
        <w:rPr>
          <w:rFonts w:hint="eastAsia" w:ascii="仿宋_GB2312"/>
          <w:color w:val="auto"/>
          <w:szCs w:val="32"/>
          <w:lang w:val="en-US" w:eastAsia="zh-CN"/>
        </w:rPr>
        <w:t>187.19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增长11.65</w:t>
      </w:r>
      <w:r>
        <w:rPr>
          <w:rFonts w:hint="eastAsia" w:ascii="仿宋_GB2312"/>
          <w:color w:val="auto"/>
          <w:szCs w:val="32"/>
        </w:rPr>
        <w:t>万元，</w:t>
      </w:r>
      <w:r>
        <w:rPr>
          <w:rFonts w:hint="eastAsia" w:ascii="仿宋_GB2312"/>
          <w:color w:val="auto"/>
          <w:szCs w:val="32"/>
          <w:lang w:val="en-US" w:eastAsia="zh-CN"/>
        </w:rPr>
        <w:t>增长6.63</w:t>
      </w:r>
      <w:r>
        <w:rPr>
          <w:rFonts w:hint="eastAsia" w:ascii="仿宋_GB2312"/>
          <w:color w:val="auto"/>
          <w:szCs w:val="32"/>
        </w:rPr>
        <w:t>%，财政拨款支出总计</w:t>
      </w:r>
      <w:r>
        <w:rPr>
          <w:rFonts w:hint="eastAsia" w:ascii="仿宋_GB2312"/>
          <w:color w:val="auto"/>
          <w:szCs w:val="32"/>
          <w:lang w:val="en-US" w:eastAsia="zh-CN"/>
        </w:rPr>
        <w:t>增长11.65</w:t>
      </w:r>
      <w:r>
        <w:rPr>
          <w:rFonts w:hint="eastAsia" w:ascii="仿宋_GB2312"/>
          <w:color w:val="auto"/>
          <w:szCs w:val="32"/>
        </w:rPr>
        <w:t>万元，</w:t>
      </w:r>
      <w:r>
        <w:rPr>
          <w:rFonts w:hint="eastAsia" w:ascii="仿宋_GB2312"/>
          <w:color w:val="auto"/>
          <w:szCs w:val="32"/>
          <w:lang w:val="en-US" w:eastAsia="zh-CN"/>
        </w:rPr>
        <w:t>增长6.63</w:t>
      </w:r>
      <w:r>
        <w:rPr>
          <w:rFonts w:hint="eastAsia" w:ascii="仿宋_GB2312"/>
          <w:color w:val="auto"/>
          <w:szCs w:val="32"/>
        </w:rPr>
        <w:t>%。主要原因是</w:t>
      </w:r>
      <w:r>
        <w:rPr>
          <w:rFonts w:hint="eastAsia" w:ascii="仿宋_GB2312"/>
          <w:color w:val="auto"/>
          <w:szCs w:val="32"/>
          <w:lang w:val="en-US" w:eastAsia="zh-CN"/>
        </w:rPr>
        <w:t>本年增加人员支出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187.19</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增加11.65</w:t>
      </w:r>
      <w:r>
        <w:rPr>
          <w:rFonts w:hint="eastAsia" w:ascii="仿宋_GB2312"/>
          <w:color w:val="auto"/>
          <w:szCs w:val="32"/>
        </w:rPr>
        <w:t>万元，</w:t>
      </w:r>
      <w:r>
        <w:rPr>
          <w:rFonts w:hint="eastAsia" w:ascii="仿宋_GB2312"/>
          <w:color w:val="auto"/>
          <w:szCs w:val="32"/>
          <w:lang w:val="en-US" w:eastAsia="zh-CN"/>
        </w:rPr>
        <w:t>增长6.63</w:t>
      </w:r>
      <w:r>
        <w:rPr>
          <w:rFonts w:hint="eastAsia" w:ascii="仿宋_GB2312"/>
          <w:color w:val="auto"/>
          <w:szCs w:val="32"/>
        </w:rPr>
        <w:t>%。主要原因是</w:t>
      </w:r>
      <w:r>
        <w:rPr>
          <w:rFonts w:hint="eastAsia" w:ascii="仿宋_GB2312"/>
          <w:color w:val="auto"/>
          <w:szCs w:val="32"/>
          <w:lang w:val="en-US" w:eastAsia="zh-CN"/>
        </w:rPr>
        <w:t>人员支出增加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187.19</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一般公共服务（类）支出</w:t>
      </w:r>
      <w:r>
        <w:rPr>
          <w:rFonts w:hint="eastAsia" w:ascii="仿宋_GB2312"/>
          <w:color w:val="auto"/>
          <w:szCs w:val="32"/>
          <w:lang w:val="en-US" w:eastAsia="zh-CN"/>
        </w:rPr>
        <w:t>187.19</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bookmarkStart w:id="33" w:name="_GoBack"/>
      <w:bookmarkEnd w:id="33"/>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_GB2312"/>
          <w:color w:val="auto"/>
          <w:szCs w:val="32"/>
          <w:lang w:eastAsia="zh-CN"/>
        </w:rPr>
      </w:pPr>
      <w:r>
        <w:rPr>
          <w:rFonts w:hint="eastAsia" w:ascii="仿宋_GB2312"/>
          <w:color w:val="auto"/>
          <w:szCs w:val="32"/>
        </w:rPr>
        <w:t>202</w:t>
      </w:r>
      <w:r>
        <w:rPr>
          <w:rFonts w:hint="eastAsia" w:ascii="仿宋_GB2312"/>
          <w:color w:val="auto"/>
          <w:szCs w:val="32"/>
          <w:lang w:val="en-US" w:eastAsia="zh-CN"/>
        </w:rPr>
        <w:t>1</w:t>
      </w:r>
      <w:r>
        <w:rPr>
          <w:rFonts w:hint="eastAsia" w:ascii="仿宋_GB2312"/>
          <w:color w:val="auto"/>
          <w:szCs w:val="32"/>
        </w:rPr>
        <w:t>年度财政拨款支出年初预算</w:t>
      </w:r>
      <w:r>
        <w:rPr>
          <w:rFonts w:hint="eastAsia" w:ascii="仿宋_GB2312"/>
          <w:color w:val="auto"/>
          <w:szCs w:val="32"/>
          <w:lang w:val="en-US" w:eastAsia="zh-CN"/>
        </w:rPr>
        <w:t>187.97</w:t>
      </w:r>
      <w:r>
        <w:rPr>
          <w:rFonts w:hint="eastAsia" w:ascii="仿宋_GB2312"/>
          <w:color w:val="auto"/>
          <w:szCs w:val="32"/>
        </w:rPr>
        <w:t>万元，支出决算</w:t>
      </w:r>
      <w:r>
        <w:rPr>
          <w:rFonts w:hint="eastAsia" w:ascii="仿宋_GB2312"/>
          <w:color w:val="auto"/>
          <w:szCs w:val="32"/>
          <w:lang w:val="en-US" w:eastAsia="zh-CN"/>
        </w:rPr>
        <w:t>187.19</w:t>
      </w:r>
      <w:r>
        <w:rPr>
          <w:rFonts w:hint="eastAsia" w:ascii="仿宋_GB2312"/>
          <w:color w:val="auto"/>
          <w:szCs w:val="32"/>
        </w:rPr>
        <w:t>万元，完成年初预算的</w:t>
      </w:r>
      <w:r>
        <w:rPr>
          <w:rFonts w:hint="eastAsia" w:ascii="仿宋_GB2312"/>
          <w:color w:val="auto"/>
          <w:szCs w:val="32"/>
          <w:lang w:val="en-US" w:eastAsia="zh-CN"/>
        </w:rPr>
        <w:t>99.59</w:t>
      </w:r>
      <w:r>
        <w:rPr>
          <w:rFonts w:hint="eastAsia" w:ascii="仿宋_GB2312"/>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201</w:t>
            </w:r>
          </w:p>
        </w:tc>
        <w:tc>
          <w:tcPr>
            <w:tcW w:w="2479"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一般公共服务支出</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175.54</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187.19</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20106</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财政事务</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175.54</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187.19</w:t>
            </w:r>
          </w:p>
        </w:tc>
        <w:tc>
          <w:tcPr>
            <w:tcW w:w="1393"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2010650</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事业运行</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175.54</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187.19</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6.63%</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175.54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187.19</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154.88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166.1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19.82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19.24</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0.51</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0.48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1.37</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179.08</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166.59</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工资福利支出和对个人和家庭的补助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12.49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8.11</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万元，本</w:t>
      </w:r>
      <w:r>
        <w:rPr>
          <w:rFonts w:hint="eastAsia" w:ascii="仿宋_GB2312"/>
          <w:color w:val="auto"/>
          <w:szCs w:val="32"/>
          <w:lang w:val="en-US" w:eastAsia="zh-CN"/>
        </w:rPr>
        <w:t>单位</w:t>
      </w:r>
      <w:r>
        <w:rPr>
          <w:rFonts w:hint="eastAsia" w:ascii="仿宋_GB2312"/>
          <w:color w:val="auto"/>
          <w:szCs w:val="32"/>
        </w:rPr>
        <w:t>无</w:t>
      </w:r>
      <w:r>
        <w:rPr>
          <w:rFonts w:hint="eastAsia" w:ascii="仿宋_GB2312"/>
          <w:color w:val="auto"/>
          <w:szCs w:val="32"/>
          <w:lang w:eastAsia="zh-CN"/>
        </w:rPr>
        <w:t>“</w:t>
      </w:r>
      <w:r>
        <w:rPr>
          <w:rFonts w:hint="eastAsia" w:ascii="仿宋_GB2312"/>
          <w:color w:val="auto"/>
          <w:szCs w:val="32"/>
        </w:rPr>
        <w:t>三公</w:t>
      </w:r>
      <w:r>
        <w:rPr>
          <w:rFonts w:hint="eastAsia" w:ascii="仿宋_GB2312"/>
          <w:color w:val="auto"/>
          <w:szCs w:val="32"/>
          <w:lang w:eastAsia="zh-CN"/>
        </w:rPr>
        <w:t>”</w:t>
      </w:r>
      <w:r>
        <w:rPr>
          <w:rFonts w:hint="eastAsia" w:ascii="仿宋_GB2312"/>
          <w:color w:val="auto"/>
          <w:szCs w:val="32"/>
        </w:rPr>
        <w:t>经费</w:t>
      </w:r>
      <w:r>
        <w:rPr>
          <w:rFonts w:hint="eastAsia" w:ascii="仿宋_GB2312"/>
          <w:color w:val="auto"/>
          <w:szCs w:val="32"/>
          <w:lang w:val="en-US" w:eastAsia="zh-CN"/>
        </w:rPr>
        <w:t>收入支出预算</w:t>
      </w:r>
      <w:r>
        <w:rPr>
          <w:rFonts w:hint="eastAsia" w:ascii="仿宋_GB2312"/>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bookmarkStart w:id="28" w:name="_Toc16103"/>
      <w:r>
        <w:rPr>
          <w:rFonts w:hint="eastAsia" w:ascii="仿宋_GB2312" w:hAnsi="宋体"/>
          <w:color w:val="auto"/>
          <w:szCs w:val="32"/>
        </w:rPr>
        <w:t>20</w:t>
      </w:r>
      <w:r>
        <w:rPr>
          <w:rFonts w:hint="eastAsia" w:ascii="仿宋_GB2312" w:hAnsi="宋体"/>
          <w:color w:val="auto"/>
          <w:szCs w:val="32"/>
          <w:lang w:val="en-US" w:eastAsia="zh-CN"/>
        </w:rPr>
        <w:t>20</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w:t>
      </w:r>
      <w:r>
        <w:rPr>
          <w:rFonts w:hint="eastAsia" w:ascii="仿宋_GB2312" w:hAnsi="宋体"/>
          <w:color w:val="auto"/>
          <w:szCs w:val="32"/>
          <w:lang w:val="en-US" w:eastAsia="zh-CN"/>
        </w:rPr>
        <w:t>本单位为全额才政拨款事业单位，不存在机关运行经费</w:t>
      </w:r>
      <w:r>
        <w:rPr>
          <w:rFonts w:hint="eastAsia" w:ascii="仿宋_GB2312" w:hAnsi="宋体"/>
          <w:color w:val="auto"/>
          <w:szCs w:val="32"/>
          <w:lang w:eastAsia="zh-CN"/>
        </w:rPr>
        <w:t>。</w:t>
      </w:r>
    </w:p>
    <w:p>
      <w:pPr>
        <w:rPr>
          <w:rFonts w:hint="eastAsia"/>
          <w:b/>
          <w:bCs/>
          <w:color w:val="auto"/>
        </w:rPr>
      </w:pPr>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1.49</w:t>
      </w:r>
      <w:r>
        <w:rPr>
          <w:rFonts w:hint="eastAsia" w:ascii="仿宋_GB2312"/>
          <w:color w:val="auto"/>
          <w:szCs w:val="32"/>
        </w:rPr>
        <w:t>万元，其中：政府采购货物支出</w:t>
      </w:r>
      <w:r>
        <w:rPr>
          <w:rFonts w:hint="eastAsia" w:ascii="仿宋_GB2312"/>
          <w:color w:val="auto"/>
          <w:szCs w:val="32"/>
          <w:lang w:val="en-US" w:eastAsia="zh-CN"/>
        </w:rPr>
        <w:t>0.24</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1.25</w:t>
      </w:r>
      <w:r>
        <w:rPr>
          <w:rFonts w:hint="eastAsia" w:ascii="仿宋_GB2312"/>
          <w:color w:val="auto"/>
          <w:szCs w:val="32"/>
        </w:rPr>
        <w:t>万元。政府采购授予中小企业合同金额</w:t>
      </w:r>
      <w:r>
        <w:rPr>
          <w:rFonts w:hint="eastAsia" w:ascii="仿宋_GB2312"/>
          <w:color w:val="auto"/>
          <w:szCs w:val="32"/>
          <w:lang w:val="en-US" w:eastAsia="zh-CN"/>
        </w:rPr>
        <w:t>1.49</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1.49</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r>
        <w:rPr>
          <w:rFonts w:hint="eastAsia" w:ascii="仿宋_GB2312"/>
          <w:color w:val="auto"/>
          <w:szCs w:val="32"/>
          <w:lang w:val="en-US" w:eastAsia="zh-CN"/>
        </w:rPr>
        <w:t>本单位办公用房权属应急局。</w:t>
      </w:r>
    </w:p>
    <w:p>
      <w:pPr>
        <w:rPr>
          <w:rFonts w:hint="eastAsia" w:ascii="仿宋" w:hAnsi="仿宋" w:eastAsia="仿宋" w:cs="仿宋"/>
          <w:b/>
          <w:bCs/>
          <w:color w:val="auto"/>
          <w:sz w:val="32"/>
          <w:szCs w:val="32"/>
          <w:lang w:val="en-US" w:eastAsia="zh-CN"/>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p>
    <w:p>
      <w:pPr>
        <w:numPr>
          <w:ilvl w:val="0"/>
          <w:numId w:val="0"/>
        </w:numPr>
        <w:ind w:firstLine="640" w:firstLineChars="200"/>
        <w:rPr>
          <w:rFonts w:hint="eastAsia" w:ascii="仿宋_GB2312" w:hAnsi="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w:t>
      </w:r>
      <w:r>
        <w:rPr>
          <w:rFonts w:hint="eastAsia" w:ascii="仿宋_GB2312" w:hAnsi="仿宋_GB2312" w:eastAsia="仿宋_GB2312" w:cs="仿宋_GB2312"/>
          <w:color w:val="auto"/>
          <w:sz w:val="32"/>
          <w:szCs w:val="32"/>
          <w:highlight w:val="none"/>
          <w:lang w:val="en-US" w:eastAsia="zh-CN"/>
        </w:rPr>
        <w:t>我</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对本单位1个经费补助类项目在一体化系统中进行自评。</w:t>
      </w:r>
      <w:r>
        <w:rPr>
          <w:rFonts w:hint="eastAsia" w:ascii="仿宋_GB2312" w:hAnsi="仿宋_GB2312" w:eastAsia="仿宋_GB2312" w:cs="仿宋_GB2312"/>
          <w:color w:val="auto"/>
          <w:sz w:val="32"/>
          <w:szCs w:val="32"/>
          <w:lang w:val="en-US" w:eastAsia="zh-CN"/>
        </w:rPr>
        <w:t>我部门202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w:t>
      </w:r>
      <w:r>
        <w:rPr>
          <w:rFonts w:hint="eastAsia" w:ascii="仿宋_GB2312" w:hAnsi="仿宋_GB2312" w:cs="仿宋_GB2312"/>
          <w:color w:val="auto"/>
          <w:sz w:val="32"/>
          <w:szCs w:val="32"/>
          <w:lang w:val="en-US" w:eastAsia="zh-CN"/>
        </w:rPr>
        <w:t>重点</w:t>
      </w:r>
      <w:r>
        <w:rPr>
          <w:rFonts w:hint="eastAsia" w:ascii="仿宋_GB2312" w:hAnsi="仿宋_GB2312" w:eastAsia="仿宋_GB2312" w:cs="仿宋_GB2312"/>
          <w:color w:val="auto"/>
          <w:sz w:val="32"/>
          <w:szCs w:val="32"/>
          <w:lang w:val="en-US" w:eastAsia="zh-CN"/>
        </w:rPr>
        <w:t>项目</w:t>
      </w:r>
      <w:r>
        <w:rPr>
          <w:rFonts w:hint="eastAsia" w:ascii="仿宋_GB2312" w:hAnsi="仿宋_GB2312" w:cs="仿宋_GB2312"/>
          <w:color w:val="auto"/>
          <w:sz w:val="32"/>
          <w:szCs w:val="32"/>
          <w:lang w:val="en-US" w:eastAsia="zh-CN"/>
        </w:rPr>
        <w:t>。</w:t>
      </w:r>
    </w:p>
    <w:p>
      <w:pPr>
        <w:numPr>
          <w:ilvl w:val="0"/>
          <w:numId w:val="3"/>
        </w:numPr>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部门决算中项目绩效自评结果。</w:t>
      </w:r>
    </w:p>
    <w:p>
      <w:pPr>
        <w:numPr>
          <w:ilvl w:val="0"/>
          <w:numId w:val="0"/>
        </w:numPr>
        <w:ind w:firstLine="1280" w:firstLineChars="4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r>
        <w:rPr>
          <w:rFonts w:hint="eastAsia" w:ascii="仿宋_GB2312" w:hAnsi="仿宋_GB2312" w:cs="仿宋_GB2312"/>
          <w:color w:val="auto"/>
          <w:sz w:val="32"/>
          <w:szCs w:val="32"/>
          <w:lang w:val="en-US" w:eastAsia="zh-CN"/>
        </w:rPr>
        <w:t>。</w:t>
      </w:r>
    </w:p>
    <w:p>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p>
    <w:p>
      <w:pPr>
        <w:numPr>
          <w:ilvl w:val="0"/>
          <w:numId w:val="0"/>
        </w:numPr>
        <w:rPr>
          <w:rFonts w:hint="eastAsia"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lang w:val="en-US" w:eastAsia="zh-CN"/>
        </w:rPr>
        <w:t xml:space="preserve">      </w:t>
      </w:r>
      <w:r>
        <w:rPr>
          <w:rFonts w:hint="eastAsia" w:ascii="仿宋_GB2312" w:hAnsi="仿宋_GB2312" w:cs="仿宋_GB2312"/>
          <w:b w:val="0"/>
          <w:bCs w:val="0"/>
          <w:color w:val="auto"/>
          <w:sz w:val="32"/>
          <w:szCs w:val="32"/>
          <w:lang w:val="en-US" w:eastAsia="zh-CN"/>
        </w:rPr>
        <w:t xml:space="preserve"> 本单位无重点项目绩效评价向社会公开。</w:t>
      </w:r>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rPr>
        <w:t>其他需要说明的事项</w:t>
      </w:r>
      <w:bookmarkEnd w:id="30"/>
      <w:bookmarkEnd w:id="31"/>
    </w:p>
    <w:p>
      <w:pPr>
        <w:numPr>
          <w:ilvl w:val="0"/>
          <w:numId w:val="0"/>
        </w:numPr>
        <w:ind w:firstLine="1280" w:firstLineChars="400"/>
        <w:rPr>
          <w:rFonts w:hint="eastAsia" w:ascii="仿宋_GB2312" w:hAnsi="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pStyle w:val="2"/>
        <w:ind w:left="0" w:leftChars="0" w:firstLine="0" w:firstLineChars="0"/>
        <w:jc w:val="center"/>
        <w:rPr>
          <w:rFonts w:hint="eastAsia" w:ascii="仿宋_GB2312" w:eastAsia="仿宋_GB2312"/>
          <w:color w:val="auto"/>
          <w:szCs w:val="32"/>
          <w:lang w:val="en-US" w:eastAsia="zh-CN"/>
        </w:rPr>
      </w:pPr>
      <w:r>
        <w:rPr>
          <w:rFonts w:hint="eastAsia" w:ascii="仿宋_GB2312"/>
          <w:color w:val="auto"/>
          <w:szCs w:val="32"/>
          <w:lang w:val="en-US" w:eastAsia="zh-CN"/>
        </w:rPr>
        <w:t xml:space="preserve">                 </w:t>
      </w:r>
      <w:r>
        <w:rPr>
          <w:rFonts w:hint="eastAsia" w:ascii="Times New Roman" w:hAnsi="Times New Roman" w:eastAsia="仿宋_GB2312" w:cstheme="minorBidi"/>
          <w:b w:val="0"/>
          <w:color w:val="auto"/>
          <w:kern w:val="2"/>
          <w:sz w:val="32"/>
          <w:szCs w:val="22"/>
          <w:lang w:val="en-US" w:eastAsia="zh-CN" w:bidi="ar-SA"/>
        </w:rPr>
        <w:t xml:space="preserve"> 单位名称：静乐县收费</w:t>
      </w:r>
      <w:r>
        <w:rPr>
          <w:rFonts w:hint="eastAsia" w:cstheme="minorBidi"/>
          <w:b w:val="0"/>
          <w:color w:val="auto"/>
          <w:kern w:val="2"/>
          <w:sz w:val="32"/>
          <w:szCs w:val="22"/>
          <w:lang w:val="en-US" w:eastAsia="zh-CN" w:bidi="ar-SA"/>
        </w:rPr>
        <w:t>事务</w:t>
      </w:r>
      <w:r>
        <w:rPr>
          <w:rFonts w:hint="eastAsia" w:ascii="Times New Roman" w:hAnsi="Times New Roman" w:eastAsia="仿宋_GB2312" w:cstheme="minorBidi"/>
          <w:b w:val="0"/>
          <w:color w:val="auto"/>
          <w:kern w:val="2"/>
          <w:sz w:val="32"/>
          <w:szCs w:val="22"/>
          <w:lang w:val="en-US" w:eastAsia="zh-CN" w:bidi="ar-SA"/>
        </w:rPr>
        <w:t>中心</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AC49F2"/>
    <w:multiLevelType w:val="singleLevel"/>
    <w:tmpl w:val="62AC49F2"/>
    <w:lvl w:ilvl="0" w:tentative="0">
      <w:start w:val="2"/>
      <w:numFmt w:val="decimal"/>
      <w:suff w:val="nothing"/>
      <w:lvlText w:val="（%1）"/>
      <w:lvlJc w:val="left"/>
    </w:lvl>
  </w:abstractNum>
  <w:abstractNum w:abstractNumId="3">
    <w:nsid w:val="62B5A2D7"/>
    <w:multiLevelType w:val="singleLevel"/>
    <w:tmpl w:val="62B5A2D7"/>
    <w:lvl w:ilvl="0" w:tentative="0">
      <w:start w:val="1"/>
      <w:numFmt w:val="chineseCounting"/>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03855E2E"/>
    <w:rsid w:val="16654CDD"/>
    <w:rsid w:val="1A4A5C33"/>
    <w:rsid w:val="2701594C"/>
    <w:rsid w:val="27426717"/>
    <w:rsid w:val="27FA0C3E"/>
    <w:rsid w:val="37943B50"/>
    <w:rsid w:val="3821117E"/>
    <w:rsid w:val="42C12CEC"/>
    <w:rsid w:val="44401A62"/>
    <w:rsid w:val="495520D0"/>
    <w:rsid w:val="4A012068"/>
    <w:rsid w:val="53A30631"/>
    <w:rsid w:val="57DA2ED9"/>
    <w:rsid w:val="5EC01F6A"/>
    <w:rsid w:val="5FF1077B"/>
    <w:rsid w:val="63AB51DF"/>
    <w:rsid w:val="649C6DC9"/>
    <w:rsid w:val="68A77E18"/>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2022-09-15T02:50:56Z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