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rPr>
          <w:rFonts w:hint="eastAsia" w:ascii="华文中宋" w:hAnsi="华文中宋" w:eastAsia="华文中宋"/>
          <w:color w:val="auto"/>
          <w:sz w:val="44"/>
          <w:szCs w:val="44"/>
        </w:rPr>
      </w:pPr>
      <w:bookmarkStart w:id="0" w:name="_Toc31071"/>
      <w:bookmarkStart w:id="1" w:name="_Toc32048"/>
      <w:bookmarkStart w:id="2" w:name="_Toc21118"/>
      <w:r>
        <w:rPr>
          <w:rFonts w:hint="eastAsia" w:ascii="华文中宋" w:hAnsi="华文中宋" w:eastAsia="华文中宋"/>
          <w:color w:val="auto"/>
          <w:sz w:val="44"/>
          <w:szCs w:val="44"/>
          <w:lang w:val="en-US" w:eastAsia="zh-CN"/>
        </w:rPr>
        <w:t>静乐县林业局</w:t>
      </w: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p>
    <w:p>
      <w:pPr>
        <w:pStyle w:val="4"/>
        <w:jc w:val="center"/>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lang w:val="en-US" w:eastAsia="zh-CN"/>
        </w:rPr>
        <w:t>公开说明</w:t>
      </w:r>
      <w:bookmarkEnd w:id="0"/>
      <w:bookmarkEnd w:id="1"/>
      <w:bookmarkEnd w:id="2"/>
    </w:p>
    <w:p>
      <w:pPr>
        <w:pStyle w:val="8"/>
        <w:tabs>
          <w:tab w:val="right" w:leader="dot" w:pos="8306"/>
        </w:tabs>
        <w:rPr>
          <w:color w:val="auto"/>
        </w:rPr>
      </w:pPr>
      <w:r>
        <w:rPr>
          <w:rFonts w:hint="eastAsia" w:ascii="仿宋" w:hAnsi="仿宋" w:eastAsia="仿宋" w:cs="仿宋"/>
          <w:color w:val="auto"/>
          <w:sz w:val="32"/>
          <w:szCs w:val="32"/>
          <w:lang w:val="en-US" w:eastAsia="zh-CN"/>
        </w:rPr>
        <w:fldChar w:fldCharType="begin"/>
      </w:r>
      <w:r>
        <w:rPr>
          <w:rFonts w:hint="eastAsia" w:ascii="仿宋" w:hAnsi="仿宋" w:eastAsia="仿宋" w:cs="仿宋"/>
          <w:color w:val="auto"/>
          <w:sz w:val="32"/>
          <w:szCs w:val="32"/>
          <w:lang w:val="en-US" w:eastAsia="zh-CN"/>
        </w:rPr>
        <w:instrText xml:space="preserve">TOC \o "1-3" \h \u </w:instrText>
      </w:r>
      <w:r>
        <w:rPr>
          <w:rFonts w:hint="eastAsia" w:ascii="仿宋" w:hAnsi="仿宋" w:eastAsia="仿宋" w:cs="仿宋"/>
          <w:color w:val="auto"/>
          <w:sz w:val="32"/>
          <w:szCs w:val="32"/>
          <w:lang w:val="en-US" w:eastAsia="zh-CN"/>
        </w:rPr>
        <w:fldChar w:fldCharType="separate"/>
      </w: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_Toc31140 </w:instrText>
      </w:r>
      <w:r>
        <w:rPr>
          <w:rFonts w:hint="eastAsia" w:ascii="仿宋" w:hAnsi="仿宋" w:eastAsia="仿宋" w:cs="仿宋"/>
          <w:color w:val="auto"/>
          <w:szCs w:val="32"/>
          <w:lang w:val="en-US" w:eastAsia="zh-CN"/>
        </w:rPr>
        <w:fldChar w:fldCharType="separate"/>
      </w:r>
      <w:r>
        <w:rPr>
          <w:rFonts w:hint="eastAsia"/>
          <w:color w:val="auto"/>
          <w:szCs w:val="36"/>
        </w:rPr>
        <w:t>第一部分  概况</w:t>
      </w:r>
      <w:r>
        <w:rPr>
          <w:color w:val="auto"/>
        </w:rPr>
        <w:tab/>
      </w:r>
      <w:r>
        <w:rPr>
          <w:color w:val="auto"/>
        </w:rPr>
        <w:fldChar w:fldCharType="begin"/>
      </w:r>
      <w:r>
        <w:rPr>
          <w:color w:val="auto"/>
        </w:rPr>
        <w:instrText xml:space="preserve"> PAGEREF _Toc31140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9"/>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_Toc4461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一、本部门职责</w:t>
      </w:r>
      <w:r>
        <w:rPr>
          <w:color w:val="auto"/>
        </w:rPr>
        <w:tab/>
      </w:r>
      <w:r>
        <w:rPr>
          <w:color w:val="auto"/>
        </w:rPr>
        <w:fldChar w:fldCharType="begin"/>
      </w:r>
      <w:r>
        <w:rPr>
          <w:color w:val="auto"/>
        </w:rPr>
        <w:instrText xml:space="preserve"> PAGEREF _Toc4461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9"/>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_Toc275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二、机构设置情况</w:t>
      </w:r>
      <w:r>
        <w:rPr>
          <w:color w:val="auto"/>
        </w:rPr>
        <w:tab/>
      </w:r>
      <w:r>
        <w:rPr>
          <w:color w:val="auto"/>
        </w:rPr>
        <w:fldChar w:fldCharType="begin"/>
      </w:r>
      <w:r>
        <w:rPr>
          <w:color w:val="auto"/>
        </w:rPr>
        <w:instrText xml:space="preserve"> PAGEREF _Toc275 </w:instrText>
      </w:r>
      <w:r>
        <w:rPr>
          <w:color w:val="auto"/>
        </w:rPr>
        <w:fldChar w:fldCharType="separate"/>
      </w:r>
      <w:r>
        <w:rPr>
          <w:color w:val="auto"/>
        </w:rPr>
        <w:t>5</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_Toc12749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第二部分  2021年度部门决算报表（附表）</w:t>
      </w:r>
      <w:r>
        <w:rPr>
          <w:color w:val="auto"/>
        </w:rPr>
        <w:tab/>
      </w:r>
      <w:r>
        <w:rPr>
          <w:color w:val="auto"/>
        </w:rPr>
        <w:fldChar w:fldCharType="begin"/>
      </w:r>
      <w:r>
        <w:rPr>
          <w:color w:val="auto"/>
        </w:rPr>
        <w:instrText xml:space="preserve"> PAGEREF _Toc12749 </w:instrText>
      </w:r>
      <w:r>
        <w:rPr>
          <w:color w:val="auto"/>
        </w:rPr>
        <w:fldChar w:fldCharType="separate"/>
      </w:r>
      <w:r>
        <w:rPr>
          <w:color w:val="auto"/>
        </w:rPr>
        <w:t>5</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_Toc29325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第三部分  2021年度部门决算情况说明</w:t>
      </w:r>
      <w:r>
        <w:rPr>
          <w:color w:val="auto"/>
        </w:rPr>
        <w:tab/>
      </w:r>
      <w:r>
        <w:rPr>
          <w:color w:val="auto"/>
        </w:rPr>
        <w:fldChar w:fldCharType="begin"/>
      </w:r>
      <w:r>
        <w:rPr>
          <w:color w:val="auto"/>
        </w:rPr>
        <w:instrText xml:space="preserve"> PAGEREF _Toc29325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9"/>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_Toc437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一、收入支出决算总体情况说明</w:t>
      </w:r>
      <w:r>
        <w:rPr>
          <w:color w:val="auto"/>
        </w:rPr>
        <w:tab/>
      </w:r>
      <w:r>
        <w:rPr>
          <w:color w:val="auto"/>
        </w:rPr>
        <w:fldChar w:fldCharType="begin"/>
      </w:r>
      <w:r>
        <w:rPr>
          <w:color w:val="auto"/>
        </w:rPr>
        <w:instrText xml:space="preserve"> PAGEREF _Toc437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9"/>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_Toc16754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二、收入决算情况说明</w:t>
      </w:r>
      <w:r>
        <w:rPr>
          <w:color w:val="auto"/>
        </w:rPr>
        <w:tab/>
      </w:r>
      <w:r>
        <w:rPr>
          <w:color w:val="auto"/>
        </w:rPr>
        <w:fldChar w:fldCharType="begin"/>
      </w:r>
      <w:r>
        <w:rPr>
          <w:color w:val="auto"/>
        </w:rPr>
        <w:instrText xml:space="preserve"> PAGEREF _Toc16754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9"/>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_Toc22098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三、支出决算情况说明</w:t>
      </w:r>
      <w:r>
        <w:rPr>
          <w:color w:val="auto"/>
        </w:rPr>
        <w:tab/>
      </w:r>
      <w:r>
        <w:rPr>
          <w:color w:val="auto"/>
        </w:rPr>
        <w:fldChar w:fldCharType="begin"/>
      </w:r>
      <w:r>
        <w:rPr>
          <w:color w:val="auto"/>
        </w:rPr>
        <w:instrText xml:space="preserve"> PAGEREF _Toc22098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9"/>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_Toc2142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四、财政拨款收入支出决算总体情况说明</w:t>
      </w:r>
      <w:r>
        <w:rPr>
          <w:color w:val="auto"/>
        </w:rPr>
        <w:tab/>
      </w:r>
      <w:r>
        <w:rPr>
          <w:color w:val="auto"/>
        </w:rPr>
        <w:fldChar w:fldCharType="begin"/>
      </w:r>
      <w:r>
        <w:rPr>
          <w:color w:val="auto"/>
        </w:rPr>
        <w:instrText xml:space="preserve"> PAGEREF _Toc2142 </w:instrText>
      </w:r>
      <w:r>
        <w:rPr>
          <w:color w:val="auto"/>
        </w:rPr>
        <w:fldChar w:fldCharType="separate"/>
      </w:r>
      <w:r>
        <w:rPr>
          <w:color w:val="auto"/>
        </w:rPr>
        <w:t>7</w:t>
      </w:r>
      <w:r>
        <w:rPr>
          <w:color w:val="auto"/>
        </w:rPr>
        <w:fldChar w:fldCharType="end"/>
      </w:r>
      <w:r>
        <w:rPr>
          <w:rFonts w:hint="eastAsia" w:ascii="仿宋" w:hAnsi="仿宋" w:eastAsia="仿宋" w:cs="仿宋"/>
          <w:color w:val="auto"/>
          <w:szCs w:val="32"/>
          <w:lang w:val="en-US" w:eastAsia="zh-CN"/>
        </w:rPr>
        <w:fldChar w:fldCharType="end"/>
      </w:r>
    </w:p>
    <w:p>
      <w:pPr>
        <w:pStyle w:val="9"/>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_Toc6501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五、一般公共预算财政拨款支出决算情况说明</w:t>
      </w:r>
      <w:r>
        <w:rPr>
          <w:color w:val="auto"/>
        </w:rPr>
        <w:tab/>
      </w:r>
      <w:r>
        <w:rPr>
          <w:color w:val="auto"/>
        </w:rPr>
        <w:fldChar w:fldCharType="begin"/>
      </w:r>
      <w:r>
        <w:rPr>
          <w:color w:val="auto"/>
        </w:rPr>
        <w:instrText xml:space="preserve"> PAGEREF _Toc6501 </w:instrText>
      </w:r>
      <w:r>
        <w:rPr>
          <w:color w:val="auto"/>
        </w:rPr>
        <w:fldChar w:fldCharType="separate"/>
      </w:r>
      <w:r>
        <w:rPr>
          <w:color w:val="auto"/>
        </w:rPr>
        <w:t>7</w:t>
      </w:r>
      <w:r>
        <w:rPr>
          <w:color w:val="auto"/>
        </w:rPr>
        <w:fldChar w:fldCharType="end"/>
      </w:r>
      <w:r>
        <w:rPr>
          <w:rFonts w:hint="eastAsia" w:ascii="仿宋" w:hAnsi="仿宋" w:eastAsia="仿宋" w:cs="仿宋"/>
          <w:color w:val="auto"/>
          <w:szCs w:val="32"/>
          <w:lang w:val="en-US" w:eastAsia="zh-CN"/>
        </w:rPr>
        <w:fldChar w:fldCharType="end"/>
      </w:r>
    </w:p>
    <w:p>
      <w:pPr>
        <w:pStyle w:val="9"/>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_Toc17728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六、一般公共预算财政拨款基本支出决算情况说明</w:t>
      </w:r>
      <w:r>
        <w:rPr>
          <w:color w:val="auto"/>
        </w:rPr>
        <w:tab/>
      </w:r>
      <w:r>
        <w:rPr>
          <w:color w:val="auto"/>
        </w:rPr>
        <w:fldChar w:fldCharType="begin"/>
      </w:r>
      <w:r>
        <w:rPr>
          <w:color w:val="auto"/>
        </w:rPr>
        <w:instrText xml:space="preserve"> PAGEREF _Toc17728 </w:instrText>
      </w:r>
      <w:r>
        <w:rPr>
          <w:color w:val="auto"/>
        </w:rPr>
        <w:fldChar w:fldCharType="separate"/>
      </w:r>
      <w:r>
        <w:rPr>
          <w:color w:val="auto"/>
        </w:rPr>
        <w:t>11</w:t>
      </w:r>
      <w:r>
        <w:rPr>
          <w:color w:val="auto"/>
        </w:rPr>
        <w:fldChar w:fldCharType="end"/>
      </w:r>
      <w:r>
        <w:rPr>
          <w:rFonts w:hint="eastAsia" w:ascii="仿宋" w:hAnsi="仿宋" w:eastAsia="仿宋" w:cs="仿宋"/>
          <w:color w:val="auto"/>
          <w:szCs w:val="32"/>
          <w:lang w:val="en-US" w:eastAsia="zh-CN"/>
        </w:rPr>
        <w:fldChar w:fldCharType="end"/>
      </w:r>
    </w:p>
    <w:p>
      <w:pPr>
        <w:pStyle w:val="9"/>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_Toc26508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七、一般公共预算财政拨款“三公”经费支出决算情况说明</w:t>
      </w:r>
      <w:r>
        <w:rPr>
          <w:color w:val="auto"/>
        </w:rPr>
        <w:tab/>
      </w:r>
      <w:r>
        <w:rPr>
          <w:color w:val="auto"/>
        </w:rPr>
        <w:fldChar w:fldCharType="begin"/>
      </w:r>
      <w:r>
        <w:rPr>
          <w:color w:val="auto"/>
        </w:rPr>
        <w:instrText xml:space="preserve"> PAGEREF _Toc26508 </w:instrText>
      </w:r>
      <w:r>
        <w:rPr>
          <w:color w:val="auto"/>
        </w:rPr>
        <w:fldChar w:fldCharType="separate"/>
      </w:r>
      <w:r>
        <w:rPr>
          <w:color w:val="auto"/>
        </w:rPr>
        <w:t>11</w:t>
      </w:r>
      <w:r>
        <w:rPr>
          <w:color w:val="auto"/>
        </w:rPr>
        <w:fldChar w:fldCharType="end"/>
      </w:r>
      <w:r>
        <w:rPr>
          <w:rFonts w:hint="eastAsia" w:ascii="仿宋" w:hAnsi="仿宋" w:eastAsia="仿宋" w:cs="仿宋"/>
          <w:color w:val="auto"/>
          <w:szCs w:val="32"/>
          <w:lang w:val="en-US" w:eastAsia="zh-CN"/>
        </w:rPr>
        <w:fldChar w:fldCharType="end"/>
      </w:r>
    </w:p>
    <w:p>
      <w:pPr>
        <w:pStyle w:val="9"/>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_Toc1792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八、其他重要事项情况说明</w:t>
      </w:r>
      <w:r>
        <w:rPr>
          <w:color w:val="auto"/>
        </w:rPr>
        <w:tab/>
      </w:r>
      <w:r>
        <w:rPr>
          <w:color w:val="auto"/>
        </w:rPr>
        <w:fldChar w:fldCharType="begin"/>
      </w:r>
      <w:r>
        <w:rPr>
          <w:color w:val="auto"/>
        </w:rPr>
        <w:instrText xml:space="preserve"> PAGEREF _Toc1792 </w:instrText>
      </w:r>
      <w:r>
        <w:rPr>
          <w:color w:val="auto"/>
        </w:rPr>
        <w:fldChar w:fldCharType="separate"/>
      </w:r>
      <w:r>
        <w:rPr>
          <w:color w:val="auto"/>
        </w:rPr>
        <w:t>12</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_Toc28108 </w:instrText>
      </w:r>
      <w:r>
        <w:rPr>
          <w:rFonts w:hint="eastAsia" w:ascii="仿宋" w:hAnsi="仿宋" w:eastAsia="仿宋" w:cs="仿宋"/>
          <w:color w:val="auto"/>
          <w:szCs w:val="32"/>
          <w:lang w:val="en-US" w:eastAsia="zh-CN"/>
        </w:rPr>
        <w:fldChar w:fldCharType="separate"/>
      </w:r>
      <w:r>
        <w:rPr>
          <w:rFonts w:hint="eastAsia" w:ascii="仿宋_GB2312" w:eastAsia="仿宋_GB2312"/>
          <w:color w:val="auto"/>
          <w:szCs w:val="32"/>
          <w:lang w:val="en-US" w:eastAsia="zh-CN"/>
        </w:rPr>
        <w:t xml:space="preserve">（四） </w:t>
      </w:r>
      <w:r>
        <w:rPr>
          <w:rFonts w:hint="eastAsia" w:ascii="仿宋_GB2312"/>
          <w:color w:val="auto"/>
          <w:szCs w:val="32"/>
        </w:rPr>
        <w:t>其他需要说明的事项</w:t>
      </w:r>
      <w:r>
        <w:rPr>
          <w:color w:val="auto"/>
        </w:rPr>
        <w:tab/>
      </w:r>
      <w:r>
        <w:rPr>
          <w:color w:val="auto"/>
        </w:rPr>
        <w:fldChar w:fldCharType="begin"/>
      </w:r>
      <w:r>
        <w:rPr>
          <w:color w:val="auto"/>
        </w:rPr>
        <w:instrText xml:space="preserve"> PAGEREF _Toc28108 </w:instrText>
      </w:r>
      <w:r>
        <w:rPr>
          <w:color w:val="auto"/>
        </w:rPr>
        <w:fldChar w:fldCharType="separate"/>
      </w:r>
      <w:r>
        <w:rPr>
          <w:color w:val="auto"/>
        </w:rPr>
        <w:t>13</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_Toc8545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第四部分  名词解释</w:t>
      </w:r>
      <w:r>
        <w:rPr>
          <w:color w:val="auto"/>
        </w:rPr>
        <w:tab/>
      </w:r>
      <w:r>
        <w:rPr>
          <w:color w:val="auto"/>
        </w:rPr>
        <w:fldChar w:fldCharType="begin"/>
      </w:r>
      <w:r>
        <w:rPr>
          <w:color w:val="auto"/>
        </w:rPr>
        <w:instrText xml:space="preserve"> PAGEREF _Toc8545 </w:instrText>
      </w:r>
      <w:r>
        <w:rPr>
          <w:color w:val="auto"/>
        </w:rPr>
        <w:fldChar w:fldCharType="separate"/>
      </w:r>
      <w:r>
        <w:rPr>
          <w:color w:val="auto"/>
        </w:rPr>
        <w:t>13</w:t>
      </w:r>
      <w:r>
        <w:rPr>
          <w:color w:val="auto"/>
        </w:rPr>
        <w:fldChar w:fldCharType="end"/>
      </w:r>
      <w:r>
        <w:rPr>
          <w:rFonts w:hint="eastAsia" w:ascii="仿宋" w:hAnsi="仿宋" w:eastAsia="仿宋" w:cs="仿宋"/>
          <w:color w:val="auto"/>
          <w:szCs w:val="32"/>
          <w:lang w:val="en-US" w:eastAsia="zh-CN"/>
        </w:rPr>
        <w:fldChar w:fldCharType="end"/>
      </w:r>
    </w:p>
    <w:p>
      <w:pPr>
        <w:ind w:firstLine="880"/>
        <w:jc w:val="center"/>
        <w:rPr>
          <w:rFonts w:hint="eastAsia" w:ascii="仿宋" w:hAnsi="仿宋" w:eastAsia="仿宋" w:cs="仿宋"/>
          <w:color w:val="auto"/>
          <w:sz w:val="32"/>
          <w:szCs w:val="32"/>
          <w:lang w:val="en-US" w:eastAsia="zh-CN"/>
        </w:rPr>
      </w:pPr>
      <w:r>
        <w:rPr>
          <w:rFonts w:hint="eastAsia" w:ascii="仿宋" w:hAnsi="仿宋" w:eastAsia="仿宋" w:cs="仿宋"/>
          <w:color w:val="auto"/>
          <w:szCs w:val="32"/>
          <w:lang w:val="en-US" w:eastAsia="zh-CN"/>
        </w:rPr>
        <w:fldChar w:fldCharType="end"/>
      </w:r>
    </w:p>
    <w:p>
      <w:pPr>
        <w:pStyle w:val="4"/>
        <w:ind w:left="0" w:leftChars="0" w:firstLine="0" w:firstLineChars="0"/>
        <w:jc w:val="center"/>
        <w:rPr>
          <w:rFonts w:hint="eastAsia"/>
          <w:b/>
          <w:bCs w:val="0"/>
          <w:color w:val="auto"/>
          <w:szCs w:val="36"/>
        </w:rPr>
      </w:pPr>
      <w:bookmarkStart w:id="3" w:name="_Toc23288"/>
      <w:bookmarkStart w:id="4" w:name="_Toc31140"/>
      <w:r>
        <w:rPr>
          <w:rFonts w:hint="eastAsia"/>
          <w:color w:val="auto"/>
          <w:sz w:val="36"/>
          <w:szCs w:val="36"/>
        </w:rPr>
        <w:t>第一部分  概况</w:t>
      </w:r>
      <w:bookmarkEnd w:id="3"/>
      <w:bookmarkEnd w:id="4"/>
    </w:p>
    <w:p>
      <w:pPr>
        <w:pStyle w:val="5"/>
        <w:numPr>
          <w:ilvl w:val="0"/>
          <w:numId w:val="1"/>
        </w:numPr>
        <w:rPr>
          <w:rFonts w:hint="eastAsia" w:ascii="仿宋" w:hAnsi="仿宋" w:eastAsia="仿宋" w:cs="仿宋"/>
          <w:b w:val="0"/>
          <w:bCs/>
          <w:color w:val="auto"/>
        </w:rPr>
      </w:pPr>
      <w:bookmarkStart w:id="5" w:name="_Toc4461"/>
      <w:bookmarkStart w:id="6" w:name="_Toc24066"/>
      <w:r>
        <w:rPr>
          <w:rFonts w:hint="eastAsia" w:ascii="仿宋" w:hAnsi="仿宋" w:eastAsia="仿宋" w:cs="仿宋"/>
          <w:b w:val="0"/>
          <w:bCs/>
          <w:color w:val="auto"/>
        </w:rPr>
        <w:t>本部门职责</w:t>
      </w:r>
      <w:bookmarkEnd w:id="5"/>
      <w:bookmarkEnd w:id="6"/>
    </w:p>
    <w:p>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一</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负责全县林业和草原及其生态保护修复的监督管理</w:t>
      </w:r>
      <w:r>
        <w:rPr>
          <w:rFonts w:hint="eastAsia" w:ascii="仿宋" w:hAnsi="仿宋" w:eastAsia="仿宋" w:cs="仿宋"/>
          <w:color w:val="auto"/>
          <w:sz w:val="32"/>
          <w:szCs w:val="32"/>
        </w:rPr>
        <w:t>。拟订全县林业和草原及其生态保护修复的政策、规划、标准并组织实施,组织开展全县森林、草原、湿地、荒漠和陆生野生动植物资源动态监测与评价；承担县绿化委员会的日常工作。</w:t>
      </w:r>
    </w:p>
    <w:p>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二）组织全县林业和草原生态保护修复和造林绿化工作。组织实施林业和草原重点生态保护修复工程，开展退耕(牧)还林还草,指导公益林和商品林的培育,组织开展全民义务植树、城乡绿化工作。组织、实施林业和草原有害生物防治、检疫工作。承担林业和草原应对气候变化的相关工作。</w:t>
      </w:r>
    </w:p>
    <w:p>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三)负责全县森林、草原、湿地资源的监督管理。组织编制并执行全县森林采伐限额，执行林木凭证采伐、运输,指导森林经营、利用工作。负责林地管理和天然林保护工作,拟订林地保护利用规划并组织实施,组织、开展公益林划定和管理工作,管理县直国有林场及辖区内森林资源。负责草原禁牧、草畜平衡和草原生态修复治理工作,监督管理草原的开发利用。负责湿地生态保护修复工作,贯彻国家湿地保护标准,拟订全县湿地保护规划并组织实施,监督管理湿地的开发利用。</w:t>
      </w:r>
    </w:p>
    <w:p>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四)负责监督管理全县荒漠化防治和陆生野生动植物资源监督管理工作。组织开展荒漠调查,组织拟订全县防沙治沙、石漠化防治及沙化土地封禁保护区建设规划,按照国家荒漠化防治标准拟订配套政策措施并组织实施,监督管理沙化土地的开发利用。</w:t>
      </w:r>
    </w:p>
    <w:p>
      <w:pPr>
        <w:rPr>
          <w:rFonts w:hint="eastAsia" w:ascii="仿宋" w:hAnsi="仿宋" w:eastAsia="仿宋" w:cs="仿宋"/>
          <w:color w:val="auto"/>
          <w:sz w:val="32"/>
          <w:szCs w:val="32"/>
        </w:rPr>
      </w:pPr>
      <w:r>
        <w:rPr>
          <w:rFonts w:hint="eastAsia" w:ascii="仿宋" w:hAnsi="仿宋" w:eastAsia="仿宋" w:cs="仿宋"/>
          <w:color w:val="auto"/>
          <w:sz w:val="32"/>
          <w:szCs w:val="32"/>
        </w:rPr>
        <w:t>组织开展陆生野生动植物资源调查,拟订及调整县级重点保护的陆生野生动物、植物名录，组织指导陆生、野生动植物的救护繁育栖息地的恢复发展、疫源疫病监测，监督管理陆生、野生动植物的猎捕或采集、人工繁育或培植、拯救保护、经营利用。</w:t>
      </w:r>
    </w:p>
    <w:p>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(五)负责监督管理全县森林公园、湿地公园、风景名胜区、自然遗产、地质公园、沙漠公园等各类自然保护地，负责生物多样性保护相关工作。</w:t>
      </w:r>
    </w:p>
    <w:p>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六)负责推进林业和草原改革相关工作。拟订农村林业发展、维护林业经营者合法权益的政策措施,指导农村林地承包经营工作。指导全县林业和草原产业结构调整,对全县林业和草原生产企业实行行业指导。按分工组织、指导林产品质量监督。</w:t>
      </w:r>
    </w:p>
    <w:p>
      <w:pPr>
        <w:pStyle w:val="2"/>
        <w:ind w:left="0" w:leftChars="0" w:firstLine="640"/>
        <w:rPr>
          <w:rFonts w:hint="eastAsia" w:ascii="仿宋" w:hAnsi="仿宋" w:eastAsia="仿宋" w:cs="仿宋"/>
          <w:color w:val="auto"/>
          <w:sz w:val="32"/>
          <w:szCs w:val="32"/>
        </w:rPr>
      </w:pPr>
      <w:r>
        <w:rPr>
          <w:rFonts w:hint="eastAsia" w:ascii="仿宋" w:hAnsi="仿宋" w:eastAsia="仿宋" w:cs="仿宋"/>
          <w:color w:val="auto"/>
          <w:sz w:val="32"/>
          <w:szCs w:val="32"/>
        </w:rPr>
        <w:t>（七）指导国有林场和国有苗圃基本建设和发展,组织林木种子、草种种质资源普查,负责良种选育推广,管理林木种苗、草种生产经营行为,监管林木种苗、草种质量。监督管理林业和草原生物种质资源、转基因生物安全、植物新品种保护。</w:t>
      </w:r>
    </w:p>
    <w:p>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（八）监督管理林业和草原资金和国有资产,按规定权限组织实施好年度计划内投资项目。组织实施林业和草原生态补偿工作。</w:t>
      </w:r>
    </w:p>
    <w:p>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（九）推动生态建设领域科技发展。制定全县林业系统科技创新发展和人才培养计划，组织制定技术标准、规程规范并监督实施。承担湿地、防治荒漠化、濒危野生动植物等国际公约履约的有关工作。</w:t>
      </w:r>
    </w:p>
    <w:p>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（十）完成县委、县政府交办的其他任务。</w:t>
      </w:r>
    </w:p>
    <w:p>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（十一）职能转变。县林业局要切实加大生态系统保护力度,实施重要生态系统保护和修复工程,加强森林、草原、湿地监督管理的统筹协调,大力推进国土绿化,保障全县生态安全。</w:t>
      </w:r>
    </w:p>
    <w:p>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（十二）有关职责</w:t>
      </w:r>
    </w:p>
    <w:p>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1、与县应急管理局有关职责分工：将县林业局森林灭火工作的组织协调等工作整合到县应急管理局，县林业局负责森林防火的防治、预警和技术支撑工作。</w:t>
      </w:r>
    </w:p>
    <w:p>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2、与县农业农村工作局职责分工：将县农业委员会的草原（地）监督管理职责整合到县林业局。</w:t>
      </w:r>
    </w:p>
    <w:p>
      <w:pPr>
        <w:ind w:firstLine="640" w:firstLineChars="200"/>
        <w:rPr>
          <w:rFonts w:hint="eastAsia"/>
          <w:color w:val="auto"/>
        </w:rPr>
      </w:pPr>
      <w:r>
        <w:rPr>
          <w:rFonts w:hint="eastAsia" w:ascii="仿宋" w:hAnsi="仿宋" w:eastAsia="仿宋" w:cs="仿宋"/>
          <w:color w:val="auto"/>
          <w:sz w:val="32"/>
          <w:szCs w:val="32"/>
        </w:rPr>
        <w:t>3、与县自然资源局等部门职责分工：将县国土资源局、县住房保障和城乡建设管理局、县水利局、县农业委员会等部门的自然保护区、风景名胜区管理等职责整合到县林业局；将县林业局的资源调查和确权登记管理等职责整合到县自然资源局。</w:t>
      </w:r>
    </w:p>
    <w:p>
      <w:pPr>
        <w:pStyle w:val="5"/>
        <w:numPr>
          <w:ilvl w:val="0"/>
          <w:numId w:val="1"/>
        </w:numPr>
        <w:ind w:firstLine="640" w:firstLineChars="200"/>
        <w:rPr>
          <w:rFonts w:hint="eastAsia" w:ascii="仿宋" w:hAnsi="仿宋" w:eastAsia="仿宋" w:cs="仿宋"/>
          <w:b w:val="0"/>
          <w:bCs/>
          <w:color w:val="auto"/>
        </w:rPr>
      </w:pPr>
      <w:bookmarkStart w:id="7" w:name="_Toc9155"/>
      <w:bookmarkStart w:id="8" w:name="_Toc275"/>
      <w:r>
        <w:rPr>
          <w:rFonts w:hint="eastAsia" w:ascii="仿宋" w:hAnsi="仿宋" w:eastAsia="仿宋" w:cs="仿宋"/>
          <w:b w:val="0"/>
          <w:bCs/>
          <w:color w:val="auto"/>
        </w:rPr>
        <w:t>机构设置情况</w:t>
      </w:r>
      <w:bookmarkEnd w:id="7"/>
      <w:bookmarkEnd w:id="8"/>
    </w:p>
    <w:p>
      <w:pPr>
        <w:keepNext w:val="0"/>
        <w:keepLines w:val="0"/>
        <w:pageBreakBefore w:val="0"/>
        <w:kinsoku/>
        <w:wordWrap/>
        <w:overflowPunct/>
        <w:topLinePunct w:val="0"/>
        <w:autoSpaceDE/>
        <w:autoSpaceDN/>
        <w:bidi w:val="0"/>
        <w:adjustRightInd/>
        <w:snapToGrid/>
        <w:spacing w:beforeAutospacing="0" w:afterAutospacing="0" w:line="580" w:lineRule="exact"/>
        <w:ind w:firstLine="640" w:firstLineChars="200"/>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静乐县林业局为行政事业单位，正科级建制，隶属于静乐县人民政府。编制75人，其中公务员编制6人，事业人员69人（含差额事业单位林场10人、苗圃5人）。单位实有人员</w:t>
      </w:r>
      <w:r>
        <w:rPr>
          <w:rFonts w:hint="eastAsia" w:ascii="仿宋" w:hAnsi="仿宋" w:eastAsia="仿宋" w:cs="仿宋"/>
          <w:color w:val="auto"/>
          <w:kern w:val="0"/>
          <w:sz w:val="32"/>
          <w:szCs w:val="32"/>
          <w:lang w:val="en-US" w:eastAsia="zh-CN"/>
        </w:rPr>
        <w:t>7</w:t>
      </w:r>
      <w:r>
        <w:rPr>
          <w:rFonts w:hint="eastAsia" w:ascii="仿宋" w:hAnsi="仿宋" w:eastAsia="仿宋" w:cs="仿宋"/>
          <w:color w:val="auto"/>
          <w:kern w:val="0"/>
          <w:sz w:val="32"/>
          <w:szCs w:val="32"/>
        </w:rPr>
        <w:t>6人，公务员</w:t>
      </w:r>
      <w:r>
        <w:rPr>
          <w:rFonts w:hint="eastAsia" w:ascii="仿宋" w:hAnsi="仿宋" w:eastAsia="仿宋" w:cs="仿宋"/>
          <w:color w:val="auto"/>
          <w:kern w:val="0"/>
          <w:sz w:val="32"/>
          <w:szCs w:val="32"/>
          <w:lang w:val="en-US" w:eastAsia="zh-CN"/>
        </w:rPr>
        <w:t>8</w:t>
      </w:r>
      <w:r>
        <w:rPr>
          <w:rFonts w:hint="eastAsia" w:ascii="仿宋" w:hAnsi="仿宋" w:eastAsia="仿宋" w:cs="仿宋"/>
          <w:color w:val="auto"/>
          <w:kern w:val="0"/>
          <w:sz w:val="32"/>
          <w:szCs w:val="32"/>
        </w:rPr>
        <w:t>人，事业人员</w:t>
      </w:r>
      <w:r>
        <w:rPr>
          <w:rFonts w:hint="eastAsia" w:ascii="仿宋" w:hAnsi="仿宋" w:eastAsia="仿宋" w:cs="仿宋"/>
          <w:color w:val="auto"/>
          <w:kern w:val="0"/>
          <w:sz w:val="32"/>
          <w:szCs w:val="32"/>
          <w:lang w:val="en-US" w:eastAsia="zh-CN"/>
        </w:rPr>
        <w:t>68</w:t>
      </w:r>
      <w:r>
        <w:rPr>
          <w:rFonts w:hint="eastAsia" w:ascii="仿宋" w:hAnsi="仿宋" w:eastAsia="仿宋" w:cs="仿宋"/>
          <w:color w:val="auto"/>
          <w:kern w:val="0"/>
          <w:sz w:val="32"/>
          <w:szCs w:val="32"/>
        </w:rPr>
        <w:t>人（含差额事业单位林场8人、苗圃4人、森林消防队19人）。</w:t>
      </w:r>
    </w:p>
    <w:p>
      <w:pPr>
        <w:numPr>
          <w:ilvl w:val="0"/>
          <w:numId w:val="0"/>
        </w:numPr>
        <w:rPr>
          <w:rFonts w:hint="eastAsia"/>
          <w:color w:val="auto"/>
        </w:rPr>
      </w:pPr>
      <w:r>
        <w:rPr>
          <w:rFonts w:hint="eastAsia" w:ascii="仿宋" w:hAnsi="仿宋" w:eastAsia="仿宋" w:cs="仿宋"/>
          <w:color w:val="auto"/>
          <w:kern w:val="0"/>
          <w:sz w:val="32"/>
          <w:szCs w:val="32"/>
        </w:rPr>
        <w:t>内设股室有：（1）办公室（2）林业站（3）天保办（4）退耕办（5）工程办（6）种子园（7）森林派出所（8）湿地公园（9）林政股（10）森防站（11）种苗站（12）森林消防队</w:t>
      </w:r>
    </w:p>
    <w:p>
      <w:pPr>
        <w:pStyle w:val="4"/>
        <w:rPr>
          <w:rFonts w:hint="eastAsia"/>
          <w:b/>
          <w:bCs w:val="0"/>
          <w:color w:val="auto"/>
          <w:sz w:val="36"/>
          <w:szCs w:val="36"/>
          <w:lang w:val="en-US" w:eastAsia="zh-CN"/>
        </w:rPr>
      </w:pPr>
      <w:bookmarkStart w:id="9" w:name="_Toc12749"/>
      <w:r>
        <w:rPr>
          <w:rFonts w:hint="eastAsia"/>
          <w:b/>
          <w:color w:val="auto"/>
          <w:sz w:val="36"/>
          <w:szCs w:val="36"/>
          <w:lang w:val="en-US" w:eastAsia="zh-CN"/>
        </w:rPr>
        <w:t>第二部分  2021年度部门决算报表（附表）</w:t>
      </w:r>
      <w:bookmarkEnd w:id="9"/>
    </w:p>
    <w:p>
      <w:pPr>
        <w:ind w:firstLine="640"/>
        <w:rPr>
          <w:rFonts w:hint="eastAsia" w:ascii="仿宋_GB2312" w:hAnsi="楷体"/>
          <w:color w:val="auto"/>
          <w:szCs w:val="32"/>
        </w:rPr>
      </w:pPr>
      <w:r>
        <w:rPr>
          <w:rFonts w:hint="eastAsia" w:ascii="仿宋_GB2312" w:hAnsi="楷体"/>
          <w:color w:val="auto"/>
          <w:szCs w:val="32"/>
        </w:rPr>
        <w:t>一、收入支出决算总表</w:t>
      </w:r>
    </w:p>
    <w:p>
      <w:pPr>
        <w:ind w:firstLine="640"/>
        <w:rPr>
          <w:rFonts w:hint="eastAsia" w:ascii="仿宋_GB2312" w:hAnsi="楷体"/>
          <w:color w:val="auto"/>
          <w:szCs w:val="32"/>
        </w:rPr>
      </w:pPr>
      <w:r>
        <w:rPr>
          <w:rFonts w:hint="eastAsia" w:ascii="仿宋_GB2312" w:hAnsi="楷体"/>
          <w:color w:val="auto"/>
          <w:szCs w:val="32"/>
        </w:rPr>
        <w:t>二、收入决算表</w:t>
      </w:r>
    </w:p>
    <w:p>
      <w:pPr>
        <w:ind w:firstLine="640"/>
        <w:rPr>
          <w:rFonts w:hint="eastAsia" w:ascii="仿宋_GB2312" w:hAnsi="楷体"/>
          <w:color w:val="auto"/>
          <w:szCs w:val="32"/>
        </w:rPr>
      </w:pPr>
      <w:r>
        <w:rPr>
          <w:rFonts w:hint="eastAsia" w:ascii="仿宋_GB2312" w:hAnsi="楷体"/>
          <w:color w:val="auto"/>
          <w:szCs w:val="32"/>
        </w:rPr>
        <w:t>三、支出决算表</w:t>
      </w:r>
    </w:p>
    <w:p>
      <w:pPr>
        <w:ind w:firstLine="640"/>
        <w:rPr>
          <w:rFonts w:hint="eastAsia" w:ascii="仿宋_GB2312" w:hAnsi="楷体"/>
          <w:color w:val="auto"/>
          <w:szCs w:val="32"/>
        </w:rPr>
      </w:pPr>
      <w:r>
        <w:rPr>
          <w:rFonts w:hint="eastAsia" w:ascii="仿宋_GB2312" w:hAnsi="楷体"/>
          <w:color w:val="auto"/>
          <w:szCs w:val="32"/>
        </w:rPr>
        <w:t>四、财政拨款收入支出决算总表</w:t>
      </w:r>
    </w:p>
    <w:p>
      <w:pPr>
        <w:ind w:firstLine="640"/>
        <w:rPr>
          <w:rFonts w:hint="eastAsia" w:ascii="仿宋_GB2312" w:hAnsi="楷体"/>
          <w:color w:val="auto"/>
          <w:szCs w:val="32"/>
        </w:rPr>
      </w:pPr>
      <w:r>
        <w:rPr>
          <w:rFonts w:hint="eastAsia" w:ascii="仿宋_GB2312" w:hAnsi="楷体"/>
          <w:color w:val="auto"/>
          <w:szCs w:val="32"/>
        </w:rPr>
        <w:t>五、一般公共预算财政拨款支出决算表（一）</w:t>
      </w:r>
    </w:p>
    <w:p>
      <w:pPr>
        <w:ind w:firstLine="640"/>
        <w:rPr>
          <w:rFonts w:hint="eastAsia" w:ascii="仿宋_GB2312" w:hAnsi="楷体"/>
          <w:color w:val="auto"/>
          <w:szCs w:val="32"/>
        </w:rPr>
      </w:pPr>
      <w:r>
        <w:rPr>
          <w:rFonts w:hint="eastAsia" w:ascii="仿宋_GB2312" w:hAnsi="楷体"/>
          <w:color w:val="auto"/>
          <w:szCs w:val="32"/>
        </w:rPr>
        <w:t>六、一般公共预算财政拨款支出决算表（二）</w:t>
      </w:r>
    </w:p>
    <w:p>
      <w:pPr>
        <w:ind w:firstLine="640"/>
        <w:rPr>
          <w:rFonts w:hint="eastAsia" w:ascii="仿宋_GB2312" w:hAnsi="楷体"/>
          <w:color w:val="auto"/>
          <w:szCs w:val="32"/>
        </w:rPr>
      </w:pPr>
      <w:r>
        <w:rPr>
          <w:rFonts w:hint="eastAsia" w:ascii="仿宋_GB2312" w:hAnsi="楷体"/>
          <w:color w:val="auto"/>
          <w:szCs w:val="32"/>
        </w:rPr>
        <w:t>七、一般公共预算财政拨款“三公”经费支出决算表</w:t>
      </w:r>
    </w:p>
    <w:p>
      <w:pPr>
        <w:ind w:firstLine="640"/>
        <w:rPr>
          <w:rFonts w:ascii="仿宋_GB2312" w:hAnsi="楷体"/>
          <w:color w:val="auto"/>
          <w:szCs w:val="32"/>
        </w:rPr>
      </w:pPr>
      <w:r>
        <w:rPr>
          <w:rFonts w:hint="eastAsia" w:ascii="仿宋_GB2312" w:hAnsi="楷体"/>
          <w:color w:val="auto"/>
          <w:szCs w:val="32"/>
        </w:rPr>
        <w:t>八、政府性基金预算财政拨款收入支出决算表</w:t>
      </w:r>
    </w:p>
    <w:p>
      <w:pPr>
        <w:ind w:firstLine="640"/>
        <w:rPr>
          <w:rFonts w:hint="eastAsia" w:ascii="仿宋_GB2312" w:hAnsi="楷体"/>
          <w:color w:val="auto"/>
          <w:szCs w:val="32"/>
        </w:rPr>
      </w:pPr>
      <w:r>
        <w:rPr>
          <w:rFonts w:hint="eastAsia" w:ascii="仿宋_GB2312" w:hAnsi="楷体"/>
          <w:color w:val="auto"/>
          <w:szCs w:val="32"/>
        </w:rPr>
        <w:t>九、国有资本经营预算财政拨款支出决算表</w:t>
      </w:r>
    </w:p>
    <w:p>
      <w:pPr>
        <w:ind w:firstLine="640"/>
        <w:rPr>
          <w:rFonts w:hint="eastAsia" w:ascii="仿宋_GB2312" w:hAnsi="楷体"/>
          <w:color w:val="auto"/>
          <w:szCs w:val="32"/>
        </w:rPr>
      </w:pPr>
      <w:r>
        <w:rPr>
          <w:rFonts w:hint="eastAsia" w:ascii="仿宋_GB2312" w:hAnsi="楷体"/>
          <w:color w:val="auto"/>
          <w:szCs w:val="32"/>
        </w:rPr>
        <w:t>十、部门决算公开相关信息统计表</w:t>
      </w:r>
    </w:p>
    <w:p>
      <w:pPr>
        <w:pStyle w:val="4"/>
        <w:ind w:left="0" w:leftChars="0" w:firstLine="0" w:firstLineChars="0"/>
        <w:jc w:val="center"/>
        <w:rPr>
          <w:rFonts w:hint="eastAsia"/>
          <w:b/>
          <w:color w:val="auto"/>
          <w:sz w:val="36"/>
          <w:szCs w:val="36"/>
          <w:lang w:val="en-US" w:eastAsia="zh-CN"/>
        </w:rPr>
      </w:pPr>
      <w:bookmarkStart w:id="10" w:name="_Toc29325"/>
      <w:r>
        <w:rPr>
          <w:rFonts w:hint="eastAsia"/>
          <w:b/>
          <w:color w:val="auto"/>
          <w:sz w:val="36"/>
          <w:szCs w:val="36"/>
          <w:lang w:val="en-US" w:eastAsia="zh-CN"/>
        </w:rPr>
        <w:t>第三部分  2021年度部门决算情况说明</w:t>
      </w:r>
      <w:bookmarkEnd w:id="10"/>
    </w:p>
    <w:p>
      <w:pPr>
        <w:pStyle w:val="5"/>
        <w:rPr>
          <w:rFonts w:hint="eastAsia" w:ascii="仿宋" w:hAnsi="仿宋" w:eastAsia="仿宋" w:cs="仿宋"/>
          <w:b/>
          <w:bCs w:val="0"/>
          <w:color w:val="auto"/>
          <w:lang w:val="en-US" w:eastAsia="zh-CN"/>
        </w:rPr>
      </w:pPr>
      <w:bookmarkStart w:id="11" w:name="_Toc8717"/>
      <w:bookmarkStart w:id="12" w:name="_Toc437"/>
      <w:r>
        <w:rPr>
          <w:rFonts w:hint="eastAsia" w:ascii="仿宋" w:hAnsi="仿宋" w:eastAsia="仿宋" w:cs="仿宋"/>
          <w:b/>
          <w:bCs w:val="0"/>
          <w:color w:val="auto"/>
          <w:lang w:val="en-US" w:eastAsia="zh-CN"/>
        </w:rPr>
        <w:t>一、收入支出决算总体情况说明</w:t>
      </w:r>
      <w:bookmarkEnd w:id="11"/>
      <w:bookmarkEnd w:id="12"/>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9291.23</w:t>
      </w:r>
      <w:r>
        <w:rPr>
          <w:rFonts w:hint="eastAsia" w:ascii="仿宋_GB2312"/>
          <w:color w:val="auto"/>
          <w:szCs w:val="32"/>
        </w:rPr>
        <w:t>万元、支出总计</w:t>
      </w:r>
      <w:r>
        <w:rPr>
          <w:rFonts w:hint="eastAsia" w:ascii="仿宋_GB2312"/>
          <w:color w:val="auto"/>
          <w:szCs w:val="32"/>
          <w:lang w:val="en-US" w:eastAsia="zh-CN"/>
        </w:rPr>
        <w:t>9291.23</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年相比，收入总计减少</w:t>
      </w:r>
      <w:r>
        <w:rPr>
          <w:rFonts w:hint="eastAsia" w:ascii="仿宋_GB2312"/>
          <w:color w:val="auto"/>
          <w:szCs w:val="32"/>
          <w:lang w:val="en-US" w:eastAsia="zh-CN"/>
        </w:rPr>
        <w:t>9097.71</w:t>
      </w:r>
      <w:r>
        <w:rPr>
          <w:rFonts w:hint="eastAsia" w:ascii="仿宋_GB2312"/>
          <w:color w:val="auto"/>
          <w:szCs w:val="32"/>
        </w:rPr>
        <w:t>万元，下降</w:t>
      </w:r>
      <w:r>
        <w:rPr>
          <w:rFonts w:hint="eastAsia" w:ascii="仿宋_GB2312"/>
          <w:color w:val="auto"/>
          <w:szCs w:val="32"/>
          <w:lang w:val="en-US" w:eastAsia="zh-CN"/>
        </w:rPr>
        <w:t>49.47</w:t>
      </w:r>
      <w:r>
        <w:rPr>
          <w:rFonts w:hint="eastAsia" w:ascii="仿宋_GB2312"/>
          <w:color w:val="auto"/>
          <w:szCs w:val="32"/>
        </w:rPr>
        <w:t>%，</w:t>
      </w:r>
      <w:r>
        <w:rPr>
          <w:rFonts w:hint="eastAsia" w:ascii="仿宋_GB2312"/>
          <w:color w:val="auto"/>
          <w:szCs w:val="32"/>
          <w:lang w:val="en-US" w:eastAsia="zh-CN"/>
        </w:rPr>
        <w:t>2021年</w:t>
      </w:r>
      <w:r>
        <w:rPr>
          <w:rFonts w:ascii="仿宋_GB2312"/>
          <w:color w:val="auto"/>
          <w:szCs w:val="32"/>
        </w:rPr>
        <w:t>支出总计</w:t>
      </w:r>
      <w:r>
        <w:rPr>
          <w:rFonts w:hint="eastAsia" w:ascii="仿宋_GB2312"/>
          <w:color w:val="auto"/>
          <w:szCs w:val="32"/>
          <w:lang w:val="en-US" w:eastAsia="zh-CN"/>
        </w:rPr>
        <w:t>9291.23万元，较上年</w:t>
      </w:r>
      <w:r>
        <w:rPr>
          <w:rFonts w:ascii="仿宋_GB2312"/>
          <w:color w:val="auto"/>
          <w:szCs w:val="32"/>
        </w:rPr>
        <w:t>减少</w:t>
      </w:r>
      <w:r>
        <w:rPr>
          <w:rFonts w:hint="eastAsia" w:ascii="仿宋_GB2312"/>
          <w:color w:val="auto"/>
          <w:szCs w:val="32"/>
          <w:lang w:val="en-US" w:eastAsia="zh-CN"/>
        </w:rPr>
        <w:t>9097.71</w:t>
      </w:r>
      <w:r>
        <w:rPr>
          <w:rFonts w:hint="eastAsia" w:ascii="仿宋_GB2312"/>
          <w:color w:val="auto"/>
          <w:szCs w:val="32"/>
        </w:rPr>
        <w:t>万元</w:t>
      </w:r>
      <w:r>
        <w:rPr>
          <w:rFonts w:ascii="仿宋_GB2312"/>
          <w:color w:val="auto"/>
          <w:szCs w:val="32"/>
        </w:rPr>
        <w:t>，下降</w:t>
      </w:r>
      <w:r>
        <w:rPr>
          <w:rFonts w:hint="eastAsia" w:ascii="仿宋_GB2312"/>
          <w:color w:val="auto"/>
          <w:szCs w:val="32"/>
          <w:lang w:val="en-US" w:eastAsia="zh-CN"/>
        </w:rPr>
        <w:t>49.47</w:t>
      </w:r>
      <w:r>
        <w:rPr>
          <w:rFonts w:ascii="仿宋_GB2312"/>
          <w:color w:val="auto"/>
          <w:szCs w:val="32"/>
        </w:rPr>
        <w:t>%</w:t>
      </w:r>
      <w:r>
        <w:rPr>
          <w:rFonts w:hint="eastAsia" w:ascii="仿宋_GB2312"/>
          <w:color w:val="auto"/>
          <w:szCs w:val="32"/>
        </w:rPr>
        <w:t>。主要原因是</w:t>
      </w:r>
      <w:r>
        <w:rPr>
          <w:rFonts w:hint="eastAsia" w:ascii="仿宋_GB2312"/>
          <w:color w:val="auto"/>
          <w:szCs w:val="32"/>
          <w:lang w:val="en-US" w:eastAsia="zh-CN"/>
        </w:rPr>
        <w:t>本年退耕还林还草项目较上年减少1929.25万元，森态护林员项目减少485万元，山水林田湖草项目减少近5600万元，上级投资造林绿化项目减少2500万元</w:t>
      </w:r>
      <w:r>
        <w:rPr>
          <w:rFonts w:hint="eastAsia" w:ascii="仿宋_GB2312"/>
          <w:color w:val="auto"/>
          <w:szCs w:val="32"/>
        </w:rPr>
        <w:t>。</w:t>
      </w:r>
    </w:p>
    <w:p>
      <w:pPr>
        <w:pStyle w:val="5"/>
        <w:rPr>
          <w:rFonts w:hint="eastAsia" w:ascii="仿宋" w:hAnsi="仿宋" w:eastAsia="仿宋" w:cs="仿宋"/>
          <w:b/>
          <w:bCs w:val="0"/>
          <w:color w:val="auto"/>
          <w:lang w:val="en-US" w:eastAsia="zh-CN"/>
        </w:rPr>
      </w:pPr>
      <w:bookmarkStart w:id="13" w:name="_Toc16754"/>
      <w:bookmarkStart w:id="14" w:name="_Toc17404"/>
      <w:r>
        <w:rPr>
          <w:rFonts w:hint="eastAsia" w:ascii="仿宋" w:hAnsi="仿宋" w:eastAsia="仿宋" w:cs="仿宋"/>
          <w:b/>
          <w:bCs w:val="0"/>
          <w:color w:val="auto"/>
          <w:lang w:val="en-US" w:eastAsia="zh-CN"/>
        </w:rPr>
        <w:t>二、收入决算情况说明</w:t>
      </w:r>
      <w:bookmarkEnd w:id="13"/>
      <w:bookmarkEnd w:id="14"/>
    </w:p>
    <w:p>
      <w:pPr>
        <w:spacing w:line="580" w:lineRule="exact"/>
        <w:ind w:firstLine="640"/>
        <w:rPr>
          <w:rFonts w:hint="eastAsia" w:ascii="仿宋_GB2312"/>
          <w:color w:val="auto"/>
          <w:szCs w:val="32"/>
        </w:rPr>
      </w:pPr>
      <w:r>
        <w:rPr>
          <w:rFonts w:hint="eastAsia" w:ascii="仿宋_GB2312"/>
          <w:color w:val="auto"/>
          <w:szCs w:val="32"/>
        </w:rPr>
        <w:t>本年收入合计</w:t>
      </w:r>
      <w:r>
        <w:rPr>
          <w:rFonts w:hint="eastAsia" w:ascii="仿宋_GB2312"/>
          <w:color w:val="auto"/>
          <w:szCs w:val="32"/>
          <w:lang w:val="en-US" w:eastAsia="zh-CN"/>
        </w:rPr>
        <w:t>9291.23</w:t>
      </w:r>
      <w:r>
        <w:rPr>
          <w:rFonts w:hint="eastAsia" w:ascii="仿宋_GB2312"/>
          <w:color w:val="auto"/>
          <w:szCs w:val="32"/>
        </w:rPr>
        <w:t>万元，其中：财政拨款收入</w:t>
      </w:r>
      <w:r>
        <w:rPr>
          <w:rFonts w:hint="eastAsia" w:ascii="仿宋_GB2312"/>
          <w:color w:val="auto"/>
          <w:szCs w:val="32"/>
          <w:lang w:val="en-US" w:eastAsia="zh-CN"/>
        </w:rPr>
        <w:t>9291.23</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%；上级补助收入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%；事业收入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r>
        <w:rPr>
          <w:rFonts w:hint="eastAsia" w:ascii="仿宋_GB2312"/>
          <w:color w:val="auto"/>
          <w:szCs w:val="32"/>
          <w:lang w:eastAsia="zh-CN"/>
        </w:rPr>
        <w:t>。</w:t>
      </w:r>
      <w:r>
        <w:rPr>
          <w:rFonts w:hint="eastAsia" w:ascii="仿宋_GB2312"/>
          <w:color w:val="auto"/>
          <w:szCs w:val="32"/>
        </w:rPr>
        <w:t>附属单位上缴收入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%；其他收入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pStyle w:val="5"/>
        <w:rPr>
          <w:rFonts w:hint="eastAsia" w:ascii="仿宋" w:hAnsi="仿宋" w:eastAsia="仿宋" w:cs="仿宋"/>
          <w:b/>
          <w:bCs w:val="0"/>
          <w:color w:val="auto"/>
          <w:lang w:val="en-US" w:eastAsia="zh-CN"/>
        </w:rPr>
      </w:pPr>
      <w:bookmarkStart w:id="15" w:name="_Toc9596"/>
      <w:bookmarkStart w:id="16" w:name="_Toc22098"/>
      <w:r>
        <w:rPr>
          <w:rFonts w:hint="eastAsia" w:ascii="仿宋" w:hAnsi="仿宋" w:eastAsia="仿宋" w:cs="仿宋"/>
          <w:b/>
          <w:bCs w:val="0"/>
          <w:color w:val="auto"/>
          <w:lang w:val="en-US" w:eastAsia="zh-CN"/>
        </w:rPr>
        <w:t>三、支出决算情况说明</w:t>
      </w:r>
      <w:bookmarkEnd w:id="15"/>
      <w:bookmarkEnd w:id="16"/>
    </w:p>
    <w:p>
      <w:pPr>
        <w:spacing w:line="580" w:lineRule="exact"/>
        <w:ind w:firstLine="640"/>
        <w:rPr>
          <w:rFonts w:hint="eastAsia" w:ascii="仿宋_GB2312"/>
          <w:color w:val="auto"/>
          <w:szCs w:val="32"/>
        </w:rPr>
      </w:pPr>
      <w:r>
        <w:rPr>
          <w:rFonts w:hint="eastAsia" w:ascii="仿宋_GB2312"/>
          <w:color w:val="auto"/>
          <w:szCs w:val="32"/>
        </w:rPr>
        <w:t>本年支出合计</w:t>
      </w:r>
      <w:r>
        <w:rPr>
          <w:rFonts w:hint="eastAsia" w:ascii="仿宋_GB2312"/>
          <w:color w:val="auto"/>
          <w:szCs w:val="32"/>
          <w:lang w:val="en-US" w:eastAsia="zh-CN"/>
        </w:rPr>
        <w:t>9291.23</w:t>
      </w:r>
      <w:r>
        <w:rPr>
          <w:rFonts w:hint="eastAsia" w:ascii="仿宋_GB2312"/>
          <w:color w:val="auto"/>
          <w:szCs w:val="32"/>
        </w:rPr>
        <w:t>万元，其中：基本支出</w:t>
      </w:r>
      <w:r>
        <w:rPr>
          <w:rFonts w:hint="eastAsia" w:ascii="仿宋_GB2312"/>
          <w:color w:val="auto"/>
          <w:szCs w:val="32"/>
          <w:lang w:val="en-US" w:eastAsia="zh-CN"/>
        </w:rPr>
        <w:t>803.51</w:t>
      </w:r>
      <w:r>
        <w:rPr>
          <w:rFonts w:hint="eastAsia" w:ascii="仿宋_GB2312"/>
          <w:color w:val="auto"/>
          <w:szCs w:val="32"/>
        </w:rPr>
        <w:t>万元，占比</w:t>
      </w:r>
      <w:r>
        <w:rPr>
          <w:rFonts w:hint="eastAsia" w:ascii="仿宋_GB2312"/>
          <w:color w:val="auto"/>
          <w:szCs w:val="32"/>
          <w:lang w:val="en-US" w:eastAsia="zh-CN"/>
        </w:rPr>
        <w:t>8.64</w:t>
      </w:r>
      <w:r>
        <w:rPr>
          <w:rFonts w:hint="eastAsia" w:ascii="仿宋_GB2312"/>
          <w:color w:val="auto"/>
          <w:szCs w:val="32"/>
        </w:rPr>
        <w:t>%；项目支出</w:t>
      </w:r>
      <w:r>
        <w:rPr>
          <w:rFonts w:hint="eastAsia" w:ascii="仿宋_GB2312"/>
          <w:color w:val="auto"/>
          <w:szCs w:val="32"/>
          <w:lang w:val="en-US" w:eastAsia="zh-CN"/>
        </w:rPr>
        <w:t>8487.73</w:t>
      </w:r>
      <w:r>
        <w:rPr>
          <w:rFonts w:hint="eastAsia" w:ascii="仿宋_GB2312"/>
          <w:color w:val="auto"/>
          <w:szCs w:val="32"/>
        </w:rPr>
        <w:t>万元，占比</w:t>
      </w:r>
      <w:r>
        <w:rPr>
          <w:rFonts w:hint="eastAsia" w:ascii="仿宋_GB2312"/>
          <w:color w:val="auto"/>
          <w:szCs w:val="32"/>
          <w:lang w:val="en-US" w:eastAsia="zh-CN"/>
        </w:rPr>
        <w:t>91.35</w:t>
      </w:r>
      <w:r>
        <w:rPr>
          <w:rFonts w:hint="eastAsia" w:ascii="仿宋_GB2312"/>
          <w:color w:val="auto"/>
          <w:szCs w:val="32"/>
        </w:rPr>
        <w:t>%，上缴上级支出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%,对附属单位补助支出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pStyle w:val="5"/>
        <w:rPr>
          <w:rFonts w:hint="eastAsia" w:ascii="仿宋" w:hAnsi="仿宋" w:eastAsia="仿宋" w:cs="仿宋"/>
          <w:b/>
          <w:bCs w:val="0"/>
          <w:color w:val="auto"/>
          <w:lang w:val="en-US" w:eastAsia="zh-CN"/>
        </w:rPr>
      </w:pPr>
      <w:bookmarkStart w:id="17" w:name="_Toc4614"/>
      <w:bookmarkStart w:id="18" w:name="_Toc2142"/>
      <w:r>
        <w:rPr>
          <w:rFonts w:hint="eastAsia" w:ascii="仿宋" w:hAnsi="仿宋" w:eastAsia="仿宋" w:cs="仿宋"/>
          <w:b/>
          <w:bCs w:val="0"/>
          <w:color w:val="auto"/>
          <w:lang w:val="en-US" w:eastAsia="zh-CN"/>
        </w:rPr>
        <w:t>四、财政拨款收入支出决算总体情况说明</w:t>
      </w:r>
      <w:bookmarkEnd w:id="17"/>
      <w:bookmarkEnd w:id="18"/>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9291.23</w:t>
      </w:r>
      <w:r>
        <w:rPr>
          <w:rFonts w:hint="eastAsia" w:ascii="仿宋_GB2312"/>
          <w:color w:val="auto"/>
          <w:szCs w:val="32"/>
        </w:rPr>
        <w:t>万元、支出总计</w:t>
      </w:r>
      <w:r>
        <w:rPr>
          <w:rFonts w:hint="eastAsia" w:ascii="仿宋_GB2312"/>
          <w:color w:val="auto"/>
          <w:szCs w:val="32"/>
          <w:lang w:val="en-US" w:eastAsia="zh-CN"/>
        </w:rPr>
        <w:t>9291.23</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年相比，财政拨款收入总计减少</w:t>
      </w:r>
      <w:r>
        <w:rPr>
          <w:rFonts w:hint="eastAsia" w:ascii="仿宋_GB2312"/>
          <w:color w:val="auto"/>
          <w:szCs w:val="32"/>
          <w:lang w:val="en-US" w:eastAsia="zh-CN"/>
        </w:rPr>
        <w:t>9071.71</w:t>
      </w:r>
      <w:r>
        <w:rPr>
          <w:rFonts w:hint="eastAsia" w:ascii="仿宋_GB2312"/>
          <w:color w:val="auto"/>
          <w:szCs w:val="32"/>
        </w:rPr>
        <w:t>万元，下降</w:t>
      </w:r>
      <w:r>
        <w:rPr>
          <w:rFonts w:hint="eastAsia" w:ascii="仿宋_GB2312"/>
          <w:color w:val="auto"/>
          <w:szCs w:val="32"/>
          <w:lang w:val="en-US" w:eastAsia="zh-CN"/>
        </w:rPr>
        <w:t>49.47</w:t>
      </w:r>
      <w:r>
        <w:rPr>
          <w:rFonts w:hint="eastAsia" w:ascii="仿宋_GB2312"/>
          <w:color w:val="auto"/>
          <w:szCs w:val="32"/>
        </w:rPr>
        <w:t>%，财政拨款支出总计减少</w:t>
      </w:r>
      <w:r>
        <w:rPr>
          <w:rFonts w:hint="eastAsia" w:ascii="仿宋_GB2312"/>
          <w:color w:val="auto"/>
          <w:szCs w:val="32"/>
          <w:lang w:val="en-US" w:eastAsia="zh-CN"/>
        </w:rPr>
        <w:t>9071.71</w:t>
      </w:r>
      <w:r>
        <w:rPr>
          <w:rFonts w:hint="eastAsia" w:ascii="仿宋_GB2312"/>
          <w:color w:val="auto"/>
          <w:szCs w:val="32"/>
        </w:rPr>
        <w:t>万元，下降</w:t>
      </w:r>
      <w:r>
        <w:rPr>
          <w:rFonts w:hint="eastAsia" w:ascii="仿宋_GB2312"/>
          <w:color w:val="auto"/>
          <w:szCs w:val="32"/>
          <w:lang w:val="en-US" w:eastAsia="zh-CN"/>
        </w:rPr>
        <w:t>49.47</w:t>
      </w:r>
      <w:r>
        <w:rPr>
          <w:rFonts w:hint="eastAsia" w:ascii="仿宋_GB2312"/>
          <w:color w:val="auto"/>
          <w:szCs w:val="32"/>
        </w:rPr>
        <w:t>XX%。主要原因是</w:t>
      </w:r>
      <w:r>
        <w:rPr>
          <w:rFonts w:hint="eastAsia" w:ascii="仿宋_GB2312"/>
          <w:color w:val="auto"/>
          <w:szCs w:val="32"/>
          <w:lang w:val="en-US" w:eastAsia="zh-CN"/>
        </w:rPr>
        <w:t>本年退耕还林还草项目较上年减少1929.25万元，森态护林员项目减少485万元，山水林田湖草项目减少近5600万元，上级投资造林绿化项目减少2500万元</w:t>
      </w:r>
      <w:r>
        <w:rPr>
          <w:rFonts w:hint="eastAsia" w:ascii="仿宋_GB2312"/>
          <w:color w:val="auto"/>
          <w:szCs w:val="32"/>
        </w:rPr>
        <w:t>。</w:t>
      </w:r>
    </w:p>
    <w:p>
      <w:pPr>
        <w:pStyle w:val="5"/>
        <w:rPr>
          <w:rFonts w:hint="eastAsia" w:ascii="仿宋" w:hAnsi="仿宋" w:eastAsia="仿宋" w:cs="仿宋"/>
          <w:b/>
          <w:bCs w:val="0"/>
          <w:color w:val="auto"/>
          <w:lang w:val="en-US" w:eastAsia="zh-CN"/>
        </w:rPr>
      </w:pPr>
      <w:bookmarkStart w:id="19" w:name="_Toc9341"/>
      <w:bookmarkStart w:id="20" w:name="_Toc6501"/>
      <w:r>
        <w:rPr>
          <w:rFonts w:hint="eastAsia" w:ascii="仿宋" w:hAnsi="仿宋" w:eastAsia="仿宋" w:cs="仿宋"/>
          <w:b/>
          <w:bCs w:val="0"/>
          <w:color w:val="auto"/>
          <w:lang w:val="en-US" w:eastAsia="zh-CN"/>
        </w:rPr>
        <w:t>五、一般公共预算财政拨款支出决算情况说明</w:t>
      </w:r>
      <w:bookmarkEnd w:id="19"/>
      <w:bookmarkEnd w:id="20"/>
    </w:p>
    <w:p>
      <w:pPr>
        <w:spacing w:line="580" w:lineRule="exact"/>
        <w:ind w:firstLine="643"/>
        <w:rPr>
          <w:rFonts w:hint="eastAsia" w:ascii="仿宋_GB2312"/>
          <w:b/>
          <w:color w:val="auto"/>
          <w:szCs w:val="32"/>
        </w:rPr>
      </w:pPr>
      <w:r>
        <w:rPr>
          <w:rFonts w:hint="eastAsia" w:ascii="仿宋_GB2312"/>
          <w:b/>
          <w:color w:val="auto"/>
          <w:szCs w:val="32"/>
        </w:rPr>
        <w:t>（一）财政拨款支出决算总体情况</w:t>
      </w:r>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9291.23</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年相比，财政拨款支出减少</w:t>
      </w:r>
      <w:r>
        <w:rPr>
          <w:rFonts w:hint="eastAsia" w:ascii="仿宋_GB2312"/>
          <w:color w:val="auto"/>
          <w:szCs w:val="32"/>
          <w:lang w:val="en-US" w:eastAsia="zh-CN"/>
        </w:rPr>
        <w:t>9071.71</w:t>
      </w:r>
      <w:r>
        <w:rPr>
          <w:rFonts w:hint="eastAsia" w:ascii="仿宋_GB2312"/>
          <w:color w:val="auto"/>
          <w:szCs w:val="32"/>
        </w:rPr>
        <w:t>万元，下降</w:t>
      </w:r>
      <w:r>
        <w:rPr>
          <w:rFonts w:hint="eastAsia" w:ascii="仿宋_GB2312"/>
          <w:color w:val="auto"/>
          <w:szCs w:val="32"/>
          <w:lang w:val="en-US" w:eastAsia="zh-CN"/>
        </w:rPr>
        <w:t>49.47</w:t>
      </w:r>
      <w:r>
        <w:rPr>
          <w:rFonts w:hint="eastAsia" w:ascii="仿宋_GB2312"/>
          <w:color w:val="auto"/>
          <w:szCs w:val="32"/>
        </w:rPr>
        <w:t>%。主要原因是</w:t>
      </w:r>
      <w:r>
        <w:rPr>
          <w:rFonts w:hint="eastAsia" w:ascii="仿宋_GB2312"/>
          <w:color w:val="auto"/>
          <w:szCs w:val="32"/>
          <w:lang w:val="en-US" w:eastAsia="zh-CN"/>
        </w:rPr>
        <w:t>本年退耕还林还草项目较上年减少1929.25万元，森态护林员项目减少485万元，山水林田湖草项目减少近5600万元，上级投资造林绿化项目减少2500万元</w:t>
      </w:r>
      <w:r>
        <w:rPr>
          <w:rFonts w:hint="eastAsia" w:ascii="仿宋_GB2312"/>
          <w:color w:val="auto"/>
          <w:szCs w:val="32"/>
        </w:rPr>
        <w:t>。其中，</w:t>
      </w:r>
      <w:r>
        <w:rPr>
          <w:rFonts w:hint="eastAsia" w:ascii="仿宋_GB2312"/>
          <w:color w:val="auto"/>
          <w:szCs w:val="32"/>
          <w:lang w:val="en-US" w:eastAsia="zh-CN"/>
        </w:rPr>
        <w:t>政府性基金预算支出228.85</w:t>
      </w:r>
      <w:r>
        <w:rPr>
          <w:rFonts w:hint="eastAsia" w:ascii="仿宋_GB2312"/>
          <w:color w:val="auto"/>
          <w:szCs w:val="32"/>
        </w:rPr>
        <w:t>万元，占</w:t>
      </w:r>
      <w:r>
        <w:rPr>
          <w:rFonts w:hint="eastAsia" w:ascii="仿宋_GB2312"/>
          <w:color w:val="auto"/>
          <w:szCs w:val="32"/>
          <w:lang w:val="en-US" w:eastAsia="zh-CN"/>
        </w:rPr>
        <w:t>2.5</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9291.23</w:t>
      </w:r>
      <w:r>
        <w:rPr>
          <w:rFonts w:hint="eastAsia" w:ascii="仿宋_GB2312"/>
          <w:color w:val="auto"/>
          <w:szCs w:val="32"/>
        </w:rPr>
        <w:t>万元</w:t>
      </w:r>
      <w:r>
        <w:rPr>
          <w:rFonts w:ascii="仿宋_GB2312"/>
          <w:color w:val="auto"/>
          <w:szCs w:val="32"/>
        </w:rPr>
        <w:t>，主要用于以下方面：</w:t>
      </w:r>
      <w:r>
        <w:rPr>
          <w:rFonts w:hint="eastAsia" w:ascii="仿宋_GB2312"/>
          <w:b/>
          <w:color w:val="auto"/>
          <w:szCs w:val="32"/>
        </w:rPr>
        <w:t>节能</w:t>
      </w:r>
      <w:r>
        <w:rPr>
          <w:rFonts w:ascii="仿宋_GB2312"/>
          <w:b/>
          <w:color w:val="auto"/>
          <w:szCs w:val="32"/>
        </w:rPr>
        <w:t>环保（</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2620.41</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28.2</w:t>
      </w:r>
      <w:r>
        <w:rPr>
          <w:rFonts w:ascii="仿宋_GB2312"/>
          <w:color w:val="auto"/>
          <w:szCs w:val="32"/>
        </w:rPr>
        <w:t>%；</w:t>
      </w:r>
      <w:r>
        <w:rPr>
          <w:rFonts w:hint="eastAsia" w:ascii="仿宋_GB2312"/>
          <w:b/>
          <w:color w:val="auto"/>
          <w:szCs w:val="32"/>
        </w:rPr>
        <w:t>城乡社区</w:t>
      </w:r>
      <w:r>
        <w:rPr>
          <w:rFonts w:ascii="仿宋_GB2312"/>
          <w:b/>
          <w:color w:val="auto"/>
          <w:szCs w:val="32"/>
        </w:rPr>
        <w:t>（</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228.85</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2.5</w:t>
      </w:r>
      <w:r>
        <w:rPr>
          <w:rFonts w:ascii="仿宋_GB2312"/>
          <w:color w:val="auto"/>
          <w:szCs w:val="32"/>
        </w:rPr>
        <w:t>%；</w:t>
      </w:r>
      <w:r>
        <w:rPr>
          <w:rFonts w:hint="eastAsia" w:ascii="仿宋_GB2312"/>
          <w:b/>
          <w:color w:val="auto"/>
          <w:szCs w:val="32"/>
        </w:rPr>
        <w:t>农林水</w:t>
      </w:r>
      <w:r>
        <w:rPr>
          <w:rFonts w:ascii="仿宋_GB2312"/>
          <w:b/>
          <w:color w:val="auto"/>
          <w:szCs w:val="32"/>
        </w:rPr>
        <w:t>（</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6220.46</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66.95</w:t>
      </w:r>
      <w:r>
        <w:rPr>
          <w:rFonts w:ascii="仿宋_GB2312"/>
          <w:color w:val="auto"/>
          <w:szCs w:val="32"/>
        </w:rPr>
        <w:t>%；</w:t>
      </w:r>
      <w:r>
        <w:rPr>
          <w:rFonts w:hint="eastAsia" w:ascii="仿宋_GB2312"/>
          <w:b/>
          <w:color w:val="auto"/>
          <w:szCs w:val="32"/>
        </w:rPr>
        <w:t>灾害防治</w:t>
      </w:r>
      <w:r>
        <w:rPr>
          <w:rFonts w:ascii="仿宋_GB2312"/>
          <w:b/>
          <w:color w:val="auto"/>
          <w:szCs w:val="32"/>
        </w:rPr>
        <w:t>及应急管理（</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221.51</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2.38</w:t>
      </w:r>
      <w:r>
        <w:rPr>
          <w:rFonts w:ascii="仿宋_GB2312"/>
          <w:color w:val="auto"/>
          <w:szCs w:val="32"/>
        </w:rPr>
        <w:t>%；</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color w:val="auto"/>
          <w:szCs w:val="32"/>
          <w:lang w:val="en-US" w:eastAsia="zh-CN"/>
        </w:rPr>
        <w:t>9291.23</w:t>
      </w:r>
      <w:r>
        <w:rPr>
          <w:rFonts w:hint="eastAsia"/>
          <w:color w:val="auto"/>
          <w:szCs w:val="32"/>
        </w:rPr>
        <w:t>万元，支出决算</w:t>
      </w:r>
      <w:r>
        <w:rPr>
          <w:rFonts w:hint="eastAsia"/>
          <w:color w:val="auto"/>
          <w:szCs w:val="32"/>
          <w:lang w:val="en-US" w:eastAsia="zh-CN"/>
        </w:rPr>
        <w:t>9291.23</w:t>
      </w:r>
      <w:r>
        <w:rPr>
          <w:rFonts w:hint="eastAsia"/>
          <w:color w:val="auto"/>
          <w:szCs w:val="32"/>
        </w:rPr>
        <w:t>万元，完成年初预算的</w:t>
      </w:r>
      <w:r>
        <w:rPr>
          <w:rFonts w:hint="eastAsia"/>
          <w:color w:val="auto"/>
          <w:szCs w:val="32"/>
          <w:lang w:val="en-US" w:eastAsia="zh-CN"/>
        </w:rPr>
        <w:t>100</w:t>
      </w:r>
      <w:r>
        <w:rPr>
          <w:color w:val="auto"/>
          <w:szCs w:val="32"/>
        </w:rPr>
        <w:t>%</w:t>
      </w:r>
      <w:r>
        <w:rPr>
          <w:rFonts w:hint="eastAsia"/>
          <w:color w:val="auto"/>
          <w:szCs w:val="32"/>
        </w:rPr>
        <w:t>。其中：</w:t>
      </w:r>
    </w:p>
    <w:p>
      <w:pPr>
        <w:numPr>
          <w:ilvl w:val="0"/>
          <w:numId w:val="0"/>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按功能科目分类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宋体" w:hAnsi="宋体" w:cs="Arial"/>
          <w:b/>
          <w:color w:val="auto"/>
          <w:kern w:val="0"/>
          <w:sz w:val="30"/>
          <w:szCs w:val="30"/>
        </w:rPr>
      </w:pPr>
      <w:r>
        <w:rPr>
          <w:rFonts w:hint="eastAsia" w:ascii="仿宋_GB2312" w:eastAsia="仿宋_GB2312"/>
          <w:color w:val="auto"/>
          <w:sz w:val="32"/>
          <w:szCs w:val="32"/>
        </w:rPr>
        <w:t xml:space="preserve"> </w:t>
      </w:r>
      <w:r>
        <w:rPr>
          <w:rFonts w:ascii="宋体" w:hAnsi="宋体" w:cs="Arial"/>
          <w:b/>
          <w:color w:val="auto"/>
          <w:kern w:val="0"/>
          <w:sz w:val="30"/>
          <w:szCs w:val="30"/>
        </w:rPr>
        <w:t>2</w:t>
      </w:r>
      <w:r>
        <w:rPr>
          <w:rFonts w:hint="eastAsia" w:ascii="宋体" w:hAnsi="宋体" w:cs="Arial"/>
          <w:b/>
          <w:color w:val="auto"/>
          <w:kern w:val="0"/>
          <w:sz w:val="30"/>
          <w:szCs w:val="30"/>
        </w:rPr>
        <w:t>0</w:t>
      </w:r>
      <w:r>
        <w:rPr>
          <w:rFonts w:hint="eastAsia" w:ascii="宋体" w:hAnsi="宋体" w:cs="Arial"/>
          <w:b/>
          <w:color w:val="auto"/>
          <w:kern w:val="0"/>
          <w:sz w:val="30"/>
          <w:szCs w:val="30"/>
          <w:lang w:val="en-US" w:eastAsia="zh-CN"/>
        </w:rPr>
        <w:t>21</w:t>
      </w:r>
      <w:r>
        <w:rPr>
          <w:rFonts w:hint="eastAsia" w:ascii="宋体" w:hAnsi="宋体" w:cs="Arial"/>
          <w:b/>
          <w:color w:val="auto"/>
          <w:kern w:val="0"/>
          <w:sz w:val="30"/>
          <w:szCs w:val="30"/>
        </w:rPr>
        <w:t>年度支出功能科目分类对比表    单位：</w:t>
      </w:r>
      <w:r>
        <w:rPr>
          <w:rFonts w:hint="eastAsia" w:ascii="宋体" w:hAnsi="宋体" w:cs="Arial"/>
          <w:b/>
          <w:color w:val="auto"/>
          <w:kern w:val="0"/>
          <w:sz w:val="30"/>
          <w:szCs w:val="30"/>
          <w:lang w:val="en-US" w:eastAsia="zh-CN"/>
        </w:rPr>
        <w:t>万</w:t>
      </w:r>
      <w:r>
        <w:rPr>
          <w:rFonts w:hint="eastAsia" w:ascii="宋体" w:hAnsi="宋体" w:cs="Arial"/>
          <w:b/>
          <w:color w:val="auto"/>
          <w:kern w:val="0"/>
          <w:sz w:val="30"/>
          <w:szCs w:val="30"/>
        </w:rPr>
        <w:t>元</w:t>
      </w:r>
    </w:p>
    <w:tbl>
      <w:tblPr>
        <w:tblStyle w:val="11"/>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auto"/>
                <w:kern w:val="0"/>
                <w:sz w:val="24"/>
                <w:szCs w:val="24"/>
              </w:rPr>
            </w:pPr>
            <w:r>
              <w:rPr>
                <w:rFonts w:hint="eastAsia" w:ascii="宋体" w:hAnsi="宋体" w:cs="Arial"/>
                <w:b/>
                <w:color w:val="auto"/>
                <w:kern w:val="0"/>
                <w:sz w:val="24"/>
                <w:szCs w:val="24"/>
              </w:rPr>
              <w:t>科目代码</w:t>
            </w:r>
          </w:p>
        </w:tc>
        <w:tc>
          <w:tcPr>
            <w:tcW w:w="2479" w:type="dxa"/>
            <w:vAlign w:val="top"/>
          </w:tcPr>
          <w:p>
            <w:pPr>
              <w:widowControl/>
              <w:jc w:val="both"/>
              <w:rPr>
                <w:rFonts w:hint="eastAsia" w:ascii="宋体" w:hAnsi="宋体" w:cs="Arial"/>
                <w:b/>
                <w:color w:val="auto"/>
                <w:kern w:val="0"/>
                <w:sz w:val="24"/>
                <w:szCs w:val="24"/>
              </w:rPr>
            </w:pPr>
            <w:r>
              <w:rPr>
                <w:rFonts w:hint="eastAsia" w:ascii="宋体" w:hAnsi="宋体" w:cs="Arial"/>
                <w:b/>
                <w:color w:val="auto"/>
                <w:kern w:val="0"/>
                <w:sz w:val="24"/>
                <w:szCs w:val="24"/>
              </w:rPr>
              <w:t>科目名称</w:t>
            </w:r>
          </w:p>
        </w:tc>
        <w:tc>
          <w:tcPr>
            <w:tcW w:w="1876" w:type="dxa"/>
            <w:vAlign w:val="top"/>
          </w:tcPr>
          <w:p>
            <w:pPr>
              <w:widowControl/>
              <w:jc w:val="left"/>
              <w:rPr>
                <w:rFonts w:hint="eastAsia" w:ascii="宋体" w:hAnsi="宋体" w:eastAsia="宋体" w:cs="Arial"/>
                <w:b/>
                <w:color w:val="auto"/>
                <w:kern w:val="0"/>
                <w:sz w:val="24"/>
                <w:szCs w:val="24"/>
                <w:lang w:val="en-US" w:eastAsia="zh-CN"/>
              </w:rPr>
            </w:pPr>
            <w:r>
              <w:rPr>
                <w:rFonts w:hint="eastAsia" w:ascii="宋体" w:hAnsi="宋体" w:cs="Arial"/>
                <w:b/>
                <w:color w:val="auto"/>
                <w:kern w:val="0"/>
                <w:sz w:val="24"/>
                <w:szCs w:val="24"/>
                <w:lang w:val="en-US" w:eastAsia="zh-CN"/>
              </w:rPr>
              <w:t>2020年</w:t>
            </w:r>
          </w:p>
        </w:tc>
        <w:tc>
          <w:tcPr>
            <w:tcW w:w="1684" w:type="dxa"/>
            <w:vAlign w:val="top"/>
          </w:tcPr>
          <w:p>
            <w:pPr>
              <w:widowControl/>
              <w:jc w:val="left"/>
              <w:rPr>
                <w:rFonts w:hint="default" w:ascii="宋体" w:hAnsi="宋体" w:eastAsia="宋体" w:cs="Arial"/>
                <w:b/>
                <w:color w:val="auto"/>
                <w:kern w:val="0"/>
                <w:sz w:val="24"/>
                <w:szCs w:val="24"/>
                <w:lang w:val="en-US" w:eastAsia="zh-CN"/>
              </w:rPr>
            </w:pPr>
            <w:r>
              <w:rPr>
                <w:rFonts w:hint="eastAsia" w:ascii="宋体" w:hAnsi="宋体" w:eastAsia="宋体" w:cs="Arial"/>
                <w:b/>
                <w:color w:val="auto"/>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auto"/>
                <w:kern w:val="0"/>
                <w:sz w:val="24"/>
                <w:szCs w:val="24"/>
                <w:lang w:eastAsia="zh-CN"/>
              </w:rPr>
            </w:pPr>
            <w:r>
              <w:rPr>
                <w:rFonts w:hint="eastAsia" w:ascii="宋体" w:hAnsi="宋体" w:cs="Arial"/>
                <w:b/>
                <w:color w:val="auto"/>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center"/>
              <w:rPr>
                <w:rFonts w:hint="eastAsia" w:ascii="宋体" w:hAnsi="宋体" w:cs="Arial"/>
                <w:b/>
                <w:color w:val="auto"/>
                <w:kern w:val="0"/>
                <w:sz w:val="24"/>
                <w:szCs w:val="24"/>
              </w:rPr>
            </w:pPr>
          </w:p>
        </w:tc>
        <w:tc>
          <w:tcPr>
            <w:tcW w:w="2479" w:type="dxa"/>
            <w:vAlign w:val="top"/>
          </w:tcPr>
          <w:p>
            <w:pPr>
              <w:widowControl/>
              <w:jc w:val="center"/>
              <w:rPr>
                <w:rFonts w:hint="eastAsia" w:ascii="宋体" w:hAnsi="宋体" w:eastAsia="仿宋_GB2312" w:cs="Arial"/>
                <w:b/>
                <w:color w:val="auto"/>
                <w:kern w:val="0"/>
                <w:sz w:val="24"/>
                <w:szCs w:val="24"/>
                <w:lang w:val="en-US" w:eastAsia="zh-CN"/>
              </w:rPr>
            </w:pPr>
            <w:r>
              <w:rPr>
                <w:rFonts w:hint="eastAsia" w:ascii="宋体" w:hAnsi="宋体" w:cs="Arial"/>
                <w:b/>
                <w:color w:val="auto"/>
                <w:kern w:val="0"/>
                <w:sz w:val="24"/>
                <w:szCs w:val="24"/>
                <w:lang w:val="en-US" w:eastAsia="zh-CN"/>
              </w:rPr>
              <w:t>合计</w:t>
            </w:r>
          </w:p>
        </w:tc>
        <w:tc>
          <w:tcPr>
            <w:tcW w:w="1876" w:type="dxa"/>
            <w:vAlign w:val="center"/>
          </w:tcPr>
          <w:p>
            <w:pPr>
              <w:keepNext w:val="0"/>
              <w:keepLines w:val="0"/>
              <w:widowControl/>
              <w:suppressLineNumbers w:val="0"/>
              <w:ind w:left="0" w:leftChars="0" w:firstLine="0" w:firstLineChars="0"/>
              <w:jc w:val="center"/>
              <w:textAlignment w:val="center"/>
              <w:rPr>
                <w:rFonts w:hint="eastAsia" w:ascii="宋体" w:hAnsi="宋体" w:cs="Arial"/>
                <w:b/>
                <w:color w:val="auto"/>
                <w:kern w:val="0"/>
                <w:sz w:val="24"/>
                <w:szCs w:val="24"/>
                <w:lang w:val="en-US" w:eastAsia="zh-CN"/>
              </w:rPr>
            </w:pPr>
            <w:r>
              <w:rPr>
                <w:rFonts w:hint="eastAsia" w:ascii="宋体" w:hAnsi="宋体" w:eastAsia="宋体" w:cs="宋体"/>
                <w:i w:val="0"/>
                <w:iCs w:val="0"/>
                <w:color w:val="auto"/>
                <w:kern w:val="0"/>
                <w:sz w:val="22"/>
                <w:szCs w:val="22"/>
                <w:u w:val="none"/>
                <w:lang w:val="en-US" w:eastAsia="zh-CN" w:bidi="ar"/>
              </w:rPr>
              <w:t>18388.94</w:t>
            </w:r>
          </w:p>
        </w:tc>
        <w:tc>
          <w:tcPr>
            <w:tcW w:w="1684" w:type="dxa"/>
            <w:vAlign w:val="top"/>
          </w:tcPr>
          <w:p>
            <w:pPr>
              <w:widowControl/>
              <w:jc w:val="center"/>
              <w:rPr>
                <w:rFonts w:hint="eastAsia" w:ascii="宋体" w:hAnsi="宋体" w:eastAsia="宋体" w:cs="Arial"/>
                <w:b/>
                <w:color w:val="auto"/>
                <w:kern w:val="0"/>
                <w:sz w:val="24"/>
                <w:szCs w:val="24"/>
                <w:lang w:val="en-US" w:eastAsia="zh-CN"/>
              </w:rPr>
            </w:pPr>
            <w:r>
              <w:rPr>
                <w:rFonts w:hint="eastAsia" w:ascii="宋体" w:hAnsi="宋体" w:eastAsia="宋体" w:cs="Arial"/>
                <w:b/>
                <w:color w:val="auto"/>
                <w:kern w:val="0"/>
                <w:sz w:val="24"/>
                <w:szCs w:val="24"/>
                <w:lang w:val="en-US" w:eastAsia="zh-CN"/>
              </w:rPr>
              <w:t>9291.23</w:t>
            </w:r>
          </w:p>
        </w:tc>
        <w:tc>
          <w:tcPr>
            <w:tcW w:w="1393" w:type="dxa"/>
            <w:vAlign w:val="top"/>
          </w:tcPr>
          <w:p>
            <w:pPr>
              <w:widowControl/>
              <w:ind w:left="0" w:leftChars="0" w:firstLine="0" w:firstLineChars="0"/>
              <w:jc w:val="center"/>
              <w:rPr>
                <w:rFonts w:hint="eastAsia" w:ascii="宋体" w:hAnsi="宋体" w:cs="Arial"/>
                <w:b/>
                <w:color w:val="auto"/>
                <w:kern w:val="0"/>
                <w:sz w:val="24"/>
                <w:szCs w:val="24"/>
                <w:lang w:val="en-US" w:eastAsia="zh-CN"/>
              </w:rPr>
            </w:pPr>
            <w:r>
              <w:rPr>
                <w:rFonts w:hint="eastAsia" w:ascii="宋体" w:hAnsi="宋体" w:cs="Arial"/>
                <w:b/>
                <w:color w:val="auto"/>
                <w:kern w:val="0"/>
                <w:sz w:val="24"/>
                <w:szCs w:val="24"/>
                <w:lang w:val="en-US" w:eastAsia="zh-CN"/>
              </w:rPr>
              <w:t>-49.47%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210</w:t>
            </w:r>
          </w:p>
        </w:tc>
        <w:tc>
          <w:tcPr>
            <w:tcW w:w="2479"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卫生健康支出</w:t>
            </w:r>
          </w:p>
        </w:tc>
        <w:tc>
          <w:tcPr>
            <w:tcW w:w="1876"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1</w:t>
            </w:r>
          </w:p>
        </w:tc>
        <w:tc>
          <w:tcPr>
            <w:tcW w:w="1684" w:type="dxa"/>
            <w:vAlign w:val="center"/>
          </w:tcPr>
          <w:p>
            <w:pPr>
              <w:keepNext w:val="0"/>
              <w:keepLines w:val="0"/>
              <w:widowControl/>
              <w:suppressLineNumbers w:val="0"/>
              <w:jc w:val="center"/>
              <w:textAlignment w:val="center"/>
              <w:rPr>
                <w:rFonts w:hint="eastAsia" w:ascii="仿宋" w:hAnsi="仿宋" w:eastAsia="仿宋" w:cs="仿宋"/>
                <w:color w:val="auto"/>
                <w:sz w:val="24"/>
                <w:szCs w:val="24"/>
              </w:rPr>
            </w:pPr>
          </w:p>
        </w:tc>
        <w:tc>
          <w:tcPr>
            <w:tcW w:w="1393" w:type="dxa"/>
            <w:vAlign w:val="top"/>
          </w:tcPr>
          <w:p>
            <w:pPr>
              <w:ind w:left="0" w:leftChars="0" w:firstLine="0" w:firstLineChars="0"/>
              <w:jc w:val="center"/>
              <w:rPr>
                <w:rFonts w:hint="eastAsia" w:ascii="仿宋" w:hAnsi="仿宋" w:eastAsia="仿宋" w:cs="仿宋"/>
                <w:color w:val="auto"/>
                <w:sz w:val="24"/>
                <w:szCs w:val="24"/>
                <w:lang w:val="en-US" w:eastAsia="zh-CN"/>
              </w:rPr>
            </w:pPr>
            <w:r>
              <w:rPr>
                <w:rFonts w:hint="eastAsia" w:ascii="宋体" w:hAnsi="宋体" w:cs="Arial"/>
                <w:b/>
                <w:color w:val="auto"/>
                <w:kern w:val="0"/>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21004</w:t>
            </w:r>
          </w:p>
        </w:tc>
        <w:tc>
          <w:tcPr>
            <w:tcW w:w="2479"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公共卫生</w:t>
            </w:r>
          </w:p>
        </w:tc>
        <w:tc>
          <w:tcPr>
            <w:tcW w:w="1876"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1</w:t>
            </w:r>
          </w:p>
        </w:tc>
        <w:tc>
          <w:tcPr>
            <w:tcW w:w="1684" w:type="dxa"/>
            <w:vAlign w:val="center"/>
          </w:tcPr>
          <w:p>
            <w:pPr>
              <w:keepNext w:val="0"/>
              <w:keepLines w:val="0"/>
              <w:widowControl/>
              <w:suppressLineNumbers w:val="0"/>
              <w:jc w:val="center"/>
              <w:textAlignment w:val="center"/>
              <w:rPr>
                <w:rFonts w:hint="eastAsia" w:ascii="仿宋" w:hAnsi="仿宋" w:eastAsia="仿宋" w:cs="仿宋"/>
                <w:color w:val="auto"/>
                <w:sz w:val="24"/>
                <w:szCs w:val="24"/>
              </w:rPr>
            </w:pPr>
          </w:p>
        </w:tc>
        <w:tc>
          <w:tcPr>
            <w:tcW w:w="1393" w:type="dxa"/>
            <w:vAlign w:val="top"/>
          </w:tcPr>
          <w:p>
            <w:pPr>
              <w:ind w:left="0" w:leftChars="0" w:firstLine="0" w:firstLineChars="0"/>
              <w:jc w:val="center"/>
              <w:rPr>
                <w:rFonts w:hint="eastAsia" w:ascii="仿宋" w:hAnsi="仿宋" w:eastAsia="仿宋" w:cs="仿宋"/>
                <w:color w:val="auto"/>
                <w:sz w:val="24"/>
                <w:szCs w:val="24"/>
                <w:lang w:val="en-US" w:eastAsia="zh-CN"/>
              </w:rPr>
            </w:pPr>
            <w:r>
              <w:rPr>
                <w:rFonts w:hint="eastAsia" w:ascii="宋体" w:hAnsi="宋体" w:cs="Arial"/>
                <w:b/>
                <w:color w:val="auto"/>
                <w:kern w:val="0"/>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211</w:t>
            </w:r>
          </w:p>
        </w:tc>
        <w:tc>
          <w:tcPr>
            <w:tcW w:w="2479"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节能环保支出</w:t>
            </w:r>
          </w:p>
        </w:tc>
        <w:tc>
          <w:tcPr>
            <w:tcW w:w="1876"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10592.02</w:t>
            </w:r>
          </w:p>
        </w:tc>
        <w:tc>
          <w:tcPr>
            <w:tcW w:w="1684" w:type="dxa"/>
            <w:vAlign w:val="center"/>
          </w:tcPr>
          <w:p>
            <w:pPr>
              <w:keepNext w:val="0"/>
              <w:keepLines w:val="0"/>
              <w:widowControl/>
              <w:suppressLineNumbers w:val="0"/>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2020.41</w:t>
            </w:r>
          </w:p>
        </w:tc>
        <w:tc>
          <w:tcPr>
            <w:tcW w:w="1393" w:type="dxa"/>
            <w:vAlign w:val="top"/>
          </w:tcPr>
          <w:p>
            <w:pPr>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-80.92%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21104</w:t>
            </w:r>
          </w:p>
        </w:tc>
        <w:tc>
          <w:tcPr>
            <w:tcW w:w="2479"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自然生态保护</w:t>
            </w:r>
          </w:p>
        </w:tc>
        <w:tc>
          <w:tcPr>
            <w:tcW w:w="1876"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5617.35</w:t>
            </w:r>
          </w:p>
        </w:tc>
        <w:tc>
          <w:tcPr>
            <w:tcW w:w="1684" w:type="dxa"/>
            <w:vAlign w:val="center"/>
          </w:tcPr>
          <w:p>
            <w:pPr>
              <w:keepNext w:val="0"/>
              <w:keepLines w:val="0"/>
              <w:widowControl/>
              <w:suppressLineNumbers w:val="0"/>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60</w:t>
            </w:r>
          </w:p>
        </w:tc>
        <w:tc>
          <w:tcPr>
            <w:tcW w:w="1393" w:type="dxa"/>
            <w:vAlign w:val="top"/>
          </w:tcPr>
          <w:p>
            <w:pPr>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-98.93%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2110401</w:t>
            </w:r>
          </w:p>
        </w:tc>
        <w:tc>
          <w:tcPr>
            <w:tcW w:w="2479"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生态保护</w:t>
            </w:r>
          </w:p>
        </w:tc>
        <w:tc>
          <w:tcPr>
            <w:tcW w:w="1876"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5602.35</w:t>
            </w:r>
          </w:p>
        </w:tc>
        <w:tc>
          <w:tcPr>
            <w:tcW w:w="1684" w:type="dxa"/>
            <w:vAlign w:val="center"/>
          </w:tcPr>
          <w:p>
            <w:pPr>
              <w:keepNext w:val="0"/>
              <w:keepLines w:val="0"/>
              <w:widowControl/>
              <w:suppressLineNumbers w:val="0"/>
              <w:jc w:val="center"/>
              <w:textAlignment w:val="center"/>
              <w:rPr>
                <w:rFonts w:hint="eastAsia" w:ascii="仿宋" w:hAnsi="仿宋" w:eastAsia="仿宋" w:cs="仿宋"/>
                <w:color w:val="auto"/>
                <w:sz w:val="24"/>
                <w:szCs w:val="24"/>
                <w:lang w:val="en-US" w:eastAsia="zh-CN"/>
              </w:rPr>
            </w:pPr>
          </w:p>
        </w:tc>
        <w:tc>
          <w:tcPr>
            <w:tcW w:w="1393" w:type="dxa"/>
            <w:vAlign w:val="top"/>
          </w:tcPr>
          <w:p>
            <w:pPr>
              <w:jc w:val="center"/>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ind w:firstLine="422" w:firstLineChars="200"/>
              <w:jc w:val="center"/>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2110499</w:t>
            </w:r>
          </w:p>
        </w:tc>
        <w:tc>
          <w:tcPr>
            <w:tcW w:w="2479" w:type="dxa"/>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其他自然生态保护支出</w:t>
            </w:r>
          </w:p>
        </w:tc>
        <w:tc>
          <w:tcPr>
            <w:tcW w:w="1876" w:type="dxa"/>
            <w:vAlign w:val="center"/>
          </w:tcPr>
          <w:p>
            <w:pPr>
              <w:keepNext w:val="0"/>
              <w:keepLines w:val="0"/>
              <w:widowControl/>
              <w:suppressLineNumbers w:val="0"/>
              <w:ind w:firstLine="422" w:firstLineChars="200"/>
              <w:jc w:val="center"/>
              <w:textAlignment w:val="center"/>
              <w:rPr>
                <w:rFonts w:hint="eastAsia" w:ascii="仿宋" w:hAnsi="仿宋" w:eastAsia="仿宋" w:cs="仿宋"/>
                <w:b/>
                <w:bCs/>
                <w:i w:val="0"/>
                <w:iCs w:val="0"/>
                <w:color w:val="auto"/>
                <w:kern w:val="0"/>
                <w:sz w:val="21"/>
                <w:szCs w:val="21"/>
                <w:u w:val="none"/>
                <w:lang w:val="en-US" w:eastAsia="zh-CN" w:bidi="ar"/>
              </w:rPr>
            </w:pPr>
          </w:p>
        </w:tc>
        <w:tc>
          <w:tcPr>
            <w:tcW w:w="1684" w:type="dxa"/>
            <w:vAlign w:val="center"/>
          </w:tcPr>
          <w:p>
            <w:pPr>
              <w:keepNext w:val="0"/>
              <w:keepLines w:val="0"/>
              <w:widowControl/>
              <w:suppressLineNumbers w:val="0"/>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60</w:t>
            </w:r>
          </w:p>
        </w:tc>
        <w:tc>
          <w:tcPr>
            <w:tcW w:w="1393" w:type="dxa"/>
            <w:vAlign w:val="top"/>
          </w:tcPr>
          <w:p>
            <w:pPr>
              <w:jc w:val="center"/>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2110404</w:t>
            </w:r>
          </w:p>
        </w:tc>
        <w:tc>
          <w:tcPr>
            <w:tcW w:w="2479"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生物及物种资源保护</w:t>
            </w:r>
          </w:p>
        </w:tc>
        <w:tc>
          <w:tcPr>
            <w:tcW w:w="1876"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15</w:t>
            </w:r>
          </w:p>
        </w:tc>
        <w:tc>
          <w:tcPr>
            <w:tcW w:w="1684" w:type="dxa"/>
            <w:vAlign w:val="center"/>
          </w:tcPr>
          <w:p>
            <w:pPr>
              <w:keepNext w:val="0"/>
              <w:keepLines w:val="0"/>
              <w:widowControl/>
              <w:suppressLineNumbers w:val="0"/>
              <w:jc w:val="center"/>
              <w:textAlignment w:val="center"/>
              <w:rPr>
                <w:rFonts w:hint="eastAsia" w:ascii="仿宋" w:hAnsi="仿宋" w:eastAsia="仿宋" w:cs="仿宋"/>
                <w:color w:val="auto"/>
                <w:sz w:val="24"/>
                <w:szCs w:val="24"/>
              </w:rPr>
            </w:pPr>
          </w:p>
        </w:tc>
        <w:tc>
          <w:tcPr>
            <w:tcW w:w="1393" w:type="dxa"/>
            <w:vAlign w:val="top"/>
          </w:tcPr>
          <w:p>
            <w:pPr>
              <w:jc w:val="center"/>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21106</w:t>
            </w:r>
          </w:p>
        </w:tc>
        <w:tc>
          <w:tcPr>
            <w:tcW w:w="2479"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退耕还林还草</w:t>
            </w:r>
          </w:p>
        </w:tc>
        <w:tc>
          <w:tcPr>
            <w:tcW w:w="1876"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4489.67</w:t>
            </w:r>
          </w:p>
        </w:tc>
        <w:tc>
          <w:tcPr>
            <w:tcW w:w="1684" w:type="dxa"/>
            <w:vAlign w:val="center"/>
          </w:tcPr>
          <w:p>
            <w:pPr>
              <w:keepNext w:val="0"/>
              <w:keepLines w:val="0"/>
              <w:widowControl/>
              <w:suppressLineNumbers w:val="0"/>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2560.41</w:t>
            </w:r>
          </w:p>
        </w:tc>
        <w:tc>
          <w:tcPr>
            <w:tcW w:w="1393" w:type="dxa"/>
            <w:vAlign w:val="top"/>
          </w:tcPr>
          <w:p>
            <w:pPr>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-42.97%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2110602</w:t>
            </w:r>
          </w:p>
        </w:tc>
        <w:tc>
          <w:tcPr>
            <w:tcW w:w="2479"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退耕现金</w:t>
            </w:r>
          </w:p>
        </w:tc>
        <w:tc>
          <w:tcPr>
            <w:tcW w:w="1876"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1699.67</w:t>
            </w:r>
          </w:p>
        </w:tc>
        <w:tc>
          <w:tcPr>
            <w:tcW w:w="1684" w:type="dxa"/>
            <w:vAlign w:val="center"/>
          </w:tcPr>
          <w:p>
            <w:pPr>
              <w:keepNext w:val="0"/>
              <w:keepLines w:val="0"/>
              <w:widowControl/>
              <w:suppressLineNumbers w:val="0"/>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8.94</w:t>
            </w:r>
          </w:p>
        </w:tc>
        <w:tc>
          <w:tcPr>
            <w:tcW w:w="1393" w:type="dxa"/>
            <w:vAlign w:val="top"/>
          </w:tcPr>
          <w:p>
            <w:pPr>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-99.47%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2110605</w:t>
            </w:r>
          </w:p>
        </w:tc>
        <w:tc>
          <w:tcPr>
            <w:tcW w:w="2479" w:type="dxa"/>
            <w:vAlign w:val="center"/>
          </w:tcPr>
          <w:p>
            <w:pPr>
              <w:keepNext w:val="0"/>
              <w:keepLines w:val="0"/>
              <w:widowControl/>
              <w:suppressLineNumbers w:val="0"/>
              <w:jc w:val="center"/>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退耕还林工程建设</w:t>
            </w:r>
          </w:p>
        </w:tc>
        <w:tc>
          <w:tcPr>
            <w:tcW w:w="1876"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1240</w:t>
            </w:r>
          </w:p>
        </w:tc>
        <w:tc>
          <w:tcPr>
            <w:tcW w:w="1684" w:type="dxa"/>
            <w:vAlign w:val="top"/>
          </w:tcPr>
          <w:p>
            <w:pPr>
              <w:jc w:val="center"/>
              <w:rPr>
                <w:rFonts w:hint="eastAsia" w:ascii="仿宋" w:hAnsi="仿宋" w:eastAsia="仿宋" w:cs="仿宋"/>
                <w:color w:val="auto"/>
                <w:sz w:val="24"/>
                <w:szCs w:val="24"/>
                <w:lang w:val="en-US" w:eastAsia="zh-CN"/>
              </w:rPr>
            </w:pPr>
          </w:p>
        </w:tc>
        <w:tc>
          <w:tcPr>
            <w:tcW w:w="1393" w:type="dxa"/>
            <w:vAlign w:val="top"/>
          </w:tcPr>
          <w:p>
            <w:pPr>
              <w:jc w:val="center"/>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2110699</w:t>
            </w:r>
          </w:p>
        </w:tc>
        <w:tc>
          <w:tcPr>
            <w:tcW w:w="2479" w:type="dxa"/>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b/>
                <w:bCs/>
                <w:i w:val="0"/>
                <w:iCs w:val="0"/>
                <w:color w:val="auto"/>
                <w:kern w:val="0"/>
                <w:sz w:val="21"/>
                <w:szCs w:val="21"/>
                <w:u w:val="none"/>
                <w:lang w:val="en-US" w:eastAsia="zh-CN" w:bidi="ar"/>
              </w:rPr>
              <w:t>其他退耕还林还草支出</w:t>
            </w:r>
          </w:p>
        </w:tc>
        <w:tc>
          <w:tcPr>
            <w:tcW w:w="1876" w:type="dxa"/>
            <w:vAlign w:val="center"/>
          </w:tcPr>
          <w:p>
            <w:pPr>
              <w:keepNext w:val="0"/>
              <w:keepLines w:val="0"/>
              <w:widowControl/>
              <w:suppressLineNumbers w:val="0"/>
              <w:ind w:firstLine="440" w:firstLineChars="200"/>
              <w:jc w:val="center"/>
              <w:textAlignment w:val="center"/>
              <w:rPr>
                <w:rFonts w:hint="eastAsia" w:ascii="仿宋" w:hAnsi="仿宋" w:eastAsia="仿宋" w:cs="仿宋"/>
                <w:i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1550</w:t>
            </w:r>
          </w:p>
        </w:tc>
        <w:tc>
          <w:tcPr>
            <w:tcW w:w="1684" w:type="dxa"/>
            <w:vAlign w:val="center"/>
          </w:tcPr>
          <w:p>
            <w:pPr>
              <w:keepNext w:val="0"/>
              <w:keepLines w:val="0"/>
              <w:widowControl/>
              <w:suppressLineNumbers w:val="0"/>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2551.47</w:t>
            </w:r>
          </w:p>
        </w:tc>
        <w:tc>
          <w:tcPr>
            <w:tcW w:w="1393" w:type="dxa"/>
            <w:vAlign w:val="top"/>
          </w:tcPr>
          <w:p>
            <w:pPr>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64.61%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21199</w:t>
            </w:r>
          </w:p>
        </w:tc>
        <w:tc>
          <w:tcPr>
            <w:tcW w:w="2479"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lang w:val="en-US" w:eastAsia="zh-CN"/>
              </w:rPr>
            </w:pPr>
            <w:r>
              <w:rPr>
                <w:rFonts w:hint="eastAsia" w:ascii="宋体" w:hAnsi="宋体" w:eastAsia="宋体" w:cs="宋体"/>
                <w:i w:val="0"/>
                <w:iCs w:val="0"/>
                <w:color w:val="auto"/>
                <w:kern w:val="0"/>
                <w:sz w:val="22"/>
                <w:szCs w:val="22"/>
                <w:u w:val="none"/>
                <w:lang w:val="en-US" w:eastAsia="zh-CN" w:bidi="ar"/>
              </w:rPr>
              <w:t>其他节能环保支出</w:t>
            </w:r>
          </w:p>
        </w:tc>
        <w:tc>
          <w:tcPr>
            <w:tcW w:w="1876" w:type="dxa"/>
            <w:vAlign w:val="center"/>
          </w:tcPr>
          <w:p>
            <w:pPr>
              <w:keepNext w:val="0"/>
              <w:keepLines w:val="0"/>
              <w:widowControl/>
              <w:suppressLineNumbers w:val="0"/>
              <w:ind w:firstLine="440" w:firstLineChars="200"/>
              <w:jc w:val="center"/>
              <w:textAlignment w:val="center"/>
              <w:rPr>
                <w:rFonts w:hint="eastAsia" w:ascii="仿宋" w:hAnsi="仿宋" w:eastAsia="仿宋" w:cs="仿宋"/>
                <w:i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485</w:t>
            </w:r>
          </w:p>
        </w:tc>
        <w:tc>
          <w:tcPr>
            <w:tcW w:w="1684" w:type="dxa"/>
            <w:vAlign w:val="center"/>
          </w:tcPr>
          <w:p>
            <w:pPr>
              <w:keepNext w:val="0"/>
              <w:keepLines w:val="0"/>
              <w:widowControl/>
              <w:suppressLineNumbers w:val="0"/>
              <w:jc w:val="center"/>
              <w:textAlignment w:val="center"/>
              <w:rPr>
                <w:rFonts w:hint="eastAsia" w:ascii="仿宋" w:hAnsi="仿宋" w:eastAsia="仿宋" w:cs="仿宋"/>
                <w:color w:val="auto"/>
                <w:sz w:val="24"/>
                <w:szCs w:val="24"/>
                <w:lang w:val="en-US" w:eastAsia="zh-CN"/>
              </w:rPr>
            </w:pPr>
          </w:p>
        </w:tc>
        <w:tc>
          <w:tcPr>
            <w:tcW w:w="1393" w:type="dxa"/>
            <w:vAlign w:val="top"/>
          </w:tcPr>
          <w:p>
            <w:pPr>
              <w:jc w:val="center"/>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2119901</w:t>
            </w:r>
          </w:p>
        </w:tc>
        <w:tc>
          <w:tcPr>
            <w:tcW w:w="2479" w:type="dxa"/>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color w:val="auto"/>
                <w:sz w:val="24"/>
                <w:szCs w:val="24"/>
                <w:lang w:val="en-US" w:eastAsia="zh-CN"/>
              </w:rPr>
            </w:pPr>
            <w:r>
              <w:rPr>
                <w:rFonts w:hint="eastAsia" w:ascii="宋体" w:hAnsi="宋体" w:eastAsia="宋体" w:cs="宋体"/>
                <w:i w:val="0"/>
                <w:iCs w:val="0"/>
                <w:color w:val="auto"/>
                <w:kern w:val="0"/>
                <w:sz w:val="22"/>
                <w:szCs w:val="22"/>
                <w:u w:val="none"/>
                <w:lang w:val="en-US" w:eastAsia="zh-CN" w:bidi="ar"/>
              </w:rPr>
              <w:t>其他节能环保支出</w:t>
            </w:r>
          </w:p>
        </w:tc>
        <w:tc>
          <w:tcPr>
            <w:tcW w:w="1876" w:type="dxa"/>
            <w:vAlign w:val="center"/>
          </w:tcPr>
          <w:p>
            <w:pPr>
              <w:keepNext w:val="0"/>
              <w:keepLines w:val="0"/>
              <w:widowControl/>
              <w:suppressLineNumbers w:val="0"/>
              <w:ind w:firstLine="440" w:firstLineChars="200"/>
              <w:jc w:val="center"/>
              <w:textAlignment w:val="center"/>
              <w:rPr>
                <w:rFonts w:hint="eastAsia" w:ascii="仿宋" w:hAnsi="仿宋" w:eastAsia="仿宋" w:cs="仿宋"/>
                <w:i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485</w:t>
            </w:r>
          </w:p>
        </w:tc>
        <w:tc>
          <w:tcPr>
            <w:tcW w:w="1684" w:type="dxa"/>
            <w:vAlign w:val="center"/>
          </w:tcPr>
          <w:p>
            <w:pPr>
              <w:keepNext w:val="0"/>
              <w:keepLines w:val="0"/>
              <w:widowControl/>
              <w:suppressLineNumbers w:val="0"/>
              <w:jc w:val="center"/>
              <w:textAlignment w:val="center"/>
              <w:rPr>
                <w:rFonts w:hint="eastAsia" w:ascii="仿宋" w:hAnsi="仿宋" w:eastAsia="仿宋" w:cs="仿宋"/>
                <w:color w:val="auto"/>
                <w:sz w:val="24"/>
                <w:szCs w:val="24"/>
                <w:lang w:val="en-US" w:eastAsia="zh-CN"/>
              </w:rPr>
            </w:pPr>
          </w:p>
        </w:tc>
        <w:tc>
          <w:tcPr>
            <w:tcW w:w="1393" w:type="dxa"/>
            <w:vAlign w:val="top"/>
          </w:tcPr>
          <w:p>
            <w:pPr>
              <w:jc w:val="center"/>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212</w:t>
            </w:r>
          </w:p>
        </w:tc>
        <w:tc>
          <w:tcPr>
            <w:tcW w:w="2479"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城乡社区支出</w:t>
            </w:r>
          </w:p>
        </w:tc>
        <w:tc>
          <w:tcPr>
            <w:tcW w:w="1876" w:type="dxa"/>
            <w:vAlign w:val="center"/>
          </w:tcPr>
          <w:p>
            <w:pPr>
              <w:keepNext w:val="0"/>
              <w:keepLines w:val="0"/>
              <w:widowControl/>
              <w:suppressLineNumbers w:val="0"/>
              <w:ind w:firstLine="440" w:firstLineChars="200"/>
              <w:jc w:val="center"/>
              <w:textAlignment w:val="center"/>
              <w:rPr>
                <w:rFonts w:hint="eastAsia" w:ascii="宋体" w:hAnsi="宋体" w:eastAsia="宋体" w:cs="宋体"/>
                <w:i w:val="0"/>
                <w:iCs w:val="0"/>
                <w:color w:val="auto"/>
                <w:kern w:val="0"/>
                <w:sz w:val="22"/>
                <w:szCs w:val="22"/>
                <w:u w:val="none"/>
                <w:lang w:val="en-US" w:eastAsia="zh-CN" w:bidi="ar"/>
              </w:rPr>
            </w:pPr>
          </w:p>
        </w:tc>
        <w:tc>
          <w:tcPr>
            <w:tcW w:w="1684" w:type="dxa"/>
            <w:vAlign w:val="center"/>
          </w:tcPr>
          <w:p>
            <w:pPr>
              <w:keepNext w:val="0"/>
              <w:keepLines w:val="0"/>
              <w:widowControl/>
              <w:suppressLineNumbers w:val="0"/>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228.85</w:t>
            </w:r>
          </w:p>
        </w:tc>
        <w:tc>
          <w:tcPr>
            <w:tcW w:w="1393" w:type="dxa"/>
            <w:vAlign w:val="top"/>
          </w:tcPr>
          <w:p>
            <w:pPr>
              <w:jc w:val="center"/>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1588" w:type="dxa"/>
            <w:vAlign w:val="center"/>
          </w:tcPr>
          <w:p>
            <w:pPr>
              <w:keepNext w:val="0"/>
              <w:keepLines w:val="0"/>
              <w:widowControl/>
              <w:suppressLineNumbers w:val="0"/>
              <w:ind w:firstLine="440" w:firstLineChars="20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21208</w:t>
            </w:r>
          </w:p>
        </w:tc>
        <w:tc>
          <w:tcPr>
            <w:tcW w:w="2479" w:type="dxa"/>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国有土地使用权出让收入安排的支出</w:t>
            </w:r>
          </w:p>
        </w:tc>
        <w:tc>
          <w:tcPr>
            <w:tcW w:w="1876" w:type="dxa"/>
            <w:vAlign w:val="center"/>
          </w:tcPr>
          <w:p>
            <w:pPr>
              <w:keepNext w:val="0"/>
              <w:keepLines w:val="0"/>
              <w:widowControl/>
              <w:suppressLineNumbers w:val="0"/>
              <w:ind w:firstLine="440" w:firstLineChars="200"/>
              <w:jc w:val="center"/>
              <w:textAlignment w:val="center"/>
              <w:rPr>
                <w:rFonts w:hint="eastAsia" w:ascii="宋体" w:hAnsi="宋体" w:eastAsia="宋体" w:cs="宋体"/>
                <w:i w:val="0"/>
                <w:iCs w:val="0"/>
                <w:color w:val="auto"/>
                <w:kern w:val="0"/>
                <w:sz w:val="22"/>
                <w:szCs w:val="22"/>
                <w:u w:val="none"/>
                <w:lang w:val="en-US" w:eastAsia="zh-CN" w:bidi="ar"/>
              </w:rPr>
            </w:pPr>
          </w:p>
        </w:tc>
        <w:tc>
          <w:tcPr>
            <w:tcW w:w="1684" w:type="dxa"/>
            <w:vAlign w:val="center"/>
          </w:tcPr>
          <w:p>
            <w:pPr>
              <w:keepNext w:val="0"/>
              <w:keepLines w:val="0"/>
              <w:widowControl/>
              <w:suppressLineNumbers w:val="0"/>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228.85</w:t>
            </w:r>
          </w:p>
        </w:tc>
        <w:tc>
          <w:tcPr>
            <w:tcW w:w="1393" w:type="dxa"/>
            <w:vAlign w:val="top"/>
          </w:tcPr>
          <w:p>
            <w:pPr>
              <w:jc w:val="center"/>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213</w:t>
            </w:r>
          </w:p>
        </w:tc>
        <w:tc>
          <w:tcPr>
            <w:tcW w:w="2479"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b/>
                <w:bCs/>
                <w:i w:val="0"/>
                <w:iCs w:val="0"/>
                <w:color w:val="auto"/>
                <w:kern w:val="0"/>
                <w:sz w:val="21"/>
                <w:szCs w:val="21"/>
                <w:u w:val="none"/>
                <w:lang w:val="en-US" w:eastAsia="zh-CN" w:bidi="ar"/>
              </w:rPr>
              <w:t>农林水支出</w:t>
            </w:r>
          </w:p>
        </w:tc>
        <w:tc>
          <w:tcPr>
            <w:tcW w:w="1876"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7727.04</w:t>
            </w:r>
          </w:p>
        </w:tc>
        <w:tc>
          <w:tcPr>
            <w:tcW w:w="1684" w:type="dxa"/>
            <w:vAlign w:val="center"/>
          </w:tcPr>
          <w:p>
            <w:pPr>
              <w:keepNext w:val="0"/>
              <w:keepLines w:val="0"/>
              <w:widowControl/>
              <w:suppressLineNumbers w:val="0"/>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6220.46</w:t>
            </w:r>
          </w:p>
        </w:tc>
        <w:tc>
          <w:tcPr>
            <w:tcW w:w="1393" w:type="dxa"/>
            <w:vAlign w:val="top"/>
          </w:tcPr>
          <w:p>
            <w:pPr>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-19.49%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22" w:firstLineChars="200"/>
              <w:jc w:val="center"/>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21301</w:t>
            </w:r>
          </w:p>
        </w:tc>
        <w:tc>
          <w:tcPr>
            <w:tcW w:w="2479" w:type="dxa"/>
            <w:vAlign w:val="center"/>
          </w:tcPr>
          <w:p>
            <w:pPr>
              <w:keepNext w:val="0"/>
              <w:keepLines w:val="0"/>
              <w:widowControl/>
              <w:suppressLineNumbers w:val="0"/>
              <w:ind w:firstLine="422" w:firstLineChars="200"/>
              <w:jc w:val="center"/>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农业农村</w:t>
            </w:r>
          </w:p>
        </w:tc>
        <w:tc>
          <w:tcPr>
            <w:tcW w:w="1876" w:type="dxa"/>
            <w:vAlign w:val="center"/>
          </w:tcPr>
          <w:p>
            <w:pPr>
              <w:keepNext w:val="0"/>
              <w:keepLines w:val="0"/>
              <w:widowControl/>
              <w:suppressLineNumbers w:val="0"/>
              <w:ind w:firstLine="440" w:firstLineChars="200"/>
              <w:jc w:val="center"/>
              <w:textAlignment w:val="center"/>
              <w:rPr>
                <w:rFonts w:hint="eastAsia" w:ascii="宋体" w:hAnsi="宋体" w:eastAsia="宋体" w:cs="宋体"/>
                <w:i w:val="0"/>
                <w:iCs w:val="0"/>
                <w:color w:val="auto"/>
                <w:kern w:val="0"/>
                <w:sz w:val="22"/>
                <w:szCs w:val="22"/>
                <w:u w:val="none"/>
                <w:lang w:val="en-US" w:eastAsia="zh-CN" w:bidi="ar"/>
              </w:rPr>
            </w:pPr>
          </w:p>
        </w:tc>
        <w:tc>
          <w:tcPr>
            <w:tcW w:w="1684" w:type="dxa"/>
            <w:vAlign w:val="center"/>
          </w:tcPr>
          <w:p>
            <w:pPr>
              <w:keepNext w:val="0"/>
              <w:keepLines w:val="0"/>
              <w:widowControl/>
              <w:suppressLineNumbers w:val="0"/>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12.68</w:t>
            </w:r>
          </w:p>
        </w:tc>
        <w:tc>
          <w:tcPr>
            <w:tcW w:w="1393" w:type="dxa"/>
            <w:vAlign w:val="top"/>
          </w:tcPr>
          <w:p>
            <w:pPr>
              <w:jc w:val="center"/>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22" w:firstLineChars="200"/>
              <w:jc w:val="center"/>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2130108</w:t>
            </w:r>
          </w:p>
        </w:tc>
        <w:tc>
          <w:tcPr>
            <w:tcW w:w="2479" w:type="dxa"/>
            <w:vAlign w:val="center"/>
          </w:tcPr>
          <w:p>
            <w:pPr>
              <w:keepNext w:val="0"/>
              <w:keepLines w:val="0"/>
              <w:widowControl/>
              <w:suppressLineNumbers w:val="0"/>
              <w:ind w:firstLine="422" w:firstLineChars="200"/>
              <w:jc w:val="center"/>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病虫害控制</w:t>
            </w:r>
          </w:p>
        </w:tc>
        <w:tc>
          <w:tcPr>
            <w:tcW w:w="1876" w:type="dxa"/>
            <w:vAlign w:val="center"/>
          </w:tcPr>
          <w:p>
            <w:pPr>
              <w:keepNext w:val="0"/>
              <w:keepLines w:val="0"/>
              <w:widowControl/>
              <w:suppressLineNumbers w:val="0"/>
              <w:ind w:firstLine="440" w:firstLineChars="200"/>
              <w:jc w:val="center"/>
              <w:textAlignment w:val="center"/>
              <w:rPr>
                <w:rFonts w:hint="eastAsia" w:ascii="宋体" w:hAnsi="宋体" w:eastAsia="宋体" w:cs="宋体"/>
                <w:i w:val="0"/>
                <w:iCs w:val="0"/>
                <w:color w:val="auto"/>
                <w:kern w:val="0"/>
                <w:sz w:val="22"/>
                <w:szCs w:val="22"/>
                <w:u w:val="none"/>
                <w:lang w:val="en-US" w:eastAsia="zh-CN" w:bidi="ar"/>
              </w:rPr>
            </w:pPr>
          </w:p>
        </w:tc>
        <w:tc>
          <w:tcPr>
            <w:tcW w:w="1684" w:type="dxa"/>
            <w:vAlign w:val="center"/>
          </w:tcPr>
          <w:p>
            <w:pPr>
              <w:keepNext w:val="0"/>
              <w:keepLines w:val="0"/>
              <w:widowControl/>
              <w:suppressLineNumbers w:val="0"/>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12.68</w:t>
            </w:r>
          </w:p>
        </w:tc>
        <w:tc>
          <w:tcPr>
            <w:tcW w:w="1393" w:type="dxa"/>
            <w:vAlign w:val="top"/>
          </w:tcPr>
          <w:p>
            <w:pPr>
              <w:jc w:val="center"/>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21302</w:t>
            </w:r>
          </w:p>
        </w:tc>
        <w:tc>
          <w:tcPr>
            <w:tcW w:w="2479"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林业</w:t>
            </w:r>
          </w:p>
        </w:tc>
        <w:tc>
          <w:tcPr>
            <w:tcW w:w="1876"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5287.03</w:t>
            </w:r>
          </w:p>
        </w:tc>
        <w:tc>
          <w:tcPr>
            <w:tcW w:w="1684" w:type="dxa"/>
            <w:vAlign w:val="center"/>
          </w:tcPr>
          <w:p>
            <w:pPr>
              <w:keepNext w:val="0"/>
              <w:keepLines w:val="0"/>
              <w:widowControl/>
              <w:suppressLineNumbers w:val="0"/>
              <w:jc w:val="center"/>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5488.99</w:t>
            </w:r>
          </w:p>
        </w:tc>
        <w:tc>
          <w:tcPr>
            <w:tcW w:w="1393" w:type="dxa"/>
            <w:vAlign w:val="top"/>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2130204</w:t>
            </w:r>
          </w:p>
        </w:tc>
        <w:tc>
          <w:tcPr>
            <w:tcW w:w="2479"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林业事业机构</w:t>
            </w:r>
          </w:p>
        </w:tc>
        <w:tc>
          <w:tcPr>
            <w:tcW w:w="1876"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818.05</w:t>
            </w:r>
          </w:p>
        </w:tc>
        <w:tc>
          <w:tcPr>
            <w:tcW w:w="1684" w:type="dxa"/>
            <w:vAlign w:val="top"/>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803.51</w:t>
            </w:r>
          </w:p>
        </w:tc>
        <w:tc>
          <w:tcPr>
            <w:tcW w:w="1393" w:type="dxa"/>
            <w:vAlign w:val="top"/>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2130205</w:t>
            </w:r>
          </w:p>
        </w:tc>
        <w:tc>
          <w:tcPr>
            <w:tcW w:w="2479"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森林培育</w:t>
            </w:r>
          </w:p>
        </w:tc>
        <w:tc>
          <w:tcPr>
            <w:tcW w:w="1876"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sz w:val="24"/>
                <w:szCs w:val="24"/>
              </w:rPr>
            </w:pPr>
          </w:p>
        </w:tc>
        <w:tc>
          <w:tcPr>
            <w:tcW w:w="1684" w:type="dxa"/>
            <w:vAlign w:val="top"/>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780</w:t>
            </w:r>
          </w:p>
        </w:tc>
        <w:tc>
          <w:tcPr>
            <w:tcW w:w="1393" w:type="dxa"/>
            <w:vAlign w:val="top"/>
          </w:tcPr>
          <w:p>
            <w:pPr>
              <w:jc w:val="center"/>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2130207</w:t>
            </w:r>
          </w:p>
        </w:tc>
        <w:tc>
          <w:tcPr>
            <w:tcW w:w="2479"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森林资源管理</w:t>
            </w:r>
          </w:p>
        </w:tc>
        <w:tc>
          <w:tcPr>
            <w:tcW w:w="1876"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sz w:val="24"/>
                <w:szCs w:val="24"/>
              </w:rPr>
            </w:pPr>
          </w:p>
        </w:tc>
        <w:tc>
          <w:tcPr>
            <w:tcW w:w="1684" w:type="dxa"/>
            <w:vAlign w:val="top"/>
          </w:tcPr>
          <w:p>
            <w:pPr>
              <w:jc w:val="center"/>
              <w:rPr>
                <w:rFonts w:hint="eastAsia" w:ascii="仿宋" w:hAnsi="仿宋" w:eastAsia="仿宋" w:cs="仿宋"/>
                <w:color w:val="auto"/>
                <w:sz w:val="24"/>
                <w:szCs w:val="24"/>
                <w:lang w:val="en-US" w:eastAsia="zh-CN"/>
              </w:rPr>
            </w:pPr>
          </w:p>
        </w:tc>
        <w:tc>
          <w:tcPr>
            <w:tcW w:w="1393" w:type="dxa"/>
            <w:vAlign w:val="top"/>
          </w:tcPr>
          <w:p>
            <w:pPr>
              <w:jc w:val="center"/>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2130209</w:t>
            </w:r>
          </w:p>
        </w:tc>
        <w:tc>
          <w:tcPr>
            <w:tcW w:w="2479"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森林生态效益补偿</w:t>
            </w:r>
          </w:p>
        </w:tc>
        <w:tc>
          <w:tcPr>
            <w:tcW w:w="1876"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492.84</w:t>
            </w:r>
          </w:p>
        </w:tc>
        <w:tc>
          <w:tcPr>
            <w:tcW w:w="1684" w:type="dxa"/>
            <w:vAlign w:val="top"/>
          </w:tcPr>
          <w:p>
            <w:pPr>
              <w:jc w:val="center"/>
              <w:rPr>
                <w:rFonts w:hint="eastAsia" w:ascii="仿宋" w:hAnsi="仿宋" w:eastAsia="仿宋" w:cs="仿宋"/>
                <w:color w:val="auto"/>
                <w:sz w:val="24"/>
                <w:szCs w:val="24"/>
                <w:lang w:val="en-US" w:eastAsia="zh-CN"/>
              </w:rPr>
            </w:pPr>
          </w:p>
        </w:tc>
        <w:tc>
          <w:tcPr>
            <w:tcW w:w="1393" w:type="dxa"/>
            <w:vAlign w:val="top"/>
          </w:tcPr>
          <w:p>
            <w:pPr>
              <w:jc w:val="center"/>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2130212</w:t>
            </w:r>
          </w:p>
        </w:tc>
        <w:tc>
          <w:tcPr>
            <w:tcW w:w="2479"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湿地保护</w:t>
            </w:r>
          </w:p>
        </w:tc>
        <w:tc>
          <w:tcPr>
            <w:tcW w:w="1876"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150</w:t>
            </w:r>
          </w:p>
        </w:tc>
        <w:tc>
          <w:tcPr>
            <w:tcW w:w="1684" w:type="dxa"/>
          </w:tcPr>
          <w:p>
            <w:pPr>
              <w:jc w:val="center"/>
              <w:rPr>
                <w:rFonts w:hint="eastAsia" w:ascii="仿宋" w:hAnsi="仿宋" w:eastAsia="仿宋" w:cs="仿宋"/>
                <w:color w:val="auto"/>
                <w:sz w:val="24"/>
                <w:szCs w:val="24"/>
                <w:lang w:val="en-US" w:eastAsia="zh-CN"/>
              </w:rPr>
            </w:pPr>
          </w:p>
        </w:tc>
        <w:tc>
          <w:tcPr>
            <w:tcW w:w="1393" w:type="dxa"/>
          </w:tcPr>
          <w:p>
            <w:pPr>
              <w:jc w:val="center"/>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2130213</w:t>
            </w:r>
          </w:p>
        </w:tc>
        <w:tc>
          <w:tcPr>
            <w:tcW w:w="2479"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林业执法与监督</w:t>
            </w:r>
          </w:p>
        </w:tc>
        <w:tc>
          <w:tcPr>
            <w:tcW w:w="1876"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sz w:val="24"/>
                <w:szCs w:val="24"/>
              </w:rPr>
            </w:pPr>
          </w:p>
        </w:tc>
        <w:tc>
          <w:tcPr>
            <w:tcW w:w="1684" w:type="dxa"/>
          </w:tcPr>
          <w:p>
            <w:pPr>
              <w:jc w:val="center"/>
              <w:rPr>
                <w:rFonts w:hint="eastAsia" w:ascii="仿宋" w:hAnsi="仿宋" w:eastAsia="仿宋" w:cs="仿宋"/>
                <w:color w:val="auto"/>
                <w:sz w:val="24"/>
                <w:szCs w:val="24"/>
                <w:lang w:val="en-US" w:eastAsia="zh-CN"/>
              </w:rPr>
            </w:pPr>
          </w:p>
        </w:tc>
        <w:tc>
          <w:tcPr>
            <w:tcW w:w="1393" w:type="dxa"/>
          </w:tcPr>
          <w:p>
            <w:pPr>
              <w:jc w:val="center"/>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2130234</w:t>
            </w:r>
          </w:p>
        </w:tc>
        <w:tc>
          <w:tcPr>
            <w:tcW w:w="2479"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林业防灾减灾</w:t>
            </w:r>
          </w:p>
        </w:tc>
        <w:tc>
          <w:tcPr>
            <w:tcW w:w="1876"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30</w:t>
            </w:r>
          </w:p>
        </w:tc>
        <w:tc>
          <w:tcPr>
            <w:tcW w:w="1684" w:type="dxa"/>
          </w:tcPr>
          <w:p>
            <w:pPr>
              <w:jc w:val="center"/>
              <w:rPr>
                <w:rFonts w:hint="eastAsia" w:ascii="仿宋" w:hAnsi="仿宋" w:eastAsia="仿宋" w:cs="仿宋"/>
                <w:color w:val="auto"/>
                <w:sz w:val="24"/>
                <w:szCs w:val="24"/>
                <w:lang w:val="en-US" w:eastAsia="zh-CN"/>
              </w:rPr>
            </w:pPr>
          </w:p>
        </w:tc>
        <w:tc>
          <w:tcPr>
            <w:tcW w:w="1393" w:type="dxa"/>
          </w:tcPr>
          <w:p>
            <w:pPr>
              <w:jc w:val="center"/>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22" w:firstLineChars="200"/>
              <w:jc w:val="center"/>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2130235</w:t>
            </w:r>
          </w:p>
        </w:tc>
        <w:tc>
          <w:tcPr>
            <w:tcW w:w="2479" w:type="dxa"/>
            <w:vAlign w:val="center"/>
          </w:tcPr>
          <w:p>
            <w:pPr>
              <w:keepNext w:val="0"/>
              <w:keepLines w:val="0"/>
              <w:widowControl/>
              <w:suppressLineNumbers w:val="0"/>
              <w:ind w:firstLine="422" w:firstLineChars="200"/>
              <w:jc w:val="center"/>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国家公园</w:t>
            </w:r>
          </w:p>
        </w:tc>
        <w:tc>
          <w:tcPr>
            <w:tcW w:w="1876" w:type="dxa"/>
            <w:vAlign w:val="center"/>
          </w:tcPr>
          <w:p>
            <w:pPr>
              <w:keepNext w:val="0"/>
              <w:keepLines w:val="0"/>
              <w:widowControl/>
              <w:suppressLineNumbers w:val="0"/>
              <w:ind w:firstLine="440" w:firstLineChars="200"/>
              <w:jc w:val="center"/>
              <w:textAlignment w:val="center"/>
              <w:rPr>
                <w:rFonts w:hint="eastAsia" w:ascii="宋体" w:hAnsi="宋体" w:eastAsia="宋体" w:cs="宋体"/>
                <w:i w:val="0"/>
                <w:iCs w:val="0"/>
                <w:color w:val="auto"/>
                <w:kern w:val="0"/>
                <w:sz w:val="22"/>
                <w:szCs w:val="22"/>
                <w:u w:val="none"/>
                <w:lang w:val="en-US" w:eastAsia="zh-CN" w:bidi="ar"/>
              </w:rPr>
            </w:pPr>
          </w:p>
        </w:tc>
        <w:tc>
          <w:tcPr>
            <w:tcW w:w="1684" w:type="dxa"/>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2851</w:t>
            </w:r>
          </w:p>
        </w:tc>
        <w:tc>
          <w:tcPr>
            <w:tcW w:w="1393" w:type="dxa"/>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2130299</w:t>
            </w:r>
          </w:p>
        </w:tc>
        <w:tc>
          <w:tcPr>
            <w:tcW w:w="2479"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其他林业支出</w:t>
            </w:r>
          </w:p>
        </w:tc>
        <w:tc>
          <w:tcPr>
            <w:tcW w:w="1876"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3796.14</w:t>
            </w:r>
          </w:p>
        </w:tc>
        <w:tc>
          <w:tcPr>
            <w:tcW w:w="1684" w:type="dxa"/>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1054.49</w:t>
            </w:r>
          </w:p>
        </w:tc>
        <w:tc>
          <w:tcPr>
            <w:tcW w:w="1393" w:type="dxa"/>
          </w:tcPr>
          <w:p>
            <w:pPr>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-72.22%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21305</w:t>
            </w:r>
          </w:p>
        </w:tc>
        <w:tc>
          <w:tcPr>
            <w:tcW w:w="2479"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扶贫</w:t>
            </w:r>
          </w:p>
        </w:tc>
        <w:tc>
          <w:tcPr>
            <w:tcW w:w="1876"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90</w:t>
            </w:r>
          </w:p>
        </w:tc>
        <w:tc>
          <w:tcPr>
            <w:tcW w:w="1684" w:type="dxa"/>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712.78</w:t>
            </w:r>
          </w:p>
        </w:tc>
        <w:tc>
          <w:tcPr>
            <w:tcW w:w="1393" w:type="dxa"/>
          </w:tcPr>
          <w:p>
            <w:pPr>
              <w:jc w:val="center"/>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2130599</w:t>
            </w:r>
          </w:p>
        </w:tc>
        <w:tc>
          <w:tcPr>
            <w:tcW w:w="2479"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其他扶贫支出</w:t>
            </w:r>
          </w:p>
        </w:tc>
        <w:tc>
          <w:tcPr>
            <w:tcW w:w="1876"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90</w:t>
            </w:r>
          </w:p>
        </w:tc>
        <w:tc>
          <w:tcPr>
            <w:tcW w:w="1684" w:type="dxa"/>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712.78</w:t>
            </w:r>
          </w:p>
        </w:tc>
        <w:tc>
          <w:tcPr>
            <w:tcW w:w="1393" w:type="dxa"/>
          </w:tcPr>
          <w:p>
            <w:pPr>
              <w:jc w:val="center"/>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21307</w:t>
            </w:r>
          </w:p>
        </w:tc>
        <w:tc>
          <w:tcPr>
            <w:tcW w:w="2479"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农村综合改革</w:t>
            </w:r>
          </w:p>
        </w:tc>
        <w:tc>
          <w:tcPr>
            <w:tcW w:w="1876" w:type="dxa"/>
            <w:vAlign w:val="bottom"/>
          </w:tcPr>
          <w:p>
            <w:pPr>
              <w:ind w:firstLine="480" w:firstLineChars="200"/>
              <w:jc w:val="center"/>
              <w:rPr>
                <w:rFonts w:hint="eastAsia" w:ascii="仿宋" w:hAnsi="仿宋" w:eastAsia="仿宋" w:cs="仿宋"/>
                <w:color w:val="auto"/>
                <w:sz w:val="24"/>
                <w:szCs w:val="24"/>
              </w:rPr>
            </w:pPr>
          </w:p>
        </w:tc>
        <w:tc>
          <w:tcPr>
            <w:tcW w:w="1684" w:type="dxa"/>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w:t>
            </w:r>
          </w:p>
        </w:tc>
        <w:tc>
          <w:tcPr>
            <w:tcW w:w="1393" w:type="dxa"/>
          </w:tcPr>
          <w:p>
            <w:pPr>
              <w:jc w:val="center"/>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22" w:firstLineChars="20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2130701</w:t>
            </w:r>
          </w:p>
        </w:tc>
        <w:tc>
          <w:tcPr>
            <w:tcW w:w="2479" w:type="dxa"/>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对村级公益事业建设的补助</w:t>
            </w:r>
          </w:p>
        </w:tc>
        <w:tc>
          <w:tcPr>
            <w:tcW w:w="1876" w:type="dxa"/>
            <w:vAlign w:val="bottom"/>
          </w:tcPr>
          <w:p>
            <w:pPr>
              <w:ind w:firstLine="480" w:firstLineChars="200"/>
              <w:jc w:val="center"/>
              <w:rPr>
                <w:rFonts w:hint="eastAsia" w:ascii="仿宋" w:hAnsi="仿宋" w:eastAsia="仿宋" w:cs="仿宋"/>
                <w:color w:val="auto"/>
                <w:sz w:val="24"/>
                <w:szCs w:val="24"/>
              </w:rPr>
            </w:pPr>
          </w:p>
        </w:tc>
        <w:tc>
          <w:tcPr>
            <w:tcW w:w="1684" w:type="dxa"/>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w:t>
            </w:r>
          </w:p>
        </w:tc>
        <w:tc>
          <w:tcPr>
            <w:tcW w:w="1393" w:type="dxa"/>
          </w:tcPr>
          <w:p>
            <w:pPr>
              <w:jc w:val="center"/>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21399</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其他农林水支出</w:t>
            </w:r>
          </w:p>
        </w:tc>
        <w:tc>
          <w:tcPr>
            <w:tcW w:w="1876"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2350</w:t>
            </w:r>
          </w:p>
        </w:tc>
        <w:tc>
          <w:tcPr>
            <w:tcW w:w="1684" w:type="dxa"/>
          </w:tcPr>
          <w:p>
            <w:pPr>
              <w:jc w:val="left"/>
              <w:rPr>
                <w:rFonts w:hint="eastAsia" w:ascii="仿宋" w:hAnsi="仿宋" w:eastAsia="仿宋" w:cs="仿宋"/>
                <w:color w:val="auto"/>
                <w:sz w:val="24"/>
                <w:szCs w:val="24"/>
                <w:lang w:val="en-US" w:eastAsia="zh-CN"/>
              </w:rPr>
            </w:pPr>
          </w:p>
        </w:tc>
        <w:tc>
          <w:tcPr>
            <w:tcW w:w="1393" w:type="dxa"/>
          </w:tcPr>
          <w:p>
            <w:pPr>
              <w:jc w:val="left"/>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2139999</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 xml:space="preserve">  其他农林水支出</w:t>
            </w:r>
          </w:p>
        </w:tc>
        <w:tc>
          <w:tcPr>
            <w:tcW w:w="1876"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2350</w:t>
            </w:r>
          </w:p>
        </w:tc>
        <w:tc>
          <w:tcPr>
            <w:tcW w:w="1684" w:type="dxa"/>
          </w:tcPr>
          <w:p>
            <w:pPr>
              <w:jc w:val="left"/>
              <w:rPr>
                <w:rFonts w:hint="eastAsia" w:ascii="仿宋" w:hAnsi="仿宋" w:eastAsia="仿宋" w:cs="仿宋"/>
                <w:color w:val="auto"/>
                <w:sz w:val="24"/>
                <w:szCs w:val="24"/>
                <w:lang w:val="en-US" w:eastAsia="zh-CN"/>
              </w:rPr>
            </w:pPr>
          </w:p>
        </w:tc>
        <w:tc>
          <w:tcPr>
            <w:tcW w:w="1393" w:type="dxa"/>
          </w:tcPr>
          <w:p>
            <w:pPr>
              <w:jc w:val="left"/>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22" w:firstLineChars="200"/>
              <w:jc w:val="left"/>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224</w:t>
            </w:r>
          </w:p>
        </w:tc>
        <w:tc>
          <w:tcPr>
            <w:tcW w:w="2479" w:type="dxa"/>
            <w:vAlign w:val="center"/>
          </w:tcPr>
          <w:p>
            <w:pPr>
              <w:keepNext w:val="0"/>
              <w:keepLines w:val="0"/>
              <w:widowControl/>
              <w:suppressLineNumbers w:val="0"/>
              <w:ind w:firstLine="422" w:firstLineChars="200"/>
              <w:jc w:val="left"/>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灾害防治及应急管理支出</w:t>
            </w:r>
          </w:p>
        </w:tc>
        <w:tc>
          <w:tcPr>
            <w:tcW w:w="1876"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68.88</w:t>
            </w:r>
          </w:p>
        </w:tc>
        <w:tc>
          <w:tcPr>
            <w:tcW w:w="1684" w:type="dxa"/>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221.51</w:t>
            </w:r>
          </w:p>
        </w:tc>
        <w:tc>
          <w:tcPr>
            <w:tcW w:w="1393" w:type="dxa"/>
          </w:tcPr>
          <w:p>
            <w:pPr>
              <w:ind w:left="0" w:leftChars="0" w:firstLine="0" w:firstLineChars="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221.58%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22" w:firstLineChars="200"/>
              <w:jc w:val="left"/>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22403</w:t>
            </w:r>
          </w:p>
        </w:tc>
        <w:tc>
          <w:tcPr>
            <w:tcW w:w="2479" w:type="dxa"/>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森林消防事务</w:t>
            </w:r>
          </w:p>
        </w:tc>
        <w:tc>
          <w:tcPr>
            <w:tcW w:w="1876"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68.88</w:t>
            </w:r>
          </w:p>
        </w:tc>
        <w:tc>
          <w:tcPr>
            <w:tcW w:w="1684" w:type="dxa"/>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221.51</w:t>
            </w:r>
          </w:p>
        </w:tc>
        <w:tc>
          <w:tcPr>
            <w:tcW w:w="1393" w:type="dxa"/>
            <w:vAlign w:val="top"/>
          </w:tcPr>
          <w:p>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221.58%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22" w:firstLineChars="200"/>
              <w:jc w:val="left"/>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2240399</w:t>
            </w:r>
          </w:p>
        </w:tc>
        <w:tc>
          <w:tcPr>
            <w:tcW w:w="2479" w:type="dxa"/>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color w:val="auto"/>
                <w:sz w:val="24"/>
                <w:szCs w:val="24"/>
              </w:rPr>
            </w:pPr>
            <w:r>
              <w:rPr>
                <w:rFonts w:hint="eastAsia" w:ascii="仿宋" w:hAnsi="仿宋" w:eastAsia="仿宋" w:cs="仿宋"/>
                <w:b/>
                <w:bCs/>
                <w:i w:val="0"/>
                <w:iCs w:val="0"/>
                <w:color w:val="auto"/>
                <w:kern w:val="0"/>
                <w:sz w:val="21"/>
                <w:szCs w:val="21"/>
                <w:u w:val="none"/>
                <w:lang w:val="en-US" w:eastAsia="zh-CN" w:bidi="ar"/>
              </w:rPr>
              <w:t>其他森林消防事务支出</w:t>
            </w:r>
          </w:p>
        </w:tc>
        <w:tc>
          <w:tcPr>
            <w:tcW w:w="1876"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68.88</w:t>
            </w:r>
          </w:p>
        </w:tc>
        <w:tc>
          <w:tcPr>
            <w:tcW w:w="1684" w:type="dxa"/>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221.51</w:t>
            </w:r>
          </w:p>
        </w:tc>
        <w:tc>
          <w:tcPr>
            <w:tcW w:w="1393" w:type="dxa"/>
            <w:vAlign w:val="top"/>
          </w:tcPr>
          <w:p>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221.58%</w:t>
            </w:r>
          </w:p>
        </w:tc>
      </w:tr>
    </w:tbl>
    <w:p>
      <w:pPr>
        <w:ind w:firstLine="64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   </w:t>
      </w:r>
      <w:r>
        <w:rPr>
          <w:rFonts w:hint="eastAsia" w:ascii="仿宋_GB2312"/>
          <w:color w:val="auto"/>
          <w:szCs w:val="32"/>
          <w:lang w:val="en-US" w:eastAsia="zh-CN"/>
        </w:rPr>
        <w:t>本年防疫经费减少100%，节能环保支出减少主要原因是山水林田湖草项目减少5600元，退耕还林还草项目较上年减少1929.25万元，森态护林员项目减少485万元，其它林业支出减少72.22%，原因是上级投资造林绿化项目减少2500万元</w:t>
      </w:r>
      <w:r>
        <w:rPr>
          <w:rFonts w:hint="eastAsia" w:ascii="仿宋_GB2312"/>
          <w:color w:val="auto"/>
          <w:szCs w:val="32"/>
        </w:rPr>
        <w:t>。</w:t>
      </w:r>
      <w:r>
        <w:rPr>
          <w:rFonts w:hint="eastAsia" w:ascii="仿宋_GB2312"/>
          <w:color w:val="auto"/>
          <w:szCs w:val="32"/>
          <w:lang w:val="en-US" w:eastAsia="zh-CN"/>
        </w:rPr>
        <w:t>其它功能科目变动主要为本年科目调整。森林消防事务增长221.58，主要原因是人员增加，工资增加。</w:t>
      </w:r>
    </w:p>
    <w:p>
      <w:pPr>
        <w:numPr>
          <w:ilvl w:val="0"/>
          <w:numId w:val="2"/>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按经济科目分类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仿宋" w:hAnsi="仿宋" w:eastAsia="仿宋" w:cs="仿宋"/>
          <w:color w:val="auto"/>
          <w:sz w:val="30"/>
          <w:szCs w:val="30"/>
        </w:rPr>
      </w:pPr>
      <w:r>
        <w:rPr>
          <w:rFonts w:hint="eastAsia" w:ascii="仿宋" w:hAnsi="仿宋" w:eastAsia="仿宋" w:cs="Arial"/>
          <w:b/>
          <w:color w:val="auto"/>
          <w:kern w:val="0"/>
          <w:sz w:val="30"/>
          <w:szCs w:val="30"/>
        </w:rPr>
        <w:t>20</w:t>
      </w:r>
      <w:r>
        <w:rPr>
          <w:rFonts w:hint="eastAsia" w:ascii="仿宋" w:hAnsi="仿宋" w:eastAsia="仿宋" w:cs="Arial"/>
          <w:b/>
          <w:color w:val="auto"/>
          <w:kern w:val="0"/>
          <w:sz w:val="30"/>
          <w:szCs w:val="30"/>
          <w:lang w:val="en-US" w:eastAsia="zh-CN"/>
        </w:rPr>
        <w:t>20</w:t>
      </w:r>
      <w:r>
        <w:rPr>
          <w:rFonts w:hint="eastAsia" w:ascii="仿宋" w:hAnsi="仿宋" w:eastAsia="仿宋" w:cs="Arial"/>
          <w:b/>
          <w:color w:val="auto"/>
          <w:kern w:val="0"/>
          <w:sz w:val="30"/>
          <w:szCs w:val="30"/>
        </w:rPr>
        <w:t xml:space="preserve">年度支出经济科目分类决算对比表  </w:t>
      </w:r>
      <w:r>
        <w:rPr>
          <w:rFonts w:hint="eastAsia" w:ascii="仿宋" w:hAnsi="仿宋" w:eastAsia="仿宋" w:cs="Arial"/>
          <w:b/>
          <w:color w:val="auto"/>
          <w:kern w:val="0"/>
          <w:sz w:val="30"/>
          <w:szCs w:val="30"/>
          <w:lang w:val="en-US" w:eastAsia="zh-CN"/>
        </w:rPr>
        <w:t xml:space="preserve"> </w:t>
      </w:r>
      <w:r>
        <w:rPr>
          <w:rFonts w:hint="eastAsia" w:ascii="仿宋" w:hAnsi="仿宋" w:eastAsia="仿宋" w:cs="Arial"/>
          <w:b/>
          <w:color w:val="auto"/>
          <w:kern w:val="0"/>
          <w:sz w:val="30"/>
          <w:szCs w:val="30"/>
        </w:rPr>
        <w:t xml:space="preserve">   单位：</w:t>
      </w:r>
      <w:r>
        <w:rPr>
          <w:rFonts w:hint="eastAsia" w:ascii="仿宋" w:hAnsi="仿宋" w:eastAsia="仿宋" w:cs="Arial"/>
          <w:b/>
          <w:color w:val="auto"/>
          <w:kern w:val="0"/>
          <w:sz w:val="30"/>
          <w:szCs w:val="30"/>
          <w:lang w:val="en-US" w:eastAsia="zh-CN"/>
        </w:rPr>
        <w:t>万</w:t>
      </w:r>
      <w:r>
        <w:rPr>
          <w:rFonts w:hint="eastAsia" w:ascii="仿宋" w:hAnsi="仿宋" w:eastAsia="仿宋" w:cs="Arial"/>
          <w:b/>
          <w:color w:val="auto"/>
          <w:kern w:val="0"/>
          <w:sz w:val="30"/>
          <w:szCs w:val="30"/>
        </w:rPr>
        <w:t>元</w:t>
      </w:r>
    </w:p>
    <w:tbl>
      <w:tblPr>
        <w:tblStyle w:val="11"/>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lang w:val="en-US" w:eastAsia="zh-CN"/>
              </w:rPr>
              <w:t>科目</w:t>
            </w:r>
            <w:r>
              <w:rPr>
                <w:rFonts w:hint="eastAsia" w:ascii="仿宋" w:hAnsi="仿宋" w:eastAsia="仿宋" w:cs="仿宋"/>
                <w:b/>
                <w:color w:val="auto"/>
                <w:kern w:val="0"/>
                <w:sz w:val="28"/>
                <w:szCs w:val="28"/>
              </w:rPr>
              <w:t>名称</w:t>
            </w:r>
          </w:p>
        </w:tc>
        <w:tc>
          <w:tcPr>
            <w:tcW w:w="1837"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2020年</w:t>
            </w:r>
          </w:p>
        </w:tc>
        <w:tc>
          <w:tcPr>
            <w:tcW w:w="2071"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2021年</w:t>
            </w:r>
          </w:p>
        </w:tc>
        <w:tc>
          <w:tcPr>
            <w:tcW w:w="1956" w:type="dxa"/>
            <w:vAlign w:val="top"/>
          </w:tcPr>
          <w:p>
            <w:pPr>
              <w:widowControl/>
              <w:jc w:val="left"/>
              <w:rPr>
                <w:rFonts w:hint="eastAsia" w:ascii="仿宋" w:hAnsi="仿宋" w:eastAsia="仿宋" w:cs="仿宋"/>
                <w:b/>
                <w:color w:val="auto"/>
                <w:kern w:val="0"/>
                <w:sz w:val="28"/>
                <w:szCs w:val="28"/>
                <w:lang w:val="en-US"/>
              </w:rPr>
            </w:pPr>
            <w:r>
              <w:rPr>
                <w:rFonts w:hint="eastAsia" w:ascii="仿宋" w:hAnsi="仿宋" w:eastAsia="仿宋" w:cs="仿宋"/>
                <w:b/>
                <w:color w:val="auto"/>
                <w:kern w:val="0"/>
                <w:sz w:val="24"/>
                <w:szCs w:val="24"/>
                <w:lang w:eastAsia="zh-CN"/>
              </w:rPr>
              <w:t>增减变化</w:t>
            </w:r>
            <w:r>
              <w:rPr>
                <w:rFonts w:hint="eastAsia" w:ascii="仿宋" w:hAnsi="仿宋" w:eastAsia="仿宋" w:cs="仿宋"/>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widowControl/>
              <w:ind w:left="0" w:leftChars="0" w:firstLine="0" w:firstLineChars="0"/>
              <w:jc w:val="center"/>
              <w:rPr>
                <w:rFonts w:hint="eastAsia" w:ascii="仿宋" w:hAnsi="仿宋" w:eastAsia="仿宋" w:cs="仿宋"/>
                <w:color w:val="auto"/>
                <w:kern w:val="0"/>
                <w:sz w:val="28"/>
                <w:szCs w:val="28"/>
              </w:rPr>
            </w:pPr>
            <w:r>
              <w:rPr>
                <w:rFonts w:hint="eastAsia" w:ascii="仿宋" w:hAnsi="仿宋" w:eastAsia="仿宋" w:cs="仿宋"/>
                <w:color w:val="auto"/>
                <w:sz w:val="24"/>
                <w:szCs w:val="24"/>
                <w:vertAlign w:val="baseline"/>
                <w:lang w:val="en-US" w:eastAsia="zh-CN"/>
              </w:rPr>
              <w:t>18388.94</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9291.23</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-49.47%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keepNext w:val="0"/>
              <w:keepLines w:val="0"/>
              <w:pageBreakBefore w:val="0"/>
              <w:widowControl/>
              <w:kinsoku/>
              <w:wordWrap/>
              <w:overflowPunct/>
              <w:topLinePunct w:val="0"/>
              <w:autoSpaceDE/>
              <w:autoSpaceDN/>
              <w:bidi w:val="0"/>
              <w:adjustRightInd/>
              <w:snapToGrid/>
              <w:spacing w:line="660" w:lineRule="exact"/>
              <w:ind w:left="0" w:leftChars="0" w:right="0" w:rightChars="0" w:firstLine="0" w:firstLineChars="0"/>
              <w:jc w:val="center"/>
              <w:outlineLvl w:val="9"/>
              <w:rPr>
                <w:rFonts w:hint="eastAsia" w:ascii="仿宋" w:hAnsi="仿宋" w:eastAsia="仿宋" w:cs="仿宋"/>
                <w:color w:val="auto"/>
                <w:kern w:val="0"/>
                <w:sz w:val="28"/>
                <w:szCs w:val="28"/>
              </w:rPr>
            </w:pPr>
            <w:r>
              <w:rPr>
                <w:rFonts w:hint="eastAsia" w:ascii="仿宋" w:hAnsi="仿宋" w:eastAsia="仿宋" w:cs="仿宋"/>
                <w:color w:val="auto"/>
                <w:sz w:val="24"/>
                <w:szCs w:val="24"/>
                <w:vertAlign w:val="baseline"/>
                <w:lang w:val="en-US" w:eastAsia="zh-CN"/>
              </w:rPr>
              <w:t>728.01</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673.78</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-7.44%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keepNext w:val="0"/>
              <w:keepLines w:val="0"/>
              <w:pageBreakBefore w:val="0"/>
              <w:widowControl/>
              <w:kinsoku/>
              <w:wordWrap/>
              <w:overflowPunct/>
              <w:topLinePunct w:val="0"/>
              <w:autoSpaceDE/>
              <w:autoSpaceDN/>
              <w:bidi w:val="0"/>
              <w:adjustRightInd/>
              <w:snapToGrid/>
              <w:spacing w:line="660" w:lineRule="exact"/>
              <w:ind w:left="0" w:leftChars="0" w:right="0" w:rightChars="0" w:firstLine="480" w:firstLineChars="200"/>
              <w:jc w:val="center"/>
              <w:outlineLvl w:val="9"/>
              <w:rPr>
                <w:rFonts w:hint="eastAsia" w:ascii="仿宋" w:hAnsi="仿宋" w:eastAsia="仿宋" w:cs="仿宋"/>
                <w:color w:val="auto"/>
                <w:kern w:val="0"/>
                <w:sz w:val="28"/>
                <w:szCs w:val="28"/>
              </w:rPr>
            </w:pPr>
            <w:r>
              <w:rPr>
                <w:rFonts w:hint="eastAsia" w:ascii="仿宋" w:hAnsi="仿宋" w:eastAsia="仿宋" w:cs="仿宋"/>
                <w:color w:val="auto"/>
                <w:sz w:val="24"/>
                <w:szCs w:val="24"/>
                <w:vertAlign w:val="baseline"/>
                <w:lang w:val="en-US" w:eastAsia="zh-CN"/>
              </w:rPr>
              <w:t>1549.42</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386.33</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-75.07%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keepNext w:val="0"/>
              <w:keepLines w:val="0"/>
              <w:pageBreakBefore w:val="0"/>
              <w:widowControl/>
              <w:kinsoku/>
              <w:wordWrap/>
              <w:overflowPunct/>
              <w:topLinePunct w:val="0"/>
              <w:autoSpaceDE/>
              <w:autoSpaceDN/>
              <w:bidi w:val="0"/>
              <w:adjustRightInd/>
              <w:snapToGrid/>
              <w:spacing w:line="660" w:lineRule="exact"/>
              <w:ind w:left="0" w:leftChars="0" w:right="0" w:rightChars="0" w:firstLine="480" w:firstLineChars="200"/>
              <w:jc w:val="center"/>
              <w:outlineLvl w:val="9"/>
              <w:rPr>
                <w:rFonts w:hint="eastAsia" w:ascii="仿宋" w:hAnsi="仿宋" w:eastAsia="仿宋" w:cs="仿宋"/>
                <w:color w:val="auto"/>
                <w:kern w:val="0"/>
                <w:sz w:val="28"/>
                <w:szCs w:val="28"/>
              </w:rPr>
            </w:pPr>
            <w:r>
              <w:rPr>
                <w:rFonts w:hint="eastAsia" w:ascii="仿宋" w:hAnsi="仿宋" w:eastAsia="仿宋" w:cs="仿宋"/>
                <w:color w:val="auto"/>
                <w:sz w:val="24"/>
                <w:szCs w:val="24"/>
                <w:vertAlign w:val="baseline"/>
                <w:lang w:val="en-US" w:eastAsia="zh-CN"/>
              </w:rPr>
              <w:t>3746.42</w:t>
            </w:r>
          </w:p>
        </w:tc>
        <w:tc>
          <w:tcPr>
            <w:tcW w:w="2071"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2560.86</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-31.65%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widowControl/>
              <w:jc w:val="center"/>
              <w:rPr>
                <w:rFonts w:hint="eastAsia" w:ascii="仿宋" w:hAnsi="仿宋" w:eastAsia="仿宋" w:cs="仿宋"/>
                <w:color w:val="auto"/>
                <w:kern w:val="0"/>
                <w:sz w:val="28"/>
                <w:szCs w:val="28"/>
              </w:rPr>
            </w:pPr>
            <w:r>
              <w:rPr>
                <w:rFonts w:hint="eastAsia" w:ascii="仿宋" w:hAnsi="仿宋" w:eastAsia="仿宋" w:cs="仿宋"/>
                <w:color w:val="auto"/>
                <w:sz w:val="24"/>
                <w:szCs w:val="24"/>
                <w:vertAlign w:val="baseline"/>
                <w:lang w:val="en-US" w:eastAsia="zh-CN"/>
              </w:rPr>
              <w:t>12365.08</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5670.26</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-54.14%</w:t>
            </w:r>
          </w:p>
        </w:tc>
      </w:tr>
    </w:tbl>
    <w:p>
      <w:pPr>
        <w:spacing w:line="580" w:lineRule="exact"/>
        <w:ind w:left="0" w:leftChars="0" w:firstLine="640" w:firstLineChars="200"/>
        <w:rPr>
          <w:rFonts w:hint="eastAsia"/>
          <w:color w:val="auto"/>
          <w:szCs w:val="32"/>
        </w:rPr>
      </w:pPr>
      <w:r>
        <w:rPr>
          <w:rFonts w:hint="eastAsia" w:ascii="仿宋_GB2312"/>
          <w:color w:val="auto"/>
          <w:szCs w:val="32"/>
          <w:lang w:val="en-US" w:eastAsia="zh-CN"/>
        </w:rPr>
        <w:t>本年工资福利支出减少</w:t>
      </w:r>
      <w:r>
        <w:rPr>
          <w:rFonts w:hint="eastAsia" w:ascii="仿宋_GB2312"/>
          <w:color w:val="auto"/>
          <w:szCs w:val="32"/>
        </w:rPr>
        <w:t>主要原因</w:t>
      </w:r>
      <w:r>
        <w:rPr>
          <w:rFonts w:hint="eastAsia" w:ascii="仿宋_GB2312"/>
          <w:color w:val="auto"/>
          <w:szCs w:val="32"/>
          <w:lang w:val="en-US" w:eastAsia="zh-CN"/>
        </w:rPr>
        <w:t>人员退休及调动，商品服务支出减少原因是本年经费类支出预算项目减少。对人人和家庭的补助减少原因是</w:t>
      </w:r>
      <w:r>
        <w:rPr>
          <w:rFonts w:hint="eastAsia" w:ascii="仿宋_GB2312"/>
          <w:color w:val="auto"/>
          <w:szCs w:val="32"/>
        </w:rPr>
        <w:t>是</w:t>
      </w:r>
      <w:r>
        <w:rPr>
          <w:rFonts w:hint="eastAsia" w:ascii="仿宋_GB2312"/>
          <w:color w:val="auto"/>
          <w:szCs w:val="32"/>
          <w:lang w:val="en-US" w:eastAsia="zh-CN"/>
        </w:rPr>
        <w:t>本年退耕还林还草补助减少，森态护林员项目减少，资本性支出减少主要原因是山水林田湖草项目支出减少近及上级投资造林绿化项目支出减少</w:t>
      </w:r>
      <w:r>
        <w:rPr>
          <w:rFonts w:hint="eastAsia" w:ascii="仿宋_GB2312"/>
          <w:color w:val="auto"/>
          <w:szCs w:val="32"/>
        </w:rPr>
        <w:t>。</w:t>
      </w:r>
    </w:p>
    <w:p>
      <w:pPr>
        <w:pStyle w:val="5"/>
        <w:rPr>
          <w:rFonts w:hint="eastAsia" w:ascii="仿宋" w:hAnsi="仿宋" w:eastAsia="仿宋" w:cs="仿宋"/>
          <w:b/>
          <w:bCs w:val="0"/>
          <w:color w:val="auto"/>
          <w:lang w:val="en-US" w:eastAsia="zh-CN"/>
        </w:rPr>
      </w:pPr>
      <w:bookmarkStart w:id="21" w:name="_Toc841"/>
      <w:bookmarkStart w:id="22" w:name="_Toc17728"/>
      <w:r>
        <w:rPr>
          <w:rFonts w:hint="eastAsia" w:ascii="仿宋" w:hAnsi="仿宋" w:eastAsia="仿宋" w:cs="仿宋"/>
          <w:b/>
          <w:bCs w:val="0"/>
          <w:color w:val="auto"/>
          <w:lang w:val="en-US" w:eastAsia="zh-CN"/>
        </w:rPr>
        <w:t>六、一般公共预算财政拨款基本支出决算情况说明</w:t>
      </w:r>
      <w:bookmarkEnd w:id="21"/>
      <w:bookmarkEnd w:id="22"/>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803.51</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674.24</w:t>
      </w:r>
      <w:r>
        <w:rPr>
          <w:rFonts w:hint="eastAsia" w:ascii="仿宋_GB2312"/>
          <w:color w:val="auto"/>
          <w:szCs w:val="32"/>
        </w:rPr>
        <w:t>万元</w:t>
      </w:r>
      <w:r>
        <w:rPr>
          <w:rFonts w:ascii="仿宋_GB2312"/>
          <w:color w:val="auto"/>
          <w:szCs w:val="32"/>
        </w:rPr>
        <w:t>，</w:t>
      </w:r>
      <w:r>
        <w:rPr>
          <w:rFonts w:hint="eastAsia" w:ascii="仿宋_GB2312"/>
          <w:color w:val="auto"/>
          <w:szCs w:val="32"/>
          <w:lang w:val="en-US" w:eastAsia="zh-CN"/>
        </w:rPr>
        <w:t>主要包括人员工资、社保、及对个人和家庭的补助</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129.27</w:t>
      </w:r>
      <w:r>
        <w:rPr>
          <w:rFonts w:hint="eastAsia" w:ascii="仿宋_GB2312"/>
          <w:color w:val="auto"/>
          <w:szCs w:val="32"/>
        </w:rPr>
        <w:t>万元</w:t>
      </w:r>
      <w:r>
        <w:rPr>
          <w:rFonts w:ascii="仿宋_GB2312"/>
          <w:color w:val="auto"/>
          <w:szCs w:val="32"/>
        </w:rPr>
        <w:t>，主要包括</w:t>
      </w:r>
      <w:r>
        <w:rPr>
          <w:rFonts w:hint="eastAsia" w:ascii="仿宋_GB2312"/>
          <w:color w:val="auto"/>
          <w:szCs w:val="32"/>
        </w:rPr>
        <w:t>主要</w:t>
      </w:r>
      <w:r>
        <w:rPr>
          <w:rFonts w:ascii="仿宋_GB2312"/>
          <w:color w:val="auto"/>
          <w:szCs w:val="32"/>
        </w:rPr>
        <w:t>包括</w:t>
      </w:r>
      <w:r>
        <w:rPr>
          <w:rFonts w:hint="eastAsia" w:ascii="仿宋_GB2312"/>
          <w:color w:val="auto"/>
          <w:szCs w:val="32"/>
          <w:lang w:val="en-US" w:eastAsia="zh-CN"/>
        </w:rPr>
        <w:t>水电费、印刷费、委托业务费、邮电费、其它交通费等</w:t>
      </w:r>
      <w:r>
        <w:rPr>
          <w:rFonts w:ascii="仿宋_GB2312"/>
          <w:color w:val="auto"/>
          <w:szCs w:val="32"/>
        </w:rPr>
        <w:t>。</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lang w:val="en-US" w:eastAsia="zh-CN"/>
        </w:rPr>
        <w:t>8487.73</w:t>
      </w:r>
      <w:r>
        <w:rPr>
          <w:rFonts w:hint="eastAsia" w:ascii="仿宋_GB2312"/>
          <w:color w:val="auto"/>
          <w:szCs w:val="32"/>
        </w:rPr>
        <w:t>万元</w:t>
      </w:r>
      <w:r>
        <w:rPr>
          <w:rFonts w:hint="eastAsia" w:ascii="仿宋_GB2312"/>
          <w:color w:val="auto"/>
          <w:szCs w:val="32"/>
          <w:lang w:eastAsia="zh-CN"/>
        </w:rPr>
        <w:t>。</w:t>
      </w:r>
    </w:p>
    <w:p>
      <w:pPr>
        <w:pStyle w:val="5"/>
        <w:rPr>
          <w:rFonts w:hint="eastAsia" w:ascii="仿宋" w:hAnsi="仿宋" w:eastAsia="仿宋" w:cs="仿宋"/>
          <w:b/>
          <w:bCs w:val="0"/>
          <w:color w:val="auto"/>
          <w:lang w:val="en-US" w:eastAsia="zh-CN"/>
        </w:rPr>
      </w:pPr>
      <w:bookmarkStart w:id="23" w:name="_Toc2304"/>
      <w:bookmarkStart w:id="24" w:name="_Toc26508"/>
      <w:r>
        <w:rPr>
          <w:rFonts w:hint="eastAsia" w:ascii="仿宋" w:hAnsi="仿宋" w:eastAsia="仿宋" w:cs="仿宋"/>
          <w:b/>
          <w:bCs w:val="0"/>
          <w:color w:val="auto"/>
          <w:lang w:val="en-US" w:eastAsia="zh-CN"/>
        </w:rPr>
        <w:t>七、一般公共预算财政拨款“三公”经费支出决算情况说明</w:t>
      </w:r>
      <w:bookmarkEnd w:id="23"/>
      <w:bookmarkEnd w:id="24"/>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年度，“三公”经费财政拨款支出决算为</w:t>
      </w:r>
      <w:r>
        <w:rPr>
          <w:rFonts w:hint="eastAsia" w:ascii="仿宋_GB2312"/>
          <w:color w:val="auto"/>
          <w:szCs w:val="32"/>
          <w:lang w:val="en-US" w:eastAsia="zh-CN"/>
        </w:rPr>
        <w:t>4.99</w:t>
      </w:r>
      <w:r>
        <w:rPr>
          <w:rFonts w:hint="eastAsia" w:ascii="仿宋_GB2312"/>
          <w:color w:val="auto"/>
          <w:szCs w:val="32"/>
        </w:rPr>
        <w:t>万元，，比上年减少</w:t>
      </w:r>
      <w:r>
        <w:rPr>
          <w:rFonts w:hint="eastAsia" w:ascii="仿宋_GB2312"/>
          <w:color w:val="auto"/>
          <w:szCs w:val="32"/>
          <w:lang w:val="en-US" w:eastAsia="zh-CN"/>
        </w:rPr>
        <w:t>0.59</w:t>
      </w:r>
      <w:r>
        <w:rPr>
          <w:rFonts w:hint="eastAsia" w:ascii="仿宋_GB2312"/>
          <w:color w:val="auto"/>
          <w:szCs w:val="32"/>
        </w:rPr>
        <w:t>万元，下降</w:t>
      </w:r>
      <w:r>
        <w:rPr>
          <w:rFonts w:hint="eastAsia" w:ascii="仿宋_GB2312"/>
          <w:color w:val="auto"/>
          <w:szCs w:val="32"/>
          <w:lang w:val="en-US" w:eastAsia="zh-CN"/>
        </w:rPr>
        <w:t>10.57</w:t>
      </w:r>
      <w:r>
        <w:rPr>
          <w:rFonts w:hint="eastAsia" w:ascii="仿宋_GB2312"/>
          <w:color w:val="auto"/>
          <w:szCs w:val="32"/>
        </w:rPr>
        <w:t>%，原因是：</w:t>
      </w:r>
      <w:r>
        <w:rPr>
          <w:rFonts w:hint="eastAsia" w:ascii="仿宋_GB2312"/>
          <w:color w:val="auto"/>
          <w:szCs w:val="32"/>
          <w:lang w:val="en-US" w:eastAsia="zh-CN"/>
        </w:rPr>
        <w:t>节约公务用车费支出</w:t>
      </w:r>
      <w:r>
        <w:rPr>
          <w:rFonts w:hint="eastAsia" w:ascii="仿宋_GB2312"/>
          <w:color w:val="auto"/>
          <w:szCs w:val="32"/>
        </w:rPr>
        <w:t>。其中：因公出国（境）费支出决算</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%，比上年</w:t>
      </w:r>
      <w:r>
        <w:rPr>
          <w:rFonts w:hint="eastAsia" w:ascii="仿宋_GB2312"/>
          <w:color w:val="auto"/>
          <w:szCs w:val="32"/>
          <w:lang w:val="en-US" w:eastAsia="zh-CN"/>
        </w:rPr>
        <w:t>一样</w:t>
      </w:r>
      <w:r>
        <w:rPr>
          <w:rFonts w:hint="eastAsia" w:ascii="仿宋_GB2312"/>
          <w:color w:val="auto"/>
          <w:szCs w:val="32"/>
        </w:rPr>
        <w:t>；公务用车购置及运行费支出决算</w:t>
      </w:r>
      <w:r>
        <w:rPr>
          <w:rFonts w:hint="eastAsia" w:ascii="仿宋_GB2312"/>
          <w:color w:val="auto"/>
          <w:szCs w:val="32"/>
          <w:lang w:val="en-US" w:eastAsia="zh-CN"/>
        </w:rPr>
        <w:t>4.99</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%，比上</w:t>
      </w:r>
      <w:r>
        <w:rPr>
          <w:rFonts w:hint="eastAsia" w:ascii="仿宋_GB2312"/>
          <w:color w:val="auto"/>
          <w:szCs w:val="32"/>
          <w:lang w:val="en-US" w:eastAsia="zh-CN"/>
        </w:rPr>
        <w:t>减少10.57%，全部用于公务用车运行维护费</w:t>
      </w:r>
      <w:r>
        <w:rPr>
          <w:rFonts w:hint="eastAsia" w:ascii="仿宋_GB2312"/>
          <w:color w:val="auto"/>
          <w:szCs w:val="32"/>
        </w:rPr>
        <w:t>；公务接待费支出决算</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%，比上</w:t>
      </w:r>
      <w:r>
        <w:rPr>
          <w:rFonts w:hint="eastAsia" w:ascii="仿宋_GB2312"/>
          <w:color w:val="auto"/>
          <w:szCs w:val="32"/>
          <w:lang w:val="en-US" w:eastAsia="zh-CN"/>
        </w:rPr>
        <w:t>一样。</w:t>
      </w:r>
    </w:p>
    <w:p>
      <w:pPr>
        <w:pStyle w:val="10"/>
        <w:tabs>
          <w:tab w:val="left" w:pos="5760"/>
        </w:tabs>
        <w:spacing w:before="0" w:beforeAutospacing="0" w:after="0" w:afterAutospacing="0"/>
        <w:ind w:firstLine="640" w:firstLineChars="200"/>
        <w:rPr>
          <w:rFonts w:hint="eastAsia" w:ascii="仿宋_GB2312" w:hAnsi="宋体" w:eastAsia="仿宋_GB2312"/>
          <w:color w:val="auto"/>
          <w:sz w:val="32"/>
          <w:szCs w:val="32"/>
        </w:rPr>
      </w:pPr>
      <w:r>
        <w:rPr>
          <w:rFonts w:hint="eastAsia" w:ascii="仿宋_GB2312"/>
          <w:color w:val="auto"/>
          <w:sz w:val="32"/>
          <w:szCs w:val="32"/>
          <w:lang w:val="en-US" w:eastAsia="zh-CN"/>
        </w:rPr>
        <w:t>2021</w:t>
      </w:r>
      <w:r>
        <w:rPr>
          <w:rFonts w:hint="eastAsia" w:ascii="仿宋_GB2312" w:hAnsi="宋体" w:eastAsia="仿宋_GB2312"/>
          <w:color w:val="auto"/>
          <w:sz w:val="32"/>
          <w:szCs w:val="32"/>
        </w:rPr>
        <w:t>年“三公”经费支出情况，分三项和20</w:t>
      </w:r>
      <w:r>
        <w:rPr>
          <w:rFonts w:hint="eastAsia" w:ascii="仿宋_GB2312"/>
          <w:color w:val="auto"/>
          <w:sz w:val="32"/>
          <w:szCs w:val="32"/>
          <w:lang w:val="en-US" w:eastAsia="zh-CN"/>
        </w:rPr>
        <w:t>20</w:t>
      </w:r>
      <w:r>
        <w:rPr>
          <w:rFonts w:hint="eastAsia" w:ascii="仿宋_GB2312" w:hAnsi="宋体" w:eastAsia="仿宋_GB2312"/>
          <w:color w:val="auto"/>
          <w:sz w:val="32"/>
          <w:szCs w:val="32"/>
        </w:rPr>
        <w:t>年相比。</w:t>
      </w:r>
    </w:p>
    <w:tbl>
      <w:tblPr>
        <w:tblStyle w:val="11"/>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10"/>
              <w:spacing w:before="0" w:beforeAutospacing="0" w:after="0" w:afterAutospacing="0" w:line="300" w:lineRule="exact"/>
              <w:ind w:firstLine="2368" w:firstLineChars="1123"/>
              <w:rPr>
                <w:rFonts w:hint="eastAsia"/>
                <w:b/>
                <w:color w:val="auto"/>
                <w:sz w:val="21"/>
                <w:szCs w:val="21"/>
              </w:rPr>
            </w:pPr>
            <w:r>
              <w:rPr>
                <w:rFonts w:hint="eastAsia"/>
                <w:b/>
                <w:color w:val="auto"/>
                <w:sz w:val="21"/>
                <w:szCs w:val="21"/>
              </w:rPr>
              <w:t>年度</w:t>
            </w:r>
          </w:p>
          <w:p>
            <w:pPr>
              <w:pStyle w:val="10"/>
              <w:spacing w:before="0" w:beforeAutospacing="0" w:after="0" w:afterAutospacing="0" w:line="300" w:lineRule="exact"/>
              <w:ind w:firstLine="310" w:firstLineChars="147"/>
              <w:rPr>
                <w:rFonts w:hint="eastAsia"/>
                <w:b/>
                <w:color w:val="auto"/>
                <w:sz w:val="28"/>
                <w:szCs w:val="28"/>
              </w:rPr>
            </w:pPr>
            <w:r>
              <w:rPr>
                <w:rFonts w:hint="eastAsia"/>
                <w:b/>
                <w:color w:val="auto"/>
                <w:sz w:val="21"/>
                <w:szCs w:val="21"/>
              </w:rPr>
              <w:t>项目</w:t>
            </w:r>
          </w:p>
        </w:tc>
        <w:tc>
          <w:tcPr>
            <w:tcW w:w="1701" w:type="dxa"/>
            <w:vAlign w:val="top"/>
          </w:tcPr>
          <w:p>
            <w:pPr>
              <w:pStyle w:val="10"/>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20</w:t>
            </w:r>
            <w:r>
              <w:rPr>
                <w:rFonts w:hint="eastAsia"/>
                <w:b/>
                <w:color w:val="auto"/>
                <w:sz w:val="28"/>
                <w:szCs w:val="28"/>
              </w:rPr>
              <w:t>年</w:t>
            </w:r>
          </w:p>
        </w:tc>
        <w:tc>
          <w:tcPr>
            <w:tcW w:w="1701" w:type="dxa"/>
            <w:vAlign w:val="top"/>
          </w:tcPr>
          <w:p>
            <w:pPr>
              <w:pStyle w:val="10"/>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21</w:t>
            </w:r>
            <w:r>
              <w:rPr>
                <w:rFonts w:hint="eastAsia"/>
                <w:b/>
                <w:color w:val="auto"/>
                <w:sz w:val="28"/>
                <w:szCs w:val="28"/>
              </w:rPr>
              <w:t>年</w:t>
            </w:r>
          </w:p>
        </w:tc>
        <w:tc>
          <w:tcPr>
            <w:tcW w:w="1418" w:type="dxa"/>
            <w:vAlign w:val="top"/>
          </w:tcPr>
          <w:p>
            <w:pPr>
              <w:pStyle w:val="10"/>
              <w:ind w:left="0" w:leftChars="0" w:firstLine="0" w:firstLineChars="0"/>
              <w:jc w:val="both"/>
              <w:rPr>
                <w:rFonts w:hint="eastAsia"/>
                <w:b/>
                <w:color w:val="auto"/>
                <w:sz w:val="28"/>
                <w:szCs w:val="28"/>
              </w:rPr>
            </w:pPr>
            <w:r>
              <w:rPr>
                <w:rFonts w:hint="eastAsia"/>
                <w:b/>
                <w:color w:val="auto"/>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10"/>
              <w:rPr>
                <w:rFonts w:hint="eastAsia"/>
                <w:color w:val="auto"/>
                <w:sz w:val="28"/>
                <w:szCs w:val="28"/>
              </w:rPr>
            </w:pPr>
            <w:r>
              <w:rPr>
                <w:rFonts w:hint="eastAsia"/>
                <w:color w:val="auto"/>
                <w:sz w:val="28"/>
                <w:szCs w:val="28"/>
              </w:rPr>
              <w:t>因公出国（境）费</w:t>
            </w:r>
          </w:p>
        </w:tc>
        <w:tc>
          <w:tcPr>
            <w:tcW w:w="1701" w:type="dxa"/>
            <w:vAlign w:val="top"/>
          </w:tcPr>
          <w:p>
            <w:pPr>
              <w:pStyle w:val="10"/>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10"/>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10"/>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10"/>
              <w:rPr>
                <w:rFonts w:hint="eastAsia"/>
                <w:color w:val="auto"/>
                <w:sz w:val="28"/>
                <w:szCs w:val="28"/>
              </w:rPr>
            </w:pPr>
            <w:r>
              <w:rPr>
                <w:rFonts w:hint="eastAsia"/>
                <w:color w:val="auto"/>
                <w:sz w:val="28"/>
                <w:szCs w:val="28"/>
              </w:rPr>
              <w:t>公务接待费</w:t>
            </w:r>
          </w:p>
        </w:tc>
        <w:tc>
          <w:tcPr>
            <w:tcW w:w="1701" w:type="dxa"/>
            <w:vAlign w:val="top"/>
          </w:tcPr>
          <w:p>
            <w:pPr>
              <w:pStyle w:val="10"/>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10"/>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10"/>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10"/>
              <w:ind w:left="0" w:leftChars="0" w:firstLine="0" w:firstLineChars="0"/>
              <w:rPr>
                <w:rFonts w:hint="eastAsia"/>
                <w:color w:val="auto"/>
                <w:sz w:val="28"/>
                <w:szCs w:val="28"/>
              </w:rPr>
            </w:pPr>
            <w:r>
              <w:rPr>
                <w:rFonts w:hint="eastAsia"/>
                <w:color w:val="auto"/>
                <w:sz w:val="28"/>
                <w:szCs w:val="28"/>
              </w:rPr>
              <w:t>公务用车购置及运行维护费</w:t>
            </w:r>
          </w:p>
        </w:tc>
        <w:tc>
          <w:tcPr>
            <w:tcW w:w="1701" w:type="dxa"/>
            <w:vAlign w:val="top"/>
          </w:tcPr>
          <w:p>
            <w:pPr>
              <w:pStyle w:val="10"/>
              <w:jc w:val="right"/>
              <w:rPr>
                <w:rFonts w:hint="eastAsia" w:eastAsia="宋体"/>
                <w:color w:val="auto"/>
                <w:sz w:val="28"/>
                <w:szCs w:val="28"/>
                <w:lang w:val="en-US" w:eastAsia="zh-CN"/>
              </w:rPr>
            </w:pPr>
            <w:r>
              <w:rPr>
                <w:rFonts w:hint="eastAsia" w:eastAsia="宋体"/>
                <w:color w:val="auto"/>
                <w:sz w:val="28"/>
                <w:szCs w:val="28"/>
                <w:lang w:val="en-US" w:eastAsia="zh-CN"/>
              </w:rPr>
              <w:t>5.58</w:t>
            </w:r>
          </w:p>
        </w:tc>
        <w:tc>
          <w:tcPr>
            <w:tcW w:w="1701" w:type="dxa"/>
            <w:vAlign w:val="top"/>
          </w:tcPr>
          <w:p>
            <w:pPr>
              <w:pStyle w:val="10"/>
              <w:jc w:val="right"/>
              <w:rPr>
                <w:rFonts w:hint="eastAsia" w:eastAsia="仿宋_GB2312"/>
                <w:color w:val="auto"/>
                <w:sz w:val="28"/>
                <w:szCs w:val="28"/>
                <w:lang w:val="en-US" w:eastAsia="zh-CN"/>
              </w:rPr>
            </w:pPr>
            <w:r>
              <w:rPr>
                <w:rFonts w:hint="eastAsia"/>
                <w:color w:val="auto"/>
                <w:sz w:val="28"/>
                <w:szCs w:val="28"/>
                <w:lang w:val="en-US" w:eastAsia="zh-CN"/>
              </w:rPr>
              <w:t>4.99</w:t>
            </w:r>
          </w:p>
        </w:tc>
        <w:tc>
          <w:tcPr>
            <w:tcW w:w="1418" w:type="dxa"/>
            <w:vAlign w:val="top"/>
          </w:tcPr>
          <w:p>
            <w:pPr>
              <w:pStyle w:val="10"/>
              <w:ind w:left="0" w:leftChars="0" w:firstLine="0" w:firstLineChars="0"/>
              <w:jc w:val="both"/>
              <w:rPr>
                <w:rFonts w:hint="eastAsia" w:eastAsia="宋体"/>
                <w:color w:val="auto"/>
                <w:sz w:val="28"/>
                <w:szCs w:val="28"/>
                <w:lang w:val="en-US" w:eastAsia="zh-CN"/>
              </w:rPr>
            </w:pPr>
            <w:r>
              <w:rPr>
                <w:rFonts w:hint="eastAsia" w:eastAsia="宋体"/>
                <w:color w:val="auto"/>
                <w:sz w:val="28"/>
                <w:szCs w:val="28"/>
                <w:lang w:val="en-US" w:eastAsia="zh-CN"/>
              </w:rPr>
              <w:t>-10.57%</w:t>
            </w:r>
          </w:p>
        </w:tc>
      </w:tr>
    </w:tbl>
    <w:p>
      <w:pPr>
        <w:pStyle w:val="10"/>
        <w:spacing w:before="0" w:beforeAutospacing="0" w:after="0" w:afterAutospacing="0"/>
        <w:rPr>
          <w:rFonts w:hint="eastAsia"/>
          <w:b/>
          <w:color w:val="auto"/>
          <w:szCs w:val="32"/>
        </w:rPr>
      </w:pPr>
    </w:p>
    <w:p>
      <w:pPr>
        <w:pStyle w:val="5"/>
        <w:rPr>
          <w:rFonts w:hint="eastAsia" w:ascii="仿宋" w:hAnsi="仿宋" w:eastAsia="仿宋" w:cs="仿宋"/>
          <w:b/>
          <w:bCs w:val="0"/>
          <w:color w:val="auto"/>
          <w:lang w:val="en-US" w:eastAsia="zh-CN"/>
        </w:rPr>
      </w:pPr>
      <w:bookmarkStart w:id="25" w:name="_Toc9078"/>
      <w:bookmarkStart w:id="26" w:name="_Toc1792"/>
      <w:r>
        <w:rPr>
          <w:rFonts w:hint="eastAsia" w:ascii="仿宋" w:hAnsi="仿宋" w:eastAsia="仿宋" w:cs="仿宋"/>
          <w:b/>
          <w:bCs w:val="0"/>
          <w:color w:val="auto"/>
          <w:lang w:val="en-US" w:eastAsia="zh-CN"/>
        </w:rPr>
        <w:t>八、其他重要事项情况说明</w:t>
      </w:r>
      <w:bookmarkEnd w:id="25"/>
      <w:bookmarkEnd w:id="26"/>
    </w:p>
    <w:p>
      <w:pPr>
        <w:rPr>
          <w:rFonts w:hint="eastAsia"/>
          <w:b/>
          <w:bCs/>
          <w:color w:val="auto"/>
        </w:rPr>
      </w:pPr>
      <w:bookmarkStart w:id="27" w:name="_Toc23407"/>
      <w:r>
        <w:rPr>
          <w:rFonts w:hint="eastAsia"/>
          <w:b/>
          <w:bCs/>
          <w:color w:val="auto"/>
        </w:rPr>
        <w:t>（一）机关运行经费支出情况说明</w:t>
      </w:r>
      <w:bookmarkEnd w:id="27"/>
    </w:p>
    <w:p>
      <w:pPr>
        <w:spacing w:line="580" w:lineRule="exact"/>
        <w:ind w:firstLine="640"/>
        <w:rPr>
          <w:rFonts w:hint="eastAsia"/>
          <w:b/>
          <w:color w:val="auto"/>
          <w:szCs w:val="32"/>
          <w:lang w:val="en-US"/>
        </w:rPr>
      </w:pPr>
      <w:r>
        <w:rPr>
          <w:rFonts w:hint="eastAsia" w:ascii="仿宋_GB2312" w:hAnsi="宋体"/>
          <w:color w:val="auto"/>
          <w:szCs w:val="32"/>
        </w:rPr>
        <w:t>20</w:t>
      </w:r>
      <w:r>
        <w:rPr>
          <w:rFonts w:hint="eastAsia" w:ascii="仿宋_GB2312" w:hAnsi="宋体"/>
          <w:color w:val="auto"/>
          <w:szCs w:val="32"/>
          <w:lang w:val="en-US" w:eastAsia="zh-CN"/>
        </w:rPr>
        <w:t>21</w:t>
      </w:r>
      <w:r>
        <w:rPr>
          <w:rFonts w:hint="eastAsia" w:ascii="仿宋_GB2312" w:hAnsi="宋体"/>
          <w:color w:val="auto"/>
          <w:szCs w:val="32"/>
        </w:rPr>
        <w:t>年本</w:t>
      </w:r>
      <w:r>
        <w:rPr>
          <w:rFonts w:hint="eastAsia" w:ascii="仿宋_GB2312" w:hAnsi="宋体"/>
          <w:color w:val="auto"/>
          <w:szCs w:val="32"/>
          <w:lang w:val="en-US" w:eastAsia="zh-CN"/>
        </w:rPr>
        <w:t>单位</w:t>
      </w:r>
      <w:r>
        <w:rPr>
          <w:rFonts w:hint="eastAsia" w:ascii="仿宋_GB2312" w:hAnsi="宋体"/>
          <w:color w:val="auto"/>
          <w:szCs w:val="32"/>
        </w:rPr>
        <w:t>机关运行经费支出</w:t>
      </w:r>
      <w:r>
        <w:rPr>
          <w:rFonts w:hint="eastAsia" w:ascii="仿宋_GB2312" w:hAnsi="宋体"/>
          <w:color w:val="auto"/>
          <w:szCs w:val="32"/>
          <w:lang w:val="en-US" w:eastAsia="zh-CN"/>
        </w:rPr>
        <w:t>129.27</w:t>
      </w:r>
      <w:r>
        <w:rPr>
          <w:rFonts w:hint="eastAsia" w:ascii="仿宋_GB2312" w:hAnsi="宋体"/>
          <w:color w:val="auto"/>
          <w:szCs w:val="32"/>
        </w:rPr>
        <w:t>万元，比20</w:t>
      </w:r>
      <w:r>
        <w:rPr>
          <w:rFonts w:hint="eastAsia" w:ascii="仿宋_GB2312" w:hAnsi="宋体"/>
          <w:color w:val="auto"/>
          <w:szCs w:val="32"/>
          <w:lang w:val="en-US" w:eastAsia="zh-CN"/>
        </w:rPr>
        <w:t>21</w:t>
      </w:r>
      <w:r>
        <w:rPr>
          <w:rFonts w:hint="eastAsia" w:ascii="仿宋_GB2312" w:hAnsi="宋体"/>
          <w:color w:val="auto"/>
          <w:szCs w:val="32"/>
        </w:rPr>
        <w:t>年增加</w:t>
      </w:r>
      <w:r>
        <w:rPr>
          <w:rFonts w:hint="eastAsia" w:ascii="仿宋_GB2312" w:hAnsi="宋体"/>
          <w:color w:val="auto"/>
          <w:szCs w:val="32"/>
          <w:lang w:val="en-US" w:eastAsia="zh-CN"/>
        </w:rPr>
        <w:t>56.54</w:t>
      </w:r>
      <w:r>
        <w:rPr>
          <w:rFonts w:hint="eastAsia" w:ascii="仿宋_GB2312" w:hAnsi="宋体"/>
          <w:color w:val="auto"/>
          <w:szCs w:val="32"/>
        </w:rPr>
        <w:t>万元，增长</w:t>
      </w:r>
      <w:r>
        <w:rPr>
          <w:rFonts w:hint="eastAsia" w:ascii="仿宋_GB2312" w:hAnsi="宋体"/>
          <w:color w:val="auto"/>
          <w:szCs w:val="32"/>
          <w:lang w:val="en-US" w:eastAsia="zh-CN"/>
        </w:rPr>
        <w:t>77.72</w:t>
      </w:r>
      <w:r>
        <w:rPr>
          <w:rFonts w:hint="eastAsia" w:ascii="仿宋_GB2312" w:hAnsi="宋体"/>
          <w:color w:val="auto"/>
          <w:szCs w:val="32"/>
        </w:rPr>
        <w:t>%。主要原因是：</w:t>
      </w:r>
      <w:r>
        <w:rPr>
          <w:rFonts w:hint="eastAsia" w:ascii="仿宋_GB2312" w:hAnsi="宋体"/>
          <w:color w:val="auto"/>
          <w:szCs w:val="32"/>
          <w:lang w:val="en-US" w:eastAsia="zh-CN"/>
        </w:rPr>
        <w:t>本年增加林草事务中心购置防火用车4辆，其它交通工具购置支出53.83万元。</w:t>
      </w:r>
    </w:p>
    <w:p>
      <w:pPr>
        <w:rPr>
          <w:rFonts w:hint="eastAsia"/>
          <w:b/>
          <w:bCs/>
          <w:color w:val="auto"/>
        </w:rPr>
      </w:pPr>
      <w:bookmarkStart w:id="28" w:name="_Toc16103"/>
      <w:r>
        <w:rPr>
          <w:rFonts w:hint="eastAsia"/>
          <w:b/>
          <w:bCs/>
          <w:color w:val="auto"/>
        </w:rPr>
        <w:t>（二）政府采购情况说明</w:t>
      </w:r>
      <w:bookmarkEnd w:id="2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2911.37</w:t>
      </w:r>
      <w:r>
        <w:rPr>
          <w:rFonts w:hint="eastAsia" w:ascii="仿宋_GB2312"/>
          <w:color w:val="auto"/>
          <w:szCs w:val="32"/>
        </w:rPr>
        <w:t>万元，其中：政府采购货物支出</w:t>
      </w:r>
      <w:r>
        <w:rPr>
          <w:rFonts w:hint="eastAsia" w:ascii="仿宋_GB2312"/>
          <w:color w:val="auto"/>
          <w:szCs w:val="32"/>
          <w:lang w:val="en-US" w:eastAsia="zh-CN"/>
        </w:rPr>
        <w:t>58.15</w:t>
      </w:r>
      <w:r>
        <w:rPr>
          <w:rFonts w:hint="eastAsia" w:ascii="仿宋_GB2312"/>
          <w:color w:val="auto"/>
          <w:szCs w:val="32"/>
        </w:rPr>
        <w:t>万元、政府采购工程支出</w:t>
      </w:r>
      <w:r>
        <w:rPr>
          <w:rFonts w:hint="eastAsia" w:ascii="仿宋_GB2312"/>
          <w:color w:val="auto"/>
          <w:szCs w:val="32"/>
          <w:lang w:val="en-US" w:eastAsia="zh-CN"/>
        </w:rPr>
        <w:t>2853.22</w:t>
      </w:r>
      <w:r>
        <w:rPr>
          <w:rFonts w:hint="eastAsia" w:ascii="仿宋_GB2312"/>
          <w:color w:val="auto"/>
          <w:szCs w:val="32"/>
        </w:rPr>
        <w:t>万元、政府采购服务支出</w:t>
      </w:r>
      <w:r>
        <w:rPr>
          <w:rFonts w:hint="eastAsia" w:ascii="仿宋_GB2312"/>
          <w:color w:val="auto"/>
          <w:szCs w:val="32"/>
          <w:lang w:val="en-US" w:eastAsia="zh-CN"/>
        </w:rPr>
        <w:t>0</w:t>
      </w:r>
      <w:r>
        <w:rPr>
          <w:rFonts w:hint="eastAsia" w:ascii="仿宋_GB2312"/>
          <w:color w:val="auto"/>
          <w:szCs w:val="32"/>
        </w:rPr>
        <w:t>万元。政府采购授予中小企业合同金额</w:t>
      </w:r>
      <w:r>
        <w:rPr>
          <w:rFonts w:hint="eastAsia" w:ascii="仿宋_GB2312"/>
          <w:color w:val="auto"/>
          <w:szCs w:val="32"/>
          <w:lang w:val="en-US" w:eastAsia="zh-CN"/>
        </w:rPr>
        <w:t>2911.37</w:t>
      </w:r>
      <w:r>
        <w:rPr>
          <w:rFonts w:hint="eastAsia" w:ascii="仿宋_GB2312"/>
          <w:color w:val="auto"/>
          <w:szCs w:val="32"/>
        </w:rPr>
        <w:t>万元，占政府采购支出总额的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rPr>
        <w:t>。其中：授予小微企业合同金额</w:t>
      </w:r>
      <w:r>
        <w:rPr>
          <w:rFonts w:hint="eastAsia" w:ascii="仿宋_GB2312"/>
          <w:color w:val="auto"/>
          <w:szCs w:val="32"/>
          <w:lang w:val="en-US" w:eastAsia="zh-CN"/>
        </w:rPr>
        <w:t>2911.37</w:t>
      </w:r>
      <w:r>
        <w:rPr>
          <w:rFonts w:hint="eastAsia" w:ascii="仿宋_GB2312"/>
          <w:color w:val="auto"/>
          <w:szCs w:val="32"/>
        </w:rPr>
        <w:t>万元，占政府采购支出总额的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eastAsia="zh-CN"/>
        </w:rPr>
        <w:t>。</w:t>
      </w:r>
    </w:p>
    <w:p>
      <w:pPr>
        <w:rPr>
          <w:rFonts w:hint="eastAsia"/>
          <w:b/>
          <w:bCs/>
          <w:color w:val="auto"/>
        </w:rPr>
      </w:pPr>
      <w:bookmarkStart w:id="29" w:name="_Toc19975"/>
      <w:r>
        <w:rPr>
          <w:rFonts w:hint="eastAsia"/>
          <w:b/>
          <w:bCs/>
          <w:color w:val="auto"/>
        </w:rPr>
        <w:t>（三）国有资产占用情况说明</w:t>
      </w:r>
      <w:bookmarkEnd w:id="29"/>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年12月31日，本部门共有车辆</w:t>
      </w:r>
      <w:r>
        <w:rPr>
          <w:rFonts w:hint="eastAsia" w:ascii="仿宋_GB2312"/>
          <w:color w:val="auto"/>
          <w:szCs w:val="32"/>
          <w:lang w:val="en-US" w:eastAsia="zh-CN"/>
        </w:rPr>
        <w:t>3</w:t>
      </w:r>
      <w:r>
        <w:rPr>
          <w:rFonts w:hint="eastAsia" w:ascii="仿宋_GB2312"/>
          <w:color w:val="auto"/>
          <w:szCs w:val="32"/>
        </w:rPr>
        <w:t>辆。其中，副部（省）级及以上领导用车</w:t>
      </w:r>
      <w:r>
        <w:rPr>
          <w:rFonts w:hint="eastAsia" w:ascii="仿宋_GB2312"/>
          <w:color w:val="auto"/>
          <w:szCs w:val="32"/>
          <w:lang w:val="en-US" w:eastAsia="zh-CN"/>
        </w:rPr>
        <w:t>0</w:t>
      </w:r>
      <w:r>
        <w:rPr>
          <w:rFonts w:hint="eastAsia" w:ascii="仿宋_GB2312"/>
          <w:color w:val="auto"/>
          <w:szCs w:val="32"/>
        </w:rPr>
        <w:t>辆、主要领导干部用车</w:t>
      </w:r>
      <w:r>
        <w:rPr>
          <w:rFonts w:hint="eastAsia" w:ascii="仿宋_GB2312"/>
          <w:color w:val="auto"/>
          <w:szCs w:val="32"/>
          <w:lang w:val="en-US" w:eastAsia="zh-CN"/>
        </w:rPr>
        <w:t>0</w:t>
      </w:r>
      <w:r>
        <w:rPr>
          <w:rFonts w:hint="eastAsia" w:ascii="仿宋_GB2312"/>
          <w:color w:val="auto"/>
          <w:szCs w:val="32"/>
        </w:rPr>
        <w:t>辆、机要通信用车</w:t>
      </w:r>
      <w:r>
        <w:rPr>
          <w:rFonts w:hint="eastAsia" w:ascii="仿宋_GB2312"/>
          <w:color w:val="auto"/>
          <w:szCs w:val="32"/>
          <w:lang w:val="en-US" w:eastAsia="zh-CN"/>
        </w:rPr>
        <w:t>2</w:t>
      </w:r>
      <w:r>
        <w:rPr>
          <w:rFonts w:hint="eastAsia" w:ascii="仿宋_GB2312"/>
          <w:color w:val="auto"/>
          <w:szCs w:val="32"/>
        </w:rPr>
        <w:t>辆、应急保障用车</w:t>
      </w:r>
      <w:r>
        <w:rPr>
          <w:rFonts w:hint="eastAsia" w:ascii="仿宋_GB2312"/>
          <w:color w:val="auto"/>
          <w:szCs w:val="32"/>
          <w:lang w:val="en-US" w:eastAsia="zh-CN"/>
        </w:rPr>
        <w:t>2</w:t>
      </w:r>
      <w:r>
        <w:rPr>
          <w:rFonts w:hint="eastAsia" w:ascii="仿宋_GB2312"/>
          <w:color w:val="auto"/>
          <w:szCs w:val="32"/>
        </w:rPr>
        <w:t>辆、执法执勤用车</w:t>
      </w:r>
      <w:r>
        <w:rPr>
          <w:rFonts w:hint="eastAsia" w:ascii="仿宋_GB2312"/>
          <w:color w:val="auto"/>
          <w:szCs w:val="32"/>
          <w:lang w:val="en-US" w:eastAsia="zh-CN"/>
        </w:rPr>
        <w:t>0</w:t>
      </w:r>
      <w:r>
        <w:rPr>
          <w:rFonts w:hint="eastAsia" w:ascii="仿宋_GB2312"/>
          <w:color w:val="auto"/>
          <w:szCs w:val="32"/>
        </w:rPr>
        <w:t>辆、特种专业技术用车</w:t>
      </w:r>
      <w:r>
        <w:rPr>
          <w:rFonts w:hint="eastAsia" w:ascii="仿宋_GB2312"/>
          <w:color w:val="auto"/>
          <w:szCs w:val="32"/>
          <w:lang w:val="en-US" w:eastAsia="zh-CN"/>
        </w:rPr>
        <w:t>0</w:t>
      </w:r>
      <w:r>
        <w:rPr>
          <w:rFonts w:hint="eastAsia" w:ascii="仿宋_GB2312"/>
          <w:color w:val="auto"/>
          <w:szCs w:val="32"/>
        </w:rPr>
        <w:t>辆、离退休干部用车</w:t>
      </w:r>
      <w:r>
        <w:rPr>
          <w:rFonts w:hint="eastAsia" w:ascii="仿宋_GB2312"/>
          <w:color w:val="auto"/>
          <w:szCs w:val="32"/>
          <w:lang w:val="en-US" w:eastAsia="zh-CN"/>
        </w:rPr>
        <w:t>0</w:t>
      </w:r>
      <w:r>
        <w:rPr>
          <w:rFonts w:hint="eastAsia" w:ascii="仿宋_GB2312"/>
          <w:color w:val="auto"/>
          <w:szCs w:val="32"/>
        </w:rPr>
        <w:t>辆、其他用车</w:t>
      </w:r>
      <w:r>
        <w:rPr>
          <w:rFonts w:hint="eastAsia" w:ascii="仿宋_GB2312"/>
          <w:color w:val="auto"/>
          <w:szCs w:val="32"/>
          <w:lang w:val="en-US" w:eastAsia="zh-CN"/>
        </w:rPr>
        <w:t>1</w:t>
      </w:r>
      <w:r>
        <w:rPr>
          <w:rFonts w:hint="eastAsia" w:ascii="仿宋_GB2312"/>
          <w:color w:val="auto"/>
          <w:szCs w:val="32"/>
        </w:rPr>
        <w:t>辆，其他用车主要是</w:t>
      </w:r>
      <w:r>
        <w:rPr>
          <w:rFonts w:hint="eastAsia" w:ascii="仿宋_GB2312"/>
          <w:color w:val="auto"/>
          <w:szCs w:val="32"/>
          <w:lang w:val="en-US" w:eastAsia="zh-CN"/>
        </w:rPr>
        <w:t>业务用车</w:t>
      </w:r>
      <w:r>
        <w:rPr>
          <w:rFonts w:hint="eastAsia" w:ascii="仿宋_GB2312"/>
          <w:color w:val="auto"/>
          <w:szCs w:val="32"/>
        </w:rPr>
        <w:t>；单价50万元（含）以上的通用设备</w:t>
      </w:r>
      <w:r>
        <w:rPr>
          <w:rFonts w:hint="eastAsia" w:ascii="仿宋_GB2312"/>
          <w:color w:val="auto"/>
          <w:szCs w:val="32"/>
          <w:lang w:val="en-US" w:eastAsia="zh-CN"/>
        </w:rPr>
        <w:t>0</w:t>
      </w:r>
      <w:r>
        <w:rPr>
          <w:rFonts w:hint="eastAsia" w:ascii="仿宋_GB2312"/>
          <w:color w:val="auto"/>
          <w:szCs w:val="32"/>
        </w:rPr>
        <w:t>台（套），单价100万元（含）以上专用设备</w:t>
      </w:r>
      <w:r>
        <w:rPr>
          <w:rFonts w:hint="eastAsia" w:ascii="仿宋_GB2312"/>
          <w:color w:val="auto"/>
          <w:szCs w:val="32"/>
          <w:lang w:val="en-US" w:eastAsia="zh-CN"/>
        </w:rPr>
        <w:t>0</w:t>
      </w:r>
      <w:r>
        <w:rPr>
          <w:rFonts w:hint="eastAsia" w:ascii="仿宋_GB2312"/>
          <w:color w:val="auto"/>
          <w:szCs w:val="32"/>
        </w:rPr>
        <w:t>台（套）。</w:t>
      </w:r>
    </w:p>
    <w:p>
      <w:pPr>
        <w:rPr>
          <w:rFonts w:hint="eastAsia"/>
          <w:b/>
          <w:bCs/>
          <w:color w:val="auto"/>
        </w:rPr>
      </w:pPr>
      <w:r>
        <w:rPr>
          <w:rFonts w:hint="eastAsia"/>
          <w:b/>
          <w:bCs/>
          <w:color w:val="auto"/>
          <w:lang w:eastAsia="zh-CN"/>
        </w:rPr>
        <w:t>（</w:t>
      </w:r>
      <w:r>
        <w:rPr>
          <w:rFonts w:hint="eastAsia"/>
          <w:b/>
          <w:bCs/>
          <w:color w:val="auto"/>
          <w:lang w:val="en-US" w:eastAsia="zh-CN"/>
        </w:rPr>
        <w:t>四）</w:t>
      </w:r>
      <w:r>
        <w:rPr>
          <w:rFonts w:hint="eastAsia"/>
          <w:b/>
          <w:bCs/>
          <w:color w:val="auto"/>
        </w:rPr>
        <w:t>重点项目预算的绩效目标情况说明：</w:t>
      </w:r>
    </w:p>
    <w:p>
      <w:pPr>
        <w:numPr>
          <w:ilvl w:val="0"/>
          <w:numId w:val="3"/>
        </w:numPr>
        <w:ind w:firstLine="643" w:firstLineChars="20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预算绩效管理工作开展情况。</w:t>
      </w:r>
    </w:p>
    <w:p>
      <w:pPr>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根据预算绩效管理要求，我部门组织对202</w:t>
      </w:r>
      <w:r>
        <w:rPr>
          <w:rFonts w:hint="eastAsia" w:ascii="仿宋_GB2312" w:hAnsi="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年度</w:t>
      </w:r>
      <w:r>
        <w:rPr>
          <w:rFonts w:hint="eastAsia" w:ascii="仿宋_GB2312" w:hAnsi="仿宋_GB2312" w:cs="仿宋_GB2312"/>
          <w:color w:val="auto"/>
          <w:sz w:val="32"/>
          <w:szCs w:val="32"/>
          <w:lang w:val="en-US" w:eastAsia="zh-CN"/>
        </w:rPr>
        <w:t>县</w:t>
      </w:r>
      <w:r>
        <w:rPr>
          <w:rFonts w:hint="eastAsia" w:ascii="仿宋_GB2312" w:hAnsi="仿宋_GB2312" w:eastAsia="仿宋_GB2312" w:cs="仿宋_GB2312"/>
          <w:color w:val="auto"/>
          <w:sz w:val="32"/>
          <w:szCs w:val="32"/>
          <w:lang w:val="en-US" w:eastAsia="zh-CN"/>
        </w:rPr>
        <w:t>级财政预算安排的</w:t>
      </w:r>
      <w:r>
        <w:rPr>
          <w:rFonts w:hint="eastAsia" w:ascii="仿宋_GB2312" w:hAnsi="仿宋_GB2312" w:cs="仿宋_GB2312"/>
          <w:color w:val="auto"/>
          <w:sz w:val="32"/>
          <w:szCs w:val="32"/>
          <w:lang w:val="en-US" w:eastAsia="zh-CN"/>
        </w:rPr>
        <w:t>50个项目进行全面绩效自评，</w:t>
      </w:r>
      <w:r>
        <w:rPr>
          <w:rFonts w:hint="eastAsia" w:ascii="仿宋_GB2312" w:hAnsi="仿宋_GB2312" w:eastAsia="仿宋_GB2312" w:cs="仿宋_GB2312"/>
          <w:color w:val="auto"/>
          <w:sz w:val="32"/>
          <w:szCs w:val="32"/>
          <w:lang w:val="en-US" w:eastAsia="zh-CN"/>
        </w:rPr>
        <w:t>涉及预算资金</w:t>
      </w:r>
      <w:r>
        <w:rPr>
          <w:rFonts w:hint="eastAsia" w:ascii="仿宋_GB2312" w:hAnsi="仿宋_GB2312" w:cs="仿宋_GB2312"/>
          <w:color w:val="auto"/>
          <w:sz w:val="32"/>
          <w:szCs w:val="32"/>
          <w:lang w:val="en-US" w:eastAsia="zh-CN"/>
        </w:rPr>
        <w:t>8487.73</w:t>
      </w:r>
      <w:r>
        <w:rPr>
          <w:rFonts w:hint="eastAsia" w:ascii="仿宋_GB2312" w:hAnsi="仿宋_GB2312" w:eastAsia="仿宋_GB2312" w:cs="仿宋_GB2312"/>
          <w:color w:val="auto"/>
          <w:sz w:val="32"/>
          <w:szCs w:val="32"/>
          <w:lang w:val="en-US" w:eastAsia="zh-CN"/>
        </w:rPr>
        <w:t>万元，占一般公共预算项目支出总额的</w:t>
      </w:r>
      <w:r>
        <w:rPr>
          <w:rFonts w:hint="eastAsia" w:ascii="仿宋_GB2312" w:hAnsi="仿宋_GB2312" w:cs="仿宋_GB2312"/>
          <w:color w:val="auto"/>
          <w:sz w:val="32"/>
          <w:szCs w:val="32"/>
          <w:lang w:val="en-US" w:eastAsia="zh-CN"/>
        </w:rPr>
        <w:t>91.35</w:t>
      </w:r>
      <w:r>
        <w:rPr>
          <w:rFonts w:hint="eastAsia" w:ascii="仿宋_GB2312" w:hAnsi="仿宋_GB2312" w:eastAsia="仿宋_GB2312" w:cs="仿宋_GB2312"/>
          <w:color w:val="auto"/>
          <w:sz w:val="32"/>
          <w:szCs w:val="32"/>
          <w:lang w:val="en-US" w:eastAsia="zh-CN"/>
        </w:rPr>
        <w:t>%。</w:t>
      </w:r>
      <w:r>
        <w:rPr>
          <w:rFonts w:hint="eastAsia" w:ascii="仿宋_GB2312" w:hAnsi="仿宋_GB2312" w:cs="仿宋_GB2312"/>
          <w:color w:val="auto"/>
          <w:sz w:val="32"/>
          <w:szCs w:val="32"/>
          <w:lang w:val="en-US" w:eastAsia="zh-CN"/>
        </w:rPr>
        <w:t>。并对100</w:t>
      </w:r>
      <w:r>
        <w:rPr>
          <w:rFonts w:hint="eastAsia" w:ascii="仿宋_GB2312" w:hAnsi="仿宋_GB2312" w:eastAsia="仿宋_GB2312" w:cs="仿宋_GB2312"/>
          <w:color w:val="auto"/>
          <w:sz w:val="32"/>
          <w:szCs w:val="32"/>
          <w:lang w:val="en-US" w:eastAsia="zh-CN"/>
        </w:rPr>
        <w:t>万元以上的</w:t>
      </w:r>
      <w:r>
        <w:rPr>
          <w:rFonts w:hint="eastAsia" w:ascii="仿宋_GB2312" w:hAnsi="仿宋_GB2312" w:cs="仿宋_GB2312"/>
          <w:color w:val="auto"/>
          <w:sz w:val="32"/>
          <w:szCs w:val="32"/>
          <w:lang w:val="en-US" w:eastAsia="zh-CN"/>
        </w:rPr>
        <w:t>15</w:t>
      </w:r>
      <w:r>
        <w:rPr>
          <w:rFonts w:hint="eastAsia" w:ascii="仿宋_GB2312" w:hAnsi="仿宋_GB2312" w:eastAsia="仿宋_GB2312" w:cs="仿宋_GB2312"/>
          <w:color w:val="auto"/>
          <w:sz w:val="32"/>
          <w:szCs w:val="32"/>
          <w:lang w:val="en-US" w:eastAsia="zh-CN"/>
        </w:rPr>
        <w:t>个项目绩效自评</w:t>
      </w:r>
      <w:r>
        <w:rPr>
          <w:rFonts w:hint="eastAsia" w:ascii="仿宋_GB2312" w:hAnsi="仿宋_GB2312" w:cs="仿宋_GB2312"/>
          <w:color w:val="auto"/>
          <w:sz w:val="32"/>
          <w:szCs w:val="32"/>
          <w:lang w:val="en-US" w:eastAsia="zh-CN"/>
        </w:rPr>
        <w:t>向社会公开.</w:t>
      </w:r>
      <w:r>
        <w:rPr>
          <w:rFonts w:hint="eastAsia" w:ascii="仿宋_GB2312" w:hAnsi="仿宋_GB2312" w:eastAsia="仿宋_GB2312" w:cs="仿宋_GB2312"/>
          <w:color w:val="auto"/>
          <w:sz w:val="32"/>
          <w:szCs w:val="32"/>
          <w:lang w:val="en-US" w:eastAsia="zh-CN"/>
        </w:rPr>
        <w:t>组织对202</w:t>
      </w:r>
      <w:r>
        <w:rPr>
          <w:rFonts w:hint="eastAsia" w:ascii="仿宋_GB2312" w:hAnsi="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年度岑山山地公园文峰塔西、南两侧边坡支护工程等</w:t>
      </w:r>
      <w:r>
        <w:rPr>
          <w:rFonts w:hint="eastAsia" w:ascii="仿宋_GB2312" w:hAnsi="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个政府性基金预算项目支出开展绩效自评，共涉及预算资金</w:t>
      </w:r>
      <w:r>
        <w:rPr>
          <w:rFonts w:hint="eastAsia" w:ascii="仿宋_GB2312" w:hAnsi="仿宋_GB2312" w:cs="仿宋_GB2312"/>
          <w:color w:val="auto"/>
          <w:sz w:val="32"/>
          <w:szCs w:val="32"/>
          <w:lang w:val="en-US" w:eastAsia="zh-CN"/>
        </w:rPr>
        <w:t>228.85</w:t>
      </w:r>
      <w:r>
        <w:rPr>
          <w:rFonts w:hint="eastAsia" w:ascii="仿宋_GB2312" w:hAnsi="仿宋_GB2312" w:eastAsia="仿宋_GB2312" w:cs="仿宋_GB2312"/>
          <w:color w:val="auto"/>
          <w:sz w:val="32"/>
          <w:szCs w:val="32"/>
          <w:lang w:val="en-US" w:eastAsia="zh-CN"/>
        </w:rPr>
        <w:t>万元，占政府性基金预算项目支出总额的</w:t>
      </w:r>
      <w:r>
        <w:rPr>
          <w:rFonts w:hint="eastAsia" w:ascii="仿宋_GB2312" w:hAnsi="仿宋_GB2312" w:cs="仿宋_GB2312"/>
          <w:color w:val="auto"/>
          <w:sz w:val="32"/>
          <w:szCs w:val="32"/>
          <w:lang w:val="en-US" w:eastAsia="zh-CN"/>
        </w:rPr>
        <w:t>100</w:t>
      </w:r>
      <w:r>
        <w:rPr>
          <w:rFonts w:hint="eastAsia" w:ascii="仿宋_GB2312" w:hAnsi="仿宋_GB2312" w:eastAsia="仿宋_GB2312" w:cs="仿宋_GB2312"/>
          <w:color w:val="auto"/>
          <w:sz w:val="32"/>
          <w:szCs w:val="32"/>
          <w:lang w:val="en-US" w:eastAsia="zh-CN"/>
        </w:rPr>
        <w:t>%。</w:t>
      </w:r>
    </w:p>
    <w:p>
      <w:pPr>
        <w:numPr>
          <w:ilvl w:val="0"/>
          <w:numId w:val="3"/>
        </w:numPr>
        <w:ind w:firstLine="643" w:firstLineChars="20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部门决算中项目绩效自评结果。</w:t>
      </w:r>
    </w:p>
    <w:p>
      <w:pPr>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cs="仿宋_GB2312"/>
          <w:color w:val="auto"/>
          <w:sz w:val="32"/>
          <w:szCs w:val="32"/>
          <w:lang w:val="en-US" w:eastAsia="zh-CN"/>
        </w:rPr>
        <w:t>本单位共15个重点</w:t>
      </w:r>
      <w:r>
        <w:rPr>
          <w:rFonts w:hint="eastAsia" w:ascii="仿宋_GB2312" w:hAnsi="仿宋_GB2312" w:eastAsia="仿宋_GB2312" w:cs="仿宋_GB2312"/>
          <w:color w:val="auto"/>
          <w:sz w:val="32"/>
          <w:szCs w:val="32"/>
          <w:lang w:val="en-US" w:eastAsia="zh-CN"/>
        </w:rPr>
        <w:t>项目向社会公开，公开项目对应的绩效自评价评分表</w:t>
      </w:r>
      <w:r>
        <w:rPr>
          <w:rFonts w:hint="eastAsia" w:ascii="仿宋_GB2312" w:hAnsi="仿宋_GB2312" w:cs="仿宋_GB2312"/>
          <w:color w:val="auto"/>
          <w:sz w:val="32"/>
          <w:szCs w:val="32"/>
          <w:lang w:val="en-US" w:eastAsia="zh-CN"/>
        </w:rPr>
        <w:t>及自评报告</w:t>
      </w:r>
      <w:r>
        <w:rPr>
          <w:rFonts w:hint="eastAsia" w:ascii="仿宋_GB2312" w:hAnsi="仿宋_GB2312" w:eastAsia="仿宋_GB2312" w:cs="仿宋_GB2312"/>
          <w:color w:val="auto"/>
          <w:sz w:val="32"/>
          <w:szCs w:val="32"/>
          <w:lang w:val="en-US" w:eastAsia="zh-CN"/>
        </w:rPr>
        <w:t>以附件形式公开，</w:t>
      </w:r>
      <w:r>
        <w:rPr>
          <w:rFonts w:hint="eastAsia" w:ascii="仿宋_GB2312" w:hAnsi="仿宋_GB2312" w:cs="仿宋_GB2312"/>
          <w:color w:val="auto"/>
          <w:sz w:val="32"/>
          <w:szCs w:val="32"/>
          <w:lang w:val="en-US" w:eastAsia="zh-CN"/>
        </w:rPr>
        <w:t>见附表。</w:t>
      </w:r>
    </w:p>
    <w:p>
      <w:pPr>
        <w:numPr>
          <w:ilvl w:val="0"/>
          <w:numId w:val="4"/>
        </w:numPr>
        <w:spacing w:line="580" w:lineRule="exact"/>
        <w:ind w:firstLine="643" w:firstLineChars="200"/>
        <w:outlineLvl w:val="0"/>
        <w:rPr>
          <w:rFonts w:hint="eastAsia" w:ascii="仿宋_GB2312" w:eastAsia="仿宋_GB2312"/>
          <w:b/>
          <w:color w:val="auto"/>
          <w:szCs w:val="32"/>
          <w:lang w:val="en-US" w:eastAsia="zh-CN"/>
        </w:rPr>
      </w:pPr>
      <w:bookmarkStart w:id="30" w:name="_Toc8450"/>
      <w:bookmarkStart w:id="31" w:name="_Toc28108"/>
      <w:r>
        <w:rPr>
          <w:rFonts w:hint="eastAsia" w:ascii="仿宋_GB2312"/>
          <w:b/>
          <w:color w:val="auto"/>
          <w:szCs w:val="32"/>
        </w:rPr>
        <w:t>其他需要说明的事项</w:t>
      </w:r>
      <w:bookmarkEnd w:id="30"/>
      <w:bookmarkEnd w:id="31"/>
    </w:p>
    <w:p>
      <w:pPr>
        <w:pStyle w:val="2"/>
        <w:rPr>
          <w:rFonts w:hint="eastAsia" w:eastAsia="仿宋_GB2312"/>
          <w:lang w:val="en-US" w:eastAsia="zh-CN"/>
        </w:rPr>
      </w:pPr>
      <w:r>
        <w:rPr>
          <w:rFonts w:hint="eastAsia" w:ascii="仿宋_GB2312"/>
          <w:b/>
          <w:color w:val="auto"/>
          <w:szCs w:val="32"/>
          <w:lang w:val="en-US" w:eastAsia="zh-CN"/>
        </w:rPr>
        <w:t>无</w:t>
      </w:r>
    </w:p>
    <w:p>
      <w:pPr>
        <w:pStyle w:val="4"/>
        <w:ind w:left="0" w:leftChars="0" w:firstLine="0" w:firstLineChars="0"/>
        <w:jc w:val="center"/>
        <w:rPr>
          <w:rFonts w:hint="eastAsia"/>
          <w:b/>
          <w:color w:val="auto"/>
          <w:sz w:val="36"/>
          <w:szCs w:val="36"/>
          <w:lang w:val="en-US" w:eastAsia="zh-CN"/>
        </w:rPr>
      </w:pPr>
      <w:bookmarkStart w:id="32" w:name="_Toc8545"/>
      <w:r>
        <w:rPr>
          <w:rFonts w:hint="eastAsia"/>
          <w:b/>
          <w:color w:val="auto"/>
          <w:sz w:val="36"/>
          <w:szCs w:val="36"/>
          <w:lang w:val="en-US" w:eastAsia="zh-CN"/>
        </w:rPr>
        <w:t>第四部分</w:t>
      </w:r>
      <w:bookmarkStart w:id="33" w:name="_GoBack"/>
      <w:bookmarkEnd w:id="33"/>
      <w:r>
        <w:rPr>
          <w:rFonts w:hint="eastAsia"/>
          <w:b/>
          <w:color w:val="auto"/>
          <w:sz w:val="36"/>
          <w:szCs w:val="36"/>
          <w:lang w:val="en-US" w:eastAsia="zh-CN"/>
        </w:rPr>
        <w:t xml:space="preserve">  名词解释</w:t>
      </w:r>
      <w:bookmarkEnd w:id="32"/>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一、</w:t>
      </w:r>
      <w:r>
        <w:rPr>
          <w:rFonts w:hint="eastAsia" w:ascii="仿宋_GB2312"/>
          <w:b/>
          <w:color w:val="auto"/>
          <w:szCs w:val="32"/>
        </w:rPr>
        <w:t>财政拨款收入：</w:t>
      </w:r>
      <w:r>
        <w:rPr>
          <w:rFonts w:hint="eastAsia" w:ascii="仿宋_GB2312"/>
          <w:color w:val="auto"/>
          <w:szCs w:val="32"/>
        </w:rPr>
        <w:t>指单位从同级财政部门取得的财政预算资金。</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二、</w:t>
      </w:r>
      <w:r>
        <w:rPr>
          <w:rFonts w:hint="eastAsia" w:ascii="仿宋_GB2312"/>
          <w:b/>
          <w:color w:val="auto"/>
          <w:szCs w:val="32"/>
        </w:rPr>
        <w:t>事业收入：</w:t>
      </w:r>
      <w:r>
        <w:rPr>
          <w:rFonts w:hint="eastAsia" w:ascii="仿宋_GB2312"/>
          <w:color w:val="auto"/>
          <w:szCs w:val="32"/>
        </w:rPr>
        <w:t>指事业单位开展专业业务活动及辅助活动取得的收入。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三、</w:t>
      </w:r>
      <w:r>
        <w:rPr>
          <w:rFonts w:hint="eastAsia" w:ascii="仿宋_GB2312"/>
          <w:b/>
          <w:color w:val="auto"/>
          <w:szCs w:val="32"/>
        </w:rPr>
        <w:t>经营收入：</w:t>
      </w:r>
      <w:r>
        <w:rPr>
          <w:rFonts w:hint="eastAsia" w:ascii="仿宋_GB2312"/>
          <w:color w:val="auto"/>
          <w:szCs w:val="32"/>
        </w:rPr>
        <w:t>指事业单位在专业业务活动及其辅助活动之外开展非独立核算经营活动取得的收入。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四、</w:t>
      </w:r>
      <w:r>
        <w:rPr>
          <w:rFonts w:hint="eastAsia" w:ascii="仿宋_GB2312"/>
          <w:b/>
          <w:color w:val="auto"/>
          <w:szCs w:val="32"/>
        </w:rPr>
        <w:t>其他收入：</w:t>
      </w:r>
      <w:r>
        <w:rPr>
          <w:rFonts w:hint="eastAsia" w:ascii="仿宋_GB2312"/>
          <w:color w:val="auto"/>
          <w:szCs w:val="32"/>
        </w:rPr>
        <w:t>指单位取得的除上述收入以外的各项收</w:t>
      </w:r>
    </w:p>
    <w:p>
      <w:pPr>
        <w:spacing w:line="580" w:lineRule="exact"/>
        <w:ind w:firstLineChars="0"/>
        <w:rPr>
          <w:rFonts w:hint="eastAsia" w:ascii="仿宋_GB2312"/>
          <w:color w:val="auto"/>
          <w:szCs w:val="32"/>
        </w:rPr>
      </w:pPr>
      <w:r>
        <w:rPr>
          <w:rFonts w:hint="eastAsia" w:ascii="仿宋_GB2312"/>
          <w:color w:val="auto"/>
          <w:szCs w:val="32"/>
        </w:rPr>
        <w:t>入。主要是按规定动用的售房收入、存款利息收入等。</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五、</w:t>
      </w:r>
      <w:r>
        <w:rPr>
          <w:rFonts w:hint="eastAsia" w:ascii="仿宋_GB2312"/>
          <w:b/>
          <w:color w:val="auto"/>
          <w:szCs w:val="32"/>
        </w:rPr>
        <w:t>年初结转和结余：</w:t>
      </w:r>
      <w:r>
        <w:rPr>
          <w:rFonts w:hint="eastAsia" w:ascii="仿宋_GB2312"/>
          <w:color w:val="auto"/>
          <w:szCs w:val="32"/>
        </w:rPr>
        <w:t>指单位以前年度尚未完成、结转到本年按有关规定继续使用的资金。</w:t>
      </w:r>
    </w:p>
    <w:p>
      <w:pPr>
        <w:spacing w:line="580" w:lineRule="exact"/>
        <w:ind w:firstLine="520" w:firstLineChars="162"/>
        <w:rPr>
          <w:rFonts w:ascii="仿宋_GB2312"/>
          <w:b/>
          <w:color w:val="auto"/>
          <w:szCs w:val="32"/>
        </w:rPr>
      </w:pPr>
      <w:r>
        <w:rPr>
          <w:rFonts w:hint="eastAsia" w:ascii="仿宋_GB2312"/>
          <w:b/>
          <w:color w:val="auto"/>
          <w:szCs w:val="32"/>
          <w:lang w:val="en-US" w:eastAsia="zh-CN"/>
        </w:rPr>
        <w:t>六、</w:t>
      </w:r>
      <w:r>
        <w:rPr>
          <w:rFonts w:hint="eastAsia" w:ascii="仿宋_GB2312"/>
          <w:b/>
          <w:color w:val="auto"/>
          <w:szCs w:val="32"/>
        </w:rPr>
        <w:t>基本支出：</w:t>
      </w:r>
      <w:r>
        <w:rPr>
          <w:rFonts w:hint="eastAsia" w:ascii="仿宋_GB2312"/>
          <w:color w:val="auto"/>
          <w:szCs w:val="32"/>
        </w:rPr>
        <w:t>指为保障机构正常运转、完成日常工作任务而发生的人员支出和公用支出。</w:t>
      </w:r>
    </w:p>
    <w:p>
      <w:pPr>
        <w:spacing w:line="580" w:lineRule="exact"/>
        <w:ind w:firstLine="520" w:firstLineChars="162"/>
        <w:rPr>
          <w:rFonts w:ascii="仿宋_GB2312"/>
          <w:color w:val="auto"/>
          <w:szCs w:val="32"/>
        </w:rPr>
      </w:pPr>
      <w:r>
        <w:rPr>
          <w:rFonts w:hint="eastAsia" w:ascii="仿宋_GB2312"/>
          <w:b/>
          <w:color w:val="auto"/>
          <w:szCs w:val="32"/>
        </w:rPr>
        <w:t>七、项目支出：</w:t>
      </w:r>
      <w:r>
        <w:rPr>
          <w:rFonts w:hint="eastAsia" w:ascii="仿宋_GB2312"/>
          <w:color w:val="auto"/>
          <w:szCs w:val="32"/>
        </w:rPr>
        <w:t>指在基本支出之外为完成特定行政任务和事业发展目标所发生的支出。</w:t>
      </w:r>
    </w:p>
    <w:p>
      <w:pPr>
        <w:spacing w:line="580" w:lineRule="exact"/>
        <w:ind w:firstLine="520" w:firstLineChars="162"/>
        <w:rPr>
          <w:rFonts w:ascii="仿宋_GB2312"/>
          <w:color w:val="auto"/>
          <w:szCs w:val="32"/>
        </w:rPr>
      </w:pPr>
      <w:r>
        <w:rPr>
          <w:rFonts w:hint="eastAsia" w:ascii="仿宋_GB2312"/>
          <w:b/>
          <w:color w:val="auto"/>
          <w:szCs w:val="32"/>
        </w:rPr>
        <w:t>八、“三公”经费：</w:t>
      </w:r>
      <w:r>
        <w:rPr>
          <w:rFonts w:hint="eastAsia" w:ascii="仿宋_GB2312"/>
          <w:color w:val="auto"/>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auto"/>
          <w:szCs w:val="32"/>
        </w:rPr>
      </w:pPr>
      <w:r>
        <w:rPr>
          <w:rFonts w:hint="eastAsia" w:ascii="仿宋_GB2312"/>
          <w:b/>
          <w:color w:val="auto"/>
          <w:szCs w:val="32"/>
        </w:rPr>
        <w:t>九、机关运行经费：</w:t>
      </w:r>
      <w:r>
        <w:rPr>
          <w:rFonts w:hint="eastAsia" w:ascii="仿宋_GB2312"/>
          <w:color w:val="auto"/>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auto"/>
          <w:szCs w:val="32"/>
        </w:rPr>
      </w:pPr>
    </w:p>
    <w:p>
      <w:pPr>
        <w:spacing w:line="580" w:lineRule="exact"/>
        <w:ind w:left="0" w:leftChars="0" w:firstLine="0" w:firstLineChars="0"/>
        <w:rPr>
          <w:rFonts w:hint="eastAsia" w:ascii="仿宋_GB2312"/>
          <w:color w:val="auto"/>
          <w:szCs w:val="32"/>
        </w:rPr>
      </w:pPr>
    </w:p>
    <w:p>
      <w:pPr>
        <w:spacing w:line="580" w:lineRule="exact"/>
        <w:ind w:firstLine="640"/>
        <w:rPr>
          <w:rFonts w:hint="eastAsia" w:ascii="仿宋_GB2312" w:eastAsia="仿宋_GB2312"/>
          <w:color w:val="auto"/>
          <w:szCs w:val="32"/>
          <w:lang w:val="en-US" w:eastAsia="zh-CN"/>
        </w:rPr>
      </w:pPr>
      <w:r>
        <w:rPr>
          <w:rFonts w:hint="eastAsia" w:ascii="仿宋_GB2312"/>
          <w:color w:val="auto"/>
          <w:szCs w:val="32"/>
          <w:lang w:val="en-US" w:eastAsia="zh-CN"/>
        </w:rPr>
        <w:t xml:space="preserve">                         单位名称：静乐县林业局</w:t>
      </w:r>
    </w:p>
    <w:p>
      <w:pPr>
        <w:ind w:firstLine="4800" w:firstLineChars="1500"/>
        <w:rPr>
          <w:rFonts w:hint="eastAsia" w:eastAsia="仿宋_GB2312"/>
          <w:color w:val="auto"/>
          <w:lang w:val="en-US" w:eastAsia="zh-CN"/>
        </w:rPr>
      </w:pPr>
      <w:r>
        <w:rPr>
          <w:rFonts w:hint="eastAsia"/>
          <w:color w:val="auto"/>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0A4DC26"/>
    <w:multiLevelType w:val="singleLevel"/>
    <w:tmpl w:val="60A4DC26"/>
    <w:lvl w:ilvl="0" w:tentative="0">
      <w:start w:val="4"/>
      <w:numFmt w:val="chineseCounting"/>
      <w:suff w:val="nothing"/>
      <w:lvlText w:val="（%1）"/>
      <w:lvlJc w:val="left"/>
    </w:lvl>
  </w:abstractNum>
  <w:abstractNum w:abstractNumId="2">
    <w:nsid w:val="62C8F4A2"/>
    <w:multiLevelType w:val="singleLevel"/>
    <w:tmpl w:val="62C8F4A2"/>
    <w:lvl w:ilvl="0" w:tentative="0">
      <w:start w:val="1"/>
      <w:numFmt w:val="chineseCounting"/>
      <w:suff w:val="nothing"/>
      <w:lvlText w:val="%1、"/>
      <w:lvlJc w:val="left"/>
    </w:lvl>
  </w:abstractNum>
  <w:abstractNum w:abstractNumId="3">
    <w:nsid w:val="62CD59C8"/>
    <w:multiLevelType w:val="singleLevel"/>
    <w:tmpl w:val="62CD59C8"/>
    <w:lvl w:ilvl="0" w:tentative="0">
      <w:start w:val="1"/>
      <w:numFmt w:val="decimal"/>
      <w:suff w:val="nothing"/>
      <w:lvlText w:val="（%1）"/>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jOTY3MWIyNDAxYzU4MjkxMTEyYzhiYmQ0MjA1ZGIifQ=="/>
  </w:docVars>
  <w:rsids>
    <w:rsidRoot w:val="495520D0"/>
    <w:rsid w:val="03696819"/>
    <w:rsid w:val="1520798B"/>
    <w:rsid w:val="16654CDD"/>
    <w:rsid w:val="1A4A5C33"/>
    <w:rsid w:val="2450345B"/>
    <w:rsid w:val="25F367D5"/>
    <w:rsid w:val="2701594C"/>
    <w:rsid w:val="27426717"/>
    <w:rsid w:val="2B22520B"/>
    <w:rsid w:val="374B2C31"/>
    <w:rsid w:val="37943B50"/>
    <w:rsid w:val="3821117E"/>
    <w:rsid w:val="42050894"/>
    <w:rsid w:val="42C12CEC"/>
    <w:rsid w:val="44401A62"/>
    <w:rsid w:val="495520D0"/>
    <w:rsid w:val="4A012068"/>
    <w:rsid w:val="4AB2592D"/>
    <w:rsid w:val="53A30631"/>
    <w:rsid w:val="57DA2ED9"/>
    <w:rsid w:val="5EC01F6A"/>
    <w:rsid w:val="63AB51DF"/>
    <w:rsid w:val="649C6DC9"/>
    <w:rsid w:val="715A78E4"/>
    <w:rsid w:val="74CE6606"/>
    <w:rsid w:val="7761744D"/>
    <w:rsid w:val="7A134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5">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3">
    <w:name w:val="Default Paragraph Font"/>
    <w:semiHidden/>
    <w:qFormat/>
    <w:uiPriority w:val="0"/>
  </w:style>
  <w:style w:type="table" w:default="1" w:styleId="11">
    <w:name w:val="Normal Table"/>
    <w:semiHidden/>
    <w:uiPriority w:val="0"/>
    <w:tblPr>
      <w:tblCellMar>
        <w:top w:w="0" w:type="dxa"/>
        <w:left w:w="108" w:type="dxa"/>
        <w:bottom w:w="0" w:type="dxa"/>
        <w:right w:w="108" w:type="dxa"/>
      </w:tblCellMar>
    </w:tblPr>
  </w:style>
  <w:style w:type="paragraph" w:styleId="2">
    <w:name w:val="Body Text First Indent 2"/>
    <w:basedOn w:val="3"/>
    <w:uiPriority w:val="0"/>
    <w:pPr>
      <w:ind w:firstLine="420" w:firstLineChars="200"/>
    </w:pPr>
  </w:style>
  <w:style w:type="paragraph" w:styleId="3">
    <w:name w:val="Body Text Indent"/>
    <w:basedOn w:val="1"/>
    <w:uiPriority w:val="0"/>
    <w:pPr>
      <w:spacing w:after="120" w:afterLines="0"/>
      <w:ind w:left="420" w:leftChars="200"/>
    </w:pPr>
  </w:style>
  <w:style w:type="paragraph" w:styleId="6">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7">
    <w:name w:val="header"/>
    <w:basedOn w:val="1"/>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5223</Words>
  <Characters>6307</Characters>
  <Lines>0</Lines>
  <Paragraphs>0</Paragraphs>
  <TotalTime>0</TotalTime>
  <ScaleCrop>false</ScaleCrop>
  <LinksUpToDate>false</LinksUpToDate>
  <CharactersWithSpaces>6382</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晴</cp:lastModifiedBy>
  <dcterms:modified xsi:type="dcterms:W3CDTF">2022-07-29T03:13:25Z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DAE6917394154C7AB3654F6637431882</vt:lpwstr>
  </property>
</Properties>
</file>