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财政局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10</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10</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numPr>
          <w:ilvl w:val="0"/>
          <w:numId w:val="1"/>
        </w:numPr>
        <w:rPr>
          <w:rFonts w:hint="eastAsia" w:ascii="仿宋" w:hAnsi="仿宋" w:eastAsia="仿宋" w:cs="仿宋"/>
          <w:b/>
          <w:bCs w:val="0"/>
          <w:color w:val="auto"/>
        </w:rPr>
      </w:pPr>
      <w:bookmarkStart w:id="5" w:name="_Toc24066"/>
      <w:bookmarkStart w:id="6" w:name="_Toc4461"/>
      <w:r>
        <w:rPr>
          <w:rFonts w:hint="eastAsia" w:ascii="仿宋" w:hAnsi="仿宋" w:eastAsia="仿宋" w:cs="仿宋"/>
          <w:b/>
          <w:bCs w:val="0"/>
          <w:color w:val="auto"/>
        </w:rPr>
        <w:t>本部门职责</w:t>
      </w:r>
      <w:bookmarkEnd w:id="5"/>
      <w:bookmarkEnd w:id="6"/>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静乐县财政局单位主要职责：</w:t>
      </w:r>
    </w:p>
    <w:p>
      <w:pPr>
        <w:pStyle w:val="8"/>
        <w:spacing w:before="0" w:beforeAutospacing="0" w:after="0" w:afterAutospacing="0"/>
        <w:ind w:firstLine="640" w:firstLineChars="2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（一）贯彻执行国家和省有关财政、税收工作的法律、法规、规章和方针政策；组织拟订财政、国有资金管理、政府采购、资产评估等方面的管理制度，并监督实施；配合有关税收法规和制度拟订。</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二）拟订财政发展战略、中长期财政规划，参与分析预测宏观经济形势，参与制订各项宏观经济政策；执行中央与地方、国家与企业的分配政策；提出运用财税政策实施宏观调控、综合平衡社会财力和推进基本公共服务均等化的建议。</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三）承担县级各项财政收支管理的责任。负责编制年度县级预决算草案并组织执行；受县人民政府委托，向县人民代表大会报告县级和全县预算及其执行情况，向县人大常委会报告决算；审核批复县级部门（单位）的年度预决算。</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（四）制订全县财政和预算收入计划；管理和监督各项财政收入。</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五）负责县级非税收入及各项政府性基金管理。管理各项政府性基金，监督彩票发行与彩票市场；管理政府债务、管理财政票据、管理财政预算内行政机构、事业单位和社会团体的非贸易外汇；参与监管住房保障和住房公积金。</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（六）严格执行国库管理、国库集中支付制度及财政总预算会计核算制度，负责县级财政资金调度和财政总预算会计工作；监督管理政府采购政策、制度的执行，监管县级行政事业单位会计核算工作。</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七）拟订行政事业单位国有资产的产权管理制度；负责行政事业单位国有资产的监管；拟订财政支出绩效评价标准；组织实施财政支出绩效评价、公共资源统计分析及评价；组织开展企业、行政事业单位会计决算报表汇总和分析。</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（八）负责各项县级财政专项资金的安排和监督管理，编制县级社会保障预算草案并组织执行，管理县级财政社会保障支出，监管社会保障资金。</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九）参与财政性资金项目安排总量研究，组织调度财政性基本建设资金；参与审核财政性资金投资项目的工程概算，承担财政性资金投资项目工程预算、结算和竣工财务决算审核工作，对财政性资金建设项目实施财务监管，对重点建设项目派驻财务总监进行监管工作；参与工程造价管理，负责农业综合开发管理工作。</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（十）监督检查财税等方面法律法规和政策执行情况，检查、处理、反映财政收支管理中的重大问题，提出加强财政管理的政策建议。</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（十一）贯彻执行会计法规和制度，负责全县农村财务监管和指导工作。</w:t>
      </w:r>
    </w:p>
    <w:p>
      <w:pPr>
        <w:pStyle w:val="8"/>
        <w:spacing w:before="0" w:beforeAutospacing="0" w:after="0" w:afterAutospacing="0"/>
        <w:ind w:firstLine="640" w:firstLineChars="200"/>
        <w:rPr>
          <w:rFonts w:hint="eastAsia"/>
          <w:color w:val="auto"/>
        </w:rPr>
      </w:pPr>
      <w:r>
        <w:rPr>
          <w:rFonts w:hint="eastAsia" w:ascii="仿宋_GB2312" w:eastAsia="仿宋_GB2312"/>
          <w:color w:val="auto"/>
          <w:sz w:val="32"/>
          <w:szCs w:val="32"/>
        </w:rPr>
        <w:t>（十二）承办县人民政府和上级业务部门交办的其他事项。</w:t>
      </w:r>
    </w:p>
    <w:p>
      <w:pPr>
        <w:pStyle w:val="3"/>
        <w:rPr>
          <w:rFonts w:hint="eastAsia" w:ascii="仿宋" w:hAnsi="仿宋" w:eastAsia="仿宋" w:cs="仿宋"/>
          <w:b/>
          <w:bCs w:val="0"/>
          <w:color w:val="auto"/>
        </w:rPr>
      </w:pPr>
      <w:bookmarkStart w:id="7" w:name="_Toc275"/>
      <w:bookmarkStart w:id="8" w:name="_Toc9155"/>
      <w:r>
        <w:rPr>
          <w:rFonts w:hint="eastAsia" w:ascii="仿宋" w:hAnsi="仿宋" w:eastAsia="仿宋" w:cs="仿宋"/>
          <w:b/>
          <w:bCs w:val="0"/>
          <w:color w:val="auto"/>
        </w:rPr>
        <w:t>二、机构设置情况</w:t>
      </w:r>
      <w:bookmarkEnd w:id="7"/>
      <w:bookmarkEnd w:id="8"/>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财政局人员编制</w:t>
      </w:r>
      <w:r>
        <w:rPr>
          <w:rFonts w:hint="eastAsia" w:ascii="仿宋_GB2312" w:eastAsia="仿宋_GB2312"/>
          <w:color w:val="auto"/>
          <w:sz w:val="32"/>
          <w:szCs w:val="32"/>
          <w:lang w:val="en-US" w:eastAsia="zh-CN"/>
        </w:rPr>
        <w:t>37</w:t>
      </w:r>
      <w:r>
        <w:rPr>
          <w:rFonts w:hint="eastAsia" w:ascii="仿宋_GB2312" w:eastAsia="仿宋_GB2312"/>
          <w:color w:val="auto"/>
          <w:sz w:val="32"/>
          <w:szCs w:val="32"/>
        </w:rPr>
        <w:t>人，其中公务员编制</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人，工勤人员2人，事业人员2</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人。单位实有人员</w:t>
      </w:r>
      <w:r>
        <w:rPr>
          <w:rFonts w:hint="eastAsia" w:ascii="仿宋_GB2312" w:eastAsia="仿宋_GB2312"/>
          <w:color w:val="auto"/>
          <w:sz w:val="32"/>
          <w:szCs w:val="32"/>
          <w:lang w:val="en-US" w:eastAsia="zh-CN"/>
        </w:rPr>
        <w:t>3</w:t>
      </w:r>
      <w:r>
        <w:rPr>
          <w:rFonts w:hint="eastAsia" w:ascii="仿宋_GB2312"/>
          <w:color w:val="auto"/>
          <w:sz w:val="32"/>
          <w:szCs w:val="32"/>
          <w:lang w:val="en-US" w:eastAsia="zh-CN"/>
        </w:rPr>
        <w:t>7</w:t>
      </w:r>
      <w:r>
        <w:rPr>
          <w:rFonts w:hint="eastAsia" w:ascii="仿宋_GB2312" w:eastAsia="仿宋_GB2312"/>
          <w:color w:val="auto"/>
          <w:sz w:val="32"/>
          <w:szCs w:val="32"/>
        </w:rPr>
        <w:t>人，公务员1</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人，工勤</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人，事业人员2</w:t>
      </w:r>
      <w:r>
        <w:rPr>
          <w:rFonts w:hint="eastAsia" w:ascii="仿宋_GB2312"/>
          <w:color w:val="auto"/>
          <w:sz w:val="32"/>
          <w:szCs w:val="32"/>
          <w:lang w:val="en-US" w:eastAsia="zh-CN"/>
        </w:rPr>
        <w:t>3</w:t>
      </w:r>
      <w:r>
        <w:rPr>
          <w:rFonts w:hint="eastAsia" w:ascii="仿宋_GB2312" w:eastAsia="仿宋_GB2312"/>
          <w:color w:val="auto"/>
          <w:sz w:val="32"/>
          <w:szCs w:val="32"/>
        </w:rPr>
        <w:t>人。</w:t>
      </w:r>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内设股室有：</w:t>
      </w:r>
    </w:p>
    <w:p>
      <w:pPr>
        <w:rPr>
          <w:rFonts w:hint="eastAsia"/>
          <w:color w:val="auto"/>
        </w:rPr>
      </w:pPr>
      <w:r>
        <w:rPr>
          <w:rFonts w:hint="eastAsia" w:ascii="仿宋_GB2312" w:eastAsia="仿宋_GB2312"/>
          <w:color w:val="auto"/>
          <w:sz w:val="32"/>
          <w:szCs w:val="32"/>
        </w:rPr>
        <w:t>（1）预算股 （2）国库股（3）办公室（4）农财股（5）社保股（6）监察股（7）评审中心（8）会计中心（9）基建中心（10）函授站（11）乡财中心（12）</w:t>
      </w:r>
      <w:r>
        <w:rPr>
          <w:rFonts w:hint="eastAsia" w:ascii="仿宋_GB2312" w:eastAsia="仿宋_GB2312"/>
          <w:color w:val="auto"/>
          <w:sz w:val="32"/>
          <w:szCs w:val="32"/>
          <w:lang w:val="en-US" w:eastAsia="zh-CN"/>
        </w:rPr>
        <w:t>绩效评价股</w:t>
      </w:r>
      <w:r>
        <w:rPr>
          <w:rFonts w:hint="eastAsia" w:ascii="仿宋_GB2312" w:eastAsia="仿宋_GB2312"/>
          <w:color w:val="auto"/>
          <w:sz w:val="32"/>
          <w:szCs w:val="32"/>
        </w:rPr>
        <w:t>（13）信息中心（14）采购办。</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rPr>
        <w:t>1182</w:t>
      </w:r>
      <w:r>
        <w:rPr>
          <w:rFonts w:hint="eastAsia" w:ascii="仿宋_GB2312"/>
          <w:color w:val="auto"/>
          <w:szCs w:val="32"/>
          <w:lang w:val="en-US" w:eastAsia="zh-CN"/>
        </w:rPr>
        <w:t>.</w:t>
      </w:r>
      <w:r>
        <w:rPr>
          <w:rFonts w:hint="eastAsia" w:ascii="仿宋_GB2312"/>
          <w:color w:val="auto"/>
          <w:szCs w:val="32"/>
        </w:rPr>
        <w:t>89万元、支出总计1182</w:t>
      </w:r>
      <w:r>
        <w:rPr>
          <w:rFonts w:hint="eastAsia" w:ascii="仿宋_GB2312"/>
          <w:color w:val="auto"/>
          <w:szCs w:val="32"/>
          <w:lang w:val="en-US" w:eastAsia="zh-CN"/>
        </w:rPr>
        <w:t>.</w:t>
      </w:r>
      <w:r>
        <w:rPr>
          <w:rFonts w:hint="eastAsia" w:ascii="仿宋_GB2312"/>
          <w:color w:val="auto"/>
          <w:szCs w:val="32"/>
        </w:rPr>
        <w:t>89万元。与20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减少228.15</w:t>
      </w:r>
      <w:r>
        <w:rPr>
          <w:rFonts w:hint="eastAsia" w:ascii="仿宋_GB2312"/>
          <w:color w:val="auto"/>
          <w:szCs w:val="32"/>
        </w:rPr>
        <w:t>万元，下降</w:t>
      </w:r>
      <w:r>
        <w:rPr>
          <w:rFonts w:hint="eastAsia" w:ascii="仿宋_GB2312"/>
          <w:color w:val="auto"/>
          <w:szCs w:val="32"/>
          <w:lang w:val="en-US" w:eastAsia="zh-CN"/>
        </w:rPr>
        <w:t>20</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457.98</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27.91</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本年减少财政委托业务费评审项目支出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本年收入合计1182</w:t>
      </w:r>
      <w:r>
        <w:rPr>
          <w:rFonts w:hint="eastAsia" w:ascii="仿宋_GB2312"/>
          <w:color w:val="auto"/>
          <w:szCs w:val="32"/>
          <w:lang w:val="en-US" w:eastAsia="zh-CN"/>
        </w:rPr>
        <w:t>.</w:t>
      </w:r>
      <w:r>
        <w:rPr>
          <w:rFonts w:hint="eastAsia" w:ascii="仿宋_GB2312"/>
          <w:color w:val="auto"/>
          <w:szCs w:val="32"/>
        </w:rPr>
        <w:t>89万元，其中：财政拨款收入1182</w:t>
      </w:r>
      <w:r>
        <w:rPr>
          <w:rFonts w:hint="eastAsia" w:ascii="仿宋_GB2312"/>
          <w:color w:val="auto"/>
          <w:szCs w:val="32"/>
          <w:lang w:val="en-US" w:eastAsia="zh-CN"/>
        </w:rPr>
        <w:t>.</w:t>
      </w:r>
      <w:r>
        <w:rPr>
          <w:rFonts w:hint="eastAsia" w:ascii="仿宋_GB2312"/>
          <w:color w:val="auto"/>
          <w:szCs w:val="32"/>
        </w:rPr>
        <w:t>89万元，占比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本年支出合计1182</w:t>
      </w:r>
      <w:r>
        <w:rPr>
          <w:rFonts w:hint="eastAsia" w:ascii="仿宋_GB2312"/>
          <w:color w:val="auto"/>
          <w:szCs w:val="32"/>
          <w:lang w:val="en-US" w:eastAsia="zh-CN"/>
        </w:rPr>
        <w:t>.</w:t>
      </w:r>
      <w:r>
        <w:rPr>
          <w:rFonts w:hint="eastAsia" w:ascii="仿宋_GB2312"/>
          <w:color w:val="auto"/>
          <w:szCs w:val="32"/>
        </w:rPr>
        <w:t>89万元，其中：基本支出405</w:t>
      </w:r>
      <w:r>
        <w:rPr>
          <w:rFonts w:hint="eastAsia" w:ascii="仿宋_GB2312"/>
          <w:color w:val="auto"/>
          <w:szCs w:val="32"/>
          <w:lang w:val="en-US" w:eastAsia="zh-CN"/>
        </w:rPr>
        <w:t>.</w:t>
      </w:r>
      <w:r>
        <w:rPr>
          <w:rFonts w:hint="eastAsia" w:ascii="仿宋_GB2312"/>
          <w:color w:val="auto"/>
          <w:szCs w:val="32"/>
        </w:rPr>
        <w:t>04万元，占比</w:t>
      </w:r>
      <w:r>
        <w:rPr>
          <w:rFonts w:hint="eastAsia" w:ascii="仿宋_GB2312"/>
          <w:color w:val="auto"/>
          <w:szCs w:val="32"/>
          <w:lang w:val="en-US" w:eastAsia="zh-CN"/>
        </w:rPr>
        <w:t>34.24</w:t>
      </w:r>
      <w:r>
        <w:rPr>
          <w:rFonts w:hint="eastAsia" w:ascii="仿宋_GB2312"/>
          <w:color w:val="auto"/>
          <w:szCs w:val="32"/>
        </w:rPr>
        <w:t>%；项目支出777</w:t>
      </w:r>
      <w:r>
        <w:rPr>
          <w:rFonts w:hint="eastAsia" w:ascii="仿宋_GB2312"/>
          <w:color w:val="auto"/>
          <w:szCs w:val="32"/>
          <w:lang w:val="en-US" w:eastAsia="zh-CN"/>
        </w:rPr>
        <w:t>.</w:t>
      </w:r>
      <w:r>
        <w:rPr>
          <w:rFonts w:hint="eastAsia" w:ascii="仿宋_GB2312"/>
          <w:color w:val="auto"/>
          <w:szCs w:val="32"/>
        </w:rPr>
        <w:t>85万元，占比</w:t>
      </w:r>
      <w:r>
        <w:rPr>
          <w:rFonts w:hint="eastAsia" w:ascii="仿宋_GB2312"/>
          <w:color w:val="auto"/>
          <w:szCs w:val="32"/>
          <w:lang w:val="en-US" w:eastAsia="zh-CN"/>
        </w:rPr>
        <w:t>65.76</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rPr>
        <w:t>1182</w:t>
      </w:r>
      <w:r>
        <w:rPr>
          <w:rFonts w:hint="eastAsia" w:ascii="仿宋_GB2312"/>
          <w:color w:val="auto"/>
          <w:szCs w:val="32"/>
          <w:lang w:val="en-US" w:eastAsia="zh-CN"/>
        </w:rPr>
        <w:t>.</w:t>
      </w:r>
      <w:r>
        <w:rPr>
          <w:rFonts w:hint="eastAsia" w:ascii="仿宋_GB2312"/>
          <w:color w:val="auto"/>
          <w:szCs w:val="32"/>
        </w:rPr>
        <w:t>89万元、支出总计1182</w:t>
      </w:r>
      <w:r>
        <w:rPr>
          <w:rFonts w:hint="eastAsia" w:ascii="仿宋_GB2312"/>
          <w:color w:val="auto"/>
          <w:szCs w:val="32"/>
          <w:lang w:val="en-US" w:eastAsia="zh-CN"/>
        </w:rPr>
        <w:t>.</w:t>
      </w:r>
      <w:r>
        <w:rPr>
          <w:rFonts w:hint="eastAsia" w:ascii="仿宋_GB2312"/>
          <w:color w:val="auto"/>
          <w:szCs w:val="32"/>
        </w:rPr>
        <w:t>89万元。与20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228.15</w:t>
      </w:r>
      <w:r>
        <w:rPr>
          <w:rFonts w:hint="eastAsia" w:ascii="仿宋_GB2312"/>
          <w:color w:val="auto"/>
          <w:szCs w:val="32"/>
        </w:rPr>
        <w:t>万元，下降</w:t>
      </w:r>
      <w:r>
        <w:rPr>
          <w:rFonts w:hint="eastAsia" w:ascii="仿宋_GB2312"/>
          <w:color w:val="auto"/>
          <w:szCs w:val="32"/>
          <w:lang w:val="en-US" w:eastAsia="zh-CN"/>
        </w:rPr>
        <w:t>20</w:t>
      </w:r>
      <w:r>
        <w:rPr>
          <w:rFonts w:hint="eastAsia" w:ascii="仿宋_GB2312"/>
          <w:color w:val="auto"/>
          <w:szCs w:val="32"/>
        </w:rPr>
        <w:t>%，财政拨款支出总计减少</w:t>
      </w:r>
      <w:r>
        <w:rPr>
          <w:rFonts w:hint="eastAsia" w:ascii="仿宋_GB2312"/>
          <w:color w:val="auto"/>
          <w:szCs w:val="32"/>
          <w:lang w:val="en-US" w:eastAsia="zh-CN"/>
        </w:rPr>
        <w:t>457.98</w:t>
      </w:r>
      <w:r>
        <w:rPr>
          <w:rFonts w:hint="eastAsia" w:ascii="仿宋_GB2312"/>
          <w:color w:val="auto"/>
          <w:szCs w:val="32"/>
        </w:rPr>
        <w:t>万元，下降</w:t>
      </w:r>
      <w:r>
        <w:rPr>
          <w:rFonts w:hint="eastAsia" w:ascii="仿宋_GB2312"/>
          <w:color w:val="auto"/>
          <w:szCs w:val="32"/>
          <w:lang w:val="en-US" w:eastAsia="zh-CN"/>
        </w:rPr>
        <w:t>27.91</w:t>
      </w:r>
      <w:r>
        <w:rPr>
          <w:rFonts w:hint="eastAsia" w:ascii="仿宋_GB2312"/>
          <w:color w:val="auto"/>
          <w:szCs w:val="32"/>
        </w:rPr>
        <w:t>%。主要原因是</w:t>
      </w:r>
      <w:r>
        <w:rPr>
          <w:rFonts w:hint="eastAsia" w:ascii="仿宋_GB2312"/>
          <w:color w:val="auto"/>
          <w:szCs w:val="32"/>
          <w:lang w:val="en-US" w:eastAsia="zh-CN"/>
        </w:rPr>
        <w:t>本年减少财政委托业务费评审项目支出，及美丽乡村项目支出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年度财政拨款支出1182</w:t>
      </w:r>
      <w:r>
        <w:rPr>
          <w:rFonts w:hint="eastAsia" w:ascii="仿宋_GB2312"/>
          <w:color w:val="auto"/>
          <w:szCs w:val="32"/>
          <w:lang w:val="en-US" w:eastAsia="zh-CN"/>
        </w:rPr>
        <w:t>.</w:t>
      </w:r>
      <w:r>
        <w:rPr>
          <w:rFonts w:hint="eastAsia" w:ascii="仿宋_GB2312"/>
          <w:color w:val="auto"/>
          <w:szCs w:val="32"/>
        </w:rPr>
        <w:t>89万元，占本年支出合计的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457.98</w:t>
      </w:r>
      <w:r>
        <w:rPr>
          <w:rFonts w:hint="eastAsia" w:ascii="仿宋_GB2312"/>
          <w:color w:val="auto"/>
          <w:szCs w:val="32"/>
        </w:rPr>
        <w:t>万元，下降</w:t>
      </w:r>
      <w:r>
        <w:rPr>
          <w:rFonts w:hint="eastAsia" w:ascii="仿宋_GB2312"/>
          <w:color w:val="auto"/>
          <w:szCs w:val="32"/>
          <w:lang w:val="en-US" w:eastAsia="zh-CN"/>
        </w:rPr>
        <w:t>27.91</w:t>
      </w:r>
      <w:r>
        <w:rPr>
          <w:rFonts w:hint="eastAsia" w:ascii="仿宋_GB2312"/>
          <w:color w:val="auto"/>
          <w:szCs w:val="32"/>
        </w:rPr>
        <w:t>%。主要原因是</w:t>
      </w:r>
      <w:r>
        <w:rPr>
          <w:rFonts w:hint="eastAsia" w:ascii="仿宋_GB2312"/>
          <w:color w:val="auto"/>
          <w:szCs w:val="32"/>
          <w:lang w:val="en-US" w:eastAsia="zh-CN"/>
        </w:rPr>
        <w:t>本年减少财政委托业务费评审项目支出</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rPr>
        <w:t>1182</w:t>
      </w:r>
      <w:r>
        <w:rPr>
          <w:rFonts w:hint="eastAsia" w:ascii="仿宋_GB2312"/>
          <w:color w:val="auto"/>
          <w:szCs w:val="32"/>
          <w:lang w:val="en-US" w:eastAsia="zh-CN"/>
        </w:rPr>
        <w:t>.</w:t>
      </w:r>
      <w:r>
        <w:rPr>
          <w:rFonts w:hint="eastAsia" w:ascii="仿宋_GB2312"/>
          <w:color w:val="auto"/>
          <w:szCs w:val="32"/>
        </w:rPr>
        <w:t>89万元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支出824</w:t>
      </w:r>
      <w:r>
        <w:rPr>
          <w:rFonts w:hint="eastAsia" w:ascii="仿宋_GB2312"/>
          <w:color w:val="auto"/>
          <w:szCs w:val="32"/>
          <w:lang w:val="en-US" w:eastAsia="zh-CN"/>
        </w:rPr>
        <w:t>.</w:t>
      </w:r>
      <w:r>
        <w:rPr>
          <w:rFonts w:hint="eastAsia" w:ascii="仿宋_GB2312"/>
          <w:color w:val="auto"/>
          <w:szCs w:val="32"/>
        </w:rPr>
        <w:t>6</w:t>
      </w:r>
      <w:r>
        <w:rPr>
          <w:rFonts w:hint="eastAsia" w:ascii="仿宋_GB2312"/>
          <w:color w:val="auto"/>
          <w:szCs w:val="32"/>
          <w:lang w:val="en-US" w:eastAsia="zh-CN"/>
        </w:rPr>
        <w:t>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70</w:t>
      </w:r>
      <w:r>
        <w:rPr>
          <w:rFonts w:ascii="仿宋_GB2312"/>
          <w:color w:val="auto"/>
          <w:szCs w:val="32"/>
        </w:rPr>
        <w:t>%；</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支出27</w:t>
      </w:r>
      <w:r>
        <w:rPr>
          <w:rFonts w:hint="eastAsia" w:ascii="仿宋_GB2312"/>
          <w:color w:val="auto"/>
          <w:szCs w:val="32"/>
          <w:lang w:val="en-US" w:eastAsia="zh-CN"/>
        </w:rPr>
        <w:t>.</w:t>
      </w:r>
      <w:r>
        <w:rPr>
          <w:rFonts w:hint="eastAsia" w:ascii="仿宋_GB2312"/>
          <w:color w:val="auto"/>
          <w:szCs w:val="32"/>
        </w:rPr>
        <w:t>29万元</w:t>
      </w:r>
      <w:r>
        <w:rPr>
          <w:rFonts w:ascii="仿宋_GB2312"/>
          <w:color w:val="auto"/>
          <w:szCs w:val="32"/>
        </w:rPr>
        <w:t>，占</w:t>
      </w:r>
      <w:r>
        <w:rPr>
          <w:rFonts w:hint="eastAsia" w:ascii="仿宋_GB2312"/>
          <w:color w:val="auto"/>
          <w:szCs w:val="32"/>
          <w:lang w:val="en-US" w:eastAsia="zh-CN"/>
        </w:rPr>
        <w:t>2.3</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支出331万元</w:t>
      </w:r>
      <w:r>
        <w:rPr>
          <w:rFonts w:ascii="仿宋_GB2312"/>
          <w:color w:val="auto"/>
          <w:szCs w:val="32"/>
        </w:rPr>
        <w:t>，占</w:t>
      </w:r>
      <w:r>
        <w:rPr>
          <w:rFonts w:hint="eastAsia" w:ascii="仿宋_GB2312"/>
          <w:color w:val="auto"/>
          <w:szCs w:val="32"/>
          <w:lang w:val="en-US" w:eastAsia="zh-CN"/>
        </w:rPr>
        <w:t>27.98</w:t>
      </w:r>
      <w:r>
        <w:rPr>
          <w:rFonts w:ascii="仿宋_GB2312"/>
          <w:color w:val="auto"/>
          <w:szCs w:val="32"/>
        </w:rPr>
        <w:t>%</w:t>
      </w:r>
      <w:r>
        <w:rPr>
          <w:rFonts w:hint="eastAsia" w:ascii="仿宋_GB2312"/>
          <w:color w:val="auto"/>
          <w:szCs w:val="32"/>
          <w:lang w:eastAsia="zh-CN"/>
        </w:rPr>
        <w:t>。</w:t>
      </w:r>
      <w:bookmarkStart w:id="33" w:name="_GoBack"/>
      <w:bookmarkEnd w:id="33"/>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年度财政拨款支出年初预算1197</w:t>
      </w:r>
      <w:r>
        <w:rPr>
          <w:rFonts w:hint="eastAsia"/>
          <w:color w:val="auto"/>
          <w:szCs w:val="32"/>
          <w:lang w:val="en-US" w:eastAsia="zh-CN"/>
        </w:rPr>
        <w:t>.</w:t>
      </w:r>
      <w:r>
        <w:rPr>
          <w:rFonts w:hint="eastAsia"/>
          <w:color w:val="auto"/>
          <w:szCs w:val="32"/>
        </w:rPr>
        <w:t>78万元，支出决算</w:t>
      </w:r>
      <w:r>
        <w:rPr>
          <w:rFonts w:hint="eastAsia" w:ascii="仿宋_GB2312"/>
          <w:color w:val="auto"/>
          <w:szCs w:val="32"/>
        </w:rPr>
        <w:t>1182</w:t>
      </w:r>
      <w:r>
        <w:rPr>
          <w:rFonts w:hint="eastAsia" w:ascii="仿宋_GB2312"/>
          <w:color w:val="auto"/>
          <w:szCs w:val="32"/>
          <w:lang w:val="en-US" w:eastAsia="zh-CN"/>
        </w:rPr>
        <w:t>.</w:t>
      </w:r>
      <w:r>
        <w:rPr>
          <w:rFonts w:hint="eastAsia" w:ascii="仿宋_GB2312"/>
          <w:color w:val="auto"/>
          <w:szCs w:val="32"/>
        </w:rPr>
        <w:t>89</w:t>
      </w:r>
      <w:r>
        <w:rPr>
          <w:rFonts w:hint="eastAsia"/>
          <w:color w:val="auto"/>
          <w:szCs w:val="32"/>
        </w:rPr>
        <w:t>万元，完成年初预算的</w:t>
      </w:r>
      <w:r>
        <w:rPr>
          <w:rFonts w:hint="eastAsia"/>
          <w:color w:val="auto"/>
          <w:szCs w:val="32"/>
          <w:lang w:val="en-US" w:eastAsia="zh-CN"/>
        </w:rPr>
        <w:t>98.76</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870"/>
        <w:gridCol w:w="1485"/>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870"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485"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center"/>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485"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1200.58</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824</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60</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财政事务</w:t>
            </w:r>
          </w:p>
        </w:tc>
        <w:tc>
          <w:tcPr>
            <w:tcW w:w="1485"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1200.58</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824</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60</w:t>
            </w:r>
          </w:p>
        </w:tc>
        <w:tc>
          <w:tcPr>
            <w:tcW w:w="1393"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2010601</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行政运行</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534.45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428.87</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2010602</w:t>
            </w:r>
          </w:p>
        </w:tc>
        <w:tc>
          <w:tcPr>
            <w:tcW w:w="2870"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一般行政管理事务</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5</w:t>
            </w:r>
          </w:p>
        </w:tc>
        <w:tc>
          <w:tcPr>
            <w:tcW w:w="1684" w:type="dxa"/>
            <w:vAlign w:val="top"/>
          </w:tcPr>
          <w:p>
            <w:pPr>
              <w:ind w:firstLine="720" w:firstLineChars="30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2010604</w:t>
            </w:r>
          </w:p>
        </w:tc>
        <w:tc>
          <w:tcPr>
            <w:tcW w:w="2870"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预算改革业务</w:t>
            </w:r>
          </w:p>
        </w:tc>
        <w:tc>
          <w:tcPr>
            <w:tcW w:w="1485"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auto"/>
                <w:kern w:val="0"/>
                <w:sz w:val="22"/>
                <w:szCs w:val="22"/>
                <w:u w:val="none"/>
                <w:lang w:val="en-US" w:eastAsia="zh-CN" w:bidi="ar"/>
              </w:rPr>
            </w:pPr>
          </w:p>
        </w:tc>
        <w:tc>
          <w:tcPr>
            <w:tcW w:w="1684" w:type="dxa"/>
            <w:vAlign w:val="top"/>
          </w:tcPr>
          <w:p>
            <w:pPr>
              <w:ind w:firstLine="720" w:firstLineChars="30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2.81</w:t>
            </w:r>
          </w:p>
        </w:tc>
        <w:tc>
          <w:tcPr>
            <w:tcW w:w="1393" w:type="dxa"/>
            <w:vAlign w:val="top"/>
          </w:tcPr>
          <w:p>
            <w:pPr>
              <w:ind w:left="0" w:leftChars="0" w:firstLine="240" w:firstLineChars="10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2010605</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财政国库业务</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9</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5.19</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2010607</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信息化建设</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133.95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102.71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2010608</w:t>
            </w:r>
          </w:p>
        </w:tc>
        <w:tc>
          <w:tcPr>
            <w:tcW w:w="2870"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财政委托业务支出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500.18</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269.45</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2010650</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事业运行</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18</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15.57</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205</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教育支出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20.29</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27</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29</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20504</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成人教育</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20.29</w:t>
            </w:r>
          </w:p>
        </w:tc>
        <w:tc>
          <w:tcPr>
            <w:tcW w:w="1684"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27</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29</w:t>
            </w:r>
          </w:p>
        </w:tc>
        <w:tc>
          <w:tcPr>
            <w:tcW w:w="1393"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2050499</w:t>
            </w:r>
          </w:p>
        </w:tc>
        <w:tc>
          <w:tcPr>
            <w:tcW w:w="2870"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其他成人教育支出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20.29</w:t>
            </w:r>
          </w:p>
        </w:tc>
        <w:tc>
          <w:tcPr>
            <w:tcW w:w="1684"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27</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29</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农林水支出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200</w:t>
            </w:r>
          </w:p>
        </w:tc>
        <w:tc>
          <w:tcPr>
            <w:tcW w:w="1684"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21307</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农村综合改革</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200</w:t>
            </w:r>
          </w:p>
        </w:tc>
        <w:tc>
          <w:tcPr>
            <w:tcW w:w="1684"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331</w:t>
            </w:r>
          </w:p>
        </w:tc>
        <w:tc>
          <w:tcPr>
            <w:tcW w:w="1393"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2130799</w:t>
            </w:r>
          </w:p>
        </w:tc>
        <w:tc>
          <w:tcPr>
            <w:tcW w:w="2870"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其他农村综合改革支出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2130701</w:t>
            </w:r>
          </w:p>
        </w:tc>
        <w:tc>
          <w:tcPr>
            <w:tcW w:w="2870"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对村级公益事业建设的补助</w:t>
            </w:r>
          </w:p>
        </w:tc>
        <w:tc>
          <w:tcPr>
            <w:tcW w:w="1485"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auto"/>
                <w:kern w:val="0"/>
                <w:sz w:val="22"/>
                <w:szCs w:val="22"/>
                <w:u w:val="none"/>
                <w:lang w:val="en-US" w:eastAsia="zh-CN" w:bidi="ar"/>
              </w:rPr>
            </w:pP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331</w:t>
            </w:r>
          </w:p>
        </w:tc>
        <w:tc>
          <w:tcPr>
            <w:tcW w:w="1393" w:type="dxa"/>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其他支出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22999</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其他支出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2299901</w:t>
            </w:r>
          </w:p>
        </w:tc>
        <w:tc>
          <w:tcPr>
            <w:tcW w:w="2870"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其他支出</w:t>
            </w:r>
          </w:p>
        </w:tc>
        <w:tc>
          <w:tcPr>
            <w:tcW w:w="1485"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-100%</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56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1640.87</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1182</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89</w:t>
            </w:r>
          </w:p>
        </w:tc>
        <w:tc>
          <w:tcPr>
            <w:tcW w:w="195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56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339.2</w:t>
            </w:r>
            <w:r>
              <w:rPr>
                <w:rFonts w:hint="eastAsia" w:ascii="仿宋" w:hAnsi="仿宋" w:eastAsia="仿宋" w:cs="仿宋"/>
                <w:color w:val="auto"/>
                <w:kern w:val="0"/>
                <w:sz w:val="28"/>
                <w:szCs w:val="28"/>
                <w:lang w:val="en-US" w:eastAsia="zh-CN"/>
              </w:rPr>
              <w:t>3</w:t>
            </w:r>
          </w:p>
        </w:tc>
        <w:tc>
          <w:tcPr>
            <w:tcW w:w="2071"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363</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20</w:t>
            </w:r>
          </w:p>
        </w:tc>
        <w:tc>
          <w:tcPr>
            <w:tcW w:w="195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56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742.4</w:t>
            </w:r>
            <w:r>
              <w:rPr>
                <w:rFonts w:hint="eastAsia" w:ascii="仿宋" w:hAnsi="仿宋" w:eastAsia="仿宋" w:cs="仿宋"/>
                <w:color w:val="auto"/>
                <w:kern w:val="0"/>
                <w:sz w:val="28"/>
                <w:szCs w:val="28"/>
                <w:lang w:val="en-US" w:eastAsia="zh-CN"/>
              </w:rPr>
              <w:t>8</w:t>
            </w:r>
          </w:p>
        </w:tc>
        <w:tc>
          <w:tcPr>
            <w:tcW w:w="2071"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476</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80</w:t>
            </w:r>
          </w:p>
        </w:tc>
        <w:tc>
          <w:tcPr>
            <w:tcW w:w="195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560" w:firstLineChars="200"/>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45.8</w:t>
            </w:r>
            <w:r>
              <w:rPr>
                <w:rFonts w:hint="eastAsia" w:ascii="仿宋" w:hAnsi="仿宋" w:eastAsia="仿宋" w:cs="仿宋"/>
                <w:color w:val="auto"/>
                <w:kern w:val="0"/>
                <w:sz w:val="28"/>
                <w:szCs w:val="28"/>
                <w:lang w:val="en-US" w:eastAsia="zh-CN"/>
              </w:rPr>
              <w:t>4</w:t>
            </w:r>
          </w:p>
        </w:tc>
        <w:tc>
          <w:tcPr>
            <w:tcW w:w="2071" w:type="dxa"/>
            <w:vAlign w:val="center"/>
          </w:tcPr>
          <w:p>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76</w:t>
            </w:r>
          </w:p>
        </w:tc>
        <w:tc>
          <w:tcPr>
            <w:tcW w:w="195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ind w:firstLine="64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rPr>
              <w:t>513.3</w:t>
            </w:r>
            <w:r>
              <w:rPr>
                <w:rFonts w:hint="eastAsia" w:ascii="仿宋" w:hAnsi="仿宋" w:eastAsia="仿宋" w:cs="仿宋"/>
                <w:color w:val="auto"/>
                <w:lang w:val="en-US" w:eastAsia="zh-CN"/>
              </w:rPr>
              <w:t>2</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rPr>
            </w:pPr>
            <w:r>
              <w:rPr>
                <w:rFonts w:hint="eastAsia" w:ascii="仿宋" w:hAnsi="仿宋" w:eastAsia="仿宋" w:cs="仿宋"/>
                <w:color w:val="auto"/>
              </w:rPr>
              <w:t>339</w:t>
            </w:r>
            <w:r>
              <w:rPr>
                <w:rFonts w:hint="eastAsia" w:ascii="仿宋" w:hAnsi="仿宋" w:eastAsia="仿宋" w:cs="仿宋"/>
                <w:color w:val="auto"/>
                <w:lang w:val="en-US" w:eastAsia="zh-CN"/>
              </w:rPr>
              <w:t>.</w:t>
            </w:r>
            <w:r>
              <w:rPr>
                <w:rFonts w:hint="eastAsia" w:ascii="仿宋" w:hAnsi="仿宋" w:eastAsia="仿宋" w:cs="仿宋"/>
                <w:color w:val="auto"/>
              </w:rPr>
              <w:t>13</w:t>
            </w:r>
          </w:p>
        </w:tc>
        <w:tc>
          <w:tcPr>
            <w:tcW w:w="195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-33.94%</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rPr>
        <w:t>405</w:t>
      </w:r>
      <w:r>
        <w:rPr>
          <w:rFonts w:hint="eastAsia" w:ascii="仿宋_GB2312"/>
          <w:color w:val="auto"/>
          <w:szCs w:val="32"/>
          <w:lang w:val="en-US" w:eastAsia="zh-CN"/>
        </w:rPr>
        <w:t>.</w:t>
      </w:r>
      <w:r>
        <w:rPr>
          <w:rFonts w:hint="eastAsia" w:ascii="仿宋_GB2312"/>
          <w:color w:val="auto"/>
          <w:szCs w:val="32"/>
        </w:rPr>
        <w:t>04万元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366</w:t>
      </w:r>
      <w:r>
        <w:rPr>
          <w:rFonts w:hint="eastAsia" w:ascii="仿宋_GB2312"/>
          <w:color w:val="auto"/>
          <w:szCs w:val="32"/>
          <w:lang w:val="en-US" w:eastAsia="zh-CN"/>
        </w:rPr>
        <w:t>.</w:t>
      </w:r>
      <w:r>
        <w:rPr>
          <w:rFonts w:hint="eastAsia" w:ascii="仿宋_GB2312"/>
          <w:color w:val="auto"/>
          <w:szCs w:val="32"/>
        </w:rPr>
        <w:t>44万元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基本工资、津贴补贴、绩效工资、社保支出及对个人和家庭的补助支出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rPr>
        <w:t>38</w:t>
      </w:r>
      <w:r>
        <w:rPr>
          <w:rFonts w:hint="eastAsia" w:ascii="仿宋_GB2312"/>
          <w:color w:val="auto"/>
          <w:szCs w:val="32"/>
          <w:lang w:val="en-US" w:eastAsia="zh-CN"/>
        </w:rPr>
        <w:t>.6</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办公费、水电费、印刷费等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rPr>
        <w:t>777</w:t>
      </w:r>
      <w:r>
        <w:rPr>
          <w:rFonts w:hint="eastAsia" w:ascii="仿宋_GB2312"/>
          <w:color w:val="auto"/>
          <w:szCs w:val="32"/>
          <w:lang w:val="en-US" w:eastAsia="zh-CN"/>
        </w:rPr>
        <w:t>.</w:t>
      </w:r>
      <w:r>
        <w:rPr>
          <w:rFonts w:hint="eastAsia" w:ascii="仿宋_GB2312"/>
          <w:color w:val="auto"/>
          <w:szCs w:val="32"/>
        </w:rPr>
        <w:t>85万元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0.9</w:t>
      </w:r>
      <w:r>
        <w:rPr>
          <w:rFonts w:hint="eastAsia" w:ascii="仿宋_GB2312"/>
          <w:color w:val="auto"/>
          <w:szCs w:val="32"/>
        </w:rPr>
        <w:t>万元，，比上年减少</w:t>
      </w:r>
      <w:r>
        <w:rPr>
          <w:rFonts w:hint="eastAsia" w:ascii="仿宋_GB2312"/>
          <w:color w:val="auto"/>
          <w:szCs w:val="32"/>
          <w:lang w:val="en-US" w:eastAsia="zh-CN"/>
        </w:rPr>
        <w:t>0.6</w:t>
      </w:r>
      <w:r>
        <w:rPr>
          <w:rFonts w:hint="eastAsia" w:ascii="仿宋_GB2312"/>
          <w:color w:val="auto"/>
          <w:szCs w:val="32"/>
        </w:rPr>
        <w:t>万元，下降</w:t>
      </w:r>
      <w:r>
        <w:rPr>
          <w:rFonts w:hint="eastAsia" w:ascii="仿宋_GB2312"/>
          <w:color w:val="auto"/>
          <w:szCs w:val="32"/>
          <w:lang w:val="en-US" w:eastAsia="zh-CN"/>
        </w:rPr>
        <w:t>40</w:t>
      </w:r>
      <w:r>
        <w:rPr>
          <w:rFonts w:hint="eastAsia" w:ascii="仿宋_GB2312"/>
          <w:color w:val="auto"/>
          <w:szCs w:val="32"/>
        </w:rPr>
        <w:t>%，原因是：</w:t>
      </w:r>
      <w:r>
        <w:rPr>
          <w:rFonts w:hint="eastAsia" w:ascii="仿宋_GB2312"/>
          <w:color w:val="auto"/>
          <w:szCs w:val="32"/>
          <w:lang w:val="en-US" w:eastAsia="zh-CN"/>
        </w:rPr>
        <w:t>疫情影响，上半年公车使用减少</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0.9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0.6</w:t>
      </w:r>
      <w:r>
        <w:rPr>
          <w:rFonts w:hint="eastAsia" w:ascii="仿宋_GB2312"/>
          <w:color w:val="auto"/>
          <w:szCs w:val="32"/>
        </w:rPr>
        <w:t>万元，减少</w:t>
      </w:r>
      <w:r>
        <w:rPr>
          <w:rFonts w:hint="eastAsia" w:ascii="仿宋_GB2312"/>
          <w:color w:val="auto"/>
          <w:szCs w:val="32"/>
          <w:lang w:val="en-US" w:eastAsia="zh-CN"/>
        </w:rPr>
        <w:t>40</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1.5</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0.9</w:t>
            </w:r>
          </w:p>
        </w:tc>
        <w:tc>
          <w:tcPr>
            <w:tcW w:w="1418"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-40%</w:t>
            </w:r>
          </w:p>
        </w:tc>
      </w:tr>
    </w:tbl>
    <w:p>
      <w:pPr>
        <w:pStyle w:val="3"/>
        <w:ind w:left="0" w:leftChars="0" w:firstLine="643" w:firstLineChars="200"/>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机关运行经费支出38</w:t>
      </w:r>
      <w:r>
        <w:rPr>
          <w:rFonts w:hint="eastAsia" w:ascii="仿宋_GB2312" w:hAnsi="宋体"/>
          <w:color w:val="auto"/>
          <w:szCs w:val="32"/>
          <w:lang w:val="en-US" w:eastAsia="zh-CN"/>
        </w:rPr>
        <w:t>.6</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170.96</w:t>
      </w:r>
      <w:r>
        <w:rPr>
          <w:rFonts w:hint="eastAsia" w:ascii="仿宋_GB2312" w:hAnsi="宋体"/>
          <w:color w:val="auto"/>
          <w:szCs w:val="32"/>
        </w:rPr>
        <w:t>万元，增长（降低）</w:t>
      </w:r>
      <w:r>
        <w:rPr>
          <w:rFonts w:hint="eastAsia" w:ascii="仿宋_GB2312" w:hAnsi="宋体"/>
          <w:color w:val="auto"/>
          <w:szCs w:val="32"/>
          <w:lang w:val="en-US" w:eastAsia="zh-CN"/>
        </w:rPr>
        <w:t>81.5</w:t>
      </w:r>
      <w:r>
        <w:rPr>
          <w:rFonts w:hint="eastAsia" w:ascii="仿宋_GB2312" w:hAnsi="宋体"/>
          <w:color w:val="auto"/>
          <w:szCs w:val="32"/>
        </w:rPr>
        <w:t>%。主要原因是：</w:t>
      </w:r>
      <w:r>
        <w:rPr>
          <w:rFonts w:hint="eastAsia" w:ascii="仿宋_GB2312" w:hAnsi="宋体"/>
          <w:color w:val="auto"/>
          <w:szCs w:val="32"/>
          <w:lang w:val="en-US" w:eastAsia="zh-CN"/>
        </w:rPr>
        <w:t>上年部分项目经费列入机关运行经费。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年度，政府采购支出总额248</w:t>
      </w:r>
      <w:r>
        <w:rPr>
          <w:rFonts w:hint="eastAsia" w:ascii="仿宋_GB2312"/>
          <w:color w:val="auto"/>
          <w:szCs w:val="32"/>
          <w:lang w:val="en-US" w:eastAsia="zh-CN"/>
        </w:rPr>
        <w:t>.</w:t>
      </w:r>
      <w:r>
        <w:rPr>
          <w:rFonts w:hint="eastAsia" w:ascii="仿宋_GB2312"/>
          <w:color w:val="auto"/>
          <w:szCs w:val="32"/>
        </w:rPr>
        <w:t>7</w:t>
      </w:r>
      <w:r>
        <w:rPr>
          <w:rFonts w:hint="eastAsia" w:ascii="仿宋_GB2312"/>
          <w:color w:val="auto"/>
          <w:szCs w:val="32"/>
          <w:lang w:val="en-US" w:eastAsia="zh-CN"/>
        </w:rPr>
        <w:t>3</w:t>
      </w:r>
      <w:r>
        <w:rPr>
          <w:rFonts w:hint="eastAsia" w:ascii="仿宋_GB2312"/>
          <w:color w:val="auto"/>
          <w:szCs w:val="32"/>
        </w:rPr>
        <w:t>万元，其中：政府采购货物支出28</w:t>
      </w:r>
      <w:r>
        <w:rPr>
          <w:rFonts w:hint="eastAsia" w:ascii="仿宋_GB2312"/>
          <w:color w:val="auto"/>
          <w:szCs w:val="32"/>
          <w:lang w:val="en-US" w:eastAsia="zh-CN"/>
        </w:rPr>
        <w:t>.</w:t>
      </w:r>
      <w:r>
        <w:rPr>
          <w:rFonts w:hint="eastAsia" w:ascii="仿宋_GB2312"/>
          <w:color w:val="auto"/>
          <w:szCs w:val="32"/>
        </w:rPr>
        <w:t>7</w:t>
      </w:r>
      <w:r>
        <w:rPr>
          <w:rFonts w:hint="eastAsia" w:ascii="仿宋_GB2312"/>
          <w:color w:val="auto"/>
          <w:szCs w:val="32"/>
          <w:lang w:val="en-US" w:eastAsia="zh-CN"/>
        </w:rPr>
        <w:t>3</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220</w:t>
      </w:r>
      <w:r>
        <w:rPr>
          <w:rFonts w:hint="eastAsia" w:ascii="仿宋_GB2312"/>
          <w:color w:val="auto"/>
          <w:szCs w:val="32"/>
        </w:rPr>
        <w:t>万元。政府采购授予中小企业合同金额</w:t>
      </w:r>
      <w:r>
        <w:rPr>
          <w:rFonts w:hint="eastAsia" w:ascii="仿宋_GB2312"/>
          <w:color w:val="auto"/>
          <w:szCs w:val="32"/>
          <w:lang w:val="en-US" w:eastAsia="zh-CN"/>
        </w:rPr>
        <w:t>248.73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248.73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numPr>
          <w:ilvl w:val="0"/>
          <w:numId w:val="0"/>
        </w:numPr>
        <w:ind w:leftChars="0" w:firstLine="640" w:firstLineChars="20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ascii="仿宋_GB2312" w:hAnsi="宋体" w:eastAsia="仿宋_GB2312" w:cs="宋体"/>
          <w:color w:val="auto"/>
          <w:kern w:val="0"/>
          <w:sz w:val="32"/>
          <w:szCs w:val="32"/>
          <w:lang w:val="en-US" w:eastAsia="zh-CN" w:bidi="ar-SA"/>
        </w:rPr>
        <w:t>本部门共有车辆1辆，所有权属机关事务管理局，本单位仅有使用权，公务用车运行维护费由本单位支出。本单位房屋建筑一栋1200平米，价值83</w:t>
      </w:r>
      <w:r>
        <w:rPr>
          <w:rFonts w:hint="eastAsia" w:ascii="仿宋_GB2312" w:hAnsi="宋体" w:cs="宋体"/>
          <w:color w:val="auto"/>
          <w:kern w:val="0"/>
          <w:sz w:val="32"/>
          <w:szCs w:val="32"/>
          <w:lang w:val="en-US" w:eastAsia="zh-CN" w:bidi="ar-SA"/>
        </w:rPr>
        <w:t>.</w:t>
      </w:r>
      <w:r>
        <w:rPr>
          <w:rFonts w:hint="eastAsia" w:ascii="仿宋_GB2312" w:hAnsi="宋体" w:eastAsia="仿宋_GB2312" w:cs="宋体"/>
          <w:color w:val="auto"/>
          <w:kern w:val="0"/>
          <w:sz w:val="32"/>
          <w:szCs w:val="32"/>
          <w:lang w:val="en-US" w:eastAsia="zh-CN" w:bidi="ar-SA"/>
        </w:rPr>
        <w:t>9</w:t>
      </w:r>
      <w:r>
        <w:rPr>
          <w:rFonts w:hint="eastAsia" w:ascii="仿宋_GB2312" w:hAnsi="宋体" w:cs="宋体"/>
          <w:color w:val="auto"/>
          <w:kern w:val="0"/>
          <w:sz w:val="32"/>
          <w:szCs w:val="32"/>
          <w:lang w:val="en-US" w:eastAsia="zh-CN" w:bidi="ar-SA"/>
        </w:rPr>
        <w:t>8</w:t>
      </w:r>
      <w:r>
        <w:rPr>
          <w:rFonts w:hint="eastAsia" w:ascii="仿宋_GB2312" w:hAnsi="宋体" w:eastAsia="仿宋_GB2312" w:cs="宋体"/>
          <w:color w:val="auto"/>
          <w:kern w:val="0"/>
          <w:sz w:val="32"/>
          <w:szCs w:val="32"/>
          <w:lang w:val="en-US" w:eastAsia="zh-CN" w:bidi="ar-SA"/>
        </w:rPr>
        <w:t>元。</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3"/>
        </w:numPr>
        <w:ind w:firstLine="643" w:firstLineChars="200"/>
        <w:rPr>
          <w:rFonts w:hint="eastAsia" w:ascii="仿宋_GB2312" w:hAnsi="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r>
        <w:rPr>
          <w:rFonts w:hint="eastAsia" w:ascii="仿宋_GB2312" w:hAnsi="仿宋_GB2312" w:eastAsia="仿宋_GB2312" w:cs="仿宋_GB2312"/>
          <w:color w:val="auto"/>
          <w:sz w:val="32"/>
          <w:szCs w:val="32"/>
          <w:lang w:val="en-US" w:eastAsia="zh-CN"/>
        </w:rPr>
        <w:t>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个项目支出全面开展绩效自评，涉及预算资金</w:t>
      </w:r>
      <w:r>
        <w:rPr>
          <w:rFonts w:hint="eastAsia" w:ascii="仿宋_GB2312" w:hAnsi="仿宋_GB2312" w:cs="仿宋_GB2312"/>
          <w:color w:val="auto"/>
          <w:sz w:val="32"/>
          <w:szCs w:val="32"/>
          <w:lang w:val="en-US" w:eastAsia="zh-CN"/>
        </w:rPr>
        <w:t>620</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51.76</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年度财政绩效评价委托业务费</w:t>
      </w:r>
      <w:r>
        <w:rPr>
          <w:rFonts w:hint="eastAsia" w:ascii="仿宋_GB2312" w:hAnsi="仿宋_GB2312" w:cs="仿宋_GB2312"/>
          <w:color w:val="auto"/>
          <w:sz w:val="32"/>
          <w:szCs w:val="32"/>
          <w:lang w:val="en-US" w:eastAsia="zh-CN"/>
        </w:rPr>
        <w:t>、财政投资项目评审委托业务费、预算一体化服务费用</w:t>
      </w:r>
      <w:r>
        <w:rPr>
          <w:rFonts w:hint="eastAsia" w:ascii="仿宋_GB2312" w:hAnsi="仿宋_GB2312" w:eastAsia="仿宋_GB2312" w:cs="仿宋_GB2312"/>
          <w:color w:val="auto"/>
          <w:sz w:val="32"/>
          <w:szCs w:val="32"/>
          <w:lang w:val="en-US" w:eastAsia="zh-CN"/>
        </w:rPr>
        <w:t>等</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个项目支出开展绩效自评</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评价报告向社会公开。（绩效评价报告以附件形式公开）</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left="0" w:leftChars="0" w:firstLine="0" w:firstLineChars="0"/>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单位名称：静乐县财政局</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5AFE1"/>
    <w:multiLevelType w:val="singleLevel"/>
    <w:tmpl w:val="62A5AFE1"/>
    <w:lvl w:ilvl="0" w:tentative="0">
      <w:start w:val="1"/>
      <w:numFmt w:val="chineseCounting"/>
      <w:suff w:val="nothing"/>
      <w:lvlText w:val="%1、"/>
      <w:lvlJc w:val="left"/>
    </w:lvl>
  </w:abstractNum>
  <w:abstractNum w:abstractNumId="3">
    <w:nsid w:val="62CD533F"/>
    <w:multiLevelType w:val="singleLevel"/>
    <w:tmpl w:val="62CD533F"/>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6654CDD"/>
    <w:rsid w:val="180504DB"/>
    <w:rsid w:val="1A4A5C33"/>
    <w:rsid w:val="21EB0EB8"/>
    <w:rsid w:val="22510114"/>
    <w:rsid w:val="23320CE5"/>
    <w:rsid w:val="2701594C"/>
    <w:rsid w:val="27426717"/>
    <w:rsid w:val="2A466B3F"/>
    <w:rsid w:val="37943B50"/>
    <w:rsid w:val="3821117E"/>
    <w:rsid w:val="395574C7"/>
    <w:rsid w:val="40EF6F4D"/>
    <w:rsid w:val="42C12CEC"/>
    <w:rsid w:val="44401A62"/>
    <w:rsid w:val="495520D0"/>
    <w:rsid w:val="4A012068"/>
    <w:rsid w:val="53A30631"/>
    <w:rsid w:val="57DA2ED9"/>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2022-09-15T02:48:20Z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