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883"/>
        <w:jc w:val="center"/>
        <w:rPr>
          <w:rFonts w:ascii="华文中宋" w:hAnsi="华文中宋" w:eastAsia="华文中宋"/>
          <w:color w:val="000000" w:themeColor="text1"/>
          <w:szCs w:val="44"/>
        </w:rPr>
      </w:pPr>
      <w:bookmarkStart w:id="0" w:name="_Toc31071"/>
      <w:bookmarkStart w:id="1" w:name="_Toc32048"/>
      <w:bookmarkStart w:id="2" w:name="_Toc21118"/>
      <w:r>
        <w:rPr>
          <w:rFonts w:hint="eastAsia" w:ascii="华文中宋" w:hAnsi="华文中宋" w:eastAsia="华文中宋"/>
          <w:color w:val="000000" w:themeColor="text1"/>
          <w:szCs w:val="44"/>
        </w:rPr>
        <w:t>静乐县重点工程及项目预审中心</w:t>
      </w:r>
    </w:p>
    <w:p>
      <w:pPr>
        <w:pStyle w:val="2"/>
        <w:ind w:firstLine="883"/>
        <w:jc w:val="center"/>
        <w:rPr>
          <w:rFonts w:ascii="华文中宋" w:hAnsi="华文中宋" w:eastAsia="华文中宋"/>
          <w:color w:val="000000" w:themeColor="text1"/>
          <w:szCs w:val="44"/>
        </w:rPr>
      </w:pPr>
      <w:r>
        <w:rPr>
          <w:rFonts w:hint="eastAsia" w:ascii="华文中宋" w:hAnsi="华文中宋" w:eastAsia="华文中宋"/>
          <w:color w:val="000000" w:themeColor="text1"/>
          <w:szCs w:val="44"/>
        </w:rPr>
        <w:t>2021年度部门决算公开说明</w:t>
      </w:r>
      <w:bookmarkEnd w:id="0"/>
      <w:bookmarkEnd w:id="1"/>
      <w:bookmarkEnd w:id="2"/>
    </w:p>
    <w:p>
      <w:pPr>
        <w:pStyle w:val="6"/>
        <w:tabs>
          <w:tab w:val="right" w:leader="dot" w:pos="8306"/>
        </w:tabs>
        <w:ind w:firstLine="640"/>
      </w:pPr>
      <w:r>
        <w:rPr>
          <w:rFonts w:hint="eastAsia" w:ascii="仿宋" w:hAnsi="仿宋" w:eastAsia="仿宋" w:cs="仿宋"/>
          <w:color w:val="000000"/>
          <w:szCs w:val="32"/>
        </w:rPr>
        <w:fldChar w:fldCharType="begin"/>
      </w:r>
      <w:r>
        <w:rPr>
          <w:rFonts w:hint="eastAsia" w:ascii="仿宋" w:hAnsi="仿宋" w:eastAsia="仿宋" w:cs="仿宋"/>
          <w:color w:val="000000"/>
          <w:szCs w:val="32"/>
        </w:rPr>
        <w:instrText xml:space="preserve">TOC \o "1-3" \h \u </w:instrText>
      </w:r>
      <w:r>
        <w:rPr>
          <w:rFonts w:hint="eastAsia" w:ascii="仿宋" w:hAnsi="仿宋" w:eastAsia="仿宋" w:cs="仿宋"/>
          <w:color w:val="000000"/>
          <w:szCs w:val="32"/>
        </w:rPr>
        <w:fldChar w:fldCharType="separate"/>
      </w:r>
      <w:r>
        <w:fldChar w:fldCharType="begin"/>
      </w:r>
      <w:r>
        <w:instrText xml:space="preserve"> HYPERLINK \l "_Toc31140" </w:instrText>
      </w:r>
      <w: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"_Toc4461" </w:instrText>
      </w:r>
      <w: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"_Toc275" </w:instrText>
      </w:r>
      <w: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fldChar w:fldCharType="end"/>
      </w:r>
    </w:p>
    <w:p>
      <w:pPr>
        <w:pStyle w:val="6"/>
        <w:tabs>
          <w:tab w:val="right" w:leader="dot" w:pos="8306"/>
        </w:tabs>
        <w:ind w:firstLine="640"/>
      </w:pPr>
      <w:r>
        <w:fldChar w:fldCharType="begin"/>
      </w:r>
      <w:r>
        <w:instrText xml:space="preserve"> HYPERLINK \l "_Toc12749" </w:instrText>
      </w:r>
      <w:r>
        <w:fldChar w:fldCharType="separate"/>
      </w:r>
      <w:r>
        <w:rPr>
          <w:rFonts w:hint="eastAsia"/>
          <w:szCs w:val="36"/>
        </w:rPr>
        <w:t>第二部分  2021年度部门决算报表（附表）</w:t>
      </w:r>
      <w:r>
        <w:tab/>
      </w:r>
      <w:r>
        <w:fldChar w:fldCharType="begin"/>
      </w:r>
      <w:r>
        <w:instrText xml:space="preserve"> PAGEREF _Toc12749 </w:instrText>
      </w:r>
      <w:r>
        <w:fldChar w:fldCharType="separate"/>
      </w:r>
      <w:r>
        <w:t>2</w:t>
      </w:r>
      <w:r>
        <w:fldChar w:fldCharType="end"/>
      </w:r>
      <w:r>
        <w:fldChar w:fldCharType="end"/>
      </w:r>
    </w:p>
    <w:p>
      <w:pPr>
        <w:pStyle w:val="6"/>
        <w:tabs>
          <w:tab w:val="right" w:leader="dot" w:pos="8306"/>
        </w:tabs>
        <w:ind w:firstLine="640"/>
      </w:pPr>
      <w:r>
        <w:fldChar w:fldCharType="begin"/>
      </w:r>
      <w:r>
        <w:instrText xml:space="preserve"> HYPERLINK \l "_Toc29325" </w:instrText>
      </w:r>
      <w:r>
        <w:fldChar w:fldCharType="separate"/>
      </w:r>
      <w:r>
        <w:rPr>
          <w:rFonts w:hint="eastAsia"/>
          <w:szCs w:val="36"/>
        </w:rPr>
        <w:t>第三部分  2021年度部门决算情况说明</w:t>
      </w:r>
      <w:r>
        <w:tab/>
      </w:r>
      <w:r>
        <w:fldChar w:fldCharType="begin"/>
      </w:r>
      <w:r>
        <w:instrText xml:space="preserve"> PAGEREF _Toc29325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"_Toc437" </w:instrText>
      </w:r>
      <w:r>
        <w:fldChar w:fldCharType="separate"/>
      </w:r>
      <w:r>
        <w:rPr>
          <w:rFonts w:hint="eastAsia" w:ascii="仿宋" w:hAnsi="仿宋" w:eastAsia="仿宋" w:cs="仿宋"/>
        </w:rPr>
        <w:t>一、收入支出决算总体情况说明</w:t>
      </w:r>
      <w:r>
        <w:tab/>
      </w:r>
      <w:r>
        <w:fldChar w:fldCharType="begin"/>
      </w:r>
      <w:r>
        <w:instrText xml:space="preserve"> PAGEREF _Toc437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"_Toc16754" </w:instrText>
      </w:r>
      <w:r>
        <w:fldChar w:fldCharType="separate"/>
      </w:r>
      <w:r>
        <w:rPr>
          <w:rFonts w:hint="eastAsia" w:ascii="仿宋" w:hAnsi="仿宋" w:eastAsia="仿宋" w:cs="仿宋"/>
        </w:rPr>
        <w:t>二、收入决算情况说明</w:t>
      </w:r>
      <w:r>
        <w:tab/>
      </w:r>
      <w:r>
        <w:fldChar w:fldCharType="begin"/>
      </w:r>
      <w:r>
        <w:instrText xml:space="preserve"> PAGEREF _Toc16754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"_Toc22098" </w:instrText>
      </w:r>
      <w:r>
        <w:fldChar w:fldCharType="separate"/>
      </w:r>
      <w:r>
        <w:rPr>
          <w:rFonts w:hint="eastAsia" w:ascii="仿宋" w:hAnsi="仿宋" w:eastAsia="仿宋" w:cs="仿宋"/>
        </w:rPr>
        <w:t>三、支出决算情况说明</w:t>
      </w:r>
      <w:r>
        <w:tab/>
      </w:r>
      <w:r>
        <w:fldChar w:fldCharType="begin"/>
      </w:r>
      <w:r>
        <w:instrText xml:space="preserve"> PAGEREF _Toc22098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"_Toc2142" </w:instrText>
      </w:r>
      <w:r>
        <w:fldChar w:fldCharType="separate"/>
      </w:r>
      <w:r>
        <w:rPr>
          <w:rFonts w:hint="eastAsia" w:ascii="仿宋" w:hAnsi="仿宋" w:eastAsia="仿宋" w:cs="仿宋"/>
        </w:rPr>
        <w:t>四、财政拨款收入支出决算总体情况说明</w:t>
      </w:r>
      <w:r>
        <w:tab/>
      </w:r>
      <w:r>
        <w:fldChar w:fldCharType="begin"/>
      </w:r>
      <w:r>
        <w:instrText xml:space="preserve"> PAGEREF _Toc2142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"_Toc6501" </w:instrText>
      </w:r>
      <w:r>
        <w:fldChar w:fldCharType="separate"/>
      </w:r>
      <w:r>
        <w:rPr>
          <w:rFonts w:hint="eastAsia" w:ascii="仿宋" w:hAnsi="仿宋" w:eastAsia="仿宋" w:cs="仿宋"/>
        </w:rPr>
        <w:t>五、一般公共预算财政拨款支出决算情况说明</w:t>
      </w:r>
      <w:r>
        <w:tab/>
      </w:r>
      <w:r>
        <w:fldChar w:fldCharType="begin"/>
      </w:r>
      <w:r>
        <w:instrText xml:space="preserve"> PAGEREF _Toc6501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"_Toc17728" </w:instrText>
      </w:r>
      <w:r>
        <w:fldChar w:fldCharType="separate"/>
      </w:r>
      <w:r>
        <w:rPr>
          <w:rFonts w:hint="eastAsia" w:ascii="仿宋" w:hAnsi="仿宋" w:eastAsia="仿宋" w:cs="仿宋"/>
        </w:rPr>
        <w:t>六、一般公共预算财政拨款基本支出决算情况说明</w:t>
      </w:r>
      <w:r>
        <w:tab/>
      </w:r>
      <w:r>
        <w:fldChar w:fldCharType="begin"/>
      </w:r>
      <w:r>
        <w:instrText xml:space="preserve"> PAGEREF _Toc17728 </w:instrText>
      </w:r>
      <w:r>
        <w:fldChar w:fldCharType="separate"/>
      </w:r>
      <w:r>
        <w:t>6</w:t>
      </w:r>
      <w:r>
        <w:fldChar w:fldCharType="end"/>
      </w:r>
      <w:r>
        <w:fldChar w:fldCharType="end"/>
      </w:r>
    </w:p>
    <w:p>
      <w:pPr>
        <w:pStyle w:val="7"/>
        <w:tabs>
          <w:tab w:val="right" w:leader="dot" w:pos="8306"/>
        </w:tabs>
        <w:ind w:left="640" w:firstLine="640"/>
      </w:pPr>
      <w:r>
        <w:fldChar w:fldCharType="begin"/>
      </w:r>
      <w:r>
        <w:instrText xml:space="preserve"> HYPERLINK \l "_Toc26508" </w:instrText>
      </w:r>
      <w:r>
        <w:fldChar w:fldCharType="separate"/>
      </w:r>
      <w:r>
        <w:rPr>
          <w:rFonts w:hint="eastAsia" w:ascii="仿宋" w:hAnsi="仿宋" w:eastAsia="仿宋" w:cs="仿宋"/>
        </w:rPr>
        <w:t>七、一般公共预算财政拨款“三公”经费支出决算情况说明</w:t>
      </w:r>
      <w:r>
        <w:tab/>
      </w:r>
      <w:r>
        <w:fldChar w:fldCharType="begin"/>
      </w:r>
      <w:r>
        <w:instrText xml:space="preserve"> PAGEREF _Toc26508 </w:instrText>
      </w:r>
      <w:r>
        <w:fldChar w:fldCharType="separate"/>
      </w:r>
      <w:r>
        <w:t>6</w:t>
      </w:r>
      <w:r>
        <w:fldChar w:fldCharType="end"/>
      </w:r>
      <w:r>
        <w:fldChar w:fldCharType="end"/>
      </w:r>
    </w:p>
    <w:p>
      <w:pPr>
        <w:pStyle w:val="7"/>
        <w:tabs>
          <w:tab w:val="right" w:leader="dot" w:pos="8306"/>
        </w:tabs>
        <w:ind w:left="640" w:firstLine="640"/>
      </w:pPr>
      <w:r>
        <w:fldChar w:fldCharType="begin"/>
      </w:r>
      <w:r>
        <w:instrText xml:space="preserve"> HYPERLINK \l "_Toc1792" </w:instrText>
      </w:r>
      <w:r>
        <w:fldChar w:fldCharType="separate"/>
      </w:r>
      <w:r>
        <w:rPr>
          <w:rFonts w:hint="eastAsia" w:ascii="仿宋" w:hAnsi="仿宋" w:eastAsia="仿宋" w:cs="仿宋"/>
        </w:rPr>
        <w:t>八、其他重要事项情况说明</w:t>
      </w:r>
      <w:r>
        <w:tab/>
      </w:r>
      <w:r>
        <w:fldChar w:fldCharType="begin"/>
      </w:r>
      <w:r>
        <w:instrText xml:space="preserve"> PAGEREF _Toc1792 </w:instrText>
      </w:r>
      <w:r>
        <w:fldChar w:fldCharType="separate"/>
      </w:r>
      <w:r>
        <w:t>7</w:t>
      </w:r>
      <w:r>
        <w:fldChar w:fldCharType="end"/>
      </w:r>
      <w:r>
        <w:fldChar w:fldCharType="end"/>
      </w:r>
    </w:p>
    <w:p>
      <w:pPr>
        <w:pStyle w:val="6"/>
        <w:tabs>
          <w:tab w:val="right" w:leader="dot" w:pos="8306"/>
        </w:tabs>
        <w:ind w:firstLine="640"/>
      </w:pPr>
      <w:r>
        <w:fldChar w:fldCharType="begin"/>
      </w:r>
      <w:r>
        <w:instrText xml:space="preserve"> HYPERLINK \l "_Toc28108" </w:instrText>
      </w:r>
      <w:r>
        <w:fldChar w:fldCharType="separate"/>
      </w:r>
      <w:r>
        <w:rPr>
          <w:rFonts w:hint="eastAsia" w:ascii="仿宋_GB2312"/>
          <w:szCs w:val="32"/>
        </w:rPr>
        <w:t>（四） 其他需要说明的事项</w:t>
      </w:r>
      <w:r>
        <w:tab/>
      </w:r>
      <w:r>
        <w:fldChar w:fldCharType="begin"/>
      </w:r>
      <w:r>
        <w:instrText xml:space="preserve"> PAGEREF _Toc28108 </w:instrText>
      </w:r>
      <w:r>
        <w:fldChar w:fldCharType="separate"/>
      </w:r>
      <w:r>
        <w:t>9</w:t>
      </w:r>
      <w:r>
        <w:fldChar w:fldCharType="end"/>
      </w:r>
      <w:r>
        <w:fldChar w:fldCharType="end"/>
      </w:r>
    </w:p>
    <w:p>
      <w:pPr>
        <w:pStyle w:val="6"/>
        <w:tabs>
          <w:tab w:val="right" w:leader="dot" w:pos="8306"/>
        </w:tabs>
        <w:ind w:firstLine="640"/>
      </w:pPr>
      <w:r>
        <w:fldChar w:fldCharType="begin"/>
      </w:r>
      <w:r>
        <w:instrText xml:space="preserve"> HYPERLINK \l "_Toc8545" </w:instrText>
      </w:r>
      <w:r>
        <w:fldChar w:fldCharType="separate"/>
      </w:r>
      <w:r>
        <w:rPr>
          <w:rFonts w:hint="eastAsia"/>
          <w:szCs w:val="36"/>
        </w:rPr>
        <w:t>第四部分  名词解释</w:t>
      </w:r>
      <w:r>
        <w:tab/>
      </w:r>
      <w:r>
        <w:fldChar w:fldCharType="begin"/>
      </w:r>
      <w:r>
        <w:instrText xml:space="preserve"> PAGEREF _Toc8545 </w:instrText>
      </w:r>
      <w:r>
        <w:fldChar w:fldCharType="separate"/>
      </w:r>
      <w:r>
        <w:t>9</w:t>
      </w:r>
      <w:r>
        <w:fldChar w:fldCharType="end"/>
      </w:r>
      <w:r>
        <w:fldChar w:fldCharType="end"/>
      </w:r>
    </w:p>
    <w:p>
      <w:pPr>
        <w:ind w:firstLine="640"/>
        <w:jc w:val="center"/>
        <w:rPr>
          <w:rFonts w:ascii="仿宋" w:hAnsi="仿宋" w:eastAsia="仿宋" w:cs="仿宋"/>
          <w:color w:val="000000"/>
          <w:szCs w:val="32"/>
        </w:rPr>
      </w:pPr>
      <w:r>
        <w:rPr>
          <w:rFonts w:hint="eastAsia" w:ascii="仿宋" w:hAnsi="仿宋" w:eastAsia="仿宋" w:cs="仿宋"/>
          <w:color w:val="000000"/>
          <w:szCs w:val="32"/>
        </w:rPr>
        <w:fldChar w:fldCharType="end"/>
      </w:r>
    </w:p>
    <w:p>
      <w:pPr>
        <w:pStyle w:val="2"/>
        <w:ind w:firstLine="0" w:firstLineChars="0"/>
        <w:jc w:val="center"/>
        <w:rPr>
          <w:szCs w:val="36"/>
        </w:rPr>
      </w:pPr>
      <w:bookmarkStart w:id="3" w:name="_Toc23288"/>
      <w:bookmarkStart w:id="4" w:name="_Toc31140"/>
      <w:r>
        <w:rPr>
          <w:rFonts w:hint="eastAsia"/>
          <w:sz w:val="36"/>
          <w:szCs w:val="36"/>
        </w:rPr>
        <w:t>第一部分  概况</w:t>
      </w:r>
      <w:bookmarkEnd w:id="3"/>
      <w:bookmarkEnd w:id="4"/>
    </w:p>
    <w:p>
      <w:pPr>
        <w:pStyle w:val="3"/>
        <w:ind w:firstLine="640"/>
        <w:rPr>
          <w:rFonts w:ascii="仿宋" w:hAnsi="仿宋" w:eastAsia="仿宋" w:cs="仿宋"/>
          <w:b w:val="0"/>
          <w:bCs/>
        </w:rPr>
      </w:pPr>
      <w:bookmarkStart w:id="5" w:name="_Toc24066"/>
      <w:bookmarkStart w:id="6" w:name="_Toc4461"/>
      <w:r>
        <w:rPr>
          <w:rFonts w:hint="eastAsia" w:ascii="仿宋" w:hAnsi="仿宋" w:eastAsia="仿宋" w:cs="仿宋"/>
          <w:b w:val="0"/>
          <w:bCs/>
        </w:rPr>
        <w:t>一、本部门职责</w:t>
      </w:r>
      <w:bookmarkEnd w:id="5"/>
      <w:bookmarkEnd w:id="6"/>
    </w:p>
    <w:p>
      <w:pPr>
        <w:ind w:firstLine="640"/>
        <w:rPr>
          <w:rFonts w:ascii="仿宋_GB2312" w:hAnsi="楷体"/>
          <w:bCs/>
          <w:szCs w:val="32"/>
        </w:rPr>
      </w:pPr>
      <w:r>
        <w:rPr>
          <w:rFonts w:hint="eastAsia" w:ascii="仿宋_GB2312" w:hAnsi="楷体"/>
          <w:bCs/>
          <w:szCs w:val="32"/>
        </w:rPr>
        <w:t>1</w:t>
      </w:r>
      <w:r>
        <w:rPr>
          <w:rFonts w:hint="eastAsia" w:ascii="仿宋_GB2312" w:hAnsi="楷体"/>
          <w:bCs/>
          <w:szCs w:val="32"/>
          <w:lang w:val="en-US" w:eastAsia="zh-CN"/>
        </w:rPr>
        <w:t>.</w:t>
      </w:r>
      <w:r>
        <w:rPr>
          <w:rFonts w:hint="eastAsia" w:ascii="仿宋_GB2312" w:hAnsi="楷体"/>
          <w:bCs/>
          <w:szCs w:val="32"/>
        </w:rPr>
        <w:t>宣传和贯彻国家、省、市有关重点工程建设的法规和政策。</w:t>
      </w:r>
    </w:p>
    <w:p>
      <w:pPr>
        <w:ind w:firstLine="640"/>
        <w:rPr>
          <w:rFonts w:ascii="仿宋_GB2312" w:hAnsi="楷体"/>
          <w:bCs/>
          <w:szCs w:val="32"/>
        </w:rPr>
      </w:pPr>
      <w:r>
        <w:rPr>
          <w:rFonts w:hint="eastAsia" w:ascii="仿宋_GB2312" w:hAnsi="楷体"/>
          <w:bCs/>
          <w:szCs w:val="32"/>
        </w:rPr>
        <w:t>2</w:t>
      </w:r>
      <w:r>
        <w:rPr>
          <w:rFonts w:hint="eastAsia" w:ascii="仿宋_GB2312" w:hAnsi="楷体"/>
          <w:bCs/>
          <w:szCs w:val="32"/>
          <w:lang w:val="en-US" w:eastAsia="zh-CN"/>
        </w:rPr>
        <w:t>.</w:t>
      </w:r>
      <w:r>
        <w:rPr>
          <w:rFonts w:hint="eastAsia" w:ascii="仿宋_GB2312" w:hAnsi="楷体"/>
          <w:bCs/>
          <w:szCs w:val="32"/>
        </w:rPr>
        <w:t>负责基层检查全县重点工程进度和质量，搞好重点工程信息统计工作，及时准确地向省、市重点工程领导小组及县委、县政府和有关部门报告重点工程进展情况和存在的问题，为领导提供决策依据。</w:t>
      </w:r>
    </w:p>
    <w:p>
      <w:pPr>
        <w:ind w:firstLine="640"/>
        <w:rPr>
          <w:rFonts w:ascii="仿宋_GB2312" w:hAnsi="楷体"/>
          <w:bCs/>
          <w:szCs w:val="32"/>
        </w:rPr>
      </w:pPr>
      <w:r>
        <w:rPr>
          <w:rFonts w:hint="eastAsia" w:ascii="仿宋_GB2312" w:hAnsi="楷体"/>
          <w:bCs/>
          <w:szCs w:val="32"/>
        </w:rPr>
        <w:t>3</w:t>
      </w:r>
      <w:r>
        <w:rPr>
          <w:rFonts w:hint="eastAsia" w:ascii="仿宋_GB2312" w:hAnsi="楷体"/>
          <w:bCs/>
          <w:szCs w:val="32"/>
          <w:lang w:val="en-US" w:eastAsia="zh-CN"/>
        </w:rPr>
        <w:t>.</w:t>
      </w:r>
      <w:r>
        <w:rPr>
          <w:rFonts w:hint="eastAsia" w:ascii="仿宋_GB2312" w:hAnsi="楷体"/>
          <w:bCs/>
          <w:szCs w:val="32"/>
        </w:rPr>
        <w:t>负责建立和完善重点工程管理、监督、协调、服务和奖惩实施意见并组织实施。</w:t>
      </w:r>
    </w:p>
    <w:p>
      <w:pPr>
        <w:ind w:firstLine="640"/>
        <w:rPr>
          <w:rFonts w:ascii="仿宋_GB2312" w:hAnsi="楷体"/>
          <w:bCs/>
          <w:szCs w:val="32"/>
        </w:rPr>
      </w:pPr>
      <w:r>
        <w:rPr>
          <w:rFonts w:hint="eastAsia" w:ascii="仿宋_GB2312" w:hAnsi="楷体"/>
          <w:bCs/>
          <w:szCs w:val="32"/>
        </w:rPr>
        <w:t>4</w:t>
      </w:r>
      <w:r>
        <w:rPr>
          <w:rFonts w:hint="eastAsia" w:ascii="仿宋_GB2312" w:hAnsi="楷体"/>
          <w:bCs/>
          <w:szCs w:val="32"/>
          <w:lang w:val="en-US" w:eastAsia="zh-CN"/>
        </w:rPr>
        <w:t>.</w:t>
      </w:r>
      <w:r>
        <w:rPr>
          <w:rFonts w:hint="eastAsia" w:ascii="仿宋_GB2312" w:hAnsi="楷体"/>
          <w:bCs/>
          <w:szCs w:val="32"/>
        </w:rPr>
        <w:t>负责为国家和省、市、县在全县境内的重点建设项目实施全过程服务，组织和协调各有关部门积极协调解决重点工程建设中出现的各类矛盾和问题，保证重点工程建设的顺利进行。</w:t>
      </w:r>
    </w:p>
    <w:p>
      <w:pPr>
        <w:ind w:firstLine="640"/>
        <w:rPr>
          <w:rFonts w:ascii="仿宋_GB2312" w:hAnsi="楷体"/>
          <w:bCs/>
          <w:szCs w:val="32"/>
        </w:rPr>
      </w:pPr>
      <w:r>
        <w:rPr>
          <w:rFonts w:hint="eastAsia" w:ascii="仿宋_GB2312" w:hAnsi="楷体"/>
          <w:bCs/>
          <w:szCs w:val="32"/>
        </w:rPr>
        <w:t>5</w:t>
      </w:r>
      <w:r>
        <w:rPr>
          <w:rFonts w:hint="eastAsia" w:ascii="仿宋_GB2312" w:hAnsi="楷体"/>
          <w:bCs/>
          <w:szCs w:val="32"/>
          <w:lang w:val="en-US" w:eastAsia="zh-CN"/>
        </w:rPr>
        <w:t>.</w:t>
      </w:r>
      <w:r>
        <w:rPr>
          <w:rFonts w:hint="eastAsia" w:ascii="仿宋_GB2312" w:hAnsi="楷体"/>
          <w:bCs/>
          <w:szCs w:val="32"/>
        </w:rPr>
        <w:t>负责对全县重点工程建设前期工作及项目储备进行考核，建立项目库。</w:t>
      </w:r>
    </w:p>
    <w:p>
      <w:pPr>
        <w:ind w:firstLine="640"/>
        <w:rPr>
          <w:rFonts w:ascii="仿宋_GB2312" w:hAnsi="楷体"/>
          <w:bCs/>
          <w:szCs w:val="32"/>
        </w:rPr>
      </w:pPr>
      <w:r>
        <w:rPr>
          <w:rFonts w:hint="eastAsia" w:ascii="仿宋_GB2312" w:hAnsi="楷体"/>
          <w:bCs/>
          <w:szCs w:val="32"/>
        </w:rPr>
        <w:t>6</w:t>
      </w:r>
      <w:r>
        <w:rPr>
          <w:rFonts w:hint="eastAsia" w:ascii="仿宋_GB2312" w:hAnsi="楷体"/>
          <w:bCs/>
          <w:szCs w:val="32"/>
          <w:lang w:val="en-US" w:eastAsia="zh-CN"/>
        </w:rPr>
        <w:t>.</w:t>
      </w:r>
      <w:r>
        <w:rPr>
          <w:rFonts w:hint="eastAsia" w:ascii="仿宋_GB2312" w:hAnsi="楷体"/>
          <w:bCs/>
          <w:szCs w:val="32"/>
        </w:rPr>
        <w:t>负责总结推广重点工程建设的经验，组织评选先进单位和个人。</w:t>
      </w:r>
    </w:p>
    <w:p>
      <w:pPr>
        <w:ind w:firstLine="640"/>
        <w:rPr>
          <w:rFonts w:ascii="仿宋_GB2312" w:hAnsi="楷体"/>
          <w:bCs/>
          <w:szCs w:val="32"/>
        </w:rPr>
      </w:pPr>
      <w:r>
        <w:rPr>
          <w:rFonts w:hint="eastAsia" w:ascii="仿宋_GB2312" w:hAnsi="楷体"/>
          <w:bCs/>
          <w:szCs w:val="32"/>
        </w:rPr>
        <w:t>7</w:t>
      </w:r>
      <w:r>
        <w:rPr>
          <w:rFonts w:hint="eastAsia" w:ascii="仿宋_GB2312" w:hAnsi="楷体"/>
          <w:bCs/>
          <w:szCs w:val="32"/>
          <w:lang w:val="en-US" w:eastAsia="zh-CN"/>
        </w:rPr>
        <w:t>.</w:t>
      </w:r>
      <w:r>
        <w:rPr>
          <w:rFonts w:hint="eastAsia" w:ascii="仿宋_GB2312" w:hAnsi="楷体"/>
          <w:bCs/>
          <w:szCs w:val="32"/>
        </w:rPr>
        <w:t>负责审核全县工程建设项目招投标方案。</w:t>
      </w:r>
    </w:p>
    <w:p>
      <w:pPr>
        <w:ind w:firstLine="640"/>
        <w:rPr>
          <w:rFonts w:ascii="仿宋_GB2312" w:hAnsi="楷体"/>
          <w:bCs/>
          <w:szCs w:val="32"/>
        </w:rPr>
      </w:pPr>
      <w:r>
        <w:rPr>
          <w:rFonts w:hint="eastAsia" w:ascii="仿宋_GB2312" w:hAnsi="楷体"/>
          <w:bCs/>
          <w:szCs w:val="32"/>
        </w:rPr>
        <w:t>8</w:t>
      </w:r>
      <w:r>
        <w:rPr>
          <w:rFonts w:hint="eastAsia" w:ascii="仿宋_GB2312" w:hAnsi="楷体"/>
          <w:bCs/>
          <w:szCs w:val="32"/>
          <w:lang w:val="en-US" w:eastAsia="zh-CN"/>
        </w:rPr>
        <w:t>.</w:t>
      </w:r>
      <w:r>
        <w:rPr>
          <w:rFonts w:hint="eastAsia" w:ascii="仿宋_GB2312" w:hAnsi="楷体"/>
          <w:bCs/>
          <w:szCs w:val="32"/>
        </w:rPr>
        <w:t>负责检查重点建设项目的开工条件。</w:t>
      </w:r>
    </w:p>
    <w:p>
      <w:pPr>
        <w:ind w:firstLine="640"/>
        <w:rPr>
          <w:rFonts w:ascii="仿宋_GB2312" w:hAnsi="楷体"/>
          <w:bCs/>
          <w:szCs w:val="32"/>
        </w:rPr>
      </w:pPr>
      <w:r>
        <w:rPr>
          <w:rFonts w:hint="eastAsia" w:ascii="仿宋_GB2312" w:hAnsi="楷体"/>
          <w:bCs/>
          <w:szCs w:val="32"/>
        </w:rPr>
        <w:t>9</w:t>
      </w:r>
      <w:r>
        <w:rPr>
          <w:rFonts w:hint="eastAsia" w:ascii="仿宋_GB2312" w:hAnsi="楷体"/>
          <w:bCs/>
          <w:szCs w:val="32"/>
          <w:lang w:val="en-US" w:eastAsia="zh-CN"/>
        </w:rPr>
        <w:t>.</w:t>
      </w:r>
      <w:r>
        <w:rPr>
          <w:rFonts w:hint="eastAsia" w:ascii="仿宋_GB2312" w:hAnsi="楷体"/>
          <w:bCs/>
          <w:szCs w:val="32"/>
        </w:rPr>
        <w:t>完成主管部门交办的其他工作。</w:t>
      </w:r>
    </w:p>
    <w:p>
      <w:pPr>
        <w:ind w:firstLine="640"/>
      </w:pPr>
    </w:p>
    <w:p>
      <w:pPr>
        <w:pStyle w:val="3"/>
        <w:ind w:firstLine="640"/>
        <w:rPr>
          <w:rFonts w:ascii="仿宋" w:hAnsi="仿宋" w:eastAsia="仿宋" w:cs="仿宋"/>
          <w:b w:val="0"/>
          <w:bCs/>
        </w:rPr>
      </w:pPr>
      <w:bookmarkStart w:id="7" w:name="_Toc9155"/>
      <w:bookmarkStart w:id="8" w:name="_Toc275"/>
      <w:r>
        <w:rPr>
          <w:rFonts w:hint="eastAsia" w:ascii="仿宋" w:hAnsi="仿宋" w:eastAsia="仿宋" w:cs="仿宋"/>
          <w:b w:val="0"/>
          <w:bCs/>
        </w:rPr>
        <w:t>二、机构设置情况</w:t>
      </w:r>
      <w:bookmarkEnd w:id="7"/>
      <w:bookmarkEnd w:id="8"/>
    </w:p>
    <w:p>
      <w:pPr>
        <w:ind w:firstLine="640"/>
        <w:rPr>
          <w:rFonts w:ascii="仿宋_GB2312" w:hAnsi="楷体"/>
          <w:bCs/>
          <w:szCs w:val="32"/>
        </w:rPr>
      </w:pPr>
      <w:r>
        <w:rPr>
          <w:rFonts w:hint="eastAsia" w:ascii="仿宋_GB2312" w:hAnsi="楷体"/>
          <w:bCs/>
          <w:szCs w:val="32"/>
        </w:rPr>
        <w:t>静乐县重点工程及项目预审中心人员编制8人，其中事业人员8人。单位实有人员5人，其中事业人员5人。内设科室：办公室、综合股。</w:t>
      </w:r>
    </w:p>
    <w:p>
      <w:pPr>
        <w:ind w:firstLine="640"/>
      </w:pPr>
    </w:p>
    <w:p>
      <w:pPr>
        <w:pStyle w:val="2"/>
        <w:ind w:firstLine="723"/>
        <w:rPr>
          <w:sz w:val="36"/>
          <w:szCs w:val="36"/>
        </w:rPr>
      </w:pPr>
      <w:bookmarkStart w:id="9" w:name="_Toc12749"/>
      <w:r>
        <w:rPr>
          <w:rFonts w:hint="eastAsia"/>
          <w:sz w:val="36"/>
          <w:szCs w:val="36"/>
        </w:rPr>
        <w:t>第二部分  2021年度部门决算报表（附表）</w:t>
      </w:r>
      <w:bookmarkEnd w:id="9"/>
    </w:p>
    <w:p>
      <w:pPr>
        <w:ind w:firstLine="640"/>
        <w:rPr>
          <w:rFonts w:ascii="仿宋_GB2312" w:hAnsi="楷体"/>
          <w:szCs w:val="32"/>
        </w:rPr>
      </w:pPr>
      <w:r>
        <w:rPr>
          <w:rFonts w:hint="eastAsia" w:ascii="仿宋_GB2312" w:hAnsi="楷体"/>
          <w:szCs w:val="32"/>
        </w:rPr>
        <w:t>一、收入支出决算总表</w:t>
      </w:r>
    </w:p>
    <w:p>
      <w:pPr>
        <w:ind w:firstLine="640"/>
        <w:rPr>
          <w:rFonts w:ascii="仿宋_GB2312" w:hAnsi="楷体"/>
          <w:szCs w:val="32"/>
        </w:rPr>
      </w:pPr>
      <w:r>
        <w:rPr>
          <w:rFonts w:hint="eastAsia" w:ascii="仿宋_GB2312" w:hAnsi="楷体"/>
          <w:szCs w:val="32"/>
        </w:rPr>
        <w:t>二、收入决算表</w:t>
      </w:r>
    </w:p>
    <w:p>
      <w:pPr>
        <w:ind w:firstLine="640"/>
        <w:rPr>
          <w:rFonts w:ascii="仿宋_GB2312" w:hAnsi="楷体"/>
          <w:szCs w:val="32"/>
        </w:rPr>
      </w:pPr>
      <w:r>
        <w:rPr>
          <w:rFonts w:hint="eastAsia" w:ascii="仿宋_GB2312" w:hAnsi="楷体"/>
          <w:szCs w:val="32"/>
        </w:rPr>
        <w:t>三、支出决算表</w:t>
      </w:r>
    </w:p>
    <w:p>
      <w:pPr>
        <w:ind w:firstLine="640"/>
        <w:rPr>
          <w:rFonts w:ascii="仿宋_GB2312" w:hAnsi="楷体"/>
          <w:szCs w:val="32"/>
        </w:rPr>
      </w:pPr>
      <w:r>
        <w:rPr>
          <w:rFonts w:hint="eastAsia" w:ascii="仿宋_GB2312" w:hAnsi="楷体"/>
          <w:szCs w:val="32"/>
        </w:rPr>
        <w:t>四、财政拨款收入支出决算总表</w:t>
      </w:r>
    </w:p>
    <w:p>
      <w:pPr>
        <w:ind w:firstLine="640"/>
        <w:rPr>
          <w:rFonts w:ascii="仿宋_GB2312" w:hAnsi="楷体"/>
          <w:szCs w:val="32"/>
        </w:rPr>
      </w:pPr>
      <w:r>
        <w:rPr>
          <w:rFonts w:hint="eastAsia" w:ascii="仿宋_GB2312" w:hAnsi="楷体"/>
          <w:szCs w:val="32"/>
        </w:rPr>
        <w:t>五、一般公共预算财政拨款支出决算表（一）</w:t>
      </w:r>
    </w:p>
    <w:p>
      <w:pPr>
        <w:ind w:firstLine="640"/>
        <w:rPr>
          <w:rFonts w:ascii="仿宋_GB2312" w:hAnsi="楷体"/>
          <w:szCs w:val="32"/>
        </w:rPr>
      </w:pPr>
      <w:r>
        <w:rPr>
          <w:rFonts w:hint="eastAsia" w:ascii="仿宋_GB2312" w:hAnsi="楷体"/>
          <w:szCs w:val="32"/>
        </w:rPr>
        <w:t>六、一般公共预算财政拨款支出决算表（二）</w:t>
      </w:r>
    </w:p>
    <w:p>
      <w:pPr>
        <w:ind w:firstLine="640"/>
        <w:rPr>
          <w:rFonts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ascii="仿宋_GB2312" w:hAnsi="楷体"/>
          <w:szCs w:val="32"/>
        </w:rPr>
      </w:pPr>
      <w:r>
        <w:rPr>
          <w:rFonts w:hint="eastAsia" w:ascii="仿宋_GB2312" w:hAnsi="楷体"/>
          <w:szCs w:val="32"/>
        </w:rPr>
        <w:t>九、国有资本经营预算财政拨款支出决算表</w:t>
      </w:r>
    </w:p>
    <w:p>
      <w:pPr>
        <w:ind w:firstLine="640"/>
        <w:rPr>
          <w:rFonts w:ascii="仿宋_GB2312" w:hAnsi="楷体"/>
          <w:szCs w:val="32"/>
        </w:rPr>
      </w:pPr>
      <w:r>
        <w:rPr>
          <w:rFonts w:hint="eastAsia" w:ascii="仿宋_GB2312" w:hAnsi="楷体"/>
          <w:szCs w:val="32"/>
        </w:rPr>
        <w:t>十、部门决算公开相关信息统计表</w:t>
      </w:r>
    </w:p>
    <w:p>
      <w:pPr>
        <w:pStyle w:val="2"/>
        <w:ind w:firstLine="0" w:firstLineChars="0"/>
        <w:jc w:val="center"/>
        <w:rPr>
          <w:sz w:val="36"/>
          <w:szCs w:val="36"/>
        </w:rPr>
      </w:pPr>
      <w:bookmarkStart w:id="10" w:name="_Toc29325"/>
      <w:r>
        <w:rPr>
          <w:rFonts w:hint="eastAsia"/>
          <w:sz w:val="36"/>
          <w:szCs w:val="36"/>
        </w:rPr>
        <w:t>第三部分  2021年度部门决算情况说明</w:t>
      </w:r>
      <w:bookmarkEnd w:id="10"/>
    </w:p>
    <w:p>
      <w:pPr>
        <w:pStyle w:val="3"/>
        <w:ind w:firstLine="643"/>
        <w:rPr>
          <w:rFonts w:ascii="仿宋" w:hAnsi="仿宋" w:eastAsia="仿宋" w:cs="仿宋"/>
        </w:rPr>
      </w:pPr>
      <w:bookmarkStart w:id="11" w:name="_Toc8717"/>
      <w:bookmarkStart w:id="12" w:name="_Toc437"/>
      <w:r>
        <w:rPr>
          <w:rFonts w:hint="eastAsia" w:ascii="仿宋" w:hAnsi="仿宋" w:eastAsia="仿宋" w:cs="仿宋"/>
        </w:rPr>
        <w:t>一、收入支出决算总体情况说明</w:t>
      </w:r>
      <w:bookmarkEnd w:id="11"/>
      <w:bookmarkEnd w:id="12"/>
    </w:p>
    <w:p>
      <w:pPr>
        <w:ind w:firstLine="640"/>
        <w:rPr>
          <w:rFonts w:ascii="仿宋_GB2312"/>
          <w:color w:val="000000" w:themeColor="text1"/>
          <w:szCs w:val="32"/>
        </w:rPr>
      </w:pPr>
      <w:r>
        <w:rPr>
          <w:rFonts w:hint="eastAsia" w:ascii="仿宋_GB2312"/>
          <w:color w:val="000000" w:themeColor="text1"/>
          <w:szCs w:val="32"/>
        </w:rPr>
        <w:t>2021年度收入</w:t>
      </w:r>
      <w:r>
        <w:rPr>
          <w:rFonts w:ascii="仿宋_GB2312"/>
          <w:color w:val="000000" w:themeColor="text1"/>
          <w:szCs w:val="32"/>
        </w:rPr>
        <w:t>总计</w:t>
      </w:r>
      <w:r>
        <w:rPr>
          <w:rFonts w:hint="eastAsia" w:ascii="仿宋_GB2312"/>
          <w:color w:val="000000" w:themeColor="text1"/>
          <w:szCs w:val="32"/>
        </w:rPr>
        <w:t>51.64万元、支出总计58.74万元。与2020年相比，收入总计减少19.40万元，下降27.31%，</w:t>
      </w:r>
      <w:r>
        <w:rPr>
          <w:rFonts w:ascii="仿宋_GB2312"/>
          <w:color w:val="000000" w:themeColor="text1"/>
          <w:szCs w:val="32"/>
        </w:rPr>
        <w:t>支出总计减少</w:t>
      </w:r>
      <w:r>
        <w:rPr>
          <w:rFonts w:hint="eastAsia" w:ascii="仿宋_GB2312"/>
          <w:color w:val="000000" w:themeColor="text1"/>
          <w:szCs w:val="32"/>
        </w:rPr>
        <w:t>12.94万元</w:t>
      </w:r>
      <w:r>
        <w:rPr>
          <w:rFonts w:ascii="仿宋_GB2312"/>
          <w:color w:val="000000" w:themeColor="text1"/>
          <w:szCs w:val="32"/>
        </w:rPr>
        <w:t>，下降</w:t>
      </w:r>
      <w:r>
        <w:rPr>
          <w:rFonts w:hint="eastAsia" w:ascii="仿宋_GB2312"/>
          <w:color w:val="000000" w:themeColor="text1"/>
          <w:szCs w:val="32"/>
        </w:rPr>
        <w:t>18.05</w:t>
      </w:r>
      <w:r>
        <w:rPr>
          <w:rFonts w:ascii="仿宋_GB2312"/>
          <w:color w:val="000000" w:themeColor="text1"/>
          <w:szCs w:val="32"/>
        </w:rPr>
        <w:t>%</w:t>
      </w:r>
      <w:r>
        <w:rPr>
          <w:rFonts w:hint="eastAsia" w:ascii="仿宋_GB2312"/>
          <w:color w:val="000000" w:themeColor="text1"/>
          <w:szCs w:val="32"/>
        </w:rPr>
        <w:t>。主要原因是调出1人、工资福利支出等减少。</w:t>
      </w:r>
    </w:p>
    <w:p>
      <w:pPr>
        <w:pStyle w:val="3"/>
        <w:ind w:firstLine="643"/>
        <w:rPr>
          <w:rFonts w:ascii="仿宋" w:hAnsi="仿宋" w:eastAsia="仿宋" w:cs="仿宋"/>
        </w:rPr>
      </w:pPr>
      <w:bookmarkStart w:id="13" w:name="_Toc16754"/>
      <w:bookmarkStart w:id="14" w:name="_Toc17404"/>
      <w:r>
        <w:rPr>
          <w:rFonts w:hint="eastAsia" w:ascii="仿宋" w:hAnsi="仿宋" w:eastAsia="仿宋" w:cs="仿宋"/>
        </w:rPr>
        <w:t>二、收入决算情况说明</w:t>
      </w:r>
      <w:bookmarkEnd w:id="13"/>
      <w:bookmarkEnd w:id="14"/>
    </w:p>
    <w:p>
      <w:pPr>
        <w:spacing w:line="580" w:lineRule="exact"/>
        <w:ind w:firstLine="640"/>
        <w:rPr>
          <w:rFonts w:ascii="仿宋_GB2312"/>
          <w:color w:val="000000" w:themeColor="text1"/>
          <w:szCs w:val="32"/>
        </w:rPr>
      </w:pPr>
      <w:r>
        <w:rPr>
          <w:rFonts w:hint="eastAsia" w:ascii="仿宋_GB2312"/>
          <w:color w:val="000000" w:themeColor="text1"/>
          <w:szCs w:val="32"/>
        </w:rPr>
        <w:t>本年收入合计58.74万元，其中：财政拨款收入58.74万元，占比100%；上级补助收入0万元，占比0%；事业收入0万元，占比0%；经营收入0万元，占比0%。附属单位上缴收入0万元，占比0%；其他收入0万元，占比0%。</w:t>
      </w:r>
    </w:p>
    <w:p>
      <w:pPr>
        <w:pStyle w:val="3"/>
        <w:ind w:firstLine="643"/>
        <w:rPr>
          <w:rFonts w:ascii="仿宋" w:hAnsi="仿宋" w:eastAsia="仿宋" w:cs="仿宋"/>
          <w:color w:val="000000" w:themeColor="text1"/>
        </w:rPr>
      </w:pPr>
      <w:bookmarkStart w:id="15" w:name="_Toc9596"/>
      <w:bookmarkStart w:id="16" w:name="_Toc22098"/>
      <w:r>
        <w:rPr>
          <w:rFonts w:hint="eastAsia" w:ascii="仿宋" w:hAnsi="仿宋" w:eastAsia="仿宋" w:cs="仿宋"/>
          <w:color w:val="000000" w:themeColor="text1"/>
        </w:rPr>
        <w:t>三、支出决算情况说明</w:t>
      </w:r>
      <w:bookmarkEnd w:id="15"/>
      <w:bookmarkEnd w:id="16"/>
    </w:p>
    <w:p>
      <w:pPr>
        <w:spacing w:line="580" w:lineRule="exact"/>
        <w:ind w:firstLine="640"/>
        <w:rPr>
          <w:rFonts w:ascii="仿宋_GB2312"/>
          <w:color w:val="000000" w:themeColor="text1"/>
          <w:szCs w:val="32"/>
        </w:rPr>
      </w:pPr>
      <w:r>
        <w:rPr>
          <w:rFonts w:hint="eastAsia" w:ascii="仿宋_GB2312"/>
          <w:color w:val="000000" w:themeColor="text1"/>
          <w:szCs w:val="32"/>
        </w:rPr>
        <w:t>本年支出合计58.74万元，其中：基本支出48.42万元，占比82.43%；项目支出10.32万元，占比17.57%，上缴上级支出0万元，占比0%，经营支出0万元，占比0%,对附属单位补助支出0万元，占比0%。</w:t>
      </w:r>
    </w:p>
    <w:p>
      <w:pPr>
        <w:pStyle w:val="3"/>
        <w:ind w:firstLine="643"/>
        <w:rPr>
          <w:rFonts w:ascii="仿宋" w:hAnsi="仿宋" w:eastAsia="仿宋" w:cs="仿宋"/>
          <w:color w:val="000000" w:themeColor="text1"/>
        </w:rPr>
      </w:pPr>
      <w:bookmarkStart w:id="17" w:name="_Toc4614"/>
      <w:bookmarkStart w:id="18" w:name="_Toc2142"/>
      <w:r>
        <w:rPr>
          <w:rFonts w:hint="eastAsia" w:ascii="仿宋" w:hAnsi="仿宋" w:eastAsia="仿宋" w:cs="仿宋"/>
          <w:color w:val="000000" w:themeColor="text1"/>
        </w:rPr>
        <w:t>四、财政拨款收入支出决算总体情况说明</w:t>
      </w:r>
      <w:bookmarkEnd w:id="17"/>
      <w:bookmarkEnd w:id="18"/>
    </w:p>
    <w:p>
      <w:pPr>
        <w:ind w:firstLine="640"/>
        <w:rPr>
          <w:rFonts w:ascii="仿宋_GB2312"/>
          <w:color w:val="000000" w:themeColor="text1"/>
          <w:szCs w:val="32"/>
        </w:rPr>
      </w:pPr>
      <w:r>
        <w:rPr>
          <w:rFonts w:hint="eastAsia" w:ascii="仿宋_GB2312"/>
          <w:color w:val="000000" w:themeColor="text1"/>
          <w:szCs w:val="32"/>
        </w:rPr>
        <w:t>2021年度财政拨款收入</w:t>
      </w:r>
      <w:r>
        <w:rPr>
          <w:rFonts w:ascii="仿宋_GB2312"/>
          <w:color w:val="000000" w:themeColor="text1"/>
          <w:szCs w:val="32"/>
        </w:rPr>
        <w:t>总计</w:t>
      </w:r>
      <w:r>
        <w:rPr>
          <w:rFonts w:hint="eastAsia" w:ascii="仿宋_GB2312"/>
          <w:color w:val="000000" w:themeColor="text1"/>
          <w:szCs w:val="32"/>
        </w:rPr>
        <w:t>51.64万元、支出总计58.64万元。与2020年相比，财政拨款收入总计减少19.40万元，下降27.31%，财政拨款支出总计</w:t>
      </w:r>
      <w:r>
        <w:rPr>
          <w:rFonts w:ascii="仿宋_GB2312"/>
          <w:color w:val="000000" w:themeColor="text1"/>
          <w:szCs w:val="32"/>
        </w:rPr>
        <w:t>减少</w:t>
      </w:r>
      <w:r>
        <w:rPr>
          <w:rFonts w:hint="eastAsia" w:ascii="仿宋_GB2312"/>
          <w:color w:val="000000" w:themeColor="text1"/>
          <w:szCs w:val="32"/>
        </w:rPr>
        <w:t>12.94万元</w:t>
      </w:r>
      <w:r>
        <w:rPr>
          <w:rFonts w:ascii="仿宋_GB2312"/>
          <w:color w:val="000000" w:themeColor="text1"/>
          <w:szCs w:val="32"/>
        </w:rPr>
        <w:t>，下降</w:t>
      </w:r>
      <w:r>
        <w:rPr>
          <w:rFonts w:hint="eastAsia" w:ascii="仿宋_GB2312"/>
          <w:color w:val="000000" w:themeColor="text1"/>
          <w:szCs w:val="32"/>
        </w:rPr>
        <w:t>18.05</w:t>
      </w:r>
      <w:r>
        <w:rPr>
          <w:rFonts w:ascii="仿宋_GB2312"/>
          <w:color w:val="000000" w:themeColor="text1"/>
          <w:szCs w:val="32"/>
        </w:rPr>
        <w:t>%</w:t>
      </w:r>
      <w:r>
        <w:rPr>
          <w:rFonts w:hint="eastAsia" w:ascii="仿宋_GB2312"/>
          <w:color w:val="000000" w:themeColor="text1"/>
          <w:szCs w:val="32"/>
        </w:rPr>
        <w:t>。主要原因是调出1人、工资福利支出等减少。</w:t>
      </w:r>
    </w:p>
    <w:p>
      <w:pPr>
        <w:pStyle w:val="3"/>
        <w:ind w:firstLine="643"/>
        <w:rPr>
          <w:rFonts w:ascii="仿宋" w:hAnsi="仿宋" w:eastAsia="仿宋" w:cs="仿宋"/>
          <w:color w:val="000000" w:themeColor="text1"/>
        </w:rPr>
      </w:pPr>
      <w:bookmarkStart w:id="19" w:name="_Toc9341"/>
      <w:bookmarkStart w:id="20" w:name="_Toc6501"/>
      <w:r>
        <w:rPr>
          <w:rFonts w:hint="eastAsia" w:ascii="仿宋" w:hAnsi="仿宋" w:eastAsia="仿宋" w:cs="仿宋"/>
          <w:color w:val="000000" w:themeColor="text1"/>
        </w:rPr>
        <w:t>五、一般公共预算财政拨款支出决算情况说明</w:t>
      </w:r>
      <w:bookmarkEnd w:id="19"/>
      <w:bookmarkEnd w:id="20"/>
    </w:p>
    <w:p>
      <w:pPr>
        <w:spacing w:line="580" w:lineRule="exact"/>
        <w:ind w:firstLine="643"/>
        <w:rPr>
          <w:rFonts w:ascii="仿宋_GB2312"/>
          <w:b/>
          <w:color w:val="000000" w:themeColor="text1"/>
          <w:szCs w:val="32"/>
        </w:rPr>
      </w:pPr>
      <w:r>
        <w:rPr>
          <w:rFonts w:hint="eastAsia" w:ascii="仿宋_GB2312"/>
          <w:b/>
          <w:color w:val="000000" w:themeColor="text1"/>
          <w:szCs w:val="32"/>
        </w:rPr>
        <w:t>（一）财政拨款支出决算总体情况</w:t>
      </w:r>
    </w:p>
    <w:p>
      <w:pPr>
        <w:spacing w:line="580" w:lineRule="exact"/>
        <w:ind w:firstLine="640"/>
        <w:rPr>
          <w:rFonts w:ascii="仿宋_GB2312"/>
          <w:color w:val="000000" w:themeColor="text1"/>
          <w:szCs w:val="32"/>
        </w:rPr>
      </w:pPr>
      <w:r>
        <w:rPr>
          <w:rFonts w:hint="eastAsia" w:ascii="仿宋_GB2312"/>
          <w:color w:val="000000" w:themeColor="text1"/>
          <w:szCs w:val="32"/>
        </w:rPr>
        <w:t>2021年度财政拨款支出58.74万元，占本年支出合计的82.43%。与2020年相比，财政拨款支出减少12.94万元，下降18.05%。主要原因是调出1人、工资福利支出等减少。其中，政府性基金预算支出0万元，占比0%。</w:t>
      </w:r>
    </w:p>
    <w:p>
      <w:pPr>
        <w:spacing w:line="580" w:lineRule="exact"/>
        <w:ind w:firstLine="643"/>
        <w:rPr>
          <w:rFonts w:ascii="仿宋_GB2312"/>
          <w:b/>
          <w:color w:val="000000" w:themeColor="text1"/>
          <w:szCs w:val="32"/>
        </w:rPr>
      </w:pPr>
      <w:r>
        <w:rPr>
          <w:rFonts w:hint="eastAsia" w:ascii="仿宋_GB2312"/>
          <w:b/>
          <w:color w:val="000000" w:themeColor="text1"/>
          <w:szCs w:val="32"/>
        </w:rPr>
        <w:t>（二）财政拨款</w:t>
      </w:r>
      <w:r>
        <w:rPr>
          <w:rFonts w:ascii="仿宋_GB2312"/>
          <w:b/>
          <w:color w:val="000000" w:themeColor="text1"/>
          <w:szCs w:val="32"/>
        </w:rPr>
        <w:t>支出决算结构情况</w:t>
      </w:r>
    </w:p>
    <w:p>
      <w:pPr>
        <w:spacing w:line="580" w:lineRule="exact"/>
        <w:ind w:firstLine="640"/>
        <w:rPr>
          <w:rFonts w:ascii="仿宋_GB2312"/>
          <w:color w:val="000000" w:themeColor="text1"/>
          <w:szCs w:val="32"/>
        </w:rPr>
      </w:pPr>
      <w:r>
        <w:rPr>
          <w:rFonts w:hint="eastAsia" w:ascii="仿宋_GB2312"/>
          <w:color w:val="000000" w:themeColor="text1"/>
          <w:szCs w:val="32"/>
        </w:rPr>
        <w:t>2021年度</w:t>
      </w:r>
      <w:r>
        <w:rPr>
          <w:rFonts w:ascii="仿宋_GB2312"/>
          <w:color w:val="000000" w:themeColor="text1"/>
          <w:szCs w:val="32"/>
        </w:rPr>
        <w:t>财政拨款支出</w:t>
      </w:r>
      <w:r>
        <w:rPr>
          <w:rFonts w:hint="eastAsia" w:ascii="仿宋_GB2312"/>
          <w:color w:val="000000" w:themeColor="text1"/>
          <w:szCs w:val="32"/>
        </w:rPr>
        <w:t>58.74万元</w:t>
      </w:r>
      <w:r>
        <w:rPr>
          <w:rFonts w:ascii="仿宋_GB2312"/>
          <w:color w:val="000000" w:themeColor="text1"/>
          <w:szCs w:val="32"/>
        </w:rPr>
        <w:t>，主要用于以下方面：</w:t>
      </w:r>
      <w:r>
        <w:rPr>
          <w:rFonts w:ascii="仿宋_GB2312"/>
          <w:b/>
          <w:color w:val="000000" w:themeColor="text1"/>
          <w:szCs w:val="32"/>
        </w:rPr>
        <w:t>一般公共服务（</w:t>
      </w:r>
      <w:r>
        <w:rPr>
          <w:rFonts w:hint="eastAsia" w:ascii="仿宋_GB2312"/>
          <w:b/>
          <w:color w:val="000000" w:themeColor="text1"/>
          <w:szCs w:val="32"/>
        </w:rPr>
        <w:t>类</w:t>
      </w:r>
      <w:r>
        <w:rPr>
          <w:rFonts w:ascii="仿宋_GB2312"/>
          <w:b/>
          <w:color w:val="000000" w:themeColor="text1"/>
          <w:szCs w:val="32"/>
        </w:rPr>
        <w:t>）</w:t>
      </w:r>
      <w:r>
        <w:rPr>
          <w:rFonts w:hint="eastAsia" w:ascii="仿宋_GB2312"/>
          <w:color w:val="000000" w:themeColor="text1"/>
          <w:szCs w:val="32"/>
        </w:rPr>
        <w:t>支出58.74万元</w:t>
      </w:r>
      <w:r>
        <w:rPr>
          <w:rFonts w:ascii="仿宋_GB2312"/>
          <w:color w:val="000000" w:themeColor="text1"/>
          <w:szCs w:val="32"/>
        </w:rPr>
        <w:t>，占</w:t>
      </w:r>
      <w:r>
        <w:rPr>
          <w:rFonts w:hint="eastAsia" w:ascii="仿宋_GB2312"/>
          <w:color w:val="000000" w:themeColor="text1"/>
          <w:szCs w:val="32"/>
        </w:rPr>
        <w:t>100</w:t>
      </w:r>
      <w:r>
        <w:rPr>
          <w:rFonts w:ascii="仿宋_GB2312"/>
          <w:color w:val="000000" w:themeColor="text1"/>
          <w:szCs w:val="32"/>
        </w:rPr>
        <w:t>%；</w:t>
      </w:r>
    </w:p>
    <w:p>
      <w:pPr>
        <w:spacing w:line="580" w:lineRule="exact"/>
        <w:ind w:firstLine="643"/>
        <w:rPr>
          <w:rFonts w:ascii="仿宋_GB2312"/>
          <w:b/>
          <w:color w:val="000000" w:themeColor="text1"/>
          <w:szCs w:val="32"/>
        </w:rPr>
      </w:pPr>
      <w:r>
        <w:rPr>
          <w:rFonts w:hint="eastAsia" w:ascii="仿宋_GB2312"/>
          <w:b/>
          <w:color w:val="000000" w:themeColor="text1"/>
          <w:szCs w:val="32"/>
        </w:rPr>
        <w:t>（三）财政拨款支出决算具体情况</w:t>
      </w:r>
    </w:p>
    <w:p>
      <w:pPr>
        <w:spacing w:line="580" w:lineRule="exact"/>
        <w:ind w:firstLine="640"/>
        <w:rPr>
          <w:rFonts w:ascii="仿宋" w:hAnsi="仿宋" w:eastAsia="仿宋" w:cs="仿宋"/>
          <w:color w:val="000000" w:themeColor="text1"/>
          <w:szCs w:val="32"/>
        </w:rPr>
      </w:pPr>
      <w:r>
        <w:rPr>
          <w:rFonts w:hint="eastAsia"/>
          <w:color w:val="000000" w:themeColor="text1"/>
          <w:szCs w:val="32"/>
        </w:rPr>
        <w:t>2</w:t>
      </w:r>
      <w:r>
        <w:rPr>
          <w:color w:val="000000" w:themeColor="text1"/>
          <w:szCs w:val="32"/>
        </w:rPr>
        <w:t>02</w:t>
      </w:r>
      <w:r>
        <w:rPr>
          <w:rFonts w:hint="eastAsia"/>
          <w:color w:val="000000" w:themeColor="text1"/>
          <w:szCs w:val="32"/>
        </w:rPr>
        <w:t>1年度财政拨款支出年初预算58.74万元，支出决算58.74万元，完成年初预算的100</w:t>
      </w:r>
      <w:r>
        <w:rPr>
          <w:color w:val="000000" w:themeColor="text1"/>
          <w:szCs w:val="32"/>
        </w:rPr>
        <w:t>%</w:t>
      </w:r>
      <w:r>
        <w:rPr>
          <w:rFonts w:hint="eastAsia"/>
          <w:color w:val="000000" w:themeColor="text1"/>
          <w:szCs w:val="32"/>
        </w:rPr>
        <w:t>。其中：</w:t>
      </w:r>
    </w:p>
    <w:p>
      <w:pPr>
        <w:ind w:firstLine="640"/>
        <w:jc w:val="left"/>
        <w:rPr>
          <w:rFonts w:ascii="仿宋" w:hAnsi="仿宋" w:eastAsia="仿宋" w:cs="仿宋"/>
          <w:color w:val="000000" w:themeColor="text1"/>
          <w:szCs w:val="32"/>
        </w:rPr>
      </w:pPr>
      <w:r>
        <w:rPr>
          <w:rFonts w:hint="eastAsia" w:ascii="仿宋" w:hAnsi="仿宋" w:eastAsia="仿宋" w:cs="仿宋"/>
          <w:color w:val="000000" w:themeColor="text1"/>
          <w:szCs w:val="32"/>
        </w:rPr>
        <w:t>（1）按功能科目分类对比如下：</w:t>
      </w:r>
    </w:p>
    <w:p>
      <w:pPr>
        <w:ind w:firstLine="640"/>
        <w:jc w:val="left"/>
        <w:rPr>
          <w:rFonts w:ascii="宋体" w:hAnsi="宋体" w:cs="Arial"/>
          <w:b/>
          <w:color w:val="000000"/>
          <w:kern w:val="0"/>
          <w:sz w:val="30"/>
          <w:szCs w:val="30"/>
        </w:rPr>
      </w:pPr>
      <w:r>
        <w:rPr>
          <w:rFonts w:hint="eastAsia" w:ascii="仿宋_GB231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021年度支出功能科目分类对比表    单位：万元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3"/>
        <w:gridCol w:w="3827"/>
        <w:gridCol w:w="1276"/>
        <w:gridCol w:w="1276"/>
        <w:gridCol w:w="12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3" w:type="dxa"/>
          </w:tcPr>
          <w:p>
            <w:pPr>
              <w:widowControl/>
              <w:ind w:firstLine="0" w:firstLineChars="0"/>
              <w:jc w:val="center"/>
              <w:rPr>
                <w:rFonts w:ascii="宋体" w:hAnsi="宋体" w:cs="Arial"/>
                <w:b/>
                <w:color w:val="000000"/>
                <w:kern w:val="0"/>
                <w:sz w:val="24"/>
                <w:szCs w:val="24"/>
              </w:rPr>
            </w:pPr>
            <w:r>
              <w:rPr>
                <w:rFonts w:hint="eastAsia" w:ascii="宋体" w:hAnsi="宋体" w:cs="Arial"/>
                <w:b/>
                <w:color w:val="000000"/>
                <w:kern w:val="0"/>
                <w:sz w:val="24"/>
                <w:szCs w:val="24"/>
              </w:rPr>
              <w:t>科目代码</w:t>
            </w:r>
          </w:p>
        </w:tc>
        <w:tc>
          <w:tcPr>
            <w:tcW w:w="3827" w:type="dxa"/>
          </w:tcPr>
          <w:p>
            <w:pPr>
              <w:widowControl/>
              <w:ind w:firstLine="482"/>
              <w:jc w:val="center"/>
              <w:rPr>
                <w:rFonts w:ascii="宋体" w:hAnsi="宋体" w:cs="Arial"/>
                <w:b/>
                <w:color w:val="000000"/>
                <w:kern w:val="0"/>
                <w:sz w:val="24"/>
                <w:szCs w:val="24"/>
              </w:rPr>
            </w:pPr>
            <w:r>
              <w:rPr>
                <w:rFonts w:hint="eastAsia" w:ascii="宋体" w:hAnsi="宋体" w:cs="Arial"/>
                <w:b/>
                <w:color w:val="000000"/>
                <w:kern w:val="0"/>
                <w:sz w:val="24"/>
                <w:szCs w:val="24"/>
              </w:rPr>
              <w:t>科目名称</w:t>
            </w:r>
          </w:p>
        </w:tc>
        <w:tc>
          <w:tcPr>
            <w:tcW w:w="1276" w:type="dxa"/>
          </w:tcPr>
          <w:p>
            <w:pPr>
              <w:widowControl/>
              <w:ind w:firstLine="0" w:firstLineChars="0"/>
              <w:jc w:val="center"/>
              <w:rPr>
                <w:rFonts w:ascii="宋体" w:hAnsi="宋体" w:eastAsia="宋体" w:cs="Arial"/>
                <w:b/>
                <w:color w:val="000000"/>
                <w:kern w:val="0"/>
                <w:sz w:val="24"/>
                <w:szCs w:val="24"/>
              </w:rPr>
            </w:pPr>
            <w:r>
              <w:rPr>
                <w:rFonts w:hint="eastAsia" w:ascii="宋体" w:hAnsi="宋体" w:cs="Arial"/>
                <w:b/>
                <w:color w:val="000000"/>
                <w:kern w:val="0"/>
                <w:sz w:val="24"/>
                <w:szCs w:val="24"/>
              </w:rPr>
              <w:t>2020年</w:t>
            </w:r>
          </w:p>
        </w:tc>
        <w:tc>
          <w:tcPr>
            <w:tcW w:w="1276" w:type="dxa"/>
          </w:tcPr>
          <w:p>
            <w:pPr>
              <w:widowControl/>
              <w:ind w:firstLine="0" w:firstLineChars="0"/>
              <w:jc w:val="center"/>
              <w:rPr>
                <w:rFonts w:ascii="宋体" w:hAnsi="宋体" w:eastAsia="宋体" w:cs="Arial"/>
                <w:b/>
                <w:color w:val="000000"/>
                <w:kern w:val="0"/>
                <w:sz w:val="24"/>
                <w:szCs w:val="24"/>
              </w:rPr>
            </w:pPr>
            <w:r>
              <w:rPr>
                <w:rFonts w:hint="eastAsia" w:ascii="宋体" w:hAnsi="宋体" w:eastAsia="宋体" w:cs="Arial"/>
                <w:b/>
                <w:color w:val="000000"/>
                <w:kern w:val="0"/>
                <w:sz w:val="24"/>
                <w:szCs w:val="24"/>
              </w:rPr>
              <w:t>2021年</w:t>
            </w:r>
          </w:p>
        </w:tc>
        <w:tc>
          <w:tcPr>
            <w:tcW w:w="1208" w:type="dxa"/>
          </w:tcPr>
          <w:p>
            <w:pPr>
              <w:widowControl/>
              <w:ind w:firstLine="0" w:firstLineChars="0"/>
              <w:jc w:val="center"/>
              <w:rPr>
                <w:rFonts w:ascii="宋体" w:hAnsi="宋体" w:eastAsia="宋体" w:cs="Arial"/>
                <w:b/>
                <w:color w:val="000000"/>
                <w:kern w:val="0"/>
                <w:sz w:val="24"/>
                <w:szCs w:val="24"/>
              </w:rPr>
            </w:pPr>
            <w:r>
              <w:rPr>
                <w:rFonts w:hint="eastAsia" w:ascii="宋体" w:hAnsi="宋体" w:cs="Arial"/>
                <w:b/>
                <w:color w:val="000000"/>
                <w:kern w:val="0"/>
                <w:sz w:val="24"/>
                <w:szCs w:val="24"/>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433" w:type="dxa"/>
            <w:vAlign w:val="center"/>
          </w:tcPr>
          <w:p>
            <w:pPr>
              <w:ind w:firstLine="0" w:firstLineChars="0"/>
              <w:rPr>
                <w:rFonts w:ascii="宋体" w:hAnsi="宋体" w:eastAsia="宋体" w:cs="Arial"/>
                <w:color w:val="000000"/>
                <w:sz w:val="24"/>
                <w:szCs w:val="24"/>
              </w:rPr>
            </w:pPr>
            <w:r>
              <w:rPr>
                <w:rFonts w:hint="eastAsia" w:cs="Arial"/>
                <w:color w:val="000000"/>
                <w:sz w:val="24"/>
                <w:szCs w:val="24"/>
              </w:rPr>
              <w:t>201</w:t>
            </w:r>
          </w:p>
        </w:tc>
        <w:tc>
          <w:tcPr>
            <w:tcW w:w="3827" w:type="dxa"/>
            <w:vAlign w:val="center"/>
          </w:tcPr>
          <w:p>
            <w:pPr>
              <w:ind w:firstLine="0" w:firstLineChars="0"/>
              <w:rPr>
                <w:rFonts w:ascii="宋体" w:hAnsi="宋体" w:eastAsia="宋体" w:cs="Arial"/>
                <w:color w:val="000000"/>
                <w:sz w:val="24"/>
                <w:szCs w:val="24"/>
              </w:rPr>
            </w:pPr>
            <w:r>
              <w:rPr>
                <w:rFonts w:hint="eastAsia" w:cs="Arial"/>
                <w:color w:val="000000"/>
                <w:sz w:val="24"/>
                <w:szCs w:val="24"/>
              </w:rPr>
              <w:t>一般公共服务支出</w:t>
            </w:r>
          </w:p>
        </w:tc>
        <w:tc>
          <w:tcPr>
            <w:tcW w:w="1276" w:type="dxa"/>
            <w:vAlign w:val="bottom"/>
          </w:tcPr>
          <w:p>
            <w:pPr>
              <w:widowControl/>
              <w:ind w:firstLine="0" w:firstLineChars="0"/>
              <w:jc w:val="right"/>
              <w:textAlignment w:val="center"/>
              <w:rPr>
                <w:rFonts w:ascii="仿宋" w:hAnsi="仿宋" w:eastAsia="仿宋" w:cs="仿宋"/>
                <w:color w:val="000000"/>
                <w:sz w:val="24"/>
                <w:szCs w:val="24"/>
              </w:rPr>
            </w:pPr>
            <w:r>
              <w:rPr>
                <w:rFonts w:hint="eastAsia" w:ascii="仿宋" w:hAnsi="仿宋" w:eastAsia="仿宋" w:cs="仿宋"/>
                <w:color w:val="000000"/>
                <w:sz w:val="24"/>
                <w:szCs w:val="24"/>
              </w:rPr>
              <w:t>71.68</w:t>
            </w:r>
          </w:p>
        </w:tc>
        <w:tc>
          <w:tcPr>
            <w:tcW w:w="1276" w:type="dxa"/>
            <w:vAlign w:val="bottom"/>
          </w:tcPr>
          <w:p>
            <w:pPr>
              <w:widowControl/>
              <w:ind w:firstLine="0" w:firstLineChars="0"/>
              <w:jc w:val="right"/>
              <w:textAlignment w:val="center"/>
              <w:rPr>
                <w:rFonts w:ascii="仿宋" w:hAnsi="仿宋" w:eastAsia="仿宋" w:cs="仿宋"/>
                <w:color w:val="000000"/>
                <w:sz w:val="24"/>
                <w:szCs w:val="24"/>
              </w:rPr>
            </w:pPr>
            <w:r>
              <w:rPr>
                <w:rFonts w:hint="eastAsia" w:ascii="仿宋" w:hAnsi="仿宋" w:eastAsia="仿宋" w:cs="仿宋"/>
                <w:color w:val="000000"/>
                <w:sz w:val="24"/>
                <w:szCs w:val="24"/>
              </w:rPr>
              <w:t>58.74</w:t>
            </w:r>
          </w:p>
        </w:tc>
        <w:tc>
          <w:tcPr>
            <w:tcW w:w="1208" w:type="dxa"/>
          </w:tcPr>
          <w:p>
            <w:pPr>
              <w:ind w:firstLine="0" w:firstLineChars="0"/>
              <w:jc w:val="right"/>
              <w:rPr>
                <w:rFonts w:ascii="仿宋" w:hAnsi="仿宋" w:eastAsia="仿宋" w:cs="仿宋"/>
                <w:color w:val="000000"/>
                <w:sz w:val="24"/>
                <w:szCs w:val="24"/>
              </w:rPr>
            </w:pPr>
            <w:r>
              <w:rPr>
                <w:rFonts w:hint="eastAsia" w:ascii="仿宋" w:hAnsi="仿宋" w:eastAsia="仿宋" w:cs="仿宋"/>
                <w:color w:val="000000"/>
                <w:sz w:val="24"/>
                <w:szCs w:val="24"/>
              </w:rPr>
              <w:t>-18.05%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3" w:type="dxa"/>
            <w:vAlign w:val="center"/>
          </w:tcPr>
          <w:p>
            <w:pPr>
              <w:ind w:firstLine="199" w:firstLineChars="83"/>
              <w:rPr>
                <w:rFonts w:ascii="宋体" w:hAnsi="宋体" w:eastAsia="宋体" w:cs="Arial"/>
                <w:color w:val="000000"/>
                <w:sz w:val="24"/>
                <w:szCs w:val="24"/>
              </w:rPr>
            </w:pPr>
            <w:r>
              <w:rPr>
                <w:rFonts w:hint="eastAsia" w:cs="Arial"/>
                <w:color w:val="000000"/>
                <w:sz w:val="24"/>
                <w:szCs w:val="24"/>
              </w:rPr>
              <w:t>20103</w:t>
            </w:r>
          </w:p>
        </w:tc>
        <w:tc>
          <w:tcPr>
            <w:tcW w:w="3827" w:type="dxa"/>
            <w:vAlign w:val="center"/>
          </w:tcPr>
          <w:p>
            <w:pPr>
              <w:ind w:firstLine="120" w:firstLineChars="50"/>
              <w:rPr>
                <w:rFonts w:ascii="宋体" w:hAnsi="宋体" w:eastAsia="宋体" w:cs="Arial"/>
                <w:color w:val="000000"/>
                <w:sz w:val="24"/>
                <w:szCs w:val="24"/>
              </w:rPr>
            </w:pPr>
            <w:r>
              <w:rPr>
                <w:rFonts w:hint="eastAsia" w:cs="Arial"/>
                <w:color w:val="000000"/>
                <w:sz w:val="24"/>
                <w:szCs w:val="24"/>
              </w:rPr>
              <w:t>政府办公厅（室）及相关机构事务</w:t>
            </w:r>
          </w:p>
        </w:tc>
        <w:tc>
          <w:tcPr>
            <w:tcW w:w="1276" w:type="dxa"/>
            <w:vAlign w:val="bottom"/>
          </w:tcPr>
          <w:p>
            <w:pPr>
              <w:widowControl/>
              <w:ind w:firstLine="0" w:firstLineChars="0"/>
              <w:jc w:val="right"/>
              <w:textAlignment w:val="center"/>
              <w:rPr>
                <w:rFonts w:ascii="仿宋" w:hAnsi="仿宋" w:eastAsia="仿宋" w:cs="仿宋"/>
                <w:color w:val="000000"/>
                <w:sz w:val="24"/>
                <w:szCs w:val="24"/>
              </w:rPr>
            </w:pPr>
            <w:r>
              <w:rPr>
                <w:rFonts w:hint="eastAsia" w:ascii="仿宋" w:hAnsi="仿宋" w:eastAsia="仿宋" w:cs="仿宋"/>
                <w:color w:val="000000"/>
                <w:sz w:val="24"/>
                <w:szCs w:val="24"/>
              </w:rPr>
              <w:t>71.68</w:t>
            </w:r>
          </w:p>
        </w:tc>
        <w:tc>
          <w:tcPr>
            <w:tcW w:w="1276" w:type="dxa"/>
            <w:vAlign w:val="bottom"/>
          </w:tcPr>
          <w:p>
            <w:pPr>
              <w:widowControl/>
              <w:ind w:firstLine="0" w:firstLineChars="0"/>
              <w:jc w:val="right"/>
              <w:textAlignment w:val="center"/>
              <w:rPr>
                <w:rFonts w:ascii="仿宋" w:hAnsi="仿宋" w:eastAsia="仿宋" w:cs="仿宋"/>
                <w:color w:val="000000"/>
                <w:sz w:val="24"/>
                <w:szCs w:val="24"/>
              </w:rPr>
            </w:pPr>
            <w:r>
              <w:rPr>
                <w:rFonts w:hint="eastAsia" w:ascii="仿宋" w:hAnsi="仿宋" w:eastAsia="仿宋" w:cs="仿宋"/>
                <w:color w:val="000000"/>
                <w:sz w:val="24"/>
                <w:szCs w:val="24"/>
              </w:rPr>
              <w:t>58.74</w:t>
            </w:r>
          </w:p>
        </w:tc>
        <w:tc>
          <w:tcPr>
            <w:tcW w:w="1208" w:type="dxa"/>
          </w:tcPr>
          <w:p>
            <w:pPr>
              <w:ind w:firstLine="120" w:firstLineChars="50"/>
              <w:rPr>
                <w:rFonts w:ascii="仿宋" w:hAnsi="仿宋" w:eastAsia="仿宋" w:cs="仿宋"/>
                <w:color w:val="000000"/>
                <w:sz w:val="24"/>
                <w:szCs w:val="24"/>
              </w:rPr>
            </w:pPr>
            <w:r>
              <w:rPr>
                <w:rFonts w:hint="eastAsia" w:ascii="仿宋" w:hAnsi="仿宋" w:eastAsia="仿宋" w:cs="仿宋"/>
                <w:color w:val="000000"/>
                <w:sz w:val="24"/>
                <w:szCs w:val="24"/>
              </w:rPr>
              <w:t>-18.05%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3" w:type="dxa"/>
            <w:vAlign w:val="center"/>
          </w:tcPr>
          <w:p>
            <w:pPr>
              <w:ind w:firstLine="360" w:firstLineChars="150"/>
              <w:rPr>
                <w:rFonts w:ascii="宋体" w:hAnsi="宋体" w:eastAsia="宋体" w:cs="Arial"/>
                <w:color w:val="000000"/>
                <w:sz w:val="24"/>
                <w:szCs w:val="24"/>
              </w:rPr>
            </w:pPr>
            <w:r>
              <w:rPr>
                <w:rFonts w:hint="eastAsia" w:cs="Arial"/>
                <w:color w:val="000000"/>
                <w:sz w:val="24"/>
                <w:szCs w:val="24"/>
              </w:rPr>
              <w:t>2010350</w:t>
            </w:r>
          </w:p>
        </w:tc>
        <w:tc>
          <w:tcPr>
            <w:tcW w:w="3827" w:type="dxa"/>
            <w:vAlign w:val="center"/>
          </w:tcPr>
          <w:p>
            <w:pPr>
              <w:ind w:firstLine="480"/>
              <w:rPr>
                <w:rFonts w:ascii="宋体" w:hAnsi="宋体" w:eastAsia="宋体" w:cs="Arial"/>
                <w:color w:val="000000"/>
                <w:sz w:val="24"/>
                <w:szCs w:val="24"/>
              </w:rPr>
            </w:pPr>
            <w:r>
              <w:rPr>
                <w:rFonts w:hint="eastAsia" w:cs="Arial"/>
                <w:color w:val="000000"/>
                <w:sz w:val="24"/>
                <w:szCs w:val="24"/>
              </w:rPr>
              <w:t xml:space="preserve">  事业运行</w:t>
            </w:r>
          </w:p>
        </w:tc>
        <w:tc>
          <w:tcPr>
            <w:tcW w:w="1276" w:type="dxa"/>
            <w:vAlign w:val="bottom"/>
          </w:tcPr>
          <w:p>
            <w:pPr>
              <w:widowControl/>
              <w:ind w:firstLine="0" w:firstLineChars="0"/>
              <w:jc w:val="right"/>
              <w:textAlignment w:val="center"/>
              <w:rPr>
                <w:rFonts w:ascii="仿宋" w:hAnsi="仿宋" w:eastAsia="仿宋" w:cs="仿宋"/>
                <w:color w:val="000000"/>
                <w:sz w:val="24"/>
                <w:szCs w:val="24"/>
              </w:rPr>
            </w:pPr>
            <w:r>
              <w:rPr>
                <w:rFonts w:hint="eastAsia" w:ascii="仿宋" w:hAnsi="仿宋" w:eastAsia="仿宋" w:cs="仿宋"/>
                <w:color w:val="000000"/>
                <w:sz w:val="24"/>
                <w:szCs w:val="24"/>
              </w:rPr>
              <w:t>71.68</w:t>
            </w:r>
          </w:p>
        </w:tc>
        <w:tc>
          <w:tcPr>
            <w:tcW w:w="1276" w:type="dxa"/>
            <w:vAlign w:val="bottom"/>
          </w:tcPr>
          <w:p>
            <w:pPr>
              <w:widowControl/>
              <w:ind w:firstLine="0" w:firstLineChars="0"/>
              <w:jc w:val="right"/>
              <w:textAlignment w:val="center"/>
              <w:rPr>
                <w:rFonts w:ascii="仿宋" w:hAnsi="仿宋" w:eastAsia="仿宋" w:cs="仿宋"/>
                <w:color w:val="000000"/>
                <w:sz w:val="24"/>
                <w:szCs w:val="24"/>
              </w:rPr>
            </w:pPr>
            <w:r>
              <w:rPr>
                <w:rFonts w:hint="eastAsia" w:ascii="仿宋" w:hAnsi="仿宋" w:eastAsia="仿宋" w:cs="仿宋"/>
                <w:color w:val="000000"/>
                <w:sz w:val="24"/>
                <w:szCs w:val="24"/>
              </w:rPr>
              <w:t>58.74</w:t>
            </w:r>
          </w:p>
        </w:tc>
        <w:tc>
          <w:tcPr>
            <w:tcW w:w="1208" w:type="dxa"/>
          </w:tcPr>
          <w:p>
            <w:pPr>
              <w:ind w:firstLine="120" w:firstLineChars="50"/>
              <w:rPr>
                <w:rFonts w:ascii="仿宋" w:hAnsi="仿宋" w:eastAsia="仿宋" w:cs="仿宋"/>
                <w:color w:val="000000"/>
                <w:sz w:val="24"/>
                <w:szCs w:val="24"/>
              </w:rPr>
            </w:pPr>
            <w:r>
              <w:rPr>
                <w:rFonts w:hint="eastAsia" w:ascii="仿宋" w:hAnsi="仿宋" w:eastAsia="仿宋" w:cs="仿宋"/>
                <w:color w:val="000000"/>
                <w:sz w:val="24"/>
                <w:szCs w:val="24"/>
              </w:rPr>
              <w:t>-18.05%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433" w:type="dxa"/>
            <w:vAlign w:val="center"/>
          </w:tcPr>
          <w:p>
            <w:pPr>
              <w:ind w:firstLine="360" w:firstLineChars="150"/>
              <w:rPr>
                <w:rFonts w:hint="eastAsia" w:cs="Arial"/>
                <w:color w:val="000000"/>
                <w:sz w:val="24"/>
                <w:szCs w:val="24"/>
              </w:rPr>
            </w:pPr>
          </w:p>
        </w:tc>
        <w:tc>
          <w:tcPr>
            <w:tcW w:w="3827" w:type="dxa"/>
            <w:vAlign w:val="center"/>
          </w:tcPr>
          <w:p>
            <w:pPr>
              <w:ind w:firstLine="480"/>
              <w:rPr>
                <w:rFonts w:hint="eastAsia" w:cs="Arial"/>
                <w:color w:val="000000"/>
                <w:sz w:val="24"/>
                <w:szCs w:val="24"/>
              </w:rPr>
            </w:pPr>
          </w:p>
        </w:tc>
        <w:tc>
          <w:tcPr>
            <w:tcW w:w="1276" w:type="dxa"/>
            <w:vAlign w:val="bottom"/>
          </w:tcPr>
          <w:p>
            <w:pPr>
              <w:widowControl/>
              <w:ind w:firstLine="0" w:firstLineChars="0"/>
              <w:jc w:val="right"/>
              <w:textAlignment w:val="center"/>
              <w:rPr>
                <w:rFonts w:hint="eastAsia" w:ascii="仿宋" w:hAnsi="仿宋" w:eastAsia="仿宋" w:cs="仿宋"/>
                <w:color w:val="000000"/>
                <w:sz w:val="24"/>
                <w:szCs w:val="24"/>
              </w:rPr>
            </w:pPr>
          </w:p>
        </w:tc>
        <w:tc>
          <w:tcPr>
            <w:tcW w:w="1276" w:type="dxa"/>
            <w:vAlign w:val="bottom"/>
          </w:tcPr>
          <w:p>
            <w:pPr>
              <w:widowControl/>
              <w:ind w:firstLine="0" w:firstLineChars="0"/>
              <w:jc w:val="right"/>
              <w:textAlignment w:val="center"/>
              <w:rPr>
                <w:rFonts w:hint="eastAsia" w:ascii="仿宋" w:hAnsi="仿宋" w:eastAsia="仿宋" w:cs="仿宋"/>
                <w:color w:val="000000"/>
                <w:sz w:val="24"/>
                <w:szCs w:val="24"/>
              </w:rPr>
            </w:pPr>
          </w:p>
        </w:tc>
        <w:tc>
          <w:tcPr>
            <w:tcW w:w="1208" w:type="dxa"/>
          </w:tcPr>
          <w:p>
            <w:pPr>
              <w:ind w:firstLine="120" w:firstLineChars="50"/>
              <w:rPr>
                <w:rFonts w:hint="eastAsia" w:ascii="仿宋" w:hAnsi="仿宋" w:eastAsia="仿宋" w:cs="仿宋"/>
                <w:color w:val="000000"/>
                <w:sz w:val="24"/>
                <w:szCs w:val="24"/>
              </w:rPr>
            </w:pPr>
          </w:p>
        </w:tc>
      </w:tr>
    </w:tbl>
    <w:p>
      <w:pPr>
        <w:numPr>
          <w:ilvl w:val="0"/>
          <w:numId w:val="1"/>
        </w:numPr>
        <w:ind w:firstLine="640"/>
        <w:jc w:val="left"/>
        <w:rPr>
          <w:rFonts w:ascii="仿宋" w:hAnsi="仿宋" w:eastAsia="仿宋" w:cs="仿宋"/>
          <w:szCs w:val="32"/>
        </w:rPr>
      </w:pPr>
      <w:r>
        <w:rPr>
          <w:rFonts w:hint="eastAsia" w:ascii="仿宋" w:hAnsi="仿宋" w:eastAsia="仿宋" w:cs="仿宋"/>
          <w:szCs w:val="32"/>
        </w:rPr>
        <w:t>按经济科目分类对比如下：</w:t>
      </w:r>
    </w:p>
    <w:p>
      <w:pPr>
        <w:ind w:firstLine="602"/>
        <w:jc w:val="left"/>
        <w:rPr>
          <w:rFonts w:ascii="仿宋" w:hAnsi="仿宋" w:eastAsia="仿宋" w:cs="仿宋"/>
          <w:sz w:val="30"/>
          <w:szCs w:val="30"/>
        </w:rPr>
      </w:pPr>
      <w:r>
        <w:rPr>
          <w:rFonts w:hint="eastAsia" w:ascii="仿宋" w:hAnsi="仿宋" w:eastAsia="仿宋" w:cs="Arial"/>
          <w:b/>
          <w:color w:val="000000"/>
          <w:kern w:val="0"/>
          <w:sz w:val="30"/>
          <w:szCs w:val="30"/>
        </w:rPr>
        <w:t>2020年度支出经济科目分类决算对比表      单位：万元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ind w:firstLine="562"/>
              <w:rPr>
                <w:rFonts w:ascii="仿宋" w:hAnsi="仿宋" w:eastAsia="仿宋" w:cs="仿宋"/>
                <w:b/>
                <w:color w:val="000000"/>
                <w:kern w:val="0"/>
                <w:sz w:val="28"/>
                <w:szCs w:val="28"/>
              </w:rPr>
            </w:pPr>
            <w:r>
              <w:rPr>
                <w:rFonts w:hint="eastAsia" w:ascii="仿宋" w:hAnsi="仿宋" w:eastAsia="仿宋" w:cs="仿宋"/>
                <w:b/>
                <w:color w:val="000000"/>
                <w:kern w:val="0"/>
                <w:sz w:val="28"/>
                <w:szCs w:val="28"/>
              </w:rPr>
              <w:t>科目名称</w:t>
            </w:r>
          </w:p>
        </w:tc>
        <w:tc>
          <w:tcPr>
            <w:tcW w:w="1837" w:type="dxa"/>
          </w:tcPr>
          <w:p>
            <w:pPr>
              <w:widowControl/>
              <w:ind w:firstLine="482"/>
              <w:jc w:val="left"/>
              <w:rPr>
                <w:rFonts w:ascii="仿宋" w:hAnsi="仿宋" w:eastAsia="仿宋" w:cs="仿宋"/>
                <w:b/>
                <w:color w:val="000000"/>
                <w:kern w:val="0"/>
                <w:sz w:val="28"/>
                <w:szCs w:val="28"/>
              </w:rPr>
            </w:pPr>
            <w:r>
              <w:rPr>
                <w:rFonts w:hint="eastAsia" w:ascii="仿宋" w:hAnsi="仿宋" w:eastAsia="仿宋" w:cs="仿宋"/>
                <w:b/>
                <w:color w:val="000000"/>
                <w:kern w:val="0"/>
                <w:sz w:val="24"/>
                <w:szCs w:val="24"/>
              </w:rPr>
              <w:t>2020年</w:t>
            </w:r>
          </w:p>
        </w:tc>
        <w:tc>
          <w:tcPr>
            <w:tcW w:w="2071" w:type="dxa"/>
          </w:tcPr>
          <w:p>
            <w:pPr>
              <w:widowControl/>
              <w:ind w:firstLine="482"/>
              <w:jc w:val="left"/>
              <w:rPr>
                <w:rFonts w:ascii="仿宋" w:hAnsi="仿宋" w:eastAsia="仿宋" w:cs="仿宋"/>
                <w:b/>
                <w:color w:val="000000"/>
                <w:kern w:val="0"/>
                <w:sz w:val="28"/>
                <w:szCs w:val="28"/>
              </w:rPr>
            </w:pPr>
            <w:r>
              <w:rPr>
                <w:rFonts w:hint="eastAsia" w:ascii="仿宋" w:hAnsi="仿宋" w:eastAsia="仿宋" w:cs="仿宋"/>
                <w:b/>
                <w:color w:val="000000"/>
                <w:kern w:val="0"/>
                <w:sz w:val="24"/>
                <w:szCs w:val="24"/>
              </w:rPr>
              <w:t>2021年</w:t>
            </w:r>
          </w:p>
        </w:tc>
        <w:tc>
          <w:tcPr>
            <w:tcW w:w="1956" w:type="dxa"/>
          </w:tcPr>
          <w:p>
            <w:pPr>
              <w:widowControl/>
              <w:ind w:firstLine="482"/>
              <w:jc w:val="left"/>
              <w:rPr>
                <w:rFonts w:ascii="仿宋" w:hAnsi="仿宋" w:eastAsia="仿宋" w:cs="仿宋"/>
                <w:b/>
                <w:color w:val="000000"/>
                <w:kern w:val="0"/>
                <w:sz w:val="28"/>
                <w:szCs w:val="28"/>
              </w:rPr>
            </w:pPr>
            <w:r>
              <w:rPr>
                <w:rFonts w:hint="eastAsia" w:ascii="仿宋" w:hAnsi="仿宋" w:eastAsia="仿宋" w:cs="仿宋"/>
                <w:b/>
                <w:color w:val="000000"/>
                <w:kern w:val="0"/>
                <w:sz w:val="24"/>
                <w:szCs w:val="24"/>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trPr>
        <w:tc>
          <w:tcPr>
            <w:tcW w:w="2876" w:type="dxa"/>
            <w:vAlign w:val="center"/>
          </w:tcPr>
          <w:p>
            <w:pPr>
              <w:widowControl/>
              <w:ind w:firstLine="560"/>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合  计</w:t>
            </w:r>
          </w:p>
        </w:tc>
        <w:tc>
          <w:tcPr>
            <w:tcW w:w="1837" w:type="dxa"/>
            <w:vAlign w:val="center"/>
          </w:tcPr>
          <w:p>
            <w:pPr>
              <w:widowControl/>
              <w:ind w:firstLine="560"/>
              <w:jc w:val="righ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71.68</w:t>
            </w:r>
          </w:p>
        </w:tc>
        <w:tc>
          <w:tcPr>
            <w:tcW w:w="2071" w:type="dxa"/>
            <w:vAlign w:val="center"/>
          </w:tcPr>
          <w:p>
            <w:pPr>
              <w:widowControl/>
              <w:ind w:firstLine="560"/>
              <w:jc w:val="right"/>
              <w:textAlignment w:val="center"/>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58.74</w:t>
            </w:r>
          </w:p>
        </w:tc>
        <w:tc>
          <w:tcPr>
            <w:tcW w:w="1956" w:type="dxa"/>
            <w:vAlign w:val="center"/>
          </w:tcPr>
          <w:p>
            <w:pPr>
              <w:widowControl/>
              <w:ind w:firstLine="560"/>
              <w:jc w:val="righ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-18.05%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4" w:hRule="atLeast"/>
        </w:trPr>
        <w:tc>
          <w:tcPr>
            <w:tcW w:w="2876" w:type="dxa"/>
            <w:vAlign w:val="center"/>
          </w:tcPr>
          <w:p>
            <w:pPr>
              <w:widowControl/>
              <w:ind w:firstLine="560"/>
              <w:jc w:val="lef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工资福利支出</w:t>
            </w:r>
          </w:p>
        </w:tc>
        <w:tc>
          <w:tcPr>
            <w:tcW w:w="1837" w:type="dxa"/>
            <w:vAlign w:val="center"/>
          </w:tcPr>
          <w:p>
            <w:pPr>
              <w:widowControl/>
              <w:ind w:firstLine="560"/>
              <w:jc w:val="righ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52.21</w:t>
            </w:r>
          </w:p>
        </w:tc>
        <w:tc>
          <w:tcPr>
            <w:tcW w:w="2071" w:type="dxa"/>
            <w:vAlign w:val="center"/>
          </w:tcPr>
          <w:p>
            <w:pPr>
              <w:widowControl/>
              <w:ind w:firstLine="560"/>
              <w:jc w:val="right"/>
              <w:textAlignment w:val="center"/>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43.70</w:t>
            </w:r>
          </w:p>
        </w:tc>
        <w:tc>
          <w:tcPr>
            <w:tcW w:w="1956" w:type="dxa"/>
            <w:vAlign w:val="center"/>
          </w:tcPr>
          <w:p>
            <w:pPr>
              <w:widowControl/>
              <w:ind w:firstLine="560"/>
              <w:jc w:val="righ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-16.30%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8" w:hRule="atLeast"/>
        </w:trPr>
        <w:tc>
          <w:tcPr>
            <w:tcW w:w="2876" w:type="dxa"/>
            <w:vAlign w:val="center"/>
          </w:tcPr>
          <w:p>
            <w:pPr>
              <w:widowControl/>
              <w:ind w:firstLine="560"/>
              <w:jc w:val="lef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商品服务支出</w:t>
            </w:r>
          </w:p>
        </w:tc>
        <w:tc>
          <w:tcPr>
            <w:tcW w:w="1837" w:type="dxa"/>
            <w:vAlign w:val="center"/>
          </w:tcPr>
          <w:p>
            <w:pPr>
              <w:widowControl/>
              <w:ind w:firstLine="560"/>
              <w:jc w:val="righ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18.32</w:t>
            </w:r>
          </w:p>
        </w:tc>
        <w:tc>
          <w:tcPr>
            <w:tcW w:w="2071" w:type="dxa"/>
            <w:vAlign w:val="center"/>
          </w:tcPr>
          <w:p>
            <w:pPr>
              <w:widowControl/>
              <w:ind w:firstLine="560"/>
              <w:jc w:val="right"/>
              <w:textAlignment w:val="center"/>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14.98</w:t>
            </w:r>
          </w:p>
        </w:tc>
        <w:tc>
          <w:tcPr>
            <w:tcW w:w="1956" w:type="dxa"/>
            <w:vAlign w:val="center"/>
          </w:tcPr>
          <w:p>
            <w:pPr>
              <w:widowControl/>
              <w:ind w:firstLine="560"/>
              <w:jc w:val="righ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-18.23%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8" w:hRule="atLeast"/>
        </w:trPr>
        <w:tc>
          <w:tcPr>
            <w:tcW w:w="2876" w:type="dxa"/>
            <w:vAlign w:val="center"/>
          </w:tcPr>
          <w:p>
            <w:pPr>
              <w:widowControl/>
              <w:ind w:firstLine="0" w:firstLineChars="0"/>
              <w:jc w:val="lef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对个人和家庭的补助</w:t>
            </w:r>
          </w:p>
        </w:tc>
        <w:tc>
          <w:tcPr>
            <w:tcW w:w="1837" w:type="dxa"/>
            <w:vAlign w:val="center"/>
          </w:tcPr>
          <w:p>
            <w:pPr>
              <w:widowControl/>
              <w:ind w:firstLine="560"/>
              <w:jc w:val="righ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0.09</w:t>
            </w:r>
          </w:p>
        </w:tc>
        <w:tc>
          <w:tcPr>
            <w:tcW w:w="2071" w:type="dxa"/>
            <w:vAlign w:val="center"/>
          </w:tcPr>
          <w:p>
            <w:pPr>
              <w:widowControl/>
              <w:ind w:firstLine="560"/>
              <w:jc w:val="righ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0.06</w:t>
            </w:r>
          </w:p>
        </w:tc>
        <w:tc>
          <w:tcPr>
            <w:tcW w:w="1956" w:type="dxa"/>
            <w:vAlign w:val="center"/>
          </w:tcPr>
          <w:p>
            <w:pPr>
              <w:widowControl/>
              <w:ind w:firstLine="560"/>
              <w:jc w:val="righ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-33.33%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ind w:firstLine="560"/>
              <w:jc w:val="left"/>
              <w:rPr>
                <w:rFonts w:ascii="仿宋" w:hAnsi="仿宋" w:eastAsia="仿宋" w:cs="仿宋"/>
                <w:b/>
                <w:bCs/>
                <w:color w:val="000000" w:themeColor="text1"/>
                <w:kern w:val="0"/>
                <w:sz w:val="28"/>
                <w:szCs w:val="28"/>
              </w:rPr>
            </w:pPr>
            <w:r>
              <w:rPr>
                <w:rFonts w:hint="eastAsia" w:ascii="仿宋" w:hAnsi="仿宋" w:eastAsia="仿宋" w:cs="仿宋"/>
                <w:color w:val="000000" w:themeColor="text1"/>
                <w:kern w:val="0"/>
                <w:sz w:val="28"/>
                <w:szCs w:val="28"/>
              </w:rPr>
              <w:t>资本性支出</w:t>
            </w:r>
          </w:p>
        </w:tc>
        <w:tc>
          <w:tcPr>
            <w:tcW w:w="1837" w:type="dxa"/>
            <w:vAlign w:val="center"/>
          </w:tcPr>
          <w:p>
            <w:pPr>
              <w:widowControl/>
              <w:ind w:firstLine="560"/>
              <w:jc w:val="righ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1.06</w:t>
            </w:r>
          </w:p>
        </w:tc>
        <w:tc>
          <w:tcPr>
            <w:tcW w:w="2071" w:type="dxa"/>
            <w:vAlign w:val="center"/>
          </w:tcPr>
          <w:p>
            <w:pPr>
              <w:widowControl/>
              <w:ind w:firstLine="640"/>
              <w:jc w:val="right"/>
              <w:textAlignment w:val="center"/>
              <w:rPr>
                <w:rFonts w:ascii="仿宋" w:hAnsi="仿宋" w:eastAsia="仿宋" w:cs="仿宋"/>
                <w:color w:val="000000" w:themeColor="text1"/>
              </w:rPr>
            </w:pPr>
          </w:p>
        </w:tc>
        <w:tc>
          <w:tcPr>
            <w:tcW w:w="1956" w:type="dxa"/>
            <w:vAlign w:val="center"/>
          </w:tcPr>
          <w:p>
            <w:pPr>
              <w:widowControl/>
              <w:ind w:firstLine="560"/>
              <w:jc w:val="righ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562"/>
              <w:jc w:val="left"/>
              <w:rPr>
                <w:rFonts w:ascii="仿宋" w:hAnsi="仿宋" w:eastAsia="仿宋" w:cs="仿宋"/>
                <w:b/>
                <w:bCs/>
                <w:color w:val="000000" w:themeColor="text1"/>
                <w:kern w:val="0"/>
                <w:sz w:val="28"/>
                <w:szCs w:val="28"/>
              </w:rPr>
            </w:pPr>
          </w:p>
        </w:tc>
        <w:tc>
          <w:tcPr>
            <w:tcW w:w="1837" w:type="dxa"/>
            <w:vAlign w:val="center"/>
          </w:tcPr>
          <w:p>
            <w:pPr>
              <w:widowControl/>
              <w:ind w:firstLine="560"/>
              <w:jc w:val="right"/>
              <w:rPr>
                <w:rFonts w:ascii="仿宋" w:hAnsi="仿宋" w:eastAsia="仿宋" w:cs="仿宋"/>
                <w:color w:val="000000" w:themeColor="text1"/>
                <w:kern w:val="0"/>
                <w:sz w:val="28"/>
                <w:szCs w:val="28"/>
              </w:rPr>
            </w:pPr>
          </w:p>
        </w:tc>
        <w:tc>
          <w:tcPr>
            <w:tcW w:w="2071" w:type="dxa"/>
            <w:vAlign w:val="center"/>
          </w:tcPr>
          <w:p>
            <w:pPr>
              <w:widowControl/>
              <w:ind w:firstLine="640"/>
              <w:jc w:val="right"/>
              <w:textAlignment w:val="center"/>
              <w:rPr>
                <w:rFonts w:ascii="仿宋" w:hAnsi="仿宋" w:eastAsia="仿宋" w:cs="仿宋"/>
                <w:color w:val="000000" w:themeColor="text1"/>
              </w:rPr>
            </w:pPr>
          </w:p>
        </w:tc>
        <w:tc>
          <w:tcPr>
            <w:tcW w:w="1956" w:type="dxa"/>
            <w:vAlign w:val="center"/>
          </w:tcPr>
          <w:p>
            <w:pPr>
              <w:widowControl/>
              <w:ind w:firstLine="560"/>
              <w:jc w:val="right"/>
              <w:rPr>
                <w:rFonts w:ascii="仿宋" w:hAnsi="仿宋" w:eastAsia="仿宋" w:cs="仿宋"/>
                <w:color w:val="000000" w:themeColor="text1"/>
                <w:kern w:val="0"/>
                <w:sz w:val="28"/>
                <w:szCs w:val="28"/>
              </w:rPr>
            </w:pPr>
          </w:p>
        </w:tc>
      </w:tr>
    </w:tbl>
    <w:p>
      <w:pPr>
        <w:spacing w:line="580" w:lineRule="exact"/>
        <w:ind w:firstLine="0" w:firstLineChars="0"/>
        <w:rPr>
          <w:color w:val="FF0000"/>
          <w:szCs w:val="32"/>
        </w:rPr>
      </w:pPr>
    </w:p>
    <w:p>
      <w:pPr>
        <w:pStyle w:val="3"/>
        <w:ind w:firstLine="643"/>
        <w:rPr>
          <w:rFonts w:ascii="仿宋" w:hAnsi="仿宋" w:eastAsia="仿宋" w:cs="仿宋"/>
        </w:rPr>
      </w:pPr>
      <w:bookmarkStart w:id="21" w:name="_Toc17728"/>
      <w:bookmarkStart w:id="22" w:name="_Toc841"/>
      <w:r>
        <w:rPr>
          <w:rFonts w:hint="eastAsia" w:ascii="仿宋" w:hAnsi="仿宋" w:eastAsia="仿宋" w:cs="仿宋"/>
        </w:rPr>
        <w:t>六、一般公共预算财政拨款基本支出决算情况说明</w:t>
      </w:r>
      <w:bookmarkEnd w:id="21"/>
      <w:bookmarkEnd w:id="22"/>
    </w:p>
    <w:p>
      <w:pPr>
        <w:ind w:firstLine="640"/>
        <w:rPr>
          <w:rFonts w:ascii="仿宋" w:hAnsi="仿宋" w:eastAsia="仿宋" w:cs="Arial"/>
          <w:color w:val="000000" w:themeColor="text1"/>
          <w:kern w:val="0"/>
          <w:szCs w:val="32"/>
        </w:rPr>
      </w:pPr>
      <w:r>
        <w:rPr>
          <w:rFonts w:hint="eastAsia" w:ascii="仿宋_GB2312"/>
          <w:color w:val="000000" w:themeColor="text1"/>
          <w:szCs w:val="32"/>
        </w:rPr>
        <w:t>2021年度</w:t>
      </w:r>
      <w:r>
        <w:rPr>
          <w:rFonts w:ascii="仿宋_GB2312"/>
          <w:color w:val="000000" w:themeColor="text1"/>
          <w:szCs w:val="32"/>
        </w:rPr>
        <w:t>财政拨款</w:t>
      </w:r>
      <w:r>
        <w:rPr>
          <w:rFonts w:hint="eastAsia" w:ascii="仿宋_GB2312"/>
          <w:color w:val="000000" w:themeColor="text1"/>
          <w:szCs w:val="32"/>
        </w:rPr>
        <w:t>基本</w:t>
      </w:r>
      <w:r>
        <w:rPr>
          <w:rFonts w:ascii="仿宋_GB2312"/>
          <w:color w:val="000000" w:themeColor="text1"/>
          <w:szCs w:val="32"/>
        </w:rPr>
        <w:t>支出</w:t>
      </w:r>
      <w:r>
        <w:rPr>
          <w:rFonts w:hint="eastAsia" w:ascii="仿宋_GB2312"/>
          <w:color w:val="000000" w:themeColor="text1"/>
          <w:szCs w:val="32"/>
        </w:rPr>
        <w:t>48.42万元</w:t>
      </w:r>
      <w:r>
        <w:rPr>
          <w:rFonts w:ascii="仿宋_GB2312"/>
          <w:color w:val="000000" w:themeColor="text1"/>
          <w:szCs w:val="32"/>
        </w:rPr>
        <w:t>，其中</w:t>
      </w:r>
      <w:r>
        <w:rPr>
          <w:rFonts w:hint="eastAsia" w:ascii="仿宋_GB2312"/>
          <w:color w:val="000000" w:themeColor="text1"/>
          <w:szCs w:val="32"/>
        </w:rPr>
        <w:t>：人员</w:t>
      </w:r>
      <w:r>
        <w:rPr>
          <w:rFonts w:ascii="仿宋_GB2312"/>
          <w:color w:val="000000" w:themeColor="text1"/>
          <w:szCs w:val="32"/>
        </w:rPr>
        <w:t>经费</w:t>
      </w:r>
      <w:r>
        <w:rPr>
          <w:rFonts w:hint="eastAsia" w:ascii="仿宋_GB2312"/>
          <w:color w:val="000000" w:themeColor="text1"/>
          <w:szCs w:val="32"/>
        </w:rPr>
        <w:t>43.71万元</w:t>
      </w:r>
      <w:r>
        <w:rPr>
          <w:rFonts w:ascii="仿宋_GB2312"/>
          <w:color w:val="000000" w:themeColor="text1"/>
          <w:szCs w:val="32"/>
        </w:rPr>
        <w:t>，</w:t>
      </w:r>
      <w:r>
        <w:rPr>
          <w:rFonts w:hint="eastAsia" w:ascii="仿宋_GB2312"/>
          <w:color w:val="000000" w:themeColor="text1"/>
          <w:szCs w:val="32"/>
        </w:rPr>
        <w:t>主要</w:t>
      </w:r>
      <w:r>
        <w:rPr>
          <w:rFonts w:ascii="仿宋_GB2312"/>
          <w:color w:val="000000" w:themeColor="text1"/>
          <w:szCs w:val="32"/>
        </w:rPr>
        <w:t>包括</w:t>
      </w:r>
      <w:r>
        <w:rPr>
          <w:rFonts w:hint="eastAsia" w:ascii="仿宋" w:hAnsi="仿宋" w:eastAsia="仿宋" w:cs="Arial"/>
          <w:color w:val="000000" w:themeColor="text1"/>
          <w:kern w:val="0"/>
          <w:szCs w:val="32"/>
        </w:rPr>
        <w:t>基本工资18.52万元、绩效工资10.64万元、津贴补贴3.06万元、机关事业单位基本养老保险缴费3.83万元、住房公积金2.38万元等</w:t>
      </w:r>
      <w:r>
        <w:rPr>
          <w:rFonts w:ascii="仿宋_GB2312"/>
          <w:color w:val="000000" w:themeColor="text1"/>
          <w:szCs w:val="32"/>
        </w:rPr>
        <w:t>；</w:t>
      </w:r>
      <w:r>
        <w:rPr>
          <w:rFonts w:hint="eastAsia" w:ascii="仿宋_GB2312"/>
          <w:color w:val="000000" w:themeColor="text1"/>
          <w:szCs w:val="32"/>
        </w:rPr>
        <w:t>公用</w:t>
      </w:r>
      <w:r>
        <w:rPr>
          <w:rFonts w:ascii="仿宋_GB2312"/>
          <w:color w:val="000000" w:themeColor="text1"/>
          <w:szCs w:val="32"/>
        </w:rPr>
        <w:t>经费</w:t>
      </w:r>
      <w:r>
        <w:rPr>
          <w:rFonts w:hint="eastAsia" w:ascii="仿宋_GB2312"/>
          <w:color w:val="000000" w:themeColor="text1"/>
          <w:szCs w:val="32"/>
        </w:rPr>
        <w:t>4.66万元</w:t>
      </w:r>
      <w:r>
        <w:rPr>
          <w:rFonts w:ascii="仿宋_GB2312"/>
          <w:color w:val="000000" w:themeColor="text1"/>
          <w:szCs w:val="32"/>
        </w:rPr>
        <w:t>，主要包括</w:t>
      </w:r>
      <w:r>
        <w:rPr>
          <w:rFonts w:hint="eastAsia" w:ascii="仿宋_GB2312"/>
          <w:color w:val="000000" w:themeColor="text1"/>
          <w:szCs w:val="32"/>
        </w:rPr>
        <w:t>办公费2.55万元、印刷费0.43万元、福利费0.76万元等</w:t>
      </w:r>
      <w:r>
        <w:rPr>
          <w:rFonts w:ascii="仿宋_GB2312"/>
          <w:color w:val="000000" w:themeColor="text1"/>
          <w:szCs w:val="32"/>
        </w:rPr>
        <w:t>。</w:t>
      </w:r>
      <w:r>
        <w:rPr>
          <w:rFonts w:hint="eastAsia" w:ascii="仿宋_GB2312"/>
          <w:color w:val="000000" w:themeColor="text1"/>
          <w:szCs w:val="32"/>
        </w:rPr>
        <w:t>2021年度</w:t>
      </w:r>
      <w:r>
        <w:rPr>
          <w:rFonts w:ascii="仿宋_GB2312"/>
          <w:color w:val="000000" w:themeColor="text1"/>
          <w:szCs w:val="32"/>
        </w:rPr>
        <w:t>财政拨款</w:t>
      </w:r>
      <w:r>
        <w:rPr>
          <w:rFonts w:hint="eastAsia" w:ascii="仿宋_GB2312"/>
          <w:color w:val="000000" w:themeColor="text1"/>
          <w:szCs w:val="32"/>
        </w:rPr>
        <w:t>项目</w:t>
      </w:r>
      <w:r>
        <w:rPr>
          <w:rFonts w:ascii="仿宋_GB2312"/>
          <w:color w:val="000000" w:themeColor="text1"/>
          <w:szCs w:val="32"/>
        </w:rPr>
        <w:t>支出</w:t>
      </w:r>
      <w:r>
        <w:rPr>
          <w:rFonts w:hint="eastAsia" w:ascii="仿宋_GB2312"/>
          <w:color w:val="000000" w:themeColor="text1"/>
          <w:szCs w:val="32"/>
        </w:rPr>
        <w:t>10.32万元。</w:t>
      </w:r>
    </w:p>
    <w:p>
      <w:pPr>
        <w:pStyle w:val="3"/>
        <w:ind w:firstLine="643"/>
        <w:rPr>
          <w:rFonts w:ascii="仿宋" w:hAnsi="仿宋" w:eastAsia="仿宋" w:cs="仿宋"/>
          <w:color w:val="000000" w:themeColor="text1"/>
        </w:rPr>
      </w:pPr>
      <w:bookmarkStart w:id="23" w:name="_Toc26508"/>
      <w:bookmarkStart w:id="24" w:name="_Toc2304"/>
      <w:r>
        <w:rPr>
          <w:rFonts w:hint="eastAsia" w:ascii="仿宋" w:hAnsi="仿宋" w:eastAsia="仿宋" w:cs="仿宋"/>
          <w:color w:val="000000" w:themeColor="text1"/>
        </w:rPr>
        <w:t>七、一般公共预算财政拨款“三公”经费支出决算情况说明</w:t>
      </w:r>
      <w:bookmarkEnd w:id="23"/>
      <w:bookmarkEnd w:id="24"/>
    </w:p>
    <w:p>
      <w:pPr>
        <w:spacing w:line="580" w:lineRule="exact"/>
        <w:ind w:firstLine="640"/>
        <w:rPr>
          <w:rFonts w:ascii="仿宋_GB2312"/>
          <w:color w:val="000000" w:themeColor="text1"/>
          <w:szCs w:val="32"/>
        </w:rPr>
      </w:pPr>
      <w:r>
        <w:rPr>
          <w:rFonts w:hint="eastAsia" w:ascii="仿宋_GB2312"/>
          <w:color w:val="000000" w:themeColor="text1"/>
          <w:szCs w:val="32"/>
        </w:rPr>
        <w:t>2021年度，“三公”经费财政拨款支出决算为0万元，比上年减少（增加）0万元，下降（增长）0%，原因是。其中：因公出国（境）费支出决算0万元，占比0%，比上年减少（增加）0万元，下降（增长）0%；公务用车购置及运行费支出决算0万元，占比0%，比上年减少（增加）万元，减少（增长）0%；公务接待费支出决算0万元，占比0%，比上年减少（增加）0万元，减少（增长）0%。具体情况如下：</w:t>
      </w:r>
    </w:p>
    <w:p>
      <w:pPr>
        <w:spacing w:line="580" w:lineRule="exact"/>
        <w:ind w:firstLine="643"/>
        <w:rPr>
          <w:b/>
          <w:color w:val="000000" w:themeColor="text1"/>
          <w:szCs w:val="32"/>
        </w:rPr>
      </w:pPr>
      <w:r>
        <w:rPr>
          <w:rFonts w:hint="eastAsia"/>
          <w:b/>
          <w:color w:val="000000" w:themeColor="text1"/>
          <w:szCs w:val="32"/>
        </w:rPr>
        <w:t>本单位无“三公”经费财政拨款预算支出。</w:t>
      </w:r>
    </w:p>
    <w:p>
      <w:pPr>
        <w:pStyle w:val="8"/>
        <w:tabs>
          <w:tab w:val="left" w:pos="5760"/>
        </w:tabs>
        <w:spacing w:before="0" w:beforeAutospacing="0" w:after="0" w:afterAutospacing="0"/>
        <w:ind w:firstLine="640"/>
        <w:rPr>
          <w:rFonts w:ascii="仿宋_GB2312"/>
          <w:color w:val="000000" w:themeColor="text1"/>
          <w:sz w:val="32"/>
          <w:szCs w:val="32"/>
        </w:rPr>
      </w:pPr>
      <w:r>
        <w:rPr>
          <w:rFonts w:hint="eastAsia" w:ascii="仿宋_GB2312"/>
          <w:color w:val="000000" w:themeColor="text1"/>
          <w:sz w:val="32"/>
          <w:szCs w:val="32"/>
        </w:rPr>
        <w:t>2021年“三公”经费支出情况，分三项和2020年相比。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spacing w:before="0" w:beforeAutospacing="0" w:after="0" w:afterAutospacing="0" w:line="300" w:lineRule="exact"/>
              <w:ind w:firstLine="2368" w:firstLineChars="1123"/>
              <w:rPr>
                <w:b/>
                <w:color w:val="000000" w:themeColor="text1"/>
                <w:sz w:val="21"/>
                <w:szCs w:val="21"/>
              </w:rPr>
            </w:pPr>
            <w:r>
              <w:rPr>
                <w:rFonts w:hint="eastAsia"/>
                <w:b/>
                <w:color w:val="000000" w:themeColor="text1"/>
                <w:sz w:val="21"/>
                <w:szCs w:val="21"/>
              </w:rPr>
              <w:t>年度</w:t>
            </w:r>
          </w:p>
          <w:p>
            <w:pPr>
              <w:pStyle w:val="8"/>
              <w:spacing w:before="0" w:beforeAutospacing="0" w:after="0" w:afterAutospacing="0" w:line="300" w:lineRule="exact"/>
              <w:ind w:firstLine="310" w:firstLineChars="147"/>
              <w:rPr>
                <w:b/>
                <w:color w:val="000000" w:themeColor="text1"/>
                <w:sz w:val="28"/>
                <w:szCs w:val="28"/>
              </w:rPr>
            </w:pPr>
            <w:r>
              <w:rPr>
                <w:rFonts w:hint="eastAsia"/>
                <w:b/>
                <w:color w:val="000000" w:themeColor="text1"/>
                <w:sz w:val="21"/>
                <w:szCs w:val="21"/>
              </w:rPr>
              <w:t>项目</w:t>
            </w:r>
          </w:p>
        </w:tc>
        <w:tc>
          <w:tcPr>
            <w:tcW w:w="1701" w:type="dxa"/>
          </w:tcPr>
          <w:p>
            <w:pPr>
              <w:pStyle w:val="8"/>
              <w:ind w:firstLine="562"/>
              <w:jc w:val="center"/>
              <w:rPr>
                <w:b/>
                <w:color w:val="000000" w:themeColor="text1"/>
                <w:sz w:val="28"/>
                <w:szCs w:val="28"/>
              </w:rPr>
            </w:pPr>
            <w:r>
              <w:rPr>
                <w:rFonts w:hint="eastAsia"/>
                <w:b/>
                <w:color w:val="000000" w:themeColor="text1"/>
                <w:sz w:val="28"/>
                <w:szCs w:val="28"/>
              </w:rPr>
              <w:t>2020年</w:t>
            </w:r>
          </w:p>
        </w:tc>
        <w:tc>
          <w:tcPr>
            <w:tcW w:w="1701" w:type="dxa"/>
          </w:tcPr>
          <w:p>
            <w:pPr>
              <w:pStyle w:val="8"/>
              <w:ind w:firstLine="562"/>
              <w:jc w:val="center"/>
              <w:rPr>
                <w:b/>
                <w:color w:val="000000" w:themeColor="text1"/>
                <w:sz w:val="28"/>
                <w:szCs w:val="28"/>
              </w:rPr>
            </w:pPr>
            <w:r>
              <w:rPr>
                <w:rFonts w:hint="eastAsia"/>
                <w:b/>
                <w:color w:val="000000" w:themeColor="text1"/>
                <w:sz w:val="28"/>
                <w:szCs w:val="28"/>
              </w:rPr>
              <w:t>2021年</w:t>
            </w:r>
          </w:p>
        </w:tc>
        <w:tc>
          <w:tcPr>
            <w:tcW w:w="1418" w:type="dxa"/>
          </w:tcPr>
          <w:p>
            <w:pPr>
              <w:pStyle w:val="8"/>
              <w:ind w:firstLine="0" w:firstLineChars="0"/>
              <w:jc w:val="both"/>
              <w:rPr>
                <w:b/>
                <w:color w:val="000000" w:themeColor="text1"/>
                <w:sz w:val="28"/>
                <w:szCs w:val="28"/>
              </w:rPr>
            </w:pPr>
            <w:r>
              <w:rPr>
                <w:rFonts w:hint="eastAsia"/>
                <w:b/>
                <w:color w:val="000000" w:themeColor="text1"/>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ind w:firstLine="560"/>
              <w:rPr>
                <w:color w:val="000000" w:themeColor="text1"/>
                <w:sz w:val="28"/>
                <w:szCs w:val="28"/>
              </w:rPr>
            </w:pPr>
            <w:r>
              <w:rPr>
                <w:rFonts w:hint="eastAsia"/>
                <w:color w:val="000000" w:themeColor="text1"/>
                <w:sz w:val="28"/>
                <w:szCs w:val="28"/>
              </w:rPr>
              <w:t>因公出国（境）费</w:t>
            </w:r>
          </w:p>
        </w:tc>
        <w:tc>
          <w:tcPr>
            <w:tcW w:w="1701" w:type="dxa"/>
          </w:tcPr>
          <w:p>
            <w:pPr>
              <w:pStyle w:val="8"/>
              <w:ind w:firstLine="560"/>
              <w:jc w:val="right"/>
              <w:rPr>
                <w:color w:val="000000" w:themeColor="text1"/>
                <w:sz w:val="28"/>
                <w:szCs w:val="28"/>
              </w:rPr>
            </w:pPr>
          </w:p>
        </w:tc>
        <w:tc>
          <w:tcPr>
            <w:tcW w:w="1701" w:type="dxa"/>
          </w:tcPr>
          <w:p>
            <w:pPr>
              <w:pStyle w:val="8"/>
              <w:ind w:firstLine="560"/>
              <w:jc w:val="right"/>
              <w:rPr>
                <w:color w:val="000000" w:themeColor="text1"/>
                <w:sz w:val="28"/>
                <w:szCs w:val="28"/>
              </w:rPr>
            </w:pPr>
          </w:p>
        </w:tc>
        <w:tc>
          <w:tcPr>
            <w:tcW w:w="1418" w:type="dxa"/>
          </w:tcPr>
          <w:p>
            <w:pPr>
              <w:pStyle w:val="8"/>
              <w:ind w:firstLine="560"/>
              <w:jc w:val="right"/>
              <w:rPr>
                <w:color w:val="000000" w:themeColor="text1"/>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ind w:firstLine="560"/>
              <w:rPr>
                <w:color w:val="000000" w:themeColor="text1"/>
                <w:sz w:val="28"/>
                <w:szCs w:val="28"/>
              </w:rPr>
            </w:pPr>
            <w:r>
              <w:rPr>
                <w:rFonts w:hint="eastAsia"/>
                <w:color w:val="000000" w:themeColor="text1"/>
                <w:sz w:val="28"/>
                <w:szCs w:val="28"/>
              </w:rPr>
              <w:t>公务接待费</w:t>
            </w:r>
          </w:p>
        </w:tc>
        <w:tc>
          <w:tcPr>
            <w:tcW w:w="1701" w:type="dxa"/>
          </w:tcPr>
          <w:p>
            <w:pPr>
              <w:pStyle w:val="8"/>
              <w:ind w:firstLine="560"/>
              <w:jc w:val="right"/>
              <w:rPr>
                <w:color w:val="000000" w:themeColor="text1"/>
                <w:sz w:val="28"/>
                <w:szCs w:val="28"/>
              </w:rPr>
            </w:pPr>
          </w:p>
        </w:tc>
        <w:tc>
          <w:tcPr>
            <w:tcW w:w="1701" w:type="dxa"/>
          </w:tcPr>
          <w:p>
            <w:pPr>
              <w:pStyle w:val="8"/>
              <w:ind w:firstLine="560"/>
              <w:jc w:val="right"/>
              <w:rPr>
                <w:color w:val="000000" w:themeColor="text1"/>
                <w:sz w:val="28"/>
                <w:szCs w:val="28"/>
              </w:rPr>
            </w:pPr>
          </w:p>
        </w:tc>
        <w:tc>
          <w:tcPr>
            <w:tcW w:w="1418" w:type="dxa"/>
          </w:tcPr>
          <w:p>
            <w:pPr>
              <w:pStyle w:val="8"/>
              <w:ind w:firstLine="560"/>
              <w:jc w:val="right"/>
              <w:rPr>
                <w:color w:val="000000" w:themeColor="text1"/>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ind w:firstLine="0" w:firstLineChars="0"/>
              <w:rPr>
                <w:color w:val="000000" w:themeColor="text1"/>
                <w:sz w:val="28"/>
                <w:szCs w:val="28"/>
              </w:rPr>
            </w:pPr>
            <w:r>
              <w:rPr>
                <w:rFonts w:hint="eastAsia"/>
                <w:color w:val="000000" w:themeColor="text1"/>
                <w:sz w:val="28"/>
                <w:szCs w:val="28"/>
              </w:rPr>
              <w:t>公务用车购置及运行维护费</w:t>
            </w:r>
          </w:p>
        </w:tc>
        <w:tc>
          <w:tcPr>
            <w:tcW w:w="1701" w:type="dxa"/>
          </w:tcPr>
          <w:p>
            <w:pPr>
              <w:pStyle w:val="8"/>
              <w:ind w:firstLine="560"/>
              <w:jc w:val="right"/>
              <w:rPr>
                <w:rFonts w:eastAsia="宋体"/>
                <w:color w:val="000000" w:themeColor="text1"/>
                <w:sz w:val="28"/>
                <w:szCs w:val="28"/>
              </w:rPr>
            </w:pPr>
          </w:p>
        </w:tc>
        <w:tc>
          <w:tcPr>
            <w:tcW w:w="1701" w:type="dxa"/>
          </w:tcPr>
          <w:p>
            <w:pPr>
              <w:pStyle w:val="8"/>
              <w:ind w:firstLine="560"/>
              <w:jc w:val="right"/>
              <w:rPr>
                <w:color w:val="000000" w:themeColor="text1"/>
                <w:sz w:val="28"/>
                <w:szCs w:val="28"/>
              </w:rPr>
            </w:pPr>
          </w:p>
        </w:tc>
        <w:tc>
          <w:tcPr>
            <w:tcW w:w="1418" w:type="dxa"/>
          </w:tcPr>
          <w:p>
            <w:pPr>
              <w:pStyle w:val="8"/>
              <w:ind w:firstLine="560"/>
              <w:jc w:val="right"/>
              <w:rPr>
                <w:rFonts w:eastAsia="宋体"/>
                <w:color w:val="000000" w:themeColor="text1"/>
                <w:sz w:val="28"/>
                <w:szCs w:val="28"/>
              </w:rPr>
            </w:pPr>
          </w:p>
        </w:tc>
      </w:tr>
    </w:tbl>
    <w:p>
      <w:pPr>
        <w:pStyle w:val="8"/>
        <w:spacing w:before="0" w:beforeAutospacing="0" w:after="0" w:afterAutospacing="0"/>
        <w:ind w:firstLine="482"/>
        <w:rPr>
          <w:b/>
          <w:szCs w:val="32"/>
        </w:rPr>
      </w:pPr>
    </w:p>
    <w:p>
      <w:pPr>
        <w:pStyle w:val="3"/>
        <w:ind w:firstLine="643"/>
        <w:rPr>
          <w:rFonts w:ascii="仿宋" w:hAnsi="仿宋" w:eastAsia="仿宋" w:cs="仿宋"/>
        </w:rPr>
      </w:pPr>
      <w:bookmarkStart w:id="25" w:name="_Toc1792"/>
      <w:bookmarkStart w:id="26" w:name="_Toc9078"/>
      <w:r>
        <w:rPr>
          <w:rFonts w:hint="eastAsia" w:ascii="仿宋" w:hAnsi="仿宋" w:eastAsia="仿宋" w:cs="仿宋"/>
        </w:rPr>
        <w:t>八、其他重要事项情况说明</w:t>
      </w:r>
      <w:bookmarkEnd w:id="25"/>
      <w:bookmarkEnd w:id="26"/>
    </w:p>
    <w:p>
      <w:pPr>
        <w:ind w:firstLine="643"/>
        <w:rPr>
          <w:b/>
          <w:bCs/>
        </w:rPr>
      </w:pPr>
      <w:bookmarkStart w:id="27" w:name="_Toc23407"/>
      <w:r>
        <w:rPr>
          <w:rFonts w:hint="eastAsia"/>
          <w:b/>
          <w:bCs/>
        </w:rPr>
        <w:t>（一）机关运行经费支出情况说明</w:t>
      </w:r>
      <w:bookmarkEnd w:id="27"/>
    </w:p>
    <w:p>
      <w:pPr>
        <w:spacing w:line="580" w:lineRule="exact"/>
        <w:ind w:firstLine="640"/>
        <w:rPr>
          <w:rFonts w:hint="eastAsia" w:ascii="仿宋_GB2312" w:hAnsi="宋体"/>
          <w:color w:val="000000" w:themeColor="text1"/>
          <w:szCs w:val="32"/>
        </w:rPr>
      </w:pPr>
      <w:r>
        <w:rPr>
          <w:rFonts w:hint="eastAsia" w:ascii="仿宋_GB2312" w:hAnsi="宋体"/>
          <w:color w:val="000000" w:themeColor="text1"/>
          <w:szCs w:val="32"/>
        </w:rPr>
        <w:t>2021年本单位机关运行经费支出0万元（与部门决算中行政单位和参照公务员法管理的事业单位一般公共预算财政拨款基本支出中公用经费之和保持一致），比2021年增加（减少）0万元</w:t>
      </w:r>
      <w:bookmarkStart w:id="33" w:name="_GoBack"/>
      <w:bookmarkEnd w:id="33"/>
      <w:r>
        <w:rPr>
          <w:rFonts w:hint="eastAsia" w:ascii="仿宋_GB2312" w:hAnsi="宋体"/>
          <w:color w:val="000000" w:themeColor="text1"/>
          <w:szCs w:val="32"/>
        </w:rPr>
        <w:t>。</w:t>
      </w:r>
    </w:p>
    <w:p>
      <w:pPr>
        <w:spacing w:line="580" w:lineRule="exact"/>
        <w:ind w:firstLine="643"/>
        <w:rPr>
          <w:b/>
          <w:color w:val="000000" w:themeColor="text1"/>
          <w:szCs w:val="32"/>
        </w:rPr>
      </w:pPr>
      <w:r>
        <w:rPr>
          <w:rFonts w:hint="eastAsia"/>
          <w:b/>
          <w:color w:val="000000" w:themeColor="text1"/>
          <w:szCs w:val="32"/>
        </w:rPr>
        <w:t>本单位无机关运行经费。</w:t>
      </w:r>
    </w:p>
    <w:p>
      <w:pPr>
        <w:ind w:firstLine="643"/>
        <w:rPr>
          <w:b/>
          <w:bCs/>
          <w:color w:val="000000" w:themeColor="text1"/>
        </w:rPr>
      </w:pPr>
      <w:bookmarkStart w:id="28" w:name="_Toc16103"/>
      <w:r>
        <w:rPr>
          <w:rFonts w:hint="eastAsia"/>
          <w:b/>
          <w:bCs/>
          <w:color w:val="000000" w:themeColor="text1"/>
        </w:rPr>
        <w:t>（二）政府采购情况说明</w:t>
      </w:r>
      <w:bookmarkEnd w:id="28"/>
    </w:p>
    <w:p>
      <w:pPr>
        <w:spacing w:line="580" w:lineRule="exact"/>
        <w:ind w:firstLine="640"/>
        <w:rPr>
          <w:rFonts w:ascii="仿宋_GB2312"/>
          <w:color w:val="000000" w:themeColor="text1"/>
          <w:szCs w:val="32"/>
        </w:rPr>
      </w:pPr>
      <w:r>
        <w:rPr>
          <w:rFonts w:hint="eastAsia" w:ascii="仿宋_GB2312"/>
          <w:color w:val="000000" w:themeColor="text1"/>
          <w:szCs w:val="32"/>
        </w:rPr>
        <w:t>2021年度，政府采购支出总额3.81万元，其中：政府采购货物支出3.81万元、政府采购工程支出0万元、政府采购服务支出0万元。政府采购授予中小企业合同金额3.81万元，占政府采购支出总额的100</w:t>
      </w:r>
      <w:r>
        <w:rPr>
          <w:rFonts w:ascii="仿宋_GB2312"/>
          <w:color w:val="000000" w:themeColor="text1"/>
          <w:szCs w:val="32"/>
        </w:rPr>
        <w:t>%</w:t>
      </w:r>
      <w:r>
        <w:rPr>
          <w:rFonts w:hint="eastAsia" w:ascii="仿宋_GB2312"/>
          <w:color w:val="000000" w:themeColor="text1"/>
          <w:szCs w:val="32"/>
        </w:rPr>
        <w:t>。其中：授予小微企业合同金额3.81万元，占政府采购支出总额的100</w:t>
      </w:r>
      <w:r>
        <w:rPr>
          <w:rFonts w:ascii="仿宋_GB2312"/>
          <w:color w:val="000000" w:themeColor="text1"/>
          <w:szCs w:val="32"/>
        </w:rPr>
        <w:t>%</w:t>
      </w:r>
      <w:r>
        <w:rPr>
          <w:rFonts w:hint="eastAsia" w:ascii="仿宋_GB2312"/>
          <w:color w:val="000000" w:themeColor="text1"/>
          <w:szCs w:val="32"/>
        </w:rPr>
        <w:t>。</w:t>
      </w:r>
    </w:p>
    <w:p>
      <w:pPr>
        <w:ind w:firstLine="643"/>
        <w:rPr>
          <w:b/>
          <w:bCs/>
          <w:color w:val="000000" w:themeColor="text1"/>
        </w:rPr>
      </w:pPr>
      <w:bookmarkStart w:id="29" w:name="_Toc19975"/>
      <w:r>
        <w:rPr>
          <w:rFonts w:hint="eastAsia"/>
          <w:b/>
          <w:bCs/>
          <w:color w:val="000000" w:themeColor="text1"/>
        </w:rPr>
        <w:t>（三）国有资产占用情况说明</w:t>
      </w:r>
      <w:bookmarkEnd w:id="29"/>
    </w:p>
    <w:p>
      <w:pPr>
        <w:spacing w:line="580" w:lineRule="exact"/>
        <w:ind w:firstLine="640"/>
        <w:rPr>
          <w:rFonts w:ascii="仿宋_GB2312"/>
          <w:szCs w:val="32"/>
        </w:rPr>
      </w:pPr>
      <w:r>
        <w:rPr>
          <w:rFonts w:hint="eastAsia" w:ascii="仿宋_GB2312"/>
          <w:color w:val="000000" w:themeColor="text1"/>
          <w:szCs w:val="32"/>
        </w:rPr>
        <w:t>截至2021年12月31日，本部门共有车辆0辆。其中，副部（省）级及以上领导用车0辆、主要领导干部用车0辆、机要通信用车0辆、应急保障用车0辆、执法执勤用车0辆、特种专业技术用车0辆、离退休干部用车0辆、其他用车0辆；单价50万元（含）以上的通用</w:t>
      </w:r>
      <w:r>
        <w:rPr>
          <w:rFonts w:hint="eastAsia" w:ascii="仿宋_GB2312"/>
          <w:szCs w:val="32"/>
        </w:rPr>
        <w:t>设</w:t>
      </w:r>
      <w:r>
        <w:rPr>
          <w:rFonts w:hint="eastAsia" w:ascii="仿宋_GB2312"/>
          <w:color w:val="000000" w:themeColor="text1"/>
          <w:szCs w:val="32"/>
        </w:rPr>
        <w:t>备0台（套），单价100万元（含）以上专用设备0台（套）。</w:t>
      </w:r>
    </w:p>
    <w:p>
      <w:pPr>
        <w:ind w:firstLine="643"/>
        <w:rPr>
          <w:b/>
          <w:bCs/>
        </w:rPr>
      </w:pPr>
      <w:r>
        <w:rPr>
          <w:rFonts w:hint="eastAsia"/>
          <w:b/>
          <w:bCs/>
        </w:rPr>
        <w:t>（四）重点项目预算的绩效目标情况说明：</w:t>
      </w:r>
    </w:p>
    <w:p>
      <w:pPr>
        <w:ind w:firstLine="643"/>
        <w:rPr>
          <w:rFonts w:ascii="仿宋_GB2312" w:hAnsi="仿宋_GB2312" w:cs="仿宋_GB2312"/>
          <w:szCs w:val="32"/>
        </w:rPr>
      </w:pPr>
      <w:r>
        <w:rPr>
          <w:rFonts w:hint="eastAsia" w:ascii="仿宋_GB2312" w:hAnsi="仿宋_GB2312" w:cs="仿宋_GB2312"/>
          <w:b/>
          <w:bCs/>
          <w:szCs w:val="32"/>
        </w:rPr>
        <w:t>（1）预算绩效管理工作开展情况。</w:t>
      </w:r>
      <w:r>
        <w:rPr>
          <w:rFonts w:hint="eastAsia" w:ascii="仿宋_GB2312" w:hAnsi="仿宋_GB2312" w:cs="仿宋_GB2312"/>
          <w:szCs w:val="32"/>
        </w:rPr>
        <w:t>根据预算绩效管理要求，我单位2021年度县级财政预算安排的经费补助类1个项目支出全面开展绩效自评，涉及预算资金5.38万元，占一般公共预算项目支出总额的9.15%。无专项资金类和经费补助类200万元以上的项目。组织对2021年度0等0个政府性基金预算项目支出开展绩效自评，共涉及预算资金0万元，占政府性基金预算项目支出总额的0%。</w:t>
      </w:r>
    </w:p>
    <w:p>
      <w:pPr>
        <w:ind w:firstLine="643"/>
        <w:rPr>
          <w:rFonts w:hint="eastAsia" w:ascii="仿宋_GB2312" w:hAnsi="仿宋_GB2312" w:cs="仿宋_GB2312"/>
          <w:b/>
          <w:bCs/>
          <w:szCs w:val="32"/>
        </w:rPr>
      </w:pPr>
      <w:r>
        <w:rPr>
          <w:rFonts w:hint="eastAsia" w:ascii="仿宋_GB2312" w:hAnsi="仿宋_GB2312" w:cs="仿宋_GB2312"/>
          <w:b/>
          <w:bCs/>
          <w:szCs w:val="32"/>
        </w:rPr>
        <w:t>（2）部门决算中项目绩效自评结果。</w:t>
      </w:r>
    </w:p>
    <w:p>
      <w:pPr>
        <w:ind w:firstLine="800" w:firstLineChars="250"/>
        <w:rPr>
          <w:rFonts w:ascii="仿宋_GB2312" w:hAnsi="仿宋_GB2312" w:cs="仿宋_GB2312"/>
          <w:szCs w:val="32"/>
        </w:rPr>
      </w:pPr>
      <w:r>
        <w:rPr>
          <w:rFonts w:hint="eastAsia" w:ascii="仿宋_GB2312" w:hAnsi="仿宋_GB2312" w:cs="仿宋_GB2312"/>
          <w:szCs w:val="32"/>
        </w:rPr>
        <w:t>本单位无重点项目。</w:t>
      </w:r>
    </w:p>
    <w:p>
      <w:pPr>
        <w:ind w:firstLine="640"/>
        <w:rPr>
          <w:rFonts w:hint="eastAsia" w:ascii="仿宋_GB2312" w:hAnsi="仿宋_GB2312" w:cs="仿宋_GB2312"/>
          <w:b/>
          <w:bCs/>
          <w:szCs w:val="32"/>
        </w:rPr>
      </w:pPr>
      <w:r>
        <w:rPr>
          <w:rFonts w:hint="eastAsia" w:ascii="仿宋_GB2312" w:hAnsi="仿宋_GB2312" w:cs="仿宋_GB2312"/>
          <w:szCs w:val="32"/>
        </w:rPr>
        <w:t>（3）</w:t>
      </w:r>
      <w:r>
        <w:rPr>
          <w:rFonts w:hint="eastAsia" w:ascii="仿宋_GB2312" w:hAnsi="仿宋_GB2312" w:cs="仿宋_GB2312"/>
          <w:b/>
          <w:bCs/>
          <w:szCs w:val="32"/>
        </w:rPr>
        <w:t>部门评价项目绩效评价结果。</w:t>
      </w:r>
    </w:p>
    <w:p>
      <w:pPr>
        <w:ind w:firstLine="640"/>
        <w:rPr>
          <w:rFonts w:ascii="仿宋_GB2312" w:hAnsi="仿宋_GB2312" w:cs="仿宋_GB2312"/>
          <w:szCs w:val="32"/>
        </w:rPr>
      </w:pPr>
      <w:r>
        <w:rPr>
          <w:rFonts w:hint="eastAsia" w:ascii="仿宋_GB2312" w:hAnsi="仿宋_GB2312" w:cs="仿宋_GB2312"/>
          <w:szCs w:val="32"/>
        </w:rPr>
        <w:t>本单位无重点项目、无评价报告。</w:t>
      </w:r>
    </w:p>
    <w:p>
      <w:pPr>
        <w:numPr>
          <w:ilvl w:val="0"/>
          <w:numId w:val="2"/>
        </w:numPr>
        <w:spacing w:line="580" w:lineRule="exact"/>
        <w:ind w:firstLine="643"/>
        <w:outlineLvl w:val="0"/>
        <w:rPr>
          <w:rFonts w:ascii="仿宋_GB2312"/>
          <w:b/>
          <w:szCs w:val="32"/>
        </w:rPr>
      </w:pPr>
      <w:bookmarkStart w:id="30" w:name="_Toc8450"/>
      <w:bookmarkStart w:id="31" w:name="_Toc28108"/>
      <w:r>
        <w:rPr>
          <w:rFonts w:hint="eastAsia" w:ascii="仿宋_GB2312"/>
          <w:b/>
          <w:szCs w:val="32"/>
        </w:rPr>
        <w:t>其他需要说明的事项</w:t>
      </w:r>
      <w:bookmarkEnd w:id="30"/>
      <w:bookmarkEnd w:id="31"/>
    </w:p>
    <w:p>
      <w:pPr>
        <w:pStyle w:val="2"/>
        <w:ind w:firstLine="0" w:firstLineChars="0"/>
        <w:jc w:val="center"/>
        <w:rPr>
          <w:sz w:val="36"/>
          <w:szCs w:val="36"/>
        </w:rPr>
      </w:pPr>
      <w:bookmarkStart w:id="32" w:name="_Toc8545"/>
      <w:r>
        <w:rPr>
          <w:rFonts w:hint="eastAsia"/>
          <w:sz w:val="36"/>
          <w:szCs w:val="36"/>
        </w:rPr>
        <w:t>第四部分  名词解释</w:t>
      </w:r>
      <w:bookmarkEnd w:id="32"/>
    </w:p>
    <w:p>
      <w:pPr>
        <w:spacing w:line="580" w:lineRule="exact"/>
        <w:ind w:firstLine="640"/>
        <w:rPr>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ascii="仿宋_GB2312"/>
          <w:szCs w:val="32"/>
        </w:rPr>
      </w:pPr>
      <w:r>
        <w:rPr>
          <w:rFonts w:hint="eastAsia" w:ascii="仿宋_GB2312"/>
          <w:b/>
          <w:szCs w:val="32"/>
        </w:rPr>
        <w:t>一、财政拨款收入：</w:t>
      </w:r>
      <w:r>
        <w:rPr>
          <w:rFonts w:hint="eastAsia" w:ascii="仿宋_GB2312"/>
          <w:szCs w:val="32"/>
        </w:rPr>
        <w:t>指单位从同级财政部门取得的财政预算资金。</w:t>
      </w:r>
    </w:p>
    <w:p>
      <w:pPr>
        <w:spacing w:line="580" w:lineRule="exact"/>
        <w:ind w:firstLine="520" w:firstLineChars="162"/>
        <w:rPr>
          <w:rFonts w:ascii="仿宋_GB2312"/>
          <w:szCs w:val="32"/>
        </w:rPr>
      </w:pPr>
      <w:r>
        <w:rPr>
          <w:rFonts w:hint="eastAsia" w:ascii="仿宋_GB2312"/>
          <w:b/>
          <w:szCs w:val="32"/>
        </w:rPr>
        <w:t>二、事业收入：</w:t>
      </w:r>
      <w:r>
        <w:rPr>
          <w:rFonts w:hint="eastAsia" w:ascii="仿宋_GB2312"/>
          <w:szCs w:val="32"/>
        </w:rPr>
        <w:t>指事业单位开展专业业务活动及辅助活动取得的收入。</w:t>
      </w:r>
    </w:p>
    <w:p>
      <w:pPr>
        <w:spacing w:line="580" w:lineRule="exact"/>
        <w:ind w:firstLine="520" w:firstLineChars="162"/>
        <w:rPr>
          <w:rFonts w:ascii="仿宋_GB2312"/>
          <w:szCs w:val="32"/>
        </w:rPr>
      </w:pPr>
      <w:r>
        <w:rPr>
          <w:rFonts w:hint="eastAsia" w:ascii="仿宋_GB2312"/>
          <w:b/>
          <w:szCs w:val="32"/>
        </w:rPr>
        <w:t>三、经营收入：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ascii="仿宋_GB2312"/>
          <w:szCs w:val="32"/>
        </w:rPr>
      </w:pPr>
      <w:r>
        <w:rPr>
          <w:rFonts w:hint="eastAsia" w:ascii="仿宋_GB2312"/>
          <w:b/>
          <w:szCs w:val="32"/>
        </w:rPr>
        <w:t>四、其他收入：</w:t>
      </w:r>
      <w:r>
        <w:rPr>
          <w:rFonts w:hint="eastAsia" w:ascii="仿宋_GB2312"/>
          <w:szCs w:val="32"/>
        </w:rPr>
        <w:t>指单位取得的除上述收入以外的各项收</w:t>
      </w:r>
    </w:p>
    <w:p>
      <w:pPr>
        <w:spacing w:line="580" w:lineRule="exact"/>
        <w:ind w:firstLineChars="0"/>
        <w:rPr>
          <w:rFonts w:ascii="仿宋_GB2312"/>
          <w:szCs w:val="32"/>
        </w:rPr>
      </w:pPr>
      <w:r>
        <w:rPr>
          <w:rFonts w:hint="eastAsia" w:ascii="仿宋_GB2312"/>
          <w:szCs w:val="32"/>
        </w:rPr>
        <w:t>入。主要是按规定动用的售房收入、存款利息收入等。</w:t>
      </w:r>
    </w:p>
    <w:p>
      <w:pPr>
        <w:spacing w:line="580" w:lineRule="exact"/>
        <w:ind w:firstLine="520" w:firstLineChars="162"/>
        <w:rPr>
          <w:rFonts w:ascii="仿宋_GB2312"/>
          <w:szCs w:val="32"/>
        </w:rPr>
      </w:pPr>
      <w:r>
        <w:rPr>
          <w:rFonts w:hint="eastAsia" w:ascii="仿宋_GB2312"/>
          <w:b/>
          <w:szCs w:val="32"/>
        </w:rPr>
        <w:t>五、年初结转和结余：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rPr>
        <w:t>六、基本支出：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ascii="仿宋_GB2312"/>
          <w:szCs w:val="32"/>
        </w:rPr>
      </w:pPr>
    </w:p>
    <w:p>
      <w:pPr>
        <w:spacing w:line="580" w:lineRule="exact"/>
        <w:ind w:firstLine="518" w:firstLineChars="162"/>
        <w:rPr>
          <w:rFonts w:ascii="仿宋_GB2312"/>
          <w:szCs w:val="32"/>
        </w:rPr>
      </w:pPr>
    </w:p>
    <w:p>
      <w:pPr>
        <w:spacing w:line="580" w:lineRule="exact"/>
        <w:ind w:firstLine="518" w:firstLineChars="162"/>
        <w:rPr>
          <w:rFonts w:ascii="仿宋_GB2312"/>
          <w:szCs w:val="32"/>
        </w:rPr>
      </w:pPr>
    </w:p>
    <w:p>
      <w:pPr>
        <w:spacing w:line="580" w:lineRule="exact"/>
        <w:ind w:firstLine="518" w:firstLineChars="162"/>
        <w:rPr>
          <w:rFonts w:ascii="仿宋_GB2312"/>
          <w:szCs w:val="32"/>
        </w:rPr>
      </w:pPr>
    </w:p>
    <w:p>
      <w:pPr>
        <w:spacing w:line="580" w:lineRule="exact"/>
        <w:ind w:firstLine="640"/>
        <w:rPr>
          <w:rFonts w:ascii="仿宋_GB2312"/>
          <w:szCs w:val="32"/>
        </w:rPr>
      </w:pPr>
      <w:r>
        <w:rPr>
          <w:rFonts w:hint="eastAsia" w:ascii="仿宋_GB2312"/>
          <w:szCs w:val="32"/>
        </w:rPr>
        <w:t xml:space="preserve">          单位名称：静乐县重点工程及项目预审中心</w:t>
      </w:r>
    </w:p>
    <w:p>
      <w:pPr>
        <w:ind w:firstLine="4800" w:firstLineChars="1500"/>
      </w:pPr>
      <w:r>
        <w:rPr>
          <w:rFonts w:hint="eastAsia"/>
        </w:rPr>
        <w:t>二〇二二年六月</w:t>
      </w:r>
      <w:r>
        <w:rPr>
          <w:rFonts w:hint="eastAsia"/>
          <w:lang w:eastAsia="zh-CN"/>
        </w:rPr>
        <w:t>六</w:t>
      </w:r>
      <w:r>
        <w:rPr>
          <w:rFonts w:hint="eastAsia"/>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华文中宋">
    <w:altName w:val="宋体"/>
    <w:panose1 w:val="00000000000000000000"/>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4CC00"/>
    <w:multiLevelType w:val="singleLevel"/>
    <w:tmpl w:val="60A4CC00"/>
    <w:lvl w:ilvl="0" w:tentative="0">
      <w:start w:val="2"/>
      <w:numFmt w:val="decimal"/>
      <w:suff w:val="nothing"/>
      <w:lvlText w:val="（%1）"/>
      <w:lvlJc w:val="left"/>
    </w:lvl>
  </w:abstractNum>
  <w:abstractNum w:abstractNumId="1">
    <w:nsid w:val="60A4DC26"/>
    <w:multiLevelType w:val="singleLevel"/>
    <w:tmpl w:val="60A4DC26"/>
    <w:lvl w:ilvl="0" w:tentative="0">
      <w:start w:val="4"/>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495520D0"/>
    <w:rsid w:val="00161CBB"/>
    <w:rsid w:val="00395DF7"/>
    <w:rsid w:val="00500828"/>
    <w:rsid w:val="005243CD"/>
    <w:rsid w:val="00716F40"/>
    <w:rsid w:val="00BE5D29"/>
    <w:rsid w:val="00C27985"/>
    <w:rsid w:val="00C47471"/>
    <w:rsid w:val="00CA2351"/>
    <w:rsid w:val="00F17D17"/>
    <w:rsid w:val="00F63108"/>
    <w:rsid w:val="00F8785C"/>
    <w:rsid w:val="03696819"/>
    <w:rsid w:val="16654CDD"/>
    <w:rsid w:val="1A4A5C33"/>
    <w:rsid w:val="2701594C"/>
    <w:rsid w:val="27426717"/>
    <w:rsid w:val="37943B50"/>
    <w:rsid w:val="3821117E"/>
    <w:rsid w:val="42C12CEC"/>
    <w:rsid w:val="443C7784"/>
    <w:rsid w:val="44401A62"/>
    <w:rsid w:val="495520D0"/>
    <w:rsid w:val="4A012068"/>
    <w:rsid w:val="53A30631"/>
    <w:rsid w:val="5EC01F6A"/>
    <w:rsid w:val="63AB51DF"/>
    <w:rsid w:val="649C6DC9"/>
    <w:rsid w:val="64FC5FAE"/>
    <w:rsid w:val="715A78E4"/>
    <w:rsid w:val="74F715A8"/>
    <w:rsid w:val="77617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paragraph" w:styleId="3">
    <w:name w:val="heading 2"/>
    <w:basedOn w:val="1"/>
    <w:next w:val="1"/>
    <w:unhideWhenUsed/>
    <w:qFormat/>
    <w:uiPriority w:val="0"/>
    <w:pPr>
      <w:keepNext/>
      <w:keepLines/>
      <w:spacing w:line="413" w:lineRule="auto"/>
      <w:outlineLvl w:val="1"/>
    </w:pPr>
    <w:rPr>
      <w:rFonts w:ascii="Arial" w:hAnsi="Arial" w:eastAsia="黑体"/>
      <w:b/>
    </w:rPr>
  </w:style>
  <w:style w:type="character" w:default="1" w:styleId="9">
    <w:name w:val="Default Paragraph Font"/>
    <w:unhideWhenUsed/>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sz w:val="18"/>
      <w:szCs w:val="18"/>
    </w:rPr>
  </w:style>
  <w:style w:type="paragraph" w:styleId="5">
    <w:name w:val="header"/>
    <w:basedOn w:val="1"/>
    <w:qFormat/>
    <w:uiPriority w:val="0"/>
    <w:pPr>
      <w:tabs>
        <w:tab w:val="center" w:pos="4153"/>
        <w:tab w:val="right" w:pos="8306"/>
      </w:tabs>
      <w:snapToGrid w:val="0"/>
      <w:spacing w:line="240" w:lineRule="atLeast"/>
      <w:jc w:val="center"/>
    </w:pPr>
    <w:rPr>
      <w:sz w:val="18"/>
      <w:szCs w:val="18"/>
    </w:rPr>
  </w:style>
  <w:style w:type="paragraph" w:styleId="6">
    <w:name w:val="toc 1"/>
    <w:basedOn w:val="1"/>
    <w:next w:val="1"/>
    <w:qFormat/>
    <w:uiPriority w:val="0"/>
  </w:style>
  <w:style w:type="paragraph" w:styleId="7">
    <w:name w:val="toc 2"/>
    <w:basedOn w:val="1"/>
    <w:next w:val="1"/>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722</Words>
  <Characters>4118</Characters>
  <Lines>34</Lines>
  <Paragraphs>9</Paragraphs>
  <ScaleCrop>false</ScaleCrop>
  <LinksUpToDate>false</LinksUpToDate>
  <CharactersWithSpaces>4831</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2022-08-22T10:20:05Z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