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静乐县行政审批局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4"/>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 w:hAnsi="仿宋" w:eastAsia="仿宋" w:cs="仿宋"/>
          <w:b w:val="0"/>
          <w:bCs/>
          <w:lang w:val="en-US" w:eastAsia="zh-CN"/>
        </w:rPr>
        <w:t xml:space="preserve">    </w:t>
      </w:r>
      <w:r>
        <w:rPr>
          <w:rFonts w:hint="eastAsia" w:ascii="仿宋_GB2312" w:hAnsi="仿宋" w:eastAsia="仿宋_GB2312"/>
          <w:sz w:val="32"/>
          <w:szCs w:val="32"/>
        </w:rPr>
        <w:t>（一）贯彻执行党中央、国务院关于行政审批、政务改革、政务服务、政务信息管理和公共资源交易的方针政策、法律法规及县委、县政府的决策部署。统筹指导、协调、监督、推进全县各级政务服务、公共资源交易体系建设及全县政务改革和管理工作。</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（二）负责组织开展全县政务改革和管理有关重大和长远问题的调查研究，起草规范性文件，组织各级各部门落实县委、县政府重要领域、关键环节的重大政务改革举措。</w:t>
      </w:r>
    </w:p>
    <w:p>
      <w:pPr>
        <w:keepNext w:val="0"/>
        <w:keepLines w:val="0"/>
        <w:pageBreakBefore w:val="0"/>
        <w:widowControl/>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负责推进全县政务服务体系和政务服务标准化建设，制定审批服务运行评价标准，建立相应考核评价机制。负责优化简化线上线下政务服务流程，梳理编制公布“马上办、网上办、就近办、一次办”事项清单，对政务服务事项实行清单化管理，规范政务服务行为。</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(四)负责组织推进全县行政审批制度改革工作，承担县级行政审批制度改革具体工作。负责推进县级相对集中行政许可权改革工作,</w:t>
      </w:r>
      <w:r>
        <w:rPr>
          <w:rFonts w:hint="eastAsia" w:ascii="仿宋_GB2312" w:hAnsi="仿宋" w:eastAsia="仿宋_GB2312"/>
          <w:sz w:val="32"/>
          <w:szCs w:val="32"/>
          <w:lang w:eastAsia="zh-CN"/>
        </w:rPr>
        <w:t>实行</w:t>
      </w:r>
      <w:r>
        <w:rPr>
          <w:rFonts w:hint="eastAsia" w:ascii="仿宋_GB2312" w:hAnsi="仿宋" w:eastAsia="仿宋_GB2312"/>
          <w:sz w:val="32"/>
          <w:szCs w:val="32"/>
        </w:rPr>
        <w:t>“大厅之外无审批”</w:t>
      </w:r>
      <w:r>
        <w:rPr>
          <w:rFonts w:hint="eastAsia" w:ascii="仿宋_GB2312" w:hAnsi="仿宋" w:eastAsia="仿宋_GB2312"/>
          <w:sz w:val="32"/>
          <w:szCs w:val="32"/>
          <w:lang w:eastAsia="zh-CN"/>
        </w:rPr>
        <w:t>、</w:t>
      </w:r>
      <w:r>
        <w:rPr>
          <w:rFonts w:hint="eastAsia" w:ascii="仿宋_GB2312" w:hAnsi="仿宋" w:eastAsia="仿宋_GB2312"/>
          <w:sz w:val="32"/>
          <w:szCs w:val="32"/>
        </w:rPr>
        <w:t>“一枚印章管审批”。</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五)负责统筹协调、指导、监督、推进全县公共资源交易工作。组织指导全县公共资源交易体系建设。统筹推进全县公共资源交易平台建设。负责编制全县公共资源交易、政府采购目录。负责整合建设和管理全县统一的综合评标专家库。</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(六)负责制定行政审批、公共服务、公共资源交易中介服务标准体系,清理规范中介服务事项</w:t>
      </w:r>
      <w:r>
        <w:rPr>
          <w:rFonts w:hint="eastAsia" w:ascii="仿宋_GB2312" w:hAnsi="仿宋" w:eastAsia="仿宋_GB2312"/>
          <w:sz w:val="32"/>
          <w:szCs w:val="32"/>
          <w:lang w:eastAsia="zh-CN"/>
        </w:rPr>
        <w:t>和机构</w:t>
      </w:r>
      <w:r>
        <w:rPr>
          <w:rFonts w:hint="eastAsia" w:ascii="仿宋_GB2312" w:hAnsi="仿宋" w:eastAsia="仿宋_GB2312"/>
          <w:sz w:val="32"/>
          <w:szCs w:val="32"/>
        </w:rPr>
        <w:t>。负责对进入县级政务服务平台和公共资源交易平台中介服务机构的管理、监督工作。负责建设全县中介服务网上交易平台。</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(七)负责统筹推进全县“互联网＋政务服务”工作。负责全县一体化在线政务服务平台建设。承担县级在线政务服务平台的管理、维护工作。</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八)拟订并组织实施全县政务大数据发展应用规划和政策措施。负责推进全县政务信息系统集约建设运维、政府各部门业务协同和政务数据资源融合共享。负责建立完善数据开放平台和标准体系,推动政府数据开放共享利用。承担“政务云”平合建设,建立“政务上云”制度、标准体系。负责统一管理政务数据,统筹规划全县政务服务网络建设,统筹管理县直部门政务信息系统建设项目和资金,推动实现全县域“一平台、一张网、一个库”。</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九）统筹推进全县政务服务平台“互联网＋监管”体系建设。负责整合各类监管信息资源,汇集全县各级监管部门监管业务结果数据。负责对县政府有关部门及其所属单位开展行政审批、公共服务、公共资源交易等工作的行政效能监察。承办、转办和督办行政审批、公共服务和公共资源交易相关投诉举报,组织开展绩效考核。</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（十）承担县人民政府优化营商环境相关职责。</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（十一）完成县委、县人民政府交办的其他事任务。</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（十二）与县编办有关职责分工。县编办负责组织推进和完善政府部门</w:t>
      </w:r>
      <w:r>
        <w:rPr>
          <w:rFonts w:hint="eastAsia" w:ascii="仿宋_GB2312" w:hAnsi="仿宋" w:eastAsia="仿宋_GB2312"/>
          <w:sz w:val="32"/>
          <w:szCs w:val="32"/>
          <w:lang w:eastAsia="zh-CN"/>
        </w:rPr>
        <w:t>、乡镇</w:t>
      </w:r>
      <w:r>
        <w:rPr>
          <w:rFonts w:hint="eastAsia" w:ascii="仿宋_GB2312" w:hAnsi="仿宋" w:eastAsia="仿宋_GB2312"/>
          <w:sz w:val="32"/>
          <w:szCs w:val="32"/>
        </w:rPr>
        <w:t>权责清单制度，统筹协调权责清单管理和执行情况监督。县行政审批服务管理局配合推进和完善权责清单制度，具体承担县级权责清单梳理规范、动态调整等相关管理工作</w:t>
      </w:r>
      <w:r>
        <w:rPr>
          <w:rFonts w:hint="eastAsia" w:ascii="仿宋_GB2312" w:hAnsi="仿宋" w:eastAsia="仿宋_GB2312"/>
          <w:sz w:val="32"/>
          <w:szCs w:val="32"/>
          <w:lang w:eastAsia="zh-CN"/>
        </w:rPr>
        <w:t>，对各部门、各乡镇权责清单管理工作进行指导。</w:t>
      </w:r>
    </w:p>
    <w:p>
      <w:pPr>
        <w:keepNext w:val="0"/>
        <w:keepLines w:val="0"/>
        <w:pageBreakBefore w:val="0"/>
        <w:kinsoku/>
        <w:wordWrap/>
        <w:overflowPunct/>
        <w:topLinePunct w:val="0"/>
        <w:autoSpaceDE/>
        <w:autoSpaceDN/>
        <w:bidi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（十三）</w:t>
      </w:r>
      <w:r>
        <w:rPr>
          <w:rFonts w:hint="eastAsia" w:ascii="仿宋_GB2312" w:hAnsi="仿宋" w:eastAsia="仿宋_GB2312"/>
          <w:sz w:val="32"/>
          <w:szCs w:val="32"/>
          <w:lang w:eastAsia="zh-CN"/>
        </w:rPr>
        <w:t>与划转事项监管部门的职责分工。双方建立审管衔接机制，具体职责分工见审管衔接备忘录。</w:t>
      </w:r>
    </w:p>
    <w:p>
      <w:pPr>
        <w:rPr>
          <w:rFonts w:hint="default" w:eastAsia="仿宋"/>
          <w:lang w:val="en-US" w:eastAsia="zh-CN"/>
        </w:rPr>
      </w:pPr>
      <w:r>
        <w:rPr>
          <w:rFonts w:hint="eastAsia" w:ascii="仿宋_GB2312" w:hAnsi="仿宋" w:eastAsia="仿宋_GB2312"/>
          <w:sz w:val="32"/>
          <w:szCs w:val="32"/>
        </w:rPr>
        <w:t>（</w:t>
      </w:r>
      <w:r>
        <w:rPr>
          <w:rFonts w:hint="eastAsia" w:ascii="仿宋_GB2312" w:hAnsi="仿宋" w:eastAsia="仿宋_GB2312"/>
          <w:sz w:val="32"/>
          <w:szCs w:val="32"/>
          <w:lang w:eastAsia="zh-CN"/>
        </w:rPr>
        <w:t>十四</w:t>
      </w:r>
      <w:r>
        <w:rPr>
          <w:rFonts w:hint="eastAsia" w:ascii="仿宋_GB2312" w:hAnsi="仿宋" w:eastAsia="仿宋_GB2312"/>
          <w:sz w:val="32"/>
          <w:szCs w:val="32"/>
        </w:rPr>
        <w:t>）</w:t>
      </w:r>
      <w:r>
        <w:rPr>
          <w:rFonts w:hint="eastAsia" w:ascii="仿宋_GB2312" w:hAnsi="仿宋" w:eastAsia="仿宋_GB2312"/>
          <w:sz w:val="32"/>
          <w:szCs w:val="32"/>
          <w:lang w:eastAsia="zh-CN"/>
        </w:rPr>
        <w:t>职能转变。</w:t>
      </w:r>
      <w:r>
        <w:rPr>
          <w:rFonts w:hint="eastAsia" w:ascii="仿宋_GB2312" w:hAnsi="仿宋" w:eastAsia="仿宋_GB2312"/>
          <w:sz w:val="32"/>
          <w:szCs w:val="32"/>
        </w:rPr>
        <w:t>根据法律法规和行政审批制度改革有关规定，</w:t>
      </w:r>
      <w:r>
        <w:rPr>
          <w:rFonts w:hint="eastAsia" w:ascii="仿宋_GB2312" w:hAnsi="仿宋" w:eastAsia="仿宋_GB2312"/>
          <w:sz w:val="32"/>
          <w:szCs w:val="32"/>
          <w:lang w:val="en-US" w:eastAsia="zh-CN"/>
        </w:rPr>
        <w:t>对行政审批事项进行精简、归并、优化重组，以企业和群众办好“一件事”为标准，再造审批流程，提升审批效率。实行“一枚印章管审批”，对划转至县行政审批服务管理局的行政审批事项，在事项办理和办结时，加盖“静乐县行政审批服务管理局行政审批专用章”；仍保留部分审批事项的部门，事项的办理办结，由部门加盖行政公章。推进政务服务事项“一网通办”“全程网办”和“最多跑一次”“一次不用跑”改革。</w:t>
      </w:r>
    </w:p>
    <w:p>
      <w:pPr>
        <w:pStyle w:val="4"/>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ind w:firstLine="640" w:firstLineChars="200"/>
        <w:rPr>
          <w:rFonts w:hint="eastAsia" w:ascii="楷体" w:hAnsi="楷体" w:eastAsia="楷体" w:cs="楷体"/>
          <w:b w:val="0"/>
          <w:bCs w:val="0"/>
          <w:sz w:val="32"/>
          <w:szCs w:val="32"/>
          <w:lang w:val="en-US" w:eastAsia="zh-CN"/>
        </w:rPr>
      </w:pPr>
      <w:r>
        <w:rPr>
          <w:rFonts w:hint="eastAsia" w:ascii="仿宋" w:hAnsi="仿宋" w:eastAsia="仿宋" w:cs="仿宋"/>
          <w:b w:val="0"/>
          <w:bCs/>
          <w:lang w:val="en-US" w:eastAsia="zh-CN"/>
        </w:rPr>
        <w:t>1、</w:t>
      </w:r>
      <w:r>
        <w:rPr>
          <w:rFonts w:hint="eastAsia" w:ascii="楷体" w:hAnsi="楷体" w:eastAsia="楷体" w:cs="楷体"/>
          <w:b w:val="0"/>
          <w:bCs w:val="0"/>
          <w:sz w:val="32"/>
          <w:szCs w:val="32"/>
          <w:lang w:val="en-US" w:eastAsia="zh-CN"/>
        </w:rPr>
        <w:t>综合</w:t>
      </w:r>
      <w:r>
        <w:rPr>
          <w:rFonts w:hint="eastAsia" w:ascii="楷体" w:hAnsi="楷体" w:eastAsia="楷体" w:cs="楷体"/>
          <w:b w:val="0"/>
          <w:bCs w:val="0"/>
          <w:sz w:val="32"/>
          <w:szCs w:val="32"/>
        </w:rPr>
        <w:t>办公室</w:t>
      </w:r>
      <w:r>
        <w:rPr>
          <w:rFonts w:hint="eastAsia" w:ascii="楷体" w:hAnsi="楷体" w:eastAsia="楷体" w:cs="楷体"/>
          <w:b w:val="0"/>
          <w:bCs w:val="0"/>
          <w:sz w:val="32"/>
          <w:szCs w:val="32"/>
          <w:lang w:val="en-US" w:eastAsia="zh-CN"/>
        </w:rPr>
        <w:t xml:space="preserve">     2、</w:t>
      </w:r>
      <w:r>
        <w:rPr>
          <w:rFonts w:hint="eastAsia" w:ascii="楷体" w:hAnsi="楷体" w:eastAsia="楷体" w:cs="楷体"/>
          <w:b w:val="0"/>
          <w:bCs w:val="0"/>
          <w:sz w:val="32"/>
          <w:szCs w:val="32"/>
          <w:lang w:eastAsia="zh-CN"/>
        </w:rPr>
        <w:t>商事股</w:t>
      </w:r>
      <w:r>
        <w:rPr>
          <w:rFonts w:hint="eastAsia" w:ascii="楷体" w:hAnsi="楷体" w:eastAsia="楷体" w:cs="楷体"/>
          <w:b w:val="0"/>
          <w:bCs w:val="0"/>
          <w:sz w:val="32"/>
          <w:szCs w:val="32"/>
          <w:lang w:val="en-US" w:eastAsia="zh-CN"/>
        </w:rPr>
        <w:t xml:space="preserve">   3、</w:t>
      </w:r>
      <w:r>
        <w:rPr>
          <w:rFonts w:hint="eastAsia" w:ascii="楷体" w:hAnsi="楷体" w:eastAsia="楷体" w:cs="楷体"/>
          <w:b w:val="0"/>
          <w:bCs w:val="0"/>
          <w:sz w:val="32"/>
          <w:szCs w:val="32"/>
        </w:rPr>
        <w:t>项目</w:t>
      </w:r>
      <w:r>
        <w:rPr>
          <w:rFonts w:hint="eastAsia" w:ascii="楷体" w:hAnsi="楷体" w:eastAsia="楷体" w:cs="楷体"/>
          <w:b w:val="0"/>
          <w:bCs w:val="0"/>
          <w:sz w:val="32"/>
          <w:szCs w:val="32"/>
          <w:lang w:val="en-US" w:eastAsia="zh-CN"/>
        </w:rPr>
        <w:t xml:space="preserve">建设和公用事业股  </w:t>
      </w:r>
    </w:p>
    <w:p>
      <w:pPr>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 xml:space="preserve"> 4、</w:t>
      </w:r>
      <w:r>
        <w:rPr>
          <w:rFonts w:hint="eastAsia" w:ascii="楷体" w:hAnsi="楷体" w:eastAsia="楷体" w:cs="楷体"/>
          <w:b w:val="0"/>
          <w:bCs w:val="0"/>
          <w:sz w:val="32"/>
          <w:szCs w:val="32"/>
        </w:rPr>
        <w:t>社会事务股</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登记注册股</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 xml:space="preserve"> 5、</w:t>
      </w:r>
      <w:r>
        <w:rPr>
          <w:rFonts w:hint="eastAsia" w:ascii="楷体" w:hAnsi="楷体" w:eastAsia="楷体" w:cs="楷体"/>
          <w:b w:val="0"/>
          <w:bCs w:val="0"/>
          <w:sz w:val="32"/>
          <w:szCs w:val="32"/>
        </w:rPr>
        <w:t>农业农村</w:t>
      </w:r>
      <w:r>
        <w:rPr>
          <w:rFonts w:hint="eastAsia" w:ascii="楷体" w:hAnsi="楷体" w:eastAsia="楷体" w:cs="楷体"/>
          <w:b w:val="0"/>
          <w:bCs w:val="0"/>
          <w:sz w:val="32"/>
          <w:szCs w:val="32"/>
          <w:lang w:eastAsia="zh-CN"/>
        </w:rPr>
        <w:t>水务</w:t>
      </w:r>
      <w:r>
        <w:rPr>
          <w:rFonts w:hint="eastAsia" w:ascii="楷体" w:hAnsi="楷体" w:eastAsia="楷体" w:cs="楷体"/>
          <w:b w:val="0"/>
          <w:bCs w:val="0"/>
          <w:sz w:val="32"/>
          <w:szCs w:val="32"/>
        </w:rPr>
        <w:t>股</w:t>
      </w:r>
    </w:p>
    <w:p>
      <w:pPr>
        <w:numPr>
          <w:ilvl w:val="0"/>
          <w:numId w:val="0"/>
        </w:numPr>
        <w:ind w:leftChars="0" w:firstLine="320" w:firstLineChars="100"/>
        <w:jc w:val="left"/>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6、</w:t>
      </w:r>
      <w:r>
        <w:rPr>
          <w:rFonts w:hint="eastAsia" w:ascii="楷体" w:hAnsi="楷体" w:eastAsia="楷体" w:cs="楷体"/>
          <w:b w:val="0"/>
          <w:bCs w:val="0"/>
          <w:color w:val="000000"/>
          <w:sz w:val="32"/>
          <w:szCs w:val="32"/>
          <w:u w:val="none"/>
          <w:lang w:eastAsia="zh-CN"/>
        </w:rPr>
        <w:t>现场勘</w:t>
      </w:r>
      <w:r>
        <w:rPr>
          <w:rFonts w:hint="eastAsia" w:ascii="楷体" w:hAnsi="楷体" w:eastAsia="楷体" w:cs="楷体"/>
          <w:b w:val="0"/>
          <w:bCs w:val="0"/>
          <w:color w:val="000000"/>
          <w:sz w:val="32"/>
          <w:szCs w:val="32"/>
          <w:u w:val="none"/>
          <w:lang w:val="en-US" w:eastAsia="zh-CN"/>
        </w:rPr>
        <w:t>验</w:t>
      </w:r>
      <w:r>
        <w:rPr>
          <w:rFonts w:hint="eastAsia" w:ascii="楷体" w:hAnsi="楷体" w:eastAsia="楷体" w:cs="楷体"/>
          <w:b w:val="0"/>
          <w:bCs w:val="0"/>
          <w:color w:val="000000"/>
          <w:sz w:val="32"/>
          <w:szCs w:val="32"/>
          <w:u w:val="none"/>
          <w:lang w:eastAsia="zh-CN"/>
        </w:rPr>
        <w:t>股</w:t>
      </w:r>
      <w:r>
        <w:rPr>
          <w:rFonts w:hint="eastAsia" w:ascii="楷体" w:hAnsi="楷体" w:eastAsia="楷体" w:cs="楷体"/>
          <w:b w:val="0"/>
          <w:bCs w:val="0"/>
          <w:color w:val="000000"/>
          <w:sz w:val="32"/>
          <w:szCs w:val="32"/>
          <w:u w:val="none"/>
          <w:lang w:val="en-US" w:eastAsia="zh-CN"/>
        </w:rPr>
        <w:t xml:space="preserve">   7、</w:t>
      </w:r>
      <w:r>
        <w:rPr>
          <w:rFonts w:hint="eastAsia" w:ascii="楷体" w:hAnsi="楷体" w:eastAsia="楷体" w:cs="楷体"/>
          <w:b w:val="0"/>
          <w:bCs w:val="0"/>
          <w:sz w:val="32"/>
          <w:szCs w:val="32"/>
          <w:lang w:val="en-US" w:eastAsia="zh-CN"/>
        </w:rPr>
        <w:t>规划管理股  8、</w:t>
      </w:r>
      <w:r>
        <w:rPr>
          <w:rFonts w:hint="eastAsia" w:ascii="楷体" w:hAnsi="楷体" w:eastAsia="楷体" w:cs="楷体"/>
          <w:b w:val="0"/>
          <w:bCs w:val="0"/>
          <w:sz w:val="32"/>
          <w:szCs w:val="32"/>
        </w:rPr>
        <w:t>交通运输股</w:t>
      </w:r>
    </w:p>
    <w:p>
      <w:pPr>
        <w:pStyle w:val="2"/>
        <w:numPr>
          <w:ilvl w:val="0"/>
          <w:numId w:val="0"/>
        </w:numPr>
        <w:ind w:leftChars="0" w:firstLine="360" w:firstLineChars="100"/>
        <w:jc w:val="left"/>
        <w:rPr>
          <w:rStyle w:val="12"/>
          <w:rFonts w:hint="eastAsia" w:ascii="楷体" w:hAnsi="楷体" w:eastAsia="楷体" w:cs="楷体"/>
          <w:b w:val="0"/>
          <w:bCs w:val="0"/>
          <w:color w:val="000000"/>
          <w:kern w:val="2"/>
          <w:sz w:val="32"/>
          <w:szCs w:val="32"/>
          <w:lang w:val="en-US" w:eastAsia="zh-CN" w:bidi="ar-SA"/>
        </w:rPr>
      </w:pPr>
      <w:r>
        <w:rPr>
          <w:rFonts w:hint="eastAsia" w:ascii="楷体" w:hAnsi="楷体" w:eastAsia="楷体" w:cs="楷体"/>
          <w:b w:val="0"/>
          <w:bCs w:val="0"/>
          <w:sz w:val="36"/>
          <w:szCs w:val="36"/>
          <w:lang w:val="en-US" w:eastAsia="zh-CN"/>
        </w:rPr>
        <w:t>9、</w:t>
      </w:r>
      <w:r>
        <w:rPr>
          <w:rFonts w:hint="eastAsia" w:ascii="楷体" w:hAnsi="楷体" w:eastAsia="楷体" w:cs="楷体"/>
          <w:b w:val="0"/>
          <w:bCs w:val="0"/>
          <w:color w:val="000000"/>
          <w:sz w:val="36"/>
          <w:szCs w:val="36"/>
          <w:lang w:val="en-US" w:eastAsia="zh-CN"/>
        </w:rPr>
        <w:t>生态环境股      10、</w:t>
      </w:r>
      <w:r>
        <w:rPr>
          <w:rStyle w:val="12"/>
          <w:rFonts w:hint="eastAsia" w:ascii="楷体" w:hAnsi="楷体" w:eastAsia="楷体" w:cs="楷体"/>
          <w:b w:val="0"/>
          <w:bCs w:val="0"/>
          <w:color w:val="000000"/>
          <w:kern w:val="2"/>
          <w:sz w:val="36"/>
          <w:szCs w:val="36"/>
          <w:lang w:val="en-US" w:eastAsia="zh-CN" w:bidi="ar-SA"/>
        </w:rPr>
        <w:t>政府采购管理股</w:t>
      </w:r>
      <w:r>
        <w:rPr>
          <w:rStyle w:val="12"/>
          <w:rFonts w:hint="eastAsia" w:ascii="楷体" w:hAnsi="楷体" w:eastAsia="楷体" w:cs="楷体"/>
          <w:b w:val="0"/>
          <w:bCs w:val="0"/>
          <w:color w:val="000000"/>
          <w:kern w:val="2"/>
          <w:sz w:val="32"/>
          <w:szCs w:val="32"/>
          <w:lang w:val="en-US" w:eastAsia="zh-CN" w:bidi="ar-SA"/>
        </w:rPr>
        <w:t xml:space="preserve">         </w:t>
      </w:r>
    </w:p>
    <w:p>
      <w:pPr>
        <w:pStyle w:val="2"/>
        <w:numPr>
          <w:ilvl w:val="0"/>
          <w:numId w:val="0"/>
        </w:numPr>
        <w:ind w:leftChars="0" w:firstLine="320" w:firstLineChars="100"/>
        <w:jc w:val="left"/>
        <w:rPr>
          <w:rFonts w:hint="eastAsia" w:ascii="楷体" w:hAnsi="楷体" w:eastAsia="楷体" w:cs="仿宋"/>
          <w:b w:val="0"/>
          <w:bCs w:val="0"/>
          <w:sz w:val="32"/>
          <w:szCs w:val="32"/>
          <w:lang w:val="en-US" w:eastAsia="zh-CN"/>
        </w:rPr>
      </w:pPr>
      <w:r>
        <w:rPr>
          <w:rStyle w:val="12"/>
          <w:rFonts w:hint="eastAsia" w:ascii="楷体" w:hAnsi="楷体" w:eastAsia="楷体" w:cs="楷体"/>
          <w:b w:val="0"/>
          <w:bCs w:val="0"/>
          <w:color w:val="000000"/>
          <w:kern w:val="2"/>
          <w:sz w:val="32"/>
          <w:szCs w:val="32"/>
          <w:lang w:val="en-US" w:eastAsia="zh-CN" w:bidi="ar-SA"/>
        </w:rPr>
        <w:t>11、</w:t>
      </w:r>
      <w:r>
        <w:rPr>
          <w:rFonts w:hint="eastAsia" w:ascii="楷体" w:hAnsi="楷体" w:eastAsia="楷体" w:cs="仿宋"/>
          <w:b w:val="0"/>
          <w:bCs w:val="0"/>
          <w:sz w:val="32"/>
          <w:szCs w:val="32"/>
        </w:rPr>
        <w:t>政务信息</w:t>
      </w:r>
      <w:r>
        <w:rPr>
          <w:rFonts w:hint="eastAsia" w:ascii="楷体" w:hAnsi="楷体" w:eastAsia="楷体" w:cs="仿宋"/>
          <w:b w:val="0"/>
          <w:bCs w:val="0"/>
          <w:sz w:val="32"/>
          <w:szCs w:val="32"/>
          <w:lang w:val="en-US" w:eastAsia="zh-CN"/>
        </w:rPr>
        <w:t>改革</w:t>
      </w:r>
      <w:r>
        <w:rPr>
          <w:rFonts w:hint="eastAsia" w:ascii="楷体" w:hAnsi="楷体" w:eastAsia="楷体" w:cs="仿宋"/>
          <w:b w:val="0"/>
          <w:bCs w:val="0"/>
          <w:sz w:val="32"/>
          <w:szCs w:val="32"/>
        </w:rPr>
        <w:t>股</w:t>
      </w:r>
      <w:r>
        <w:rPr>
          <w:rFonts w:hint="eastAsia" w:ascii="楷体" w:hAnsi="楷体" w:eastAsia="楷体" w:cs="仿宋"/>
          <w:b w:val="0"/>
          <w:bCs w:val="0"/>
          <w:sz w:val="32"/>
          <w:szCs w:val="32"/>
          <w:lang w:eastAsia="zh-CN"/>
        </w:rPr>
        <w:t>（</w:t>
      </w:r>
      <w:r>
        <w:rPr>
          <w:rFonts w:hint="eastAsia" w:ascii="楷体" w:hAnsi="楷体" w:eastAsia="楷体" w:cs="仿宋"/>
          <w:b w:val="0"/>
          <w:bCs w:val="0"/>
          <w:sz w:val="32"/>
          <w:szCs w:val="32"/>
          <w:lang w:val="en-US" w:eastAsia="zh-CN"/>
        </w:rPr>
        <w:t>政策法规宣教股</w:t>
      </w:r>
      <w:r>
        <w:rPr>
          <w:rFonts w:hint="eastAsia" w:ascii="楷体" w:hAnsi="楷体" w:eastAsia="楷体" w:cs="仿宋"/>
          <w:b w:val="0"/>
          <w:bCs w:val="0"/>
          <w:sz w:val="32"/>
          <w:szCs w:val="32"/>
          <w:lang w:eastAsia="zh-CN"/>
        </w:rPr>
        <w:t>）</w:t>
      </w:r>
      <w:r>
        <w:rPr>
          <w:rFonts w:hint="eastAsia" w:ascii="楷体" w:hAnsi="楷体" w:eastAsia="楷体" w:cs="仿宋"/>
          <w:b w:val="0"/>
          <w:bCs w:val="0"/>
          <w:sz w:val="32"/>
          <w:szCs w:val="32"/>
          <w:lang w:val="en-US" w:eastAsia="zh-CN"/>
        </w:rPr>
        <w:t xml:space="preserve"> </w:t>
      </w:r>
    </w:p>
    <w:p>
      <w:pPr>
        <w:pStyle w:val="2"/>
        <w:numPr>
          <w:ilvl w:val="0"/>
          <w:numId w:val="0"/>
        </w:numPr>
        <w:ind w:leftChars="0" w:firstLine="320" w:firstLineChars="100"/>
        <w:jc w:val="left"/>
        <w:rPr>
          <w:rFonts w:hint="eastAsia" w:ascii="楷体" w:hAnsi="楷体" w:eastAsia="楷体" w:cs="楷体"/>
          <w:b w:val="0"/>
          <w:bCs w:val="0"/>
          <w:sz w:val="32"/>
          <w:szCs w:val="32"/>
          <w:lang w:val="en-US" w:eastAsia="zh-CN"/>
        </w:rPr>
      </w:pPr>
      <w:r>
        <w:rPr>
          <w:rFonts w:hint="eastAsia" w:ascii="楷体" w:hAnsi="楷体" w:eastAsia="楷体" w:cs="仿宋"/>
          <w:b w:val="0"/>
          <w:bCs w:val="0"/>
          <w:sz w:val="32"/>
          <w:szCs w:val="32"/>
          <w:lang w:val="en-US" w:eastAsia="zh-CN"/>
        </w:rPr>
        <w:t xml:space="preserve"> 12、</w:t>
      </w:r>
      <w:r>
        <w:rPr>
          <w:rFonts w:hint="eastAsia" w:ascii="楷体" w:hAnsi="楷体" w:eastAsia="楷体" w:cs="楷体"/>
          <w:b w:val="0"/>
          <w:bCs w:val="0"/>
          <w:sz w:val="32"/>
          <w:szCs w:val="32"/>
          <w:lang w:val="en-US" w:eastAsia="zh-CN"/>
        </w:rPr>
        <w:t>综合受理中心</w:t>
      </w:r>
    </w:p>
    <w:p>
      <w:pPr>
        <w:numPr>
          <w:ilvl w:val="0"/>
          <w:numId w:val="0"/>
        </w:numPr>
        <w:ind w:firstLine="640" w:firstLineChars="200"/>
        <w:jc w:val="left"/>
        <w:rPr>
          <w:rFonts w:hint="default"/>
          <w:lang w:val="en-US" w:eastAsia="zh-CN"/>
        </w:rPr>
      </w:pPr>
      <w:r>
        <w:rPr>
          <w:rFonts w:hint="eastAsia" w:ascii="楷体" w:hAnsi="楷体" w:eastAsia="楷体" w:cs="楷体"/>
          <w:b w:val="0"/>
          <w:bCs w:val="0"/>
          <w:sz w:val="32"/>
          <w:szCs w:val="32"/>
          <w:lang w:val="en-US" w:eastAsia="zh-CN"/>
        </w:rPr>
        <w:t>13、</w:t>
      </w:r>
      <w:r>
        <w:rPr>
          <w:rFonts w:hint="eastAsia" w:ascii="楷体" w:hAnsi="楷体" w:eastAsia="楷体" w:cs="楷体"/>
          <w:b w:val="0"/>
          <w:bCs w:val="0"/>
          <w:color w:val="000000"/>
          <w:sz w:val="32"/>
          <w:szCs w:val="32"/>
          <w:u w:val="none"/>
          <w:lang w:eastAsia="zh-CN"/>
        </w:rPr>
        <w:t>网络技术投诉信息管理中心</w:t>
      </w:r>
    </w:p>
    <w:p>
      <w:pPr>
        <w:pStyle w:val="3"/>
        <w:ind w:left="0" w:leftChars="0" w:firstLine="0" w:firstLineChars="0"/>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default" w:ascii="仿宋_GB2312"/>
          <w:szCs w:val="32"/>
          <w:lang w:val="en-US"/>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lang w:val="en-US" w:eastAsia="zh-CN"/>
        </w:rPr>
        <w:t>359.56</w:t>
      </w:r>
      <w:r>
        <w:rPr>
          <w:rFonts w:hint="eastAsia" w:ascii="仿宋_GB2312"/>
          <w:szCs w:val="32"/>
        </w:rPr>
        <w:t>万元、支出总计</w:t>
      </w:r>
      <w:r>
        <w:rPr>
          <w:rFonts w:hint="eastAsia" w:ascii="仿宋_GB2312"/>
          <w:szCs w:val="32"/>
          <w:lang w:val="en-US" w:eastAsia="zh-CN"/>
        </w:rPr>
        <w:t>359.56</w:t>
      </w:r>
      <w:r>
        <w:rPr>
          <w:rFonts w:hint="eastAsia" w:ascii="仿宋_GB2312"/>
          <w:szCs w:val="32"/>
        </w:rPr>
        <w:t>万元。与20</w:t>
      </w:r>
      <w:r>
        <w:rPr>
          <w:rFonts w:hint="eastAsia" w:ascii="仿宋_GB2312"/>
          <w:szCs w:val="32"/>
          <w:lang w:val="en-US" w:eastAsia="zh-CN"/>
        </w:rPr>
        <w:t>20</w:t>
      </w:r>
      <w:r>
        <w:rPr>
          <w:rFonts w:hint="eastAsia" w:ascii="仿宋_GB2312"/>
          <w:szCs w:val="32"/>
        </w:rPr>
        <w:t>年相比，收入总计</w:t>
      </w:r>
      <w:r>
        <w:rPr>
          <w:rFonts w:hint="eastAsia" w:ascii="仿宋_GB2312"/>
          <w:color w:val="auto"/>
          <w:szCs w:val="32"/>
        </w:rPr>
        <w:t>减少</w:t>
      </w:r>
      <w:r>
        <w:rPr>
          <w:rFonts w:hint="eastAsia" w:ascii="仿宋_GB2312"/>
          <w:szCs w:val="32"/>
          <w:lang w:val="en-US" w:eastAsia="zh-CN"/>
        </w:rPr>
        <w:t>391.47</w:t>
      </w:r>
      <w:r>
        <w:rPr>
          <w:rFonts w:hint="eastAsia" w:ascii="仿宋_GB2312"/>
          <w:szCs w:val="32"/>
        </w:rPr>
        <w:t>万元，下降</w:t>
      </w:r>
      <w:r>
        <w:rPr>
          <w:rFonts w:hint="eastAsia" w:ascii="仿宋_GB2312"/>
          <w:szCs w:val="32"/>
          <w:lang w:val="en-US" w:eastAsia="zh-CN"/>
        </w:rPr>
        <w:t>52%</w:t>
      </w:r>
      <w:r>
        <w:rPr>
          <w:rFonts w:hint="eastAsia" w:ascii="仿宋_GB2312"/>
          <w:szCs w:val="32"/>
        </w:rPr>
        <w:t>，</w:t>
      </w:r>
      <w:r>
        <w:rPr>
          <w:rFonts w:ascii="仿宋_GB2312"/>
          <w:szCs w:val="32"/>
        </w:rPr>
        <w:t>支出总计</w:t>
      </w:r>
      <w:r>
        <w:rPr>
          <w:rFonts w:ascii="仿宋_GB2312"/>
          <w:color w:val="auto"/>
          <w:szCs w:val="32"/>
        </w:rPr>
        <w:t>减少</w:t>
      </w:r>
      <w:r>
        <w:rPr>
          <w:rFonts w:hint="eastAsia" w:ascii="仿宋_GB2312"/>
          <w:szCs w:val="32"/>
          <w:lang w:val="en-US" w:eastAsia="zh-CN"/>
        </w:rPr>
        <w:t>391.47</w:t>
      </w:r>
      <w:r>
        <w:rPr>
          <w:rFonts w:hint="eastAsia" w:ascii="仿宋_GB2312"/>
          <w:szCs w:val="32"/>
        </w:rPr>
        <w:t>万元</w:t>
      </w:r>
      <w:r>
        <w:rPr>
          <w:rFonts w:ascii="仿宋_GB2312"/>
          <w:szCs w:val="32"/>
        </w:rPr>
        <w:t>，</w:t>
      </w:r>
      <w:r>
        <w:rPr>
          <w:rFonts w:ascii="仿宋_GB2312"/>
          <w:color w:val="auto"/>
          <w:szCs w:val="32"/>
        </w:rPr>
        <w:t>下降</w:t>
      </w:r>
      <w:r>
        <w:rPr>
          <w:rFonts w:hint="eastAsia" w:ascii="仿宋_GB2312"/>
          <w:szCs w:val="32"/>
          <w:lang w:val="en-US" w:eastAsia="zh-CN"/>
        </w:rPr>
        <w:t>52%</w:t>
      </w:r>
      <w:r>
        <w:rPr>
          <w:rFonts w:hint="eastAsia" w:ascii="仿宋_GB2312"/>
          <w:szCs w:val="32"/>
        </w:rPr>
        <w:t>。主要原因是</w:t>
      </w:r>
      <w:r>
        <w:rPr>
          <w:rFonts w:hint="eastAsia" w:ascii="仿宋_GB2312"/>
          <w:szCs w:val="32"/>
          <w:lang w:val="en-US" w:eastAsia="zh-CN"/>
        </w:rPr>
        <w:t>上年度有智能化大厅和餐厅食堂建设项目支出，本年度没有。</w:t>
      </w:r>
    </w:p>
    <w:p>
      <w:pPr>
        <w:pStyle w:val="4"/>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lang w:val="en-US" w:eastAsia="zh-CN"/>
        </w:rPr>
      </w:pPr>
      <w:bookmarkStart w:id="15" w:name="_Toc9596"/>
      <w:bookmarkStart w:id="16" w:name="_Toc22098"/>
      <w:r>
        <w:rPr>
          <w:rFonts w:hint="eastAsia" w:ascii="仿宋_GB2312"/>
          <w:szCs w:val="32"/>
          <w:lang w:val="en-US" w:eastAsia="zh-CN"/>
        </w:rPr>
        <w:t>本年收入合计359.56万元，其中：财政拨款收入359.56万元，占比100%；上级补助收入0万元，占比0%；事业收入0万元，占比0%；经营收入0万元，占比0%。附属单位上缴收入0万元，占比0%；其他收入0万元，占比0%。</w:t>
      </w:r>
    </w:p>
    <w:p>
      <w:pPr>
        <w:pStyle w:val="4"/>
        <w:rPr>
          <w:rFonts w:hint="eastAsia" w:ascii="仿宋" w:hAnsi="仿宋" w:eastAsia="仿宋" w:cs="仿宋"/>
          <w:b/>
          <w:bCs w:val="0"/>
          <w:lang w:val="en-US" w:eastAsia="zh-CN"/>
        </w:rPr>
      </w:pPr>
      <w:r>
        <w:rPr>
          <w:rFonts w:hint="eastAsia" w:ascii="仿宋" w:hAnsi="仿宋" w:eastAsia="仿宋" w:cs="仿宋"/>
          <w:b/>
          <w:bCs w:val="0"/>
          <w:lang w:val="en-US" w:eastAsia="zh-CN"/>
        </w:rPr>
        <w:t>三、支出决算情况说明</w:t>
      </w:r>
      <w:bookmarkEnd w:id="15"/>
      <w:bookmarkEnd w:id="16"/>
    </w:p>
    <w:p>
      <w:pPr>
        <w:pStyle w:val="4"/>
        <w:rPr>
          <w:rFonts w:hint="eastAsia" w:ascii="仿宋" w:hAnsi="仿宋" w:eastAsia="仿宋" w:cs="仿宋"/>
          <w:b w:val="0"/>
          <w:bCs/>
          <w:lang w:val="en-US" w:eastAsia="zh-CN"/>
        </w:rPr>
      </w:pPr>
      <w:bookmarkStart w:id="17" w:name="_Toc2142"/>
      <w:bookmarkStart w:id="18" w:name="_Toc4614"/>
      <w:r>
        <w:rPr>
          <w:rFonts w:hint="eastAsia" w:ascii="仿宋" w:hAnsi="仿宋" w:eastAsia="仿宋" w:cs="仿宋"/>
          <w:b w:val="0"/>
          <w:bCs/>
          <w:szCs w:val="32"/>
          <w:lang w:val="en-US" w:eastAsia="zh-CN"/>
        </w:rPr>
        <w:t>本年支出合计359.56万元，其中：基本支出305.66万元，占比85%；项目支出53.9万元，占比15%，上缴上级支出0万元，占比0%，经营支出0万元，占比0%,对附属单位补助支出0万元，占比0%</w:t>
      </w:r>
      <w:bookmarkEnd w:id="17"/>
      <w:bookmarkEnd w:id="18"/>
      <w:r>
        <w:rPr>
          <w:rFonts w:hint="eastAsia" w:ascii="仿宋" w:hAnsi="仿宋" w:eastAsia="仿宋" w:cs="仿宋"/>
          <w:b w:val="0"/>
          <w:bCs/>
          <w:szCs w:val="32"/>
          <w:lang w:val="en-US" w:eastAsia="zh-CN"/>
        </w:rPr>
        <w:t>。</w:t>
      </w:r>
    </w:p>
    <w:p>
      <w:pPr>
        <w:spacing w:line="580" w:lineRule="exact"/>
        <w:ind w:firstLine="643"/>
        <w:outlineLvl w:val="1"/>
        <w:rPr>
          <w:rFonts w:hint="eastAsia" w:ascii="仿宋" w:hAnsi="仿宋" w:eastAsia="仿宋" w:cs="仿宋"/>
          <w:b/>
          <w:szCs w:val="32"/>
        </w:rPr>
      </w:pPr>
      <w:bookmarkStart w:id="19" w:name="_Toc29432"/>
      <w:bookmarkStart w:id="20" w:name="_Toc17586"/>
      <w:r>
        <w:rPr>
          <w:rFonts w:hint="eastAsia" w:ascii="仿宋" w:hAnsi="仿宋" w:eastAsia="仿宋" w:cs="仿宋"/>
          <w:b/>
          <w:szCs w:val="32"/>
        </w:rPr>
        <w:t>四、财政拨款收入支出决算总体情况说明</w:t>
      </w:r>
      <w:bookmarkEnd w:id="19"/>
      <w:bookmarkEnd w:id="20"/>
    </w:p>
    <w:p>
      <w:pPr>
        <w:spacing w:line="580" w:lineRule="exact"/>
        <w:ind w:firstLine="640"/>
        <w:rPr>
          <w:rFonts w:hint="eastAsia" w:ascii="仿宋_GB2312"/>
          <w:szCs w:val="32"/>
        </w:rPr>
      </w:pPr>
      <w:r>
        <w:rPr>
          <w:rFonts w:hint="eastAsia" w:ascii="仿宋_GB2312"/>
          <w:szCs w:val="32"/>
          <w:lang w:val="en-US" w:eastAsia="zh-CN"/>
        </w:rPr>
        <w:t>2021年度财政拨款收入总计359.56元、支出总计359.56元。与2020年相比，财政拨款收入总计减少了391.47万元，减少52%，</w:t>
      </w:r>
      <w:r>
        <w:rPr>
          <w:rFonts w:hint="eastAsia" w:ascii="仿宋_GB2312"/>
          <w:szCs w:val="32"/>
        </w:rPr>
        <w:t>。</w:t>
      </w:r>
    </w:p>
    <w:p>
      <w:pPr>
        <w:pStyle w:val="4"/>
        <w:rPr>
          <w:rFonts w:hint="eastAsia" w:ascii="仿宋" w:hAnsi="仿宋" w:eastAsia="仿宋" w:cs="仿宋"/>
          <w:b/>
          <w:bCs w:val="0"/>
          <w:lang w:val="en-US" w:eastAsia="zh-CN"/>
        </w:rPr>
      </w:pPr>
      <w:bookmarkStart w:id="21" w:name="_Toc6501"/>
      <w:bookmarkStart w:id="22" w:name="_Toc9341"/>
      <w:r>
        <w:rPr>
          <w:rFonts w:hint="eastAsia" w:ascii="仿宋" w:hAnsi="仿宋" w:eastAsia="仿宋" w:cs="仿宋"/>
          <w:b/>
          <w:bCs w:val="0"/>
          <w:lang w:val="en-US" w:eastAsia="zh-CN"/>
        </w:rPr>
        <w:t>五、一般公共预算财政拨款支出决算情况说明</w:t>
      </w:r>
      <w:bookmarkEnd w:id="21"/>
      <w:bookmarkEnd w:id="22"/>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default" w:ascii="仿宋_GB2312"/>
          <w:szCs w:val="32"/>
          <w:lang w:val="en-US" w:eastAsia="zh-CN"/>
        </w:rPr>
      </w:pPr>
      <w:r>
        <w:rPr>
          <w:rFonts w:hint="eastAsia" w:ascii="仿宋_GB2312"/>
          <w:szCs w:val="32"/>
          <w:lang w:val="en-US" w:eastAsia="zh-CN"/>
        </w:rPr>
        <w:t>2021年度财政拨款支出359.56万元，占本年支出合计的100%。与2020年相比，财政拨款支出减少391.47万元，减少52%。主要原因是上年度有智能化大厅和餐厅食堂建设项目支出，本年度没有。</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szCs w:val="32"/>
          <w:lang w:val="en-US" w:eastAsia="zh-CN"/>
        </w:rPr>
      </w:pPr>
      <w:r>
        <w:rPr>
          <w:rFonts w:hint="eastAsia" w:ascii="仿宋_GB2312"/>
          <w:szCs w:val="32"/>
          <w:lang w:val="en-US" w:eastAsia="zh-CN"/>
        </w:rPr>
        <w:t>2021年度财政拨款支出359.56万元，主要用于以下方面：基本支出305.66万元，占85%；资本支出：53.9万元，占15%。</w:t>
      </w:r>
    </w:p>
    <w:p>
      <w:pPr>
        <w:spacing w:line="580" w:lineRule="exact"/>
        <w:ind w:left="0" w:leftChars="0" w:firstLine="643" w:firstLineChars="200"/>
        <w:rPr>
          <w:rFonts w:hint="eastAsia" w:ascii="仿宋_GB2312"/>
          <w:b/>
          <w:szCs w:val="32"/>
        </w:rPr>
      </w:pPr>
      <w:r>
        <w:rPr>
          <w:rFonts w:hint="eastAsia" w:ascii="仿宋_GB2312"/>
          <w:b/>
          <w:szCs w:val="32"/>
        </w:rPr>
        <w:t>（三）财政拨款支出决算具体情况</w:t>
      </w:r>
    </w:p>
    <w:p>
      <w:pPr>
        <w:numPr>
          <w:ilvl w:val="0"/>
          <w:numId w:val="0"/>
        </w:numPr>
        <w:ind w:firstLine="640" w:firstLineChars="200"/>
        <w:jc w:val="left"/>
        <w:rPr>
          <w:rFonts w:hint="eastAsia" w:ascii="仿宋" w:hAnsi="仿宋" w:eastAsia="仿宋" w:cs="仿宋"/>
          <w:sz w:val="32"/>
          <w:szCs w:val="32"/>
        </w:rPr>
      </w:pPr>
      <w:r>
        <w:rPr>
          <w:rFonts w:hint="eastAsia" w:ascii="仿宋_GB2312"/>
          <w:szCs w:val="32"/>
          <w:lang w:val="en-US" w:eastAsia="zh-CN"/>
        </w:rPr>
        <w:t>2021年度财政拨款支出年初预算359.56万元。支出决算359.56万元。完成年初预算的100%。其中：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2801"/>
        <w:gridCol w:w="1563"/>
        <w:gridCol w:w="1687"/>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591"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rPr>
                <w:rFonts w:hint="eastAsia" w:ascii="宋体" w:hAnsi="宋体" w:cs="Arial"/>
                <w:b/>
                <w:color w:val="000000"/>
                <w:kern w:val="0"/>
                <w:sz w:val="28"/>
                <w:szCs w:val="28"/>
              </w:rPr>
            </w:pPr>
            <w:r>
              <w:rPr>
                <w:rFonts w:hint="eastAsia" w:ascii="宋体" w:hAnsi="宋体" w:cs="Arial"/>
                <w:b/>
                <w:color w:val="000000"/>
                <w:kern w:val="0"/>
                <w:sz w:val="28"/>
                <w:szCs w:val="28"/>
              </w:rPr>
              <w:t>科目代码</w:t>
            </w:r>
          </w:p>
        </w:tc>
        <w:tc>
          <w:tcPr>
            <w:tcW w:w="2801" w:type="dxa"/>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cs="Arial"/>
                <w:b/>
                <w:color w:val="000000"/>
                <w:kern w:val="0"/>
                <w:sz w:val="28"/>
                <w:szCs w:val="28"/>
              </w:rPr>
            </w:pPr>
            <w:r>
              <w:rPr>
                <w:rFonts w:hint="eastAsia" w:ascii="宋体" w:hAnsi="宋体" w:cs="Arial"/>
                <w:b/>
                <w:color w:val="000000"/>
                <w:kern w:val="0"/>
                <w:sz w:val="28"/>
                <w:szCs w:val="28"/>
              </w:rPr>
              <w:t>科目名称</w:t>
            </w:r>
          </w:p>
        </w:tc>
        <w:tc>
          <w:tcPr>
            <w:tcW w:w="1563"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both"/>
              <w:rPr>
                <w:rFonts w:hint="eastAsia" w:ascii="宋体" w:hAnsi="宋体" w:eastAsia="宋体" w:cs="Arial"/>
                <w:b/>
                <w:color w:val="000000"/>
                <w:kern w:val="0"/>
                <w:sz w:val="28"/>
                <w:szCs w:val="28"/>
                <w:lang w:val="en-US" w:eastAsia="zh-CN"/>
              </w:rPr>
            </w:pPr>
            <w:r>
              <w:rPr>
                <w:rFonts w:hint="eastAsia" w:ascii="宋体" w:hAnsi="宋体" w:cs="Arial"/>
                <w:b/>
                <w:color w:val="000000"/>
                <w:kern w:val="0"/>
                <w:sz w:val="28"/>
                <w:szCs w:val="28"/>
                <w:lang w:val="en-US" w:eastAsia="zh-CN"/>
              </w:rPr>
              <w:t>2020年</w:t>
            </w:r>
          </w:p>
        </w:tc>
        <w:tc>
          <w:tcPr>
            <w:tcW w:w="1687"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both"/>
              <w:rPr>
                <w:rFonts w:hint="default" w:ascii="宋体" w:hAnsi="宋体" w:eastAsia="宋体" w:cs="Arial"/>
                <w:b/>
                <w:color w:val="000000"/>
                <w:kern w:val="0"/>
                <w:sz w:val="28"/>
                <w:szCs w:val="28"/>
                <w:lang w:val="en-US" w:eastAsia="zh-CN"/>
              </w:rPr>
            </w:pPr>
            <w:r>
              <w:rPr>
                <w:rFonts w:hint="eastAsia" w:ascii="宋体" w:hAnsi="宋体" w:eastAsia="宋体" w:cs="Arial"/>
                <w:b/>
                <w:color w:val="000000"/>
                <w:kern w:val="0"/>
                <w:sz w:val="28"/>
                <w:szCs w:val="28"/>
                <w:lang w:val="en-US" w:eastAsia="zh-CN"/>
              </w:rPr>
              <w:t>2021年</w:t>
            </w:r>
          </w:p>
        </w:tc>
        <w:tc>
          <w:tcPr>
            <w:tcW w:w="1396" w:type="dxa"/>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rPr>
                <w:rFonts w:hint="eastAsia" w:ascii="宋体" w:hAnsi="宋体" w:eastAsia="宋体" w:cs="Arial"/>
                <w:b/>
                <w:color w:val="000000"/>
                <w:kern w:val="0"/>
                <w:sz w:val="28"/>
                <w:szCs w:val="28"/>
                <w:lang w:eastAsia="zh-CN"/>
              </w:rPr>
            </w:pPr>
            <w:r>
              <w:rPr>
                <w:rFonts w:hint="eastAsia" w:ascii="宋体" w:hAnsi="宋体" w:cs="Arial"/>
                <w:b/>
                <w:color w:val="000000"/>
                <w:kern w:val="0"/>
                <w:sz w:val="28"/>
                <w:szCs w:val="28"/>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591"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201</w:t>
            </w:r>
          </w:p>
        </w:tc>
        <w:tc>
          <w:tcPr>
            <w:tcW w:w="2801"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一般公共服务支出</w:t>
            </w:r>
          </w:p>
        </w:tc>
        <w:tc>
          <w:tcPr>
            <w:tcW w:w="156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751.03</w:t>
            </w:r>
          </w:p>
        </w:tc>
        <w:tc>
          <w:tcPr>
            <w:tcW w:w="16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rPr>
            </w:pPr>
            <w:r>
              <w:rPr>
                <w:rFonts w:hint="eastAsia" w:ascii="仿宋_GB2312"/>
                <w:sz w:val="28"/>
                <w:szCs w:val="28"/>
                <w:lang w:val="en-US" w:eastAsia="zh-CN"/>
              </w:rPr>
              <w:t>359.56</w:t>
            </w:r>
          </w:p>
        </w:tc>
        <w:tc>
          <w:tcPr>
            <w:tcW w:w="1396"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000000"/>
                <w:sz w:val="28"/>
                <w:szCs w:val="28"/>
                <w:lang w:val="en-US" w:eastAsia="zh-CN"/>
              </w:rPr>
            </w:pPr>
            <w:r>
              <w:rPr>
                <w:rFonts w:hint="eastAsia" w:ascii="仿宋_GB2312"/>
                <w:sz w:val="28"/>
                <w:szCs w:val="28"/>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7" w:hRule="atLeast"/>
          <w:jc w:val="center"/>
        </w:trPr>
        <w:tc>
          <w:tcPr>
            <w:tcW w:w="1591"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20103</w:t>
            </w:r>
          </w:p>
        </w:tc>
        <w:tc>
          <w:tcPr>
            <w:tcW w:w="2801" w:type="dxa"/>
            <w:vAlign w:val="center"/>
          </w:tcPr>
          <w:p>
            <w:pPr>
              <w:keepNext w:val="0"/>
              <w:keepLines w:val="0"/>
              <w:pageBreakBefore w:val="0"/>
              <w:kinsoku/>
              <w:wordWrap/>
              <w:overflowPunct/>
              <w:topLinePunct w:val="0"/>
              <w:autoSpaceDE/>
              <w:autoSpaceDN/>
              <w:bidi w:val="0"/>
              <w:adjustRightInd/>
              <w:snapToGrid/>
              <w:spacing w:line="400" w:lineRule="exact"/>
              <w:ind w:left="280" w:leftChars="0" w:hanging="280" w:hangingChars="10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政府办公厅（室）及相关机构事务</w:t>
            </w:r>
          </w:p>
        </w:tc>
        <w:tc>
          <w:tcPr>
            <w:tcW w:w="156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141.89</w:t>
            </w:r>
          </w:p>
        </w:tc>
        <w:tc>
          <w:tcPr>
            <w:tcW w:w="16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305.66</w:t>
            </w:r>
          </w:p>
        </w:tc>
        <w:tc>
          <w:tcPr>
            <w:tcW w:w="1396"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1591"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2070399</w:t>
            </w:r>
          </w:p>
        </w:tc>
        <w:tc>
          <w:tcPr>
            <w:tcW w:w="2801"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资本项目支出</w:t>
            </w:r>
          </w:p>
        </w:tc>
        <w:tc>
          <w:tcPr>
            <w:tcW w:w="1563" w:type="dxa"/>
            <w:vAlign w:val="center"/>
          </w:tcPr>
          <w:p>
            <w:pPr>
              <w:keepNext w:val="0"/>
              <w:keepLines w:val="0"/>
              <w:pageBreakBefore w:val="0"/>
              <w:widowControl/>
              <w:suppressLineNumbers w:val="0"/>
              <w:tabs>
                <w:tab w:val="left" w:pos="416"/>
              </w:tabs>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547.4</w:t>
            </w:r>
          </w:p>
        </w:tc>
        <w:tc>
          <w:tcPr>
            <w:tcW w:w="168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53.9</w:t>
            </w:r>
          </w:p>
        </w:tc>
        <w:tc>
          <w:tcPr>
            <w:tcW w:w="1396" w:type="dxa"/>
            <w:vAlign w:val="center"/>
          </w:tcPr>
          <w:p>
            <w:pPr>
              <w:keepNext w:val="0"/>
              <w:keepLines w:val="0"/>
              <w:pageBreakBefore w:val="0"/>
              <w:kinsoku/>
              <w:wordWrap/>
              <w:overflowPunct/>
              <w:topLinePunct w:val="0"/>
              <w:autoSpaceDE/>
              <w:autoSpaceDN/>
              <w:bidi w:val="0"/>
              <w:adjustRightInd/>
              <w:snapToGrid/>
              <w:spacing w:line="400" w:lineRule="exact"/>
              <w:ind w:left="0" w:leftChars="0" w:firstLine="0" w:firstLineChars="0"/>
              <w:jc w:val="center"/>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-90.15%</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9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8"/>
        <w:gridCol w:w="1883"/>
        <w:gridCol w:w="2122"/>
        <w:gridCol w:w="2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83"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2020年</w:t>
            </w:r>
          </w:p>
        </w:tc>
        <w:tc>
          <w:tcPr>
            <w:tcW w:w="2122"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2021年</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8"/>
                <w:szCs w:val="28"/>
                <w:lang w:eastAsia="zh-CN"/>
              </w:rPr>
              <w:t>增减变化</w:t>
            </w:r>
            <w:r>
              <w:rPr>
                <w:rFonts w:hint="eastAsia" w:ascii="仿宋" w:hAnsi="仿宋" w:eastAsia="仿宋" w:cs="仿宋"/>
                <w:b/>
                <w:color w:val="000000"/>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83"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highlight w:val="none"/>
                <w:lang w:val="en-US" w:eastAsia="zh-CN"/>
              </w:rPr>
              <w:t>751.03</w:t>
            </w:r>
          </w:p>
        </w:tc>
        <w:tc>
          <w:tcPr>
            <w:tcW w:w="2122" w:type="dxa"/>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default" w:ascii="仿宋" w:hAnsi="仿宋" w:eastAsia="仿宋" w:cs="仿宋"/>
                <w:color w:val="auto"/>
                <w:kern w:val="0"/>
                <w:sz w:val="28"/>
                <w:szCs w:val="28"/>
                <w:lang w:val="en-US"/>
              </w:rPr>
            </w:pPr>
            <w:r>
              <w:rPr>
                <w:rFonts w:hint="eastAsia" w:ascii="仿宋_GB2312"/>
                <w:color w:val="auto"/>
                <w:sz w:val="28"/>
                <w:szCs w:val="28"/>
                <w:lang w:val="en-US" w:eastAsia="zh-CN"/>
              </w:rPr>
              <w:t>359.56</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83" w:type="dxa"/>
            <w:vAlign w:val="center"/>
          </w:tcPr>
          <w:p>
            <w:pPr>
              <w:keepNext w:val="0"/>
              <w:keepLines w:val="0"/>
              <w:pageBreakBefore w:val="0"/>
              <w:widowControl/>
              <w:tabs>
                <w:tab w:val="left" w:pos="392"/>
              </w:tabs>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61.74</w:t>
            </w:r>
          </w:p>
        </w:tc>
        <w:tc>
          <w:tcPr>
            <w:tcW w:w="2122" w:type="dxa"/>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177.35</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83"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141.89</w:t>
            </w:r>
          </w:p>
        </w:tc>
        <w:tc>
          <w:tcPr>
            <w:tcW w:w="2122" w:type="dxa"/>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128.31</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83"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122"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jc w:val="center"/>
        </w:trPr>
        <w:tc>
          <w:tcPr>
            <w:tcW w:w="2948"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83"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547.4</w:t>
            </w:r>
          </w:p>
        </w:tc>
        <w:tc>
          <w:tcPr>
            <w:tcW w:w="2122" w:type="dxa"/>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53.9</w:t>
            </w:r>
          </w:p>
        </w:tc>
        <w:tc>
          <w:tcPr>
            <w:tcW w:w="2005" w:type="dxa"/>
            <w:vAlign w:val="center"/>
          </w:tcPr>
          <w:p>
            <w:pPr>
              <w:keepNext w:val="0"/>
              <w:keepLines w:val="0"/>
              <w:pageBreakBefore w:val="0"/>
              <w:widowControl/>
              <w:kinsoku/>
              <w:wordWrap/>
              <w:overflowPunct/>
              <w:topLinePunct w:val="0"/>
              <w:autoSpaceDE/>
              <w:autoSpaceDN/>
              <w:bidi w:val="0"/>
              <w:adjustRightInd/>
              <w:snapToGrid/>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-90.15%</w:t>
            </w:r>
          </w:p>
        </w:tc>
      </w:tr>
    </w:tbl>
    <w:p>
      <w:pPr>
        <w:pStyle w:val="4"/>
        <w:rPr>
          <w:rFonts w:hint="eastAsia" w:ascii="仿宋" w:hAnsi="仿宋" w:eastAsia="仿宋" w:cs="仿宋"/>
          <w:b/>
          <w:bCs w:val="0"/>
          <w:lang w:val="en-US" w:eastAsia="zh-CN"/>
        </w:rPr>
      </w:pPr>
      <w:bookmarkStart w:id="23" w:name="_Toc841"/>
      <w:bookmarkStart w:id="24" w:name="_Toc17728"/>
      <w:r>
        <w:rPr>
          <w:rFonts w:hint="eastAsia" w:ascii="仿宋" w:hAnsi="仿宋" w:eastAsia="仿宋" w:cs="仿宋"/>
          <w:b/>
          <w:bCs w:val="0"/>
          <w:lang w:val="en-US" w:eastAsia="zh-CN"/>
        </w:rPr>
        <w:t>六、一般公共预算财政拨款基本支出决算情况说明</w:t>
      </w:r>
      <w:bookmarkEnd w:id="23"/>
      <w:bookmarkEnd w:id="24"/>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305.66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135.22</w:t>
      </w:r>
      <w:r>
        <w:rPr>
          <w:rFonts w:hint="eastAsia" w:ascii="仿宋_GB2312"/>
          <w:szCs w:val="32"/>
        </w:rPr>
        <w:t>万元</w:t>
      </w:r>
      <w:r>
        <w:rPr>
          <w:rFonts w:ascii="仿宋_GB2312"/>
          <w:szCs w:val="32"/>
        </w:rPr>
        <w:t>，</w:t>
      </w:r>
      <w:r>
        <w:rPr>
          <w:rFonts w:hint="eastAsia" w:ascii="仿宋_GB2312"/>
          <w:szCs w:val="32"/>
          <w:lang w:val="en-US" w:eastAsia="zh-CN"/>
        </w:rPr>
        <w:t>工资福利支出42.13万元，</w:t>
      </w:r>
      <w:r>
        <w:rPr>
          <w:rFonts w:hint="eastAsia" w:ascii="仿宋_GB2312"/>
          <w:szCs w:val="32"/>
        </w:rPr>
        <w:t>公</w:t>
      </w:r>
      <w:r>
        <w:rPr>
          <w:rFonts w:hint="eastAsia" w:ascii="仿宋_GB2312"/>
          <w:spacing w:val="-6"/>
          <w:sz w:val="32"/>
          <w:szCs w:val="32"/>
        </w:rPr>
        <w:t>用</w:t>
      </w:r>
      <w:r>
        <w:rPr>
          <w:rFonts w:ascii="仿宋_GB2312"/>
          <w:spacing w:val="-6"/>
          <w:sz w:val="32"/>
          <w:szCs w:val="32"/>
        </w:rPr>
        <w:t>经费</w:t>
      </w:r>
      <w:r>
        <w:rPr>
          <w:rFonts w:hint="eastAsia" w:ascii="仿宋_GB2312"/>
          <w:spacing w:val="-6"/>
          <w:sz w:val="32"/>
          <w:szCs w:val="32"/>
          <w:lang w:val="en-US" w:eastAsia="zh-CN"/>
        </w:rPr>
        <w:t>128.31</w:t>
      </w:r>
      <w:r>
        <w:rPr>
          <w:rFonts w:hint="eastAsia" w:ascii="仿宋_GB2312"/>
          <w:spacing w:val="-6"/>
          <w:sz w:val="32"/>
          <w:szCs w:val="32"/>
        </w:rPr>
        <w:t>万元</w:t>
      </w:r>
      <w:r>
        <w:rPr>
          <w:rFonts w:ascii="仿宋_GB2312"/>
          <w:spacing w:val="-6"/>
          <w:sz w:val="32"/>
          <w:szCs w:val="32"/>
        </w:rPr>
        <w:t>。</w:t>
      </w:r>
      <w:r>
        <w:rPr>
          <w:rFonts w:hint="eastAsia" w:ascii="仿宋_GB2312"/>
          <w:spacing w:val="-6"/>
          <w:sz w:val="32"/>
          <w:szCs w:val="32"/>
        </w:rPr>
        <w:t>20</w:t>
      </w:r>
      <w:r>
        <w:rPr>
          <w:rFonts w:hint="eastAsia" w:ascii="仿宋_GB2312"/>
          <w:spacing w:val="-6"/>
          <w:sz w:val="32"/>
          <w:szCs w:val="32"/>
          <w:lang w:val="en-US" w:eastAsia="zh-CN"/>
        </w:rPr>
        <w:t>21</w:t>
      </w:r>
      <w:r>
        <w:rPr>
          <w:rFonts w:hint="eastAsia" w:ascii="仿宋_GB2312"/>
          <w:spacing w:val="-6"/>
          <w:sz w:val="32"/>
          <w:szCs w:val="32"/>
        </w:rPr>
        <w:t>年度</w:t>
      </w:r>
      <w:r>
        <w:rPr>
          <w:rFonts w:ascii="仿宋_GB2312"/>
          <w:spacing w:val="-6"/>
          <w:sz w:val="32"/>
          <w:szCs w:val="32"/>
        </w:rPr>
        <w:t>财政拨款</w:t>
      </w:r>
      <w:r>
        <w:rPr>
          <w:rFonts w:hint="eastAsia" w:ascii="仿宋_GB2312"/>
          <w:spacing w:val="-6"/>
          <w:sz w:val="32"/>
          <w:szCs w:val="32"/>
          <w:lang w:val="en-US" w:eastAsia="zh-CN"/>
        </w:rPr>
        <w:t>项目</w:t>
      </w:r>
      <w:r>
        <w:rPr>
          <w:rFonts w:ascii="仿宋_GB2312"/>
          <w:spacing w:val="-6"/>
          <w:sz w:val="32"/>
          <w:szCs w:val="32"/>
        </w:rPr>
        <w:t>支出</w:t>
      </w:r>
      <w:r>
        <w:rPr>
          <w:rFonts w:hint="eastAsia" w:ascii="仿宋_GB2312"/>
          <w:spacing w:val="-6"/>
          <w:sz w:val="32"/>
          <w:szCs w:val="32"/>
          <w:lang w:val="en-US" w:eastAsia="zh-CN"/>
        </w:rPr>
        <w:t>53.9</w:t>
      </w:r>
      <w:r>
        <w:rPr>
          <w:rFonts w:hint="eastAsia" w:ascii="仿宋_GB2312"/>
          <w:spacing w:val="-6"/>
          <w:sz w:val="32"/>
          <w:szCs w:val="32"/>
        </w:rPr>
        <w:t>万元</w:t>
      </w:r>
      <w:r>
        <w:rPr>
          <w:rFonts w:hint="eastAsia" w:ascii="仿宋_GB2312"/>
          <w:spacing w:val="-6"/>
          <w:sz w:val="32"/>
          <w:szCs w:val="32"/>
          <w:lang w:eastAsia="zh-CN"/>
        </w:rPr>
        <w:t>。</w:t>
      </w:r>
    </w:p>
    <w:p>
      <w:pPr>
        <w:pStyle w:val="4"/>
        <w:rPr>
          <w:rFonts w:hint="eastAsia" w:ascii="仿宋" w:hAnsi="仿宋" w:eastAsia="仿宋" w:cs="仿宋"/>
          <w:b/>
          <w:bCs w:val="0"/>
          <w:lang w:val="en-US" w:eastAsia="zh-CN"/>
        </w:rPr>
      </w:pPr>
      <w:bookmarkStart w:id="25" w:name="_Toc26508"/>
      <w:bookmarkStart w:id="26" w:name="_Toc2304"/>
      <w:r>
        <w:rPr>
          <w:rFonts w:hint="eastAsia" w:ascii="仿宋" w:hAnsi="仿宋" w:eastAsia="仿宋" w:cs="仿宋"/>
          <w:b/>
          <w:bCs w:val="0"/>
          <w:lang w:val="en-US" w:eastAsia="zh-CN"/>
        </w:rPr>
        <w:t>七、一般公共预算财政拨款“三公”经费支出决算情况说明</w:t>
      </w:r>
      <w:bookmarkEnd w:id="25"/>
      <w:bookmarkEnd w:id="26"/>
    </w:p>
    <w:p>
      <w:pPr>
        <w:spacing w:line="580" w:lineRule="exact"/>
        <w:ind w:firstLine="640"/>
        <w:rPr>
          <w:rFonts w:hint="eastAsia" w:ascii="仿宋_GB2312"/>
          <w:color w:val="000000"/>
          <w:sz w:val="32"/>
          <w:szCs w:val="32"/>
          <w:lang w:val="en-US" w:eastAsia="zh-CN"/>
        </w:rPr>
      </w:pPr>
      <w:r>
        <w:rPr>
          <w:rFonts w:hint="eastAsia"/>
          <w:b/>
          <w:color w:val="auto"/>
          <w:szCs w:val="32"/>
        </w:rPr>
        <w:t>本部门无三公经费。</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11" w:type="dxa"/>
            <w:vAlign w:val="top"/>
          </w:tcPr>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left="0" w:leftChars="0" w:firstLine="0" w:firstLineChars="0"/>
              <w:jc w:val="center"/>
              <w:textAlignment w:val="auto"/>
              <w:rPr>
                <w:rFonts w:hint="eastAsia"/>
                <w:b/>
                <w:color w:val="000000"/>
                <w:sz w:val="28"/>
                <w:szCs w:val="28"/>
              </w:rPr>
            </w:pPr>
            <w:r>
              <w:rPr>
                <w:rFonts w:hint="eastAsia"/>
                <w:b/>
                <w:color w:val="000000"/>
                <w:sz w:val="28"/>
                <w:szCs w:val="28"/>
              </w:rPr>
              <w:t>年度项目</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1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color w:val="000000"/>
                <w:sz w:val="28"/>
                <w:szCs w:val="28"/>
              </w:rPr>
            </w:pPr>
            <w:r>
              <w:rPr>
                <w:rFonts w:hint="eastAsia"/>
                <w:color w:val="000000"/>
                <w:sz w:val="28"/>
                <w:szCs w:val="28"/>
              </w:rPr>
              <w:t>因公出国（境）费</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1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color w:val="000000"/>
                <w:sz w:val="28"/>
                <w:szCs w:val="28"/>
              </w:rPr>
            </w:pPr>
            <w:r>
              <w:rPr>
                <w:rFonts w:hint="eastAsia"/>
                <w:color w:val="000000"/>
                <w:sz w:val="28"/>
                <w:szCs w:val="28"/>
              </w:rPr>
              <w:t>公务接待费</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1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firstLine="0" w:firstLineChars="0"/>
              <w:jc w:val="center"/>
              <w:textAlignment w:val="auto"/>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4"/>
        <w:rPr>
          <w:rFonts w:hint="eastAsia" w:ascii="仿宋" w:hAnsi="仿宋" w:eastAsia="仿宋" w:cs="仿宋"/>
          <w:b/>
          <w:bCs w:val="0"/>
          <w:lang w:val="en-US" w:eastAsia="zh-CN"/>
        </w:rPr>
      </w:pPr>
      <w:bookmarkStart w:id="27" w:name="_Toc9078"/>
      <w:bookmarkStart w:id="28" w:name="_Toc1792"/>
      <w:r>
        <w:rPr>
          <w:rFonts w:hint="eastAsia" w:ascii="仿宋" w:hAnsi="仿宋" w:eastAsia="仿宋" w:cs="仿宋"/>
          <w:b/>
          <w:bCs w:val="0"/>
          <w:lang w:val="en-US" w:eastAsia="zh-CN"/>
        </w:rPr>
        <w:t>八、其他重要事项情况说明</w:t>
      </w:r>
      <w:bookmarkEnd w:id="27"/>
      <w:bookmarkEnd w:id="28"/>
    </w:p>
    <w:p>
      <w:pPr>
        <w:rPr>
          <w:rFonts w:hint="eastAsia"/>
          <w:b/>
          <w:bCs/>
        </w:rPr>
      </w:pPr>
      <w:bookmarkStart w:id="29" w:name="_Toc23407"/>
      <w:r>
        <w:rPr>
          <w:rFonts w:hint="eastAsia"/>
          <w:b/>
          <w:bCs/>
        </w:rPr>
        <w:t>（一）机关运行经费支出情况说明</w:t>
      </w:r>
      <w:bookmarkEnd w:id="29"/>
    </w:p>
    <w:p>
      <w:pPr>
        <w:spacing w:line="580" w:lineRule="exact"/>
        <w:ind w:firstLine="640"/>
        <w:rPr>
          <w:rFonts w:hint="eastAsia"/>
          <w:b/>
          <w:color w:val="auto"/>
          <w:szCs w:val="32"/>
          <w:highlight w:val="none"/>
        </w:rPr>
      </w:pPr>
      <w:r>
        <w:rPr>
          <w:rFonts w:hint="eastAsia" w:ascii="仿宋_GB2312" w:hAnsi="宋体"/>
          <w:color w:val="auto"/>
          <w:szCs w:val="32"/>
          <w:highlight w:val="none"/>
        </w:rPr>
        <w:t>20</w:t>
      </w:r>
      <w:r>
        <w:rPr>
          <w:rFonts w:hint="eastAsia" w:ascii="仿宋_GB2312" w:hAnsi="宋体"/>
          <w:color w:val="auto"/>
          <w:szCs w:val="32"/>
          <w:highlight w:val="none"/>
          <w:lang w:val="en-US" w:eastAsia="zh-CN"/>
        </w:rPr>
        <w:t>21</w:t>
      </w:r>
      <w:r>
        <w:rPr>
          <w:rFonts w:hint="eastAsia" w:ascii="仿宋_GB2312" w:hAnsi="宋体"/>
          <w:color w:val="auto"/>
          <w:szCs w:val="32"/>
          <w:highlight w:val="none"/>
        </w:rPr>
        <w:t>年本</w:t>
      </w:r>
      <w:r>
        <w:rPr>
          <w:rFonts w:hint="eastAsia" w:ascii="仿宋_GB2312" w:hAnsi="宋体"/>
          <w:color w:val="auto"/>
          <w:szCs w:val="32"/>
          <w:highlight w:val="none"/>
          <w:lang w:val="en-US" w:eastAsia="zh-CN"/>
        </w:rPr>
        <w:t>单位</w:t>
      </w:r>
      <w:r>
        <w:rPr>
          <w:rFonts w:hint="eastAsia" w:ascii="仿宋_GB2312" w:hAnsi="宋体"/>
          <w:color w:val="auto"/>
          <w:szCs w:val="32"/>
          <w:highlight w:val="none"/>
        </w:rPr>
        <w:t>机关运行经费支出</w:t>
      </w:r>
      <w:r>
        <w:rPr>
          <w:rFonts w:hint="eastAsia" w:ascii="仿宋_GB2312" w:hAnsi="宋体"/>
          <w:color w:val="auto"/>
          <w:szCs w:val="32"/>
          <w:highlight w:val="none"/>
          <w:lang w:val="en-US" w:eastAsia="zh-CN"/>
        </w:rPr>
        <w:t>305.66</w:t>
      </w:r>
      <w:r>
        <w:rPr>
          <w:rFonts w:hint="eastAsia" w:ascii="仿宋_GB2312" w:hAnsi="宋体"/>
          <w:color w:val="auto"/>
          <w:szCs w:val="32"/>
          <w:highlight w:val="none"/>
        </w:rPr>
        <w:t>万元（与部门决算中行政单位和参照公务员法管理的事业单位一般公共预算财政拨款基本支出中公用经费之和保持一致），比20</w:t>
      </w:r>
      <w:r>
        <w:rPr>
          <w:rFonts w:hint="eastAsia" w:ascii="仿宋_GB2312" w:hAnsi="宋体"/>
          <w:color w:val="auto"/>
          <w:szCs w:val="32"/>
          <w:highlight w:val="none"/>
          <w:lang w:val="en-US" w:eastAsia="zh-CN"/>
        </w:rPr>
        <w:t>20</w:t>
      </w:r>
      <w:r>
        <w:rPr>
          <w:rFonts w:hint="eastAsia" w:ascii="仿宋_GB2312" w:hAnsi="宋体"/>
          <w:color w:val="auto"/>
          <w:szCs w:val="32"/>
          <w:highlight w:val="none"/>
        </w:rPr>
        <w:t>年</w:t>
      </w:r>
      <w:r>
        <w:rPr>
          <w:rFonts w:hint="eastAsia" w:ascii="仿宋_GB2312" w:hAnsi="宋体"/>
          <w:color w:val="auto"/>
          <w:szCs w:val="32"/>
          <w:highlight w:val="none"/>
          <w:lang w:val="en-US" w:eastAsia="zh-CN"/>
        </w:rPr>
        <w:t>203.63</w:t>
      </w:r>
      <w:r>
        <w:rPr>
          <w:rFonts w:hint="eastAsia" w:ascii="仿宋_GB2312" w:hAnsi="宋体"/>
          <w:color w:val="auto"/>
          <w:szCs w:val="32"/>
          <w:highlight w:val="none"/>
        </w:rPr>
        <w:t>增加</w:t>
      </w:r>
      <w:r>
        <w:rPr>
          <w:rFonts w:hint="eastAsia" w:ascii="仿宋_GB2312" w:hAnsi="宋体"/>
          <w:color w:val="auto"/>
          <w:szCs w:val="32"/>
          <w:highlight w:val="none"/>
          <w:lang w:val="en-US" w:eastAsia="zh-CN"/>
        </w:rPr>
        <w:t>102.03</w:t>
      </w:r>
      <w:r>
        <w:rPr>
          <w:rFonts w:hint="eastAsia" w:ascii="仿宋_GB2312" w:hAnsi="宋体"/>
          <w:color w:val="auto"/>
          <w:szCs w:val="32"/>
          <w:highlight w:val="none"/>
        </w:rPr>
        <w:t>万元，增长</w:t>
      </w:r>
      <w:r>
        <w:rPr>
          <w:rFonts w:hint="eastAsia" w:ascii="仿宋_GB2312" w:hAnsi="宋体"/>
          <w:color w:val="auto"/>
          <w:szCs w:val="32"/>
          <w:highlight w:val="none"/>
          <w:lang w:val="en-US" w:eastAsia="zh-CN"/>
        </w:rPr>
        <w:t>51.1</w:t>
      </w:r>
      <w:r>
        <w:rPr>
          <w:rFonts w:hint="eastAsia" w:ascii="仿宋_GB2312" w:hAnsi="宋体"/>
          <w:color w:val="auto"/>
          <w:szCs w:val="32"/>
          <w:highlight w:val="none"/>
        </w:rPr>
        <w:t>%。主要原因是：</w:t>
      </w:r>
      <w:r>
        <w:rPr>
          <w:rFonts w:hint="eastAsia" w:ascii="仿宋_GB2312" w:hAnsi="宋体"/>
          <w:color w:val="auto"/>
          <w:szCs w:val="32"/>
          <w:highlight w:val="none"/>
          <w:lang w:val="en-US" w:eastAsia="zh-CN"/>
        </w:rPr>
        <w:t>公务员增加到21人、劳务人员增加到47人</w:t>
      </w:r>
      <w:r>
        <w:rPr>
          <w:rFonts w:hint="eastAsia" w:ascii="仿宋_GB2312" w:hAnsi="宋体"/>
          <w:color w:val="auto"/>
          <w:szCs w:val="32"/>
          <w:highlight w:val="none"/>
        </w:rPr>
        <w:t>。</w:t>
      </w:r>
    </w:p>
    <w:p>
      <w:pPr>
        <w:rPr>
          <w:rFonts w:hint="eastAsia"/>
          <w:b/>
          <w:bCs/>
          <w:color w:val="auto"/>
          <w:highlight w:val="none"/>
        </w:rPr>
      </w:pPr>
      <w:bookmarkStart w:id="30" w:name="_Toc16103"/>
      <w:r>
        <w:rPr>
          <w:rFonts w:hint="eastAsia"/>
          <w:b/>
          <w:bCs/>
          <w:color w:val="auto"/>
          <w:highlight w:val="none"/>
        </w:rPr>
        <w:t>（二）政府采购情况说明</w:t>
      </w:r>
      <w:bookmarkEnd w:id="30"/>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年度，政府采购支出总额</w:t>
      </w:r>
      <w:r>
        <w:rPr>
          <w:rFonts w:hint="eastAsia" w:ascii="仿宋_GB2312"/>
          <w:color w:val="auto"/>
          <w:szCs w:val="32"/>
          <w:highlight w:val="none"/>
          <w:lang w:val="en-US" w:eastAsia="zh-CN"/>
        </w:rPr>
        <w:t>0</w:t>
      </w:r>
      <w:r>
        <w:rPr>
          <w:rFonts w:hint="eastAsia" w:ascii="仿宋_GB2312"/>
          <w:color w:val="auto"/>
          <w:szCs w:val="32"/>
          <w:highlight w:val="none"/>
        </w:rPr>
        <w:t>万元，其中：政府采购货物支出</w:t>
      </w:r>
      <w:r>
        <w:rPr>
          <w:rFonts w:hint="eastAsia" w:ascii="仿宋_GB2312"/>
          <w:color w:val="auto"/>
          <w:szCs w:val="32"/>
          <w:highlight w:val="none"/>
          <w:lang w:val="en-US" w:eastAsia="zh-CN"/>
        </w:rPr>
        <w:t>0</w:t>
      </w:r>
      <w:r>
        <w:rPr>
          <w:rFonts w:hint="eastAsia" w:ascii="仿宋_GB2312"/>
          <w:color w:val="auto"/>
          <w:szCs w:val="32"/>
          <w:highlight w:val="none"/>
        </w:rPr>
        <w:t>万元、政府采购工程支出</w:t>
      </w:r>
      <w:r>
        <w:rPr>
          <w:rFonts w:hint="eastAsia" w:ascii="仿宋_GB2312"/>
          <w:color w:val="auto"/>
          <w:szCs w:val="32"/>
          <w:highlight w:val="none"/>
          <w:lang w:val="en-US" w:eastAsia="zh-CN"/>
        </w:rPr>
        <w:t>0</w:t>
      </w:r>
      <w:r>
        <w:rPr>
          <w:rFonts w:hint="eastAsia" w:ascii="仿宋_GB2312"/>
          <w:color w:val="auto"/>
          <w:szCs w:val="32"/>
          <w:highlight w:val="none"/>
        </w:rPr>
        <w:t>万元、政府采购服务支出</w:t>
      </w:r>
      <w:r>
        <w:rPr>
          <w:rFonts w:hint="eastAsia" w:ascii="仿宋_GB2312"/>
          <w:color w:val="auto"/>
          <w:szCs w:val="32"/>
          <w:highlight w:val="none"/>
          <w:lang w:val="en-US" w:eastAsia="zh-CN"/>
        </w:rPr>
        <w:t>0</w:t>
      </w:r>
      <w:r>
        <w:rPr>
          <w:rFonts w:hint="eastAsia" w:ascii="仿宋_GB2312"/>
          <w:color w:val="auto"/>
          <w:szCs w:val="32"/>
          <w:highlight w:val="none"/>
        </w:rPr>
        <w:t>万元。政府采购授予中小企业合同金额</w:t>
      </w:r>
      <w:r>
        <w:rPr>
          <w:rFonts w:hint="eastAsia" w:ascii="仿宋_GB2312"/>
          <w:color w:val="auto"/>
          <w:szCs w:val="32"/>
          <w:highlight w:val="none"/>
          <w:lang w:val="en-US" w:eastAsia="zh-CN"/>
        </w:rPr>
        <w:t>0</w:t>
      </w:r>
      <w:r>
        <w:rPr>
          <w:rFonts w:hint="eastAsia" w:ascii="仿宋_GB2312"/>
          <w:color w:val="auto"/>
          <w:szCs w:val="32"/>
          <w:highlight w:val="none"/>
        </w:rPr>
        <w:t>万元，占政府采购支出总额的</w:t>
      </w:r>
      <w:r>
        <w:rPr>
          <w:rFonts w:hint="eastAsia" w:ascii="仿宋_GB2312"/>
          <w:color w:val="auto"/>
          <w:szCs w:val="32"/>
          <w:highlight w:val="none"/>
          <w:lang w:val="en-US" w:eastAsia="zh-CN"/>
        </w:rPr>
        <w:t>0</w:t>
      </w:r>
      <w:r>
        <w:rPr>
          <w:rFonts w:ascii="仿宋_GB2312"/>
          <w:color w:val="auto"/>
          <w:szCs w:val="32"/>
          <w:highlight w:val="none"/>
        </w:rPr>
        <w:t>%</w:t>
      </w:r>
      <w:r>
        <w:rPr>
          <w:rFonts w:hint="eastAsia" w:ascii="仿宋_GB2312"/>
          <w:color w:val="auto"/>
          <w:szCs w:val="32"/>
          <w:highlight w:val="none"/>
        </w:rPr>
        <w:t>。其中：授予小微企业合同金额</w:t>
      </w:r>
      <w:r>
        <w:rPr>
          <w:rFonts w:hint="eastAsia" w:ascii="仿宋_GB2312"/>
          <w:color w:val="auto"/>
          <w:szCs w:val="32"/>
          <w:highlight w:val="none"/>
          <w:lang w:val="en-US" w:eastAsia="zh-CN"/>
        </w:rPr>
        <w:t>0</w:t>
      </w:r>
      <w:r>
        <w:rPr>
          <w:rFonts w:hint="eastAsia" w:ascii="仿宋_GB2312"/>
          <w:color w:val="auto"/>
          <w:szCs w:val="32"/>
          <w:highlight w:val="none"/>
        </w:rPr>
        <w:t>万元，占政府采购支出总额的</w:t>
      </w:r>
      <w:r>
        <w:rPr>
          <w:rFonts w:hint="eastAsia" w:ascii="仿宋_GB2312"/>
          <w:color w:val="auto"/>
          <w:szCs w:val="32"/>
          <w:highlight w:val="none"/>
          <w:lang w:val="en-US" w:eastAsia="zh-CN"/>
        </w:rPr>
        <w:t>0</w:t>
      </w:r>
      <w:r>
        <w:rPr>
          <w:rFonts w:ascii="仿宋_GB2312"/>
          <w:color w:val="auto"/>
          <w:szCs w:val="32"/>
          <w:highlight w:val="none"/>
        </w:rPr>
        <w:t>%</w:t>
      </w:r>
      <w:r>
        <w:rPr>
          <w:rFonts w:hint="eastAsia" w:ascii="仿宋_GB2312"/>
          <w:color w:val="auto"/>
          <w:szCs w:val="32"/>
          <w:highlight w:val="none"/>
          <w:lang w:eastAsia="zh-CN"/>
        </w:rPr>
        <w:t>。</w:t>
      </w:r>
    </w:p>
    <w:p>
      <w:pPr>
        <w:rPr>
          <w:rFonts w:hint="eastAsia"/>
          <w:b/>
          <w:bCs/>
          <w:color w:val="auto"/>
          <w:highlight w:val="none"/>
        </w:rPr>
      </w:pPr>
      <w:bookmarkStart w:id="31" w:name="_Toc19975"/>
      <w:r>
        <w:rPr>
          <w:rFonts w:hint="eastAsia"/>
          <w:b/>
          <w:bCs/>
          <w:color w:val="auto"/>
          <w:highlight w:val="none"/>
        </w:rPr>
        <w:t>（三）国有资产占用情况说明</w:t>
      </w:r>
      <w:bookmarkEnd w:id="31"/>
    </w:p>
    <w:p>
      <w:pPr>
        <w:spacing w:line="580" w:lineRule="exact"/>
        <w:ind w:firstLine="640"/>
        <w:rPr>
          <w:rFonts w:hint="eastAsia" w:ascii="仿宋_GB2312" w:eastAsia="仿宋_GB2312"/>
          <w:color w:val="auto"/>
          <w:szCs w:val="32"/>
          <w:highlight w:val="none"/>
          <w:lang w:eastAsia="zh-CN"/>
        </w:rPr>
      </w:pPr>
      <w:r>
        <w:rPr>
          <w:rFonts w:hint="eastAsia" w:ascii="仿宋_GB2312"/>
          <w:color w:val="auto"/>
          <w:szCs w:val="32"/>
          <w:highlight w:val="none"/>
        </w:rPr>
        <w:t>截至20</w:t>
      </w:r>
      <w:r>
        <w:rPr>
          <w:rFonts w:hint="eastAsia" w:ascii="仿宋_GB2312"/>
          <w:color w:val="auto"/>
          <w:szCs w:val="32"/>
          <w:highlight w:val="none"/>
          <w:lang w:val="en-US" w:eastAsia="zh-CN"/>
        </w:rPr>
        <w:t>21</w:t>
      </w:r>
      <w:r>
        <w:rPr>
          <w:rFonts w:hint="eastAsia" w:ascii="仿宋_GB2312"/>
          <w:color w:val="auto"/>
          <w:szCs w:val="32"/>
          <w:highlight w:val="none"/>
        </w:rPr>
        <w:t>年12月31日，本部门共有车辆</w:t>
      </w:r>
      <w:r>
        <w:rPr>
          <w:rFonts w:hint="eastAsia" w:ascii="仿宋_GB2312"/>
          <w:color w:val="auto"/>
          <w:szCs w:val="32"/>
          <w:highlight w:val="none"/>
          <w:lang w:val="en-US" w:eastAsia="zh-CN"/>
        </w:rPr>
        <w:t>0</w:t>
      </w:r>
      <w:r>
        <w:rPr>
          <w:rFonts w:hint="eastAsia" w:ascii="仿宋_GB2312"/>
          <w:color w:val="auto"/>
          <w:szCs w:val="32"/>
          <w:highlight w:val="none"/>
        </w:rPr>
        <w:t>辆。其中，副部（省）级及以上领导用车</w:t>
      </w:r>
      <w:r>
        <w:rPr>
          <w:rFonts w:hint="eastAsia" w:ascii="仿宋_GB2312"/>
          <w:color w:val="auto"/>
          <w:szCs w:val="32"/>
          <w:highlight w:val="none"/>
          <w:lang w:val="en-US" w:eastAsia="zh-CN"/>
        </w:rPr>
        <w:t>0</w:t>
      </w:r>
      <w:r>
        <w:rPr>
          <w:rFonts w:hint="eastAsia" w:ascii="仿宋_GB2312"/>
          <w:color w:val="auto"/>
          <w:szCs w:val="32"/>
          <w:highlight w:val="none"/>
        </w:rPr>
        <w:t>辆、主要领导干部用车</w:t>
      </w:r>
      <w:r>
        <w:rPr>
          <w:rFonts w:hint="eastAsia" w:ascii="仿宋_GB2312"/>
          <w:color w:val="auto"/>
          <w:szCs w:val="32"/>
          <w:highlight w:val="none"/>
          <w:lang w:val="en-US" w:eastAsia="zh-CN"/>
        </w:rPr>
        <w:t>0</w:t>
      </w:r>
      <w:r>
        <w:rPr>
          <w:rFonts w:hint="eastAsia" w:ascii="仿宋_GB2312"/>
          <w:color w:val="auto"/>
          <w:szCs w:val="32"/>
          <w:highlight w:val="none"/>
        </w:rPr>
        <w:t>辆、机要通信用车</w:t>
      </w:r>
      <w:r>
        <w:rPr>
          <w:rFonts w:hint="eastAsia" w:ascii="仿宋_GB2312"/>
          <w:color w:val="auto"/>
          <w:szCs w:val="32"/>
          <w:highlight w:val="none"/>
          <w:lang w:val="en-US" w:eastAsia="zh-CN"/>
        </w:rPr>
        <w:t>0</w:t>
      </w:r>
      <w:r>
        <w:rPr>
          <w:rFonts w:hint="eastAsia" w:ascii="仿宋_GB2312"/>
          <w:color w:val="auto"/>
          <w:szCs w:val="32"/>
          <w:highlight w:val="none"/>
        </w:rPr>
        <w:t>辆、应急保障用车</w:t>
      </w:r>
      <w:r>
        <w:rPr>
          <w:rFonts w:hint="eastAsia" w:ascii="仿宋_GB2312"/>
          <w:color w:val="auto"/>
          <w:szCs w:val="32"/>
          <w:highlight w:val="none"/>
          <w:lang w:val="en-US" w:eastAsia="zh-CN"/>
        </w:rPr>
        <w:t>0</w:t>
      </w:r>
      <w:r>
        <w:rPr>
          <w:rFonts w:hint="eastAsia" w:ascii="仿宋_GB2312"/>
          <w:color w:val="auto"/>
          <w:szCs w:val="32"/>
          <w:highlight w:val="none"/>
        </w:rPr>
        <w:t>辆、执法执勤用车</w:t>
      </w:r>
      <w:r>
        <w:rPr>
          <w:rFonts w:hint="eastAsia" w:ascii="仿宋_GB2312"/>
          <w:color w:val="auto"/>
          <w:szCs w:val="32"/>
          <w:highlight w:val="none"/>
          <w:lang w:val="en-US" w:eastAsia="zh-CN"/>
        </w:rPr>
        <w:t>0</w:t>
      </w:r>
      <w:r>
        <w:rPr>
          <w:rFonts w:hint="eastAsia" w:ascii="仿宋_GB2312"/>
          <w:color w:val="auto"/>
          <w:szCs w:val="32"/>
          <w:highlight w:val="none"/>
        </w:rPr>
        <w:t>辆</w:t>
      </w:r>
      <w:r>
        <w:rPr>
          <w:rFonts w:hint="eastAsia" w:ascii="仿宋_GB2312"/>
          <w:color w:val="auto"/>
          <w:szCs w:val="32"/>
          <w:highlight w:val="none"/>
          <w:lang w:eastAsia="zh-CN"/>
        </w:rPr>
        <w:t>。</w:t>
      </w:r>
    </w:p>
    <w:p>
      <w:pPr>
        <w:rPr>
          <w:rFonts w:hint="eastAsia"/>
          <w:b/>
          <w:bCs/>
          <w:color w:val="auto"/>
          <w:highlight w:val="none"/>
        </w:rPr>
      </w:pPr>
      <w:r>
        <w:rPr>
          <w:rFonts w:hint="eastAsia"/>
          <w:b/>
          <w:bCs/>
          <w:color w:val="auto"/>
          <w:highlight w:val="none"/>
          <w:lang w:eastAsia="zh-CN"/>
        </w:rPr>
        <w:t>（</w:t>
      </w:r>
      <w:r>
        <w:rPr>
          <w:rFonts w:hint="eastAsia"/>
          <w:b/>
          <w:bCs/>
          <w:color w:val="auto"/>
          <w:highlight w:val="none"/>
          <w:lang w:val="en-US" w:eastAsia="zh-CN"/>
        </w:rPr>
        <w:t>四）</w:t>
      </w:r>
      <w:r>
        <w:rPr>
          <w:rFonts w:hint="eastAsia"/>
          <w:b/>
          <w:bCs/>
          <w:color w:val="auto"/>
          <w:highlight w:val="none"/>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（1）预算绩效管理工作开展情况。</w:t>
      </w:r>
      <w:r>
        <w:rPr>
          <w:rFonts w:hint="eastAsia" w:ascii="仿宋_GB2312" w:hAnsi="仿宋_GB2312" w:eastAsia="仿宋_GB2312" w:cs="仿宋_GB2312"/>
          <w:color w:val="auto"/>
          <w:sz w:val="32"/>
          <w:szCs w:val="32"/>
          <w:highlight w:val="none"/>
          <w:lang w:val="en-US" w:eastAsia="zh-CN"/>
        </w:rPr>
        <w:t>根据预算绩效管理要求，我部门组织对202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县</w:t>
      </w:r>
      <w:r>
        <w:rPr>
          <w:rFonts w:hint="eastAsia" w:ascii="仿宋_GB2312" w:hAnsi="仿宋_GB2312" w:eastAsia="仿宋_GB2312" w:cs="仿宋_GB2312"/>
          <w:color w:val="auto"/>
          <w:sz w:val="32"/>
          <w:szCs w:val="32"/>
          <w:highlight w:val="none"/>
          <w:lang w:val="en-US" w:eastAsia="zh-CN"/>
        </w:rPr>
        <w:t>级财政预算安排的专项资金类和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00万元以上的经费补助类</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个项目支出全面开展绩效自评，涉及预算资金</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万元，占一般公共预算项目支出总额的</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w:t>
      </w:r>
    </w:p>
    <w:p>
      <w:pPr>
        <w:numPr>
          <w:ilvl w:val="0"/>
          <w:numId w:val="0"/>
        </w:numPr>
        <w:ind w:firstLine="643"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（2）部门决算中项目绩效自评结果。</w:t>
      </w:r>
      <w:r>
        <w:rPr>
          <w:rFonts w:hint="eastAsia" w:ascii="仿宋_GB2312" w:hAnsi="仿宋_GB2312" w:eastAsia="仿宋_GB2312" w:cs="仿宋_GB2312"/>
          <w:color w:val="auto"/>
          <w:sz w:val="32"/>
          <w:szCs w:val="32"/>
          <w:highlight w:val="none"/>
          <w:lang w:val="en-US" w:eastAsia="zh-CN"/>
        </w:rPr>
        <w:t>部门</w:t>
      </w:r>
      <w:r>
        <w:rPr>
          <w:rFonts w:hint="eastAsia" w:ascii="仿宋_GB2312" w:hAnsi="仿宋_GB2312" w:cs="仿宋_GB2312"/>
          <w:color w:val="auto"/>
          <w:sz w:val="32"/>
          <w:szCs w:val="32"/>
          <w:highlight w:val="none"/>
          <w:lang w:val="en-US" w:eastAsia="zh-CN"/>
        </w:rPr>
        <w:t>本单位无重点</w:t>
      </w:r>
      <w:r>
        <w:rPr>
          <w:rFonts w:hint="eastAsia" w:ascii="仿宋_GB2312" w:hAnsi="仿宋_GB2312" w:eastAsia="仿宋_GB2312" w:cs="仿宋_GB2312"/>
          <w:color w:val="auto"/>
          <w:sz w:val="32"/>
          <w:szCs w:val="32"/>
          <w:highlight w:val="none"/>
          <w:lang w:val="en-US" w:eastAsia="zh-CN"/>
        </w:rPr>
        <w:t>项目向社会公开。</w:t>
      </w:r>
    </w:p>
    <w:p>
      <w:pPr>
        <w:numPr>
          <w:ilvl w:val="0"/>
          <w:numId w:val="0"/>
        </w:num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cs="仿宋_GB2312"/>
          <w:color w:val="auto"/>
          <w:sz w:val="32"/>
          <w:szCs w:val="32"/>
          <w:highlight w:val="none"/>
          <w:lang w:val="en-US" w:eastAsia="zh-CN"/>
        </w:rPr>
        <w:t>只有其他运转类一般项目16个，</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部门评价项目绩效评价结果。</w:t>
      </w:r>
      <w:r>
        <w:rPr>
          <w:rFonts w:hint="eastAsia" w:ascii="仿宋_GB2312" w:hAnsi="仿宋_GB2312" w:cs="仿宋_GB2312"/>
          <w:b w:val="0"/>
          <w:bCs w:val="0"/>
          <w:color w:val="auto"/>
          <w:sz w:val="32"/>
          <w:szCs w:val="32"/>
          <w:highlight w:val="none"/>
          <w:lang w:val="en-US" w:eastAsia="zh-CN"/>
        </w:rPr>
        <w:t>本单位无重点项目</w:t>
      </w:r>
      <w:r>
        <w:rPr>
          <w:rFonts w:hint="eastAsia" w:ascii="仿宋_GB2312" w:hAnsi="仿宋_GB2312" w:eastAsia="仿宋_GB2312" w:cs="仿宋_GB2312"/>
          <w:color w:val="auto"/>
          <w:sz w:val="32"/>
          <w:szCs w:val="32"/>
          <w:highlight w:val="none"/>
          <w:lang w:val="en-US" w:eastAsia="zh-CN"/>
        </w:rPr>
        <w:t>评价报告向社会公开。</w:t>
      </w:r>
    </w:p>
    <w:p>
      <w:pPr>
        <w:numPr>
          <w:ilvl w:val="0"/>
          <w:numId w:val="0"/>
        </w:numPr>
        <w:ind w:firstLine="643" w:firstLineChars="200"/>
        <w:rPr>
          <w:rFonts w:hint="eastAsia" w:ascii="仿宋" w:hAnsi="仿宋" w:eastAsia="仿宋" w:cs="仿宋"/>
          <w:b/>
          <w:bCs/>
          <w:color w:val="auto"/>
          <w:sz w:val="32"/>
          <w:szCs w:val="32"/>
          <w:highlight w:val="none"/>
          <w:lang w:val="en-US" w:eastAsia="zh-CN"/>
        </w:rPr>
      </w:pPr>
    </w:p>
    <w:p>
      <w:pPr>
        <w:numPr>
          <w:ilvl w:val="0"/>
          <w:numId w:val="2"/>
        </w:numPr>
        <w:spacing w:line="580" w:lineRule="exact"/>
        <w:ind w:firstLine="643" w:firstLineChars="200"/>
        <w:outlineLvl w:val="0"/>
        <w:rPr>
          <w:rFonts w:hint="eastAsia" w:ascii="仿宋_GB2312" w:eastAsia="仿宋_GB2312"/>
          <w:b/>
          <w:color w:val="auto"/>
          <w:szCs w:val="32"/>
          <w:highlight w:val="none"/>
          <w:lang w:val="en-US" w:eastAsia="zh-CN"/>
        </w:rPr>
      </w:pPr>
      <w:bookmarkStart w:id="32" w:name="_Toc28108"/>
      <w:bookmarkStart w:id="33" w:name="_Toc8450"/>
      <w:r>
        <w:rPr>
          <w:rFonts w:hint="eastAsia" w:ascii="仿宋_GB2312"/>
          <w:b/>
          <w:color w:val="auto"/>
          <w:szCs w:val="32"/>
          <w:highlight w:val="none"/>
        </w:rPr>
        <w:t>其他需要说明的事项</w:t>
      </w:r>
      <w:bookmarkEnd w:id="32"/>
      <w:bookmarkEnd w:id="33"/>
    </w:p>
    <w:p>
      <w:pPr>
        <w:pStyle w:val="3"/>
        <w:ind w:left="0" w:leftChars="0" w:firstLine="0" w:firstLineChars="0"/>
        <w:jc w:val="center"/>
        <w:rPr>
          <w:rFonts w:hint="eastAsia"/>
          <w:b/>
          <w:color w:val="auto"/>
          <w:sz w:val="36"/>
          <w:szCs w:val="36"/>
          <w:highlight w:val="none"/>
          <w:lang w:val="en-US" w:eastAsia="zh-CN"/>
        </w:rPr>
      </w:pPr>
      <w:bookmarkStart w:id="34" w:name="_Toc8545"/>
      <w:r>
        <w:rPr>
          <w:rFonts w:hint="eastAsia"/>
          <w:b/>
          <w:color w:val="auto"/>
          <w:sz w:val="36"/>
          <w:szCs w:val="36"/>
          <w:highlight w:val="none"/>
          <w:lang w:val="en-US" w:eastAsia="zh-CN"/>
        </w:rPr>
        <w:t>第四部分  名词解释</w:t>
      </w:r>
      <w:bookmarkEnd w:id="34"/>
    </w:p>
    <w:p>
      <w:pPr>
        <w:spacing w:line="580" w:lineRule="exact"/>
        <w:ind w:firstLine="640"/>
        <w:rPr>
          <w:rFonts w:hint="eastAsia"/>
          <w:color w:val="auto"/>
          <w:szCs w:val="32"/>
          <w:highlight w:val="none"/>
        </w:rPr>
      </w:pPr>
      <w:r>
        <w:rPr>
          <w:rFonts w:hint="eastAsia"/>
          <w:color w:val="auto"/>
          <w:szCs w:val="32"/>
          <w:highlight w:val="none"/>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一、</w:t>
      </w:r>
      <w:r>
        <w:rPr>
          <w:rFonts w:hint="eastAsia" w:ascii="仿宋_GB2312"/>
          <w:b/>
          <w:color w:val="auto"/>
          <w:szCs w:val="32"/>
          <w:highlight w:val="none"/>
        </w:rPr>
        <w:t>财政拨款收入：</w:t>
      </w:r>
      <w:r>
        <w:rPr>
          <w:rFonts w:hint="eastAsia" w:ascii="仿宋_GB2312"/>
          <w:color w:val="auto"/>
          <w:szCs w:val="32"/>
          <w:highlight w:val="none"/>
        </w:rPr>
        <w:t>指单位从同级财政部门取得的财政预算资金。</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二、</w:t>
      </w:r>
      <w:r>
        <w:rPr>
          <w:rFonts w:hint="eastAsia" w:ascii="仿宋_GB2312"/>
          <w:b/>
          <w:color w:val="auto"/>
          <w:szCs w:val="32"/>
          <w:highlight w:val="none"/>
        </w:rPr>
        <w:t>事业收入：</w:t>
      </w:r>
      <w:r>
        <w:rPr>
          <w:rFonts w:hint="eastAsia" w:ascii="仿宋_GB2312"/>
          <w:color w:val="auto"/>
          <w:szCs w:val="32"/>
          <w:highlight w:val="none"/>
        </w:rPr>
        <w:t>指事业单位开展专业业务活动及辅助活动取得的收入。</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三、</w:t>
      </w:r>
      <w:r>
        <w:rPr>
          <w:rFonts w:hint="eastAsia" w:ascii="仿宋_GB2312"/>
          <w:b/>
          <w:color w:val="auto"/>
          <w:szCs w:val="32"/>
          <w:highlight w:val="none"/>
        </w:rPr>
        <w:t>经营收入：</w:t>
      </w:r>
      <w:r>
        <w:rPr>
          <w:rFonts w:hint="eastAsia" w:ascii="仿宋_GB2312"/>
          <w:color w:val="auto"/>
          <w:szCs w:val="32"/>
          <w:highlight w:val="none"/>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四、</w:t>
      </w:r>
      <w:r>
        <w:rPr>
          <w:rFonts w:hint="eastAsia" w:ascii="仿宋_GB2312"/>
          <w:b/>
          <w:color w:val="auto"/>
          <w:szCs w:val="32"/>
          <w:highlight w:val="none"/>
        </w:rPr>
        <w:t>其他收入：</w:t>
      </w:r>
      <w:r>
        <w:rPr>
          <w:rFonts w:hint="eastAsia" w:ascii="仿宋_GB2312"/>
          <w:color w:val="auto"/>
          <w:szCs w:val="32"/>
          <w:highlight w:val="none"/>
        </w:rPr>
        <w:t>指单位取得的除上述收入以外的各项收</w:t>
      </w:r>
    </w:p>
    <w:p>
      <w:pPr>
        <w:spacing w:line="580" w:lineRule="exact"/>
        <w:ind w:firstLineChars="0"/>
        <w:rPr>
          <w:rFonts w:hint="eastAsia" w:ascii="仿宋_GB2312"/>
          <w:color w:val="auto"/>
          <w:szCs w:val="32"/>
          <w:highlight w:val="none"/>
        </w:rPr>
      </w:pPr>
      <w:r>
        <w:rPr>
          <w:rFonts w:hint="eastAsia" w:ascii="仿宋_GB2312"/>
          <w:color w:val="auto"/>
          <w:szCs w:val="32"/>
          <w:highlight w:val="none"/>
        </w:rPr>
        <w:t>入。主要是按规定动用的售房收入、存款利息收入等。</w:t>
      </w:r>
    </w:p>
    <w:p>
      <w:pPr>
        <w:spacing w:line="580" w:lineRule="exact"/>
        <w:ind w:firstLine="520" w:firstLineChars="162"/>
        <w:rPr>
          <w:rFonts w:hint="eastAsia" w:ascii="仿宋_GB2312"/>
          <w:color w:val="auto"/>
          <w:szCs w:val="32"/>
          <w:highlight w:val="none"/>
        </w:rPr>
      </w:pPr>
      <w:r>
        <w:rPr>
          <w:rFonts w:hint="eastAsia" w:ascii="仿宋_GB2312"/>
          <w:b/>
          <w:color w:val="auto"/>
          <w:szCs w:val="32"/>
          <w:highlight w:val="none"/>
          <w:lang w:val="en-US" w:eastAsia="zh-CN"/>
        </w:rPr>
        <w:t>五、</w:t>
      </w:r>
      <w:r>
        <w:rPr>
          <w:rFonts w:hint="eastAsia" w:ascii="仿宋_GB2312"/>
          <w:b/>
          <w:color w:val="auto"/>
          <w:szCs w:val="32"/>
          <w:highlight w:val="none"/>
        </w:rPr>
        <w:t>年初结转和结余：</w:t>
      </w:r>
      <w:r>
        <w:rPr>
          <w:rFonts w:hint="eastAsia" w:ascii="仿宋_GB2312"/>
          <w:color w:val="auto"/>
          <w:szCs w:val="32"/>
          <w:highlight w:val="none"/>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单位名称：静乐县行政审批局</w:t>
      </w:r>
    </w:p>
    <w:p>
      <w:pPr>
        <w:spacing w:line="580" w:lineRule="exact"/>
        <w:ind w:firstLine="4800" w:firstLineChars="1500"/>
        <w:rPr>
          <w:rFonts w:hint="eastAsia" w:ascii="仿宋_GB2312"/>
          <w:szCs w:val="32"/>
          <w:lang w:val="en-US" w:eastAsia="zh-CN"/>
        </w:rPr>
      </w:pPr>
      <w:bookmarkStart w:id="35" w:name="_GoBack"/>
      <w:bookmarkEnd w:id="35"/>
      <w:r>
        <w:rPr>
          <w:rFonts w:hint="eastAsia" w:ascii="仿宋_GB2312"/>
          <w:szCs w:val="32"/>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N2U2YWUwYWIzM2FlYzk5NzBmMWNkM2U4ZTllYzYifQ=="/>
  </w:docVars>
  <w:rsids>
    <w:rsidRoot w:val="495520D0"/>
    <w:rsid w:val="002A3915"/>
    <w:rsid w:val="00887A27"/>
    <w:rsid w:val="033E071B"/>
    <w:rsid w:val="03696819"/>
    <w:rsid w:val="057448D5"/>
    <w:rsid w:val="0E0D76BA"/>
    <w:rsid w:val="146D6DFB"/>
    <w:rsid w:val="16654CDD"/>
    <w:rsid w:val="19733FFE"/>
    <w:rsid w:val="19EC789E"/>
    <w:rsid w:val="1A4A5C33"/>
    <w:rsid w:val="1ECF07F3"/>
    <w:rsid w:val="21C82AA3"/>
    <w:rsid w:val="223905D4"/>
    <w:rsid w:val="2701594C"/>
    <w:rsid w:val="27426717"/>
    <w:rsid w:val="279B7D4A"/>
    <w:rsid w:val="2C904BA8"/>
    <w:rsid w:val="2DE24215"/>
    <w:rsid w:val="3002294D"/>
    <w:rsid w:val="36A341CF"/>
    <w:rsid w:val="37943B50"/>
    <w:rsid w:val="37C354C8"/>
    <w:rsid w:val="3821117E"/>
    <w:rsid w:val="3C87642E"/>
    <w:rsid w:val="3CF21A47"/>
    <w:rsid w:val="3F852C53"/>
    <w:rsid w:val="41120216"/>
    <w:rsid w:val="42C12CEC"/>
    <w:rsid w:val="42F71E23"/>
    <w:rsid w:val="44401A62"/>
    <w:rsid w:val="44E13A14"/>
    <w:rsid w:val="45052168"/>
    <w:rsid w:val="47ED7847"/>
    <w:rsid w:val="48B40B9E"/>
    <w:rsid w:val="495520D0"/>
    <w:rsid w:val="4A012068"/>
    <w:rsid w:val="4E2953CE"/>
    <w:rsid w:val="53A30631"/>
    <w:rsid w:val="57DA2ED9"/>
    <w:rsid w:val="5EC01F6A"/>
    <w:rsid w:val="60B0590C"/>
    <w:rsid w:val="63AB51DF"/>
    <w:rsid w:val="649C6DC9"/>
    <w:rsid w:val="676D5A10"/>
    <w:rsid w:val="698853DA"/>
    <w:rsid w:val="715A78E4"/>
    <w:rsid w:val="71773801"/>
    <w:rsid w:val="7761744D"/>
    <w:rsid w:val="7A1348D9"/>
    <w:rsid w:val="7BFB14A7"/>
    <w:rsid w:val="7D052701"/>
    <w:rsid w:val="7EA4094D"/>
    <w:rsid w:val="7F973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NormalCharacter"/>
    <w:qFormat/>
    <w:uiPriority w:val="0"/>
    <w:rPr>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4462</Words>
  <Characters>4860</Characters>
  <Lines>0</Lines>
  <Paragraphs>0</Paragraphs>
  <TotalTime>0</TotalTime>
  <ScaleCrop>false</ScaleCrop>
  <LinksUpToDate>false</LinksUpToDate>
  <CharactersWithSpaces>4979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2022-07-27T09:22:37Z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14DADB559E894A9BAC189921AFF6D3BB</vt:lpwstr>
  </property>
</Properties>
</file>