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881"/>
        <w:jc w:val="center"/>
        <w:rPr>
          <w:rFonts w:ascii="华文中宋" w:hAnsi="华文中宋" w:eastAsia="华文中宋"/>
          <w:szCs w:val="44"/>
        </w:rPr>
      </w:pPr>
      <w:bookmarkStart w:id="0" w:name="_Toc32048"/>
      <w:bookmarkStart w:id="1" w:name="_Toc31071"/>
      <w:bookmarkStart w:id="2" w:name="_Toc21118"/>
      <w:r>
        <w:rPr>
          <w:rFonts w:hint="eastAsia" w:ascii="华文中宋" w:hAnsi="华文中宋" w:eastAsia="华文中宋"/>
          <w:szCs w:val="44"/>
        </w:rPr>
        <w:t>中共静乐县委党校2021年度部门决算公开说明</w:t>
      </w:r>
      <w:bookmarkEnd w:id="0"/>
      <w:bookmarkEnd w:id="1"/>
      <w:bookmarkEnd w:id="2"/>
    </w:p>
    <w:p>
      <w:pPr>
        <w:pStyle w:val="6"/>
        <w:tabs>
          <w:tab w:val="right" w:leader="dot" w:pos="8306"/>
        </w:tabs>
        <w:ind w:firstLine="640"/>
      </w:pPr>
      <w:r>
        <w:rPr>
          <w:rFonts w:hint="eastAsia" w:ascii="仿宋" w:hAnsi="仿宋" w:eastAsia="仿宋" w:cs="仿宋"/>
          <w:szCs w:val="32"/>
        </w:rPr>
        <w:fldChar w:fldCharType="begin"/>
      </w:r>
      <w:r>
        <w:rPr>
          <w:rFonts w:hint="eastAsia" w:ascii="仿宋" w:hAnsi="仿宋" w:eastAsia="仿宋" w:cs="仿宋"/>
          <w:szCs w:val="32"/>
        </w:rPr>
        <w:instrText xml:space="preserve">TOC \o "1-3" \h \u </w:instrText>
      </w:r>
      <w:r>
        <w:rPr>
          <w:rFonts w:hint="eastAsia" w:ascii="仿宋" w:hAnsi="仿宋" w:eastAsia="仿宋" w:cs="仿宋"/>
          <w:szCs w:val="32"/>
        </w:rPr>
        <w:fldChar w:fldCharType="separate"/>
      </w:r>
      <w:r>
        <w:fldChar w:fldCharType="begin"/>
      </w:r>
      <w:r>
        <w:instrText xml:space="preserve"> HYPERLINK \l "_Toc31140" </w:instrText>
      </w:r>
      <w: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"_Toc4461" </w:instrText>
      </w:r>
      <w: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"_Toc275" </w:instrText>
      </w:r>
      <w: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"_Toc12749" </w:instrText>
      </w:r>
      <w:r>
        <w:fldChar w:fldCharType="separate"/>
      </w:r>
      <w:r>
        <w:rPr>
          <w:rFonts w:hint="eastAsia"/>
          <w:szCs w:val="36"/>
        </w:rPr>
        <w:t>第二部分  2021年度部门决算报表（附表）</w:t>
      </w:r>
      <w:r>
        <w:tab/>
      </w:r>
      <w:r>
        <w:fldChar w:fldCharType="begin"/>
      </w:r>
      <w:r>
        <w:instrText xml:space="preserve"> PAGEREF _Toc12749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"_Toc29325" </w:instrText>
      </w:r>
      <w:r>
        <w:fldChar w:fldCharType="separate"/>
      </w:r>
      <w:r>
        <w:rPr>
          <w:rFonts w:hint="eastAsia"/>
          <w:szCs w:val="36"/>
        </w:rPr>
        <w:t>第三部分  2021年度部门决算情况说明</w:t>
      </w:r>
      <w:r>
        <w:tab/>
      </w:r>
      <w:r>
        <w:fldChar w:fldCharType="begin"/>
      </w:r>
      <w:r>
        <w:instrText xml:space="preserve"> PAGEREF _Toc29325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"_Toc437" </w:instrText>
      </w:r>
      <w:r>
        <w:fldChar w:fldCharType="separate"/>
      </w:r>
      <w:r>
        <w:rPr>
          <w:rFonts w:hint="eastAsia" w:ascii="仿宋" w:hAnsi="仿宋" w:eastAsia="仿宋" w:cs="仿宋"/>
        </w:rPr>
        <w:t>一、收入支出决算总体情况说明</w:t>
      </w:r>
      <w:r>
        <w:tab/>
      </w:r>
      <w:r>
        <w:fldChar w:fldCharType="begin"/>
      </w:r>
      <w:r>
        <w:instrText xml:space="preserve"> PAGEREF _Toc437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"_Toc16754" </w:instrText>
      </w:r>
      <w:r>
        <w:fldChar w:fldCharType="separate"/>
      </w:r>
      <w:r>
        <w:rPr>
          <w:rFonts w:hint="eastAsia" w:ascii="仿宋" w:hAnsi="仿宋" w:eastAsia="仿宋" w:cs="仿宋"/>
        </w:rPr>
        <w:t>二、收入决算情况说明</w:t>
      </w:r>
      <w:r>
        <w:tab/>
      </w:r>
      <w:r>
        <w:fldChar w:fldCharType="begin"/>
      </w:r>
      <w:r>
        <w:instrText xml:space="preserve"> PAGEREF _Toc16754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"_Toc22098" </w:instrText>
      </w:r>
      <w:r>
        <w:fldChar w:fldCharType="separate"/>
      </w:r>
      <w:r>
        <w:rPr>
          <w:rFonts w:hint="eastAsia" w:ascii="仿宋" w:hAnsi="仿宋" w:eastAsia="仿宋" w:cs="仿宋"/>
        </w:rPr>
        <w:t>三、支出决算情况说明</w:t>
      </w:r>
      <w:r>
        <w:tab/>
      </w:r>
      <w:r>
        <w:fldChar w:fldCharType="begin"/>
      </w:r>
      <w:r>
        <w:instrText xml:space="preserve"> PAGEREF _Toc22098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"_Toc2142" </w:instrText>
      </w:r>
      <w:r>
        <w:fldChar w:fldCharType="separate"/>
      </w:r>
      <w:r>
        <w:rPr>
          <w:rFonts w:hint="eastAsia" w:ascii="仿宋" w:hAnsi="仿宋" w:eastAsia="仿宋" w:cs="仿宋"/>
        </w:rPr>
        <w:t>四、财政拨款收入支出决算总体情况说明</w:t>
      </w:r>
      <w:r>
        <w:tab/>
      </w:r>
      <w:r>
        <w:fldChar w:fldCharType="begin"/>
      </w:r>
      <w:r>
        <w:instrText xml:space="preserve"> PAGEREF _Toc2142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"_Toc6501" </w:instrText>
      </w:r>
      <w:r>
        <w:fldChar w:fldCharType="separate"/>
      </w:r>
      <w:r>
        <w:rPr>
          <w:rFonts w:hint="eastAsia" w:ascii="仿宋" w:hAnsi="仿宋" w:eastAsia="仿宋" w:cs="仿宋"/>
        </w:rPr>
        <w:t>五、一般公共预算财政拨款支出决算情况说明</w:t>
      </w:r>
      <w:r>
        <w:tab/>
      </w:r>
      <w:r>
        <w:fldChar w:fldCharType="begin"/>
      </w:r>
      <w:r>
        <w:instrText xml:space="preserve"> PAGEREF _Toc6501 </w:instrText>
      </w:r>
      <w:r>
        <w:fldChar w:fldCharType="separate"/>
      </w:r>
      <w:r>
        <w:t>4</w:t>
      </w:r>
      <w:r>
        <w:fldChar w:fldCharType="end"/>
      </w:r>
      <w:r>
        <w:fldChar w:fldCharType="end"/>
      </w:r>
    </w:p>
    <w:p>
      <w:pPr>
        <w:pStyle w:val="7"/>
        <w:tabs>
          <w:tab w:val="right" w:leader="dot" w:pos="8306"/>
        </w:tabs>
        <w:ind w:left="640" w:firstLine="640"/>
      </w:pPr>
      <w:r>
        <w:fldChar w:fldCharType="begin"/>
      </w:r>
      <w:r>
        <w:instrText xml:space="preserve"> HYPERLINK \l "_Toc17728" </w:instrText>
      </w:r>
      <w:r>
        <w:fldChar w:fldCharType="separate"/>
      </w:r>
      <w:r>
        <w:rPr>
          <w:rFonts w:hint="eastAsia" w:ascii="仿宋" w:hAnsi="仿宋" w:eastAsia="仿宋" w:cs="仿宋"/>
        </w:rPr>
        <w:t>六、一般公共预算财政拨款基本支出决算情况说明</w:t>
      </w:r>
      <w:r>
        <w:tab/>
      </w:r>
      <w:r>
        <w:fldChar w:fldCharType="begin"/>
      </w:r>
      <w:r>
        <w:instrText xml:space="preserve"> PAGEREF _Toc17728 </w:instrText>
      </w:r>
      <w:r>
        <w:fldChar w:fldCharType="separate"/>
      </w:r>
      <w:r>
        <w:t>6</w:t>
      </w:r>
      <w:r>
        <w:fldChar w:fldCharType="end"/>
      </w:r>
      <w:r>
        <w:fldChar w:fldCharType="end"/>
      </w:r>
    </w:p>
    <w:p>
      <w:pPr>
        <w:pStyle w:val="7"/>
        <w:tabs>
          <w:tab w:val="right" w:leader="dot" w:pos="8306"/>
        </w:tabs>
        <w:ind w:left="640" w:firstLine="640"/>
      </w:pPr>
      <w:r>
        <w:fldChar w:fldCharType="begin"/>
      </w:r>
      <w:r>
        <w:instrText xml:space="preserve"> HYPERLINK \l "_Toc26508" </w:instrText>
      </w:r>
      <w:r>
        <w:fldChar w:fldCharType="separate"/>
      </w:r>
      <w:r>
        <w:rPr>
          <w:rFonts w:hint="eastAsia" w:ascii="仿宋" w:hAnsi="仿宋" w:eastAsia="仿宋" w:cs="仿宋"/>
        </w:rPr>
        <w:t>七、一般公共预算财政拨款“三公”经费支出决算情况说明</w:t>
      </w:r>
      <w:r>
        <w:tab/>
      </w:r>
      <w:r>
        <w:fldChar w:fldCharType="begin"/>
      </w:r>
      <w:r>
        <w:instrText xml:space="preserve"> PAGEREF _Toc26508 </w:instrText>
      </w:r>
      <w:r>
        <w:fldChar w:fldCharType="separate"/>
      </w:r>
      <w:r>
        <w:t>6</w:t>
      </w:r>
      <w:r>
        <w:fldChar w:fldCharType="end"/>
      </w:r>
      <w:r>
        <w:fldChar w:fldCharType="end"/>
      </w:r>
    </w:p>
    <w:p>
      <w:pPr>
        <w:pStyle w:val="7"/>
        <w:tabs>
          <w:tab w:val="right" w:leader="dot" w:pos="8306"/>
        </w:tabs>
        <w:ind w:left="640" w:firstLine="640"/>
      </w:pPr>
      <w:r>
        <w:fldChar w:fldCharType="begin"/>
      </w:r>
      <w:r>
        <w:instrText xml:space="preserve"> HYPERLINK \l "_Toc1792" </w:instrText>
      </w:r>
      <w:r>
        <w:fldChar w:fldCharType="separate"/>
      </w:r>
      <w:r>
        <w:rPr>
          <w:rFonts w:hint="eastAsia" w:ascii="仿宋" w:hAnsi="仿宋" w:eastAsia="仿宋" w:cs="仿宋"/>
        </w:rPr>
        <w:t>八、其他重要事项情况说明</w:t>
      </w:r>
      <w:r>
        <w:tab/>
      </w:r>
      <w:r>
        <w:fldChar w:fldCharType="begin"/>
      </w:r>
      <w:r>
        <w:instrText xml:space="preserve"> PAGEREF _Toc1792 </w:instrText>
      </w:r>
      <w:r>
        <w:fldChar w:fldCharType="separate"/>
      </w:r>
      <w:r>
        <w:t>7</w:t>
      </w:r>
      <w:r>
        <w:fldChar w:fldCharType="end"/>
      </w:r>
      <w:r>
        <w:fldChar w:fldCharType="end"/>
      </w:r>
    </w:p>
    <w:p>
      <w:pPr>
        <w:pStyle w:val="6"/>
        <w:tabs>
          <w:tab w:val="right" w:leader="dot" w:pos="8306"/>
        </w:tabs>
        <w:ind w:firstLine="640"/>
      </w:pPr>
      <w:r>
        <w:fldChar w:fldCharType="begin"/>
      </w:r>
      <w:r>
        <w:instrText xml:space="preserve"> HYPERLINK \l "_Toc28108" </w:instrText>
      </w:r>
      <w:r>
        <w:fldChar w:fldCharType="separate"/>
      </w:r>
      <w:r>
        <w:rPr>
          <w:rFonts w:hint="eastAsia" w:ascii="仿宋_GB2312"/>
          <w:szCs w:val="32"/>
        </w:rPr>
        <w:t>（四） 其他需要说明的事项</w:t>
      </w:r>
      <w:r>
        <w:tab/>
      </w:r>
      <w:r>
        <w:fldChar w:fldCharType="begin"/>
      </w:r>
      <w:r>
        <w:instrText xml:space="preserve"> PAGEREF _Toc28108 </w:instrText>
      </w:r>
      <w:r>
        <w:fldChar w:fldCharType="separate"/>
      </w:r>
      <w:r>
        <w:t>8</w:t>
      </w:r>
      <w:r>
        <w:fldChar w:fldCharType="end"/>
      </w:r>
      <w:r>
        <w:fldChar w:fldCharType="end"/>
      </w:r>
    </w:p>
    <w:p>
      <w:pPr>
        <w:pStyle w:val="6"/>
        <w:tabs>
          <w:tab w:val="right" w:leader="dot" w:pos="8306"/>
        </w:tabs>
        <w:ind w:firstLine="640"/>
      </w:pPr>
      <w:r>
        <w:fldChar w:fldCharType="begin"/>
      </w:r>
      <w:r>
        <w:instrText xml:space="preserve"> HYPERLINK \l "_Toc8545" </w:instrText>
      </w:r>
      <w:r>
        <w:fldChar w:fldCharType="separate"/>
      </w:r>
      <w:r>
        <w:rPr>
          <w:rFonts w:hint="eastAsia"/>
          <w:szCs w:val="36"/>
        </w:rPr>
        <w:t>第四部分  名词解释</w:t>
      </w:r>
      <w:r>
        <w:tab/>
      </w:r>
      <w:r>
        <w:fldChar w:fldCharType="begin"/>
      </w:r>
      <w:r>
        <w:instrText xml:space="preserve"> PAGEREF _Toc8545 </w:instrText>
      </w:r>
      <w:r>
        <w:fldChar w:fldCharType="separate"/>
      </w:r>
      <w:r>
        <w:t>8</w:t>
      </w:r>
      <w:r>
        <w:fldChar w:fldCharType="end"/>
      </w:r>
      <w:r>
        <w:fldChar w:fldCharType="end"/>
      </w:r>
    </w:p>
    <w:p>
      <w:pPr>
        <w:ind w:firstLine="640"/>
        <w:jc w:val="center"/>
        <w:rPr>
          <w:rFonts w:ascii="仿宋" w:hAnsi="仿宋" w:eastAsia="仿宋" w:cs="仿宋"/>
          <w:szCs w:val="32"/>
        </w:rPr>
      </w:pPr>
      <w:r>
        <w:rPr>
          <w:rFonts w:hint="eastAsia" w:ascii="仿宋" w:hAnsi="仿宋" w:eastAsia="仿宋" w:cs="仿宋"/>
          <w:szCs w:val="32"/>
        </w:rPr>
        <w:fldChar w:fldCharType="end"/>
      </w:r>
    </w:p>
    <w:p>
      <w:pPr>
        <w:pStyle w:val="2"/>
        <w:ind w:firstLine="0" w:firstLineChars="0"/>
        <w:jc w:val="center"/>
        <w:rPr>
          <w:szCs w:val="36"/>
        </w:rPr>
      </w:pPr>
      <w:bookmarkStart w:id="3" w:name="_Toc23288"/>
      <w:bookmarkStart w:id="4" w:name="_Toc31140"/>
      <w:r>
        <w:rPr>
          <w:rFonts w:hint="eastAsia"/>
          <w:sz w:val="36"/>
          <w:szCs w:val="36"/>
        </w:rPr>
        <w:t>第一部分  概况</w:t>
      </w:r>
      <w:bookmarkEnd w:id="3"/>
      <w:bookmarkEnd w:id="4"/>
    </w:p>
    <w:p>
      <w:pPr>
        <w:pStyle w:val="3"/>
        <w:numPr>
          <w:ilvl w:val="0"/>
          <w:numId w:val="1"/>
        </w:numPr>
        <w:ind w:firstLineChars="0"/>
        <w:rPr>
          <w:rFonts w:ascii="仿宋" w:hAnsi="仿宋" w:eastAsia="仿宋" w:cs="仿宋"/>
          <w:b w:val="0"/>
          <w:bCs/>
        </w:rPr>
      </w:pPr>
      <w:bookmarkStart w:id="5" w:name="_Toc4461"/>
      <w:bookmarkStart w:id="6" w:name="_Toc24066"/>
      <w:r>
        <w:rPr>
          <w:rFonts w:hint="eastAsia" w:ascii="仿宋" w:hAnsi="仿宋" w:eastAsia="仿宋" w:cs="仿宋"/>
          <w:b w:val="0"/>
          <w:bCs/>
        </w:rPr>
        <w:t>本部门职责</w:t>
      </w:r>
      <w:bookmarkEnd w:id="5"/>
      <w:bookmarkEnd w:id="6"/>
    </w:p>
    <w:p>
      <w:pPr>
        <w:pStyle w:val="3"/>
        <w:ind w:firstLine="643"/>
        <w:rPr>
          <w:rFonts w:ascii="仿宋" w:hAnsi="仿宋" w:eastAsia="仿宋" w:cs="仿宋"/>
        </w:rPr>
      </w:pPr>
      <w:r>
        <w:rPr>
          <w:rFonts w:hint="eastAsia" w:ascii="仿宋" w:hAnsi="仿宋" w:eastAsia="仿宋" w:cs="仿宋"/>
          <w:color w:val="433E3B"/>
          <w:szCs w:val="32"/>
          <w:shd w:val="clear" w:color="auto" w:fill="FFFFFF"/>
        </w:rPr>
        <w:t>中共静乐县委党校基本任务是:培训轮训县乡党员领导干部及后备干部；针对改革开放和社会主义现代化进程中的重大理论和现实问题，开展马克思主义中国化最新成果的理论宣传，开展党的路线、方针、政策的宣传。</w:t>
      </w:r>
    </w:p>
    <w:p>
      <w:pPr>
        <w:pStyle w:val="11"/>
        <w:numPr>
          <w:ilvl w:val="0"/>
          <w:numId w:val="1"/>
        </w:numPr>
        <w:ind w:firstLineChars="0"/>
        <w:rPr>
          <w:rFonts w:ascii="仿宋" w:hAnsi="仿宋" w:eastAsia="仿宋" w:cs="仿宋"/>
          <w:bCs/>
        </w:rPr>
      </w:pPr>
      <w:bookmarkStart w:id="7" w:name="_Toc275"/>
      <w:bookmarkStart w:id="8" w:name="_Toc9155"/>
      <w:r>
        <w:rPr>
          <w:rFonts w:hint="eastAsia" w:ascii="仿宋" w:hAnsi="仿宋" w:eastAsia="仿宋" w:cs="仿宋"/>
          <w:bCs/>
        </w:rPr>
        <w:t>机构设置情况</w:t>
      </w:r>
      <w:bookmarkEnd w:id="7"/>
      <w:bookmarkEnd w:id="8"/>
      <w:r>
        <w:rPr>
          <w:rFonts w:hint="eastAsia" w:ascii="仿宋" w:hAnsi="仿宋" w:eastAsia="仿宋" w:cs="仿宋"/>
          <w:bCs/>
        </w:rPr>
        <w:t>：</w:t>
      </w:r>
    </w:p>
    <w:p>
      <w:pPr>
        <w:ind w:left="200" w:firstLine="480" w:firstLineChars="150"/>
        <w:rPr>
          <w:rFonts w:cs="Times New Roman"/>
        </w:rPr>
      </w:pPr>
      <w:r>
        <w:rPr>
          <w:rFonts w:hint="eastAsia" w:ascii="仿宋" w:hAnsi="仿宋" w:eastAsia="仿宋" w:cs="仿宋"/>
          <w:szCs w:val="32"/>
        </w:rPr>
        <w:t>中共静乐县委党校行政编制11人，实际7人；事业编17人，实际21人，共有28人。内设办公室、教务股、总务股、培训股。</w:t>
      </w:r>
    </w:p>
    <w:p>
      <w:pPr>
        <w:pStyle w:val="2"/>
        <w:ind w:firstLine="181" w:firstLineChars="50"/>
        <w:rPr>
          <w:sz w:val="36"/>
          <w:szCs w:val="36"/>
        </w:rPr>
      </w:pPr>
      <w:bookmarkStart w:id="9" w:name="_Toc12749"/>
      <w:r>
        <w:rPr>
          <w:rFonts w:hint="eastAsia"/>
          <w:sz w:val="36"/>
          <w:szCs w:val="36"/>
        </w:rPr>
        <w:t>第二部分  2021年度部门决算报表（附表）</w:t>
      </w:r>
      <w:bookmarkEnd w:id="9"/>
    </w:p>
    <w:p>
      <w:pPr>
        <w:ind w:firstLine="640"/>
        <w:rPr>
          <w:rFonts w:ascii="仿宋_GB2312" w:hAnsi="楷体"/>
          <w:szCs w:val="32"/>
        </w:rPr>
      </w:pPr>
      <w:r>
        <w:rPr>
          <w:rFonts w:hint="eastAsia" w:ascii="仿宋_GB2312" w:hAnsi="楷体"/>
          <w:szCs w:val="32"/>
        </w:rPr>
        <w:t>一、收入支出决算总表</w:t>
      </w:r>
    </w:p>
    <w:p>
      <w:pPr>
        <w:ind w:firstLine="640"/>
        <w:rPr>
          <w:rFonts w:ascii="仿宋_GB2312" w:hAnsi="楷体"/>
          <w:szCs w:val="32"/>
        </w:rPr>
      </w:pPr>
      <w:r>
        <w:rPr>
          <w:rFonts w:hint="eastAsia" w:ascii="仿宋_GB2312" w:hAnsi="楷体"/>
          <w:szCs w:val="32"/>
        </w:rPr>
        <w:t>二、收入决算表</w:t>
      </w:r>
    </w:p>
    <w:p>
      <w:pPr>
        <w:ind w:firstLine="640"/>
        <w:rPr>
          <w:rFonts w:ascii="仿宋_GB2312" w:hAnsi="楷体"/>
          <w:szCs w:val="32"/>
        </w:rPr>
      </w:pPr>
      <w:r>
        <w:rPr>
          <w:rFonts w:hint="eastAsia" w:ascii="仿宋_GB2312" w:hAnsi="楷体"/>
          <w:szCs w:val="32"/>
        </w:rPr>
        <w:t>三、支出决算表</w:t>
      </w:r>
    </w:p>
    <w:p>
      <w:pPr>
        <w:ind w:firstLine="640"/>
        <w:rPr>
          <w:rFonts w:ascii="仿宋_GB2312" w:hAnsi="楷体"/>
          <w:szCs w:val="32"/>
        </w:rPr>
      </w:pPr>
      <w:r>
        <w:rPr>
          <w:rFonts w:hint="eastAsia" w:ascii="仿宋_GB2312" w:hAnsi="楷体"/>
          <w:szCs w:val="32"/>
        </w:rPr>
        <w:t>四、财政拨款收入支出决算总表</w:t>
      </w:r>
    </w:p>
    <w:p>
      <w:pPr>
        <w:ind w:firstLine="640"/>
        <w:rPr>
          <w:rFonts w:ascii="仿宋_GB2312" w:hAnsi="楷体"/>
          <w:szCs w:val="32"/>
        </w:rPr>
      </w:pPr>
      <w:r>
        <w:rPr>
          <w:rFonts w:hint="eastAsia" w:ascii="仿宋_GB2312" w:hAnsi="楷体"/>
          <w:szCs w:val="32"/>
        </w:rPr>
        <w:t>五、一般公共预算财政拨款支出决算表（一）</w:t>
      </w:r>
    </w:p>
    <w:p>
      <w:pPr>
        <w:ind w:firstLine="640"/>
        <w:rPr>
          <w:rFonts w:ascii="仿宋_GB2312" w:hAnsi="楷体"/>
          <w:szCs w:val="32"/>
        </w:rPr>
      </w:pPr>
      <w:r>
        <w:rPr>
          <w:rFonts w:hint="eastAsia" w:ascii="仿宋_GB2312" w:hAnsi="楷体"/>
          <w:szCs w:val="32"/>
        </w:rPr>
        <w:t>六、一般公共预算财政拨款支出决算表（二）</w:t>
      </w:r>
    </w:p>
    <w:p>
      <w:pPr>
        <w:ind w:firstLine="640"/>
        <w:rPr>
          <w:rFonts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ascii="仿宋_GB2312" w:hAnsi="楷体"/>
          <w:szCs w:val="32"/>
        </w:rPr>
      </w:pPr>
      <w:r>
        <w:rPr>
          <w:rFonts w:hint="eastAsia" w:ascii="仿宋_GB2312" w:hAnsi="楷体"/>
          <w:szCs w:val="32"/>
        </w:rPr>
        <w:t>九、国有资本经营预算财政拨款支出决算表</w:t>
      </w:r>
    </w:p>
    <w:p>
      <w:pPr>
        <w:ind w:firstLine="640"/>
        <w:rPr>
          <w:rFonts w:ascii="仿宋_GB2312" w:hAnsi="楷体"/>
          <w:szCs w:val="32"/>
        </w:rPr>
      </w:pPr>
      <w:r>
        <w:rPr>
          <w:rFonts w:hint="eastAsia" w:ascii="仿宋_GB2312" w:hAnsi="楷体"/>
          <w:szCs w:val="32"/>
        </w:rPr>
        <w:t>十、部门决算公开相关信息统计表</w:t>
      </w:r>
    </w:p>
    <w:p>
      <w:pPr>
        <w:pStyle w:val="2"/>
        <w:ind w:firstLine="0" w:firstLineChars="0"/>
        <w:jc w:val="center"/>
        <w:rPr>
          <w:sz w:val="36"/>
          <w:szCs w:val="36"/>
        </w:rPr>
      </w:pPr>
      <w:bookmarkStart w:id="10" w:name="_Toc29325"/>
      <w:r>
        <w:rPr>
          <w:rFonts w:hint="eastAsia"/>
          <w:sz w:val="36"/>
          <w:szCs w:val="36"/>
        </w:rPr>
        <w:t>第三部分  2021年度部门决算情况说明</w:t>
      </w:r>
      <w:bookmarkEnd w:id="10"/>
    </w:p>
    <w:p>
      <w:pPr>
        <w:pStyle w:val="3"/>
        <w:ind w:firstLine="643"/>
        <w:rPr>
          <w:rFonts w:ascii="仿宋" w:hAnsi="仿宋" w:eastAsia="仿宋" w:cs="仿宋"/>
        </w:rPr>
      </w:pPr>
      <w:bookmarkStart w:id="11" w:name="_Toc8717"/>
      <w:bookmarkStart w:id="12" w:name="_Toc437"/>
      <w:r>
        <w:rPr>
          <w:rFonts w:hint="eastAsia" w:ascii="仿宋" w:hAnsi="仿宋" w:eastAsia="仿宋" w:cs="仿宋"/>
        </w:rPr>
        <w:t>一、收入支出决算总体情况说明</w:t>
      </w:r>
      <w:bookmarkEnd w:id="11"/>
      <w:bookmarkEnd w:id="12"/>
    </w:p>
    <w:p>
      <w:pPr>
        <w:ind w:firstLine="640"/>
        <w:rPr>
          <w:rFonts w:ascii="仿宋_GB2312"/>
          <w:szCs w:val="32"/>
        </w:rPr>
      </w:pPr>
      <w:r>
        <w:rPr>
          <w:rFonts w:hint="eastAsia" w:ascii="仿宋_GB2312"/>
          <w:szCs w:val="32"/>
        </w:rPr>
        <w:t>2021年度收入</w:t>
      </w:r>
      <w:r>
        <w:rPr>
          <w:rFonts w:ascii="仿宋_GB2312"/>
          <w:szCs w:val="32"/>
        </w:rPr>
        <w:t>总计489.8</w:t>
      </w:r>
      <w:r>
        <w:rPr>
          <w:rFonts w:hint="eastAsia" w:ascii="仿宋_GB2312"/>
          <w:szCs w:val="32"/>
          <w:lang w:val="en-US" w:eastAsia="zh-CN"/>
        </w:rPr>
        <w:t>5</w:t>
      </w:r>
      <w:r>
        <w:rPr>
          <w:rFonts w:hint="eastAsia" w:ascii="仿宋_GB2312"/>
          <w:szCs w:val="32"/>
        </w:rPr>
        <w:t>万元、支出总计489.8</w:t>
      </w:r>
      <w:r>
        <w:rPr>
          <w:rFonts w:hint="eastAsia" w:ascii="仿宋_GB2312"/>
          <w:szCs w:val="32"/>
          <w:lang w:val="en-US" w:eastAsia="zh-CN"/>
        </w:rPr>
        <w:t>5</w:t>
      </w:r>
      <w:r>
        <w:rPr>
          <w:rFonts w:hint="eastAsia" w:ascii="仿宋_GB2312"/>
          <w:szCs w:val="32"/>
        </w:rPr>
        <w:t>万元。与2020年相比，收入总计减少447.94万元，下降47.76%，</w:t>
      </w:r>
      <w:r>
        <w:rPr>
          <w:rFonts w:ascii="仿宋_GB2312"/>
          <w:szCs w:val="32"/>
        </w:rPr>
        <w:t>支出总计</w:t>
      </w:r>
      <w:r>
        <w:rPr>
          <w:rFonts w:hint="eastAsia" w:ascii="仿宋_GB2312"/>
          <w:szCs w:val="32"/>
        </w:rPr>
        <w:t>447.94万元</w:t>
      </w:r>
      <w:r>
        <w:rPr>
          <w:rFonts w:ascii="仿宋_GB2312"/>
          <w:szCs w:val="32"/>
        </w:rPr>
        <w:t>，下降</w:t>
      </w:r>
      <w:r>
        <w:rPr>
          <w:rFonts w:hint="eastAsia" w:ascii="仿宋_GB2312"/>
          <w:szCs w:val="32"/>
        </w:rPr>
        <w:t>47.76</w:t>
      </w:r>
      <w:r>
        <w:rPr>
          <w:rFonts w:ascii="仿宋_GB2312"/>
          <w:szCs w:val="32"/>
        </w:rPr>
        <w:t>%</w:t>
      </w:r>
      <w:r>
        <w:rPr>
          <w:rFonts w:hint="eastAsia" w:ascii="仿宋_GB2312"/>
          <w:szCs w:val="32"/>
        </w:rPr>
        <w:t>。主要原因是2020年党校培训中心维修改造。</w:t>
      </w:r>
    </w:p>
    <w:p>
      <w:pPr>
        <w:pStyle w:val="3"/>
        <w:ind w:firstLine="643"/>
        <w:rPr>
          <w:rFonts w:ascii="仿宋" w:hAnsi="仿宋" w:eastAsia="仿宋" w:cs="仿宋"/>
        </w:rPr>
      </w:pPr>
      <w:bookmarkStart w:id="13" w:name="_Toc16754"/>
      <w:bookmarkStart w:id="14" w:name="_Toc17404"/>
      <w:r>
        <w:rPr>
          <w:rFonts w:hint="eastAsia" w:ascii="仿宋" w:hAnsi="仿宋" w:eastAsia="仿宋" w:cs="仿宋"/>
        </w:rPr>
        <w:t>二、收入决算情况说明</w:t>
      </w:r>
      <w:bookmarkEnd w:id="13"/>
      <w:bookmarkEnd w:id="14"/>
    </w:p>
    <w:p>
      <w:pPr>
        <w:spacing w:line="580" w:lineRule="exact"/>
        <w:ind w:firstLine="640"/>
        <w:rPr>
          <w:rFonts w:ascii="仿宋_GB2312"/>
          <w:szCs w:val="32"/>
        </w:rPr>
      </w:pPr>
      <w:r>
        <w:rPr>
          <w:rFonts w:hint="eastAsia" w:ascii="仿宋_GB2312"/>
          <w:szCs w:val="32"/>
        </w:rPr>
        <w:t>本年收入合计489.85万元，其中：财政拨款收入489.85万元，占比100%；上级补助收入0万元，占比0%；事业收入0万元，占比0%；经营收入0万元，占比0%。附属单位上缴收入0万元，占比0%；其他收入0万元，占比0%。（可附图说明）</w:t>
      </w:r>
    </w:p>
    <w:p>
      <w:pPr>
        <w:pStyle w:val="3"/>
        <w:ind w:firstLine="643"/>
        <w:rPr>
          <w:rFonts w:ascii="仿宋" w:hAnsi="仿宋" w:eastAsia="仿宋" w:cs="仿宋"/>
        </w:rPr>
      </w:pPr>
      <w:bookmarkStart w:id="15" w:name="_Toc22098"/>
      <w:bookmarkStart w:id="16" w:name="_Toc9596"/>
      <w:r>
        <w:rPr>
          <w:rFonts w:hint="eastAsia" w:ascii="仿宋" w:hAnsi="仿宋" w:eastAsia="仿宋" w:cs="仿宋"/>
        </w:rPr>
        <w:t>三、支出决算情况说明</w:t>
      </w:r>
      <w:bookmarkEnd w:id="15"/>
      <w:bookmarkEnd w:id="16"/>
    </w:p>
    <w:p>
      <w:pPr>
        <w:spacing w:line="580" w:lineRule="exact"/>
        <w:ind w:firstLine="640"/>
        <w:rPr>
          <w:rFonts w:ascii="仿宋_GB2312"/>
          <w:szCs w:val="32"/>
        </w:rPr>
      </w:pPr>
      <w:r>
        <w:rPr>
          <w:rFonts w:hint="eastAsia" w:ascii="仿宋_GB2312"/>
          <w:szCs w:val="32"/>
        </w:rPr>
        <w:t>本年支出合计489.85万元，其中：基本支出330.058万元，占比67.37%；项目支出159.79万元，占比32.62%，上缴上级支出0万元，占比0%，经营支出0万元，占比0%,对附属单位补助支出0万元，占比0%。（可附图说明）</w:t>
      </w:r>
    </w:p>
    <w:p>
      <w:pPr>
        <w:pStyle w:val="3"/>
        <w:ind w:firstLine="643"/>
        <w:rPr>
          <w:rFonts w:ascii="仿宋" w:hAnsi="仿宋" w:eastAsia="仿宋" w:cs="仿宋"/>
        </w:rPr>
      </w:pPr>
      <w:bookmarkStart w:id="17" w:name="_Toc4614"/>
      <w:bookmarkStart w:id="18" w:name="_Toc2142"/>
      <w:r>
        <w:rPr>
          <w:rFonts w:hint="eastAsia" w:ascii="仿宋" w:hAnsi="仿宋" w:eastAsia="仿宋" w:cs="仿宋"/>
        </w:rPr>
        <w:t>四、财政拨款收入支出决算总体情况说明</w:t>
      </w:r>
      <w:bookmarkEnd w:id="17"/>
      <w:bookmarkEnd w:id="18"/>
    </w:p>
    <w:p>
      <w:pPr>
        <w:spacing w:line="580" w:lineRule="exact"/>
        <w:ind w:firstLine="640"/>
        <w:rPr>
          <w:rFonts w:ascii="仿宋_GB2312"/>
          <w:szCs w:val="32"/>
        </w:rPr>
      </w:pPr>
      <w:r>
        <w:rPr>
          <w:rFonts w:hint="eastAsia" w:ascii="仿宋_GB2312"/>
          <w:szCs w:val="32"/>
        </w:rPr>
        <w:t>2021年度财政拨款收入</w:t>
      </w:r>
      <w:r>
        <w:rPr>
          <w:rFonts w:ascii="仿宋_GB2312"/>
          <w:szCs w:val="32"/>
        </w:rPr>
        <w:t>总计</w:t>
      </w:r>
      <w:r>
        <w:rPr>
          <w:rFonts w:hint="eastAsia" w:ascii="仿宋_GB2312"/>
          <w:szCs w:val="32"/>
        </w:rPr>
        <w:t>489.85万元、支出总计489.85万元。与2020年相比，财政拨款收入总计减少447.94万元，下降47.76%，财政拨款支出总计减少447.94万元，下降47.76%。主要原因是2020年党校培训中心维修改造。</w:t>
      </w:r>
    </w:p>
    <w:p>
      <w:pPr>
        <w:pStyle w:val="3"/>
        <w:ind w:firstLine="643"/>
        <w:rPr>
          <w:rFonts w:ascii="仿宋" w:hAnsi="仿宋" w:eastAsia="仿宋" w:cs="仿宋"/>
        </w:rPr>
      </w:pPr>
      <w:bookmarkStart w:id="19" w:name="_Toc9341"/>
      <w:bookmarkStart w:id="20" w:name="_Toc6501"/>
      <w:r>
        <w:rPr>
          <w:rFonts w:hint="eastAsia" w:ascii="仿宋" w:hAnsi="仿宋" w:eastAsia="仿宋" w:cs="仿宋"/>
        </w:rPr>
        <w:t>五、一般公共预算财政拨款支出决算情况说明</w:t>
      </w:r>
      <w:bookmarkEnd w:id="19"/>
      <w:bookmarkEnd w:id="20"/>
    </w:p>
    <w:p>
      <w:pPr>
        <w:spacing w:line="580" w:lineRule="exact"/>
        <w:ind w:firstLine="643"/>
        <w:rPr>
          <w:rFonts w:ascii="仿宋_GB2312"/>
          <w:b/>
          <w:szCs w:val="32"/>
        </w:rPr>
      </w:pPr>
      <w:r>
        <w:rPr>
          <w:rFonts w:hint="eastAsia" w:ascii="仿宋_GB2312"/>
          <w:b/>
          <w:szCs w:val="32"/>
        </w:rPr>
        <w:t>（一）财政拨款支出决算总体情况</w:t>
      </w:r>
    </w:p>
    <w:p>
      <w:pPr>
        <w:spacing w:line="580" w:lineRule="exact"/>
        <w:ind w:firstLine="640"/>
        <w:rPr>
          <w:rFonts w:ascii="仿宋_GB2312"/>
          <w:szCs w:val="32"/>
        </w:rPr>
      </w:pPr>
      <w:r>
        <w:rPr>
          <w:rFonts w:hint="eastAsia" w:ascii="仿宋_GB2312"/>
          <w:szCs w:val="32"/>
        </w:rPr>
        <w:t>2021年度财政拨款支出489.85万元，占本年支出合计的100%。与2020年相比，财政拨款支出减少447.94万元，下降47.76%。主要原因是2020年党校培训中心维修改造。其中，政府性基金预算支出0万元，占比0%。</w:t>
      </w:r>
    </w:p>
    <w:p>
      <w:pPr>
        <w:spacing w:line="580" w:lineRule="exact"/>
        <w:ind w:firstLine="643"/>
        <w:rPr>
          <w:rFonts w:ascii="仿宋_GB2312"/>
          <w:b/>
          <w:szCs w:val="32"/>
        </w:rPr>
      </w:pPr>
      <w:r>
        <w:rPr>
          <w:rFonts w:hint="eastAsia" w:ascii="仿宋_GB2312"/>
          <w:b/>
          <w:szCs w:val="32"/>
        </w:rPr>
        <w:t>（二）财政拨款</w:t>
      </w:r>
      <w:r>
        <w:rPr>
          <w:rFonts w:ascii="仿宋_GB2312"/>
          <w:b/>
          <w:szCs w:val="32"/>
        </w:rPr>
        <w:t>支出决算结构情况</w:t>
      </w:r>
    </w:p>
    <w:p>
      <w:pPr>
        <w:spacing w:line="580" w:lineRule="exact"/>
        <w:ind w:firstLine="640"/>
        <w:rPr>
          <w:rFonts w:ascii="仿宋_GB2312"/>
          <w:szCs w:val="32"/>
        </w:rPr>
      </w:pPr>
      <w:r>
        <w:rPr>
          <w:rFonts w:hint="eastAsia" w:ascii="仿宋_GB2312"/>
          <w:szCs w:val="32"/>
        </w:rPr>
        <w:t>2021年度</w:t>
      </w:r>
      <w:r>
        <w:rPr>
          <w:rFonts w:ascii="仿宋_GB2312"/>
          <w:szCs w:val="32"/>
        </w:rPr>
        <w:t>财政拨款支出</w:t>
      </w:r>
      <w:r>
        <w:rPr>
          <w:rFonts w:hint="eastAsia" w:ascii="仿宋_GB2312"/>
          <w:szCs w:val="32"/>
        </w:rPr>
        <w:t>489.85万元</w:t>
      </w:r>
      <w:r>
        <w:rPr>
          <w:rFonts w:ascii="仿宋_GB2312"/>
          <w:szCs w:val="32"/>
        </w:rPr>
        <w:t>，主要用于以下方面：</w:t>
      </w:r>
      <w:r>
        <w:rPr>
          <w:rFonts w:ascii="仿宋_GB2312"/>
          <w:b/>
          <w:szCs w:val="32"/>
        </w:rPr>
        <w:t>一般公共服务（</w:t>
      </w:r>
      <w:r>
        <w:rPr>
          <w:rFonts w:hint="eastAsia" w:ascii="仿宋_GB2312"/>
          <w:b/>
          <w:szCs w:val="32"/>
        </w:rPr>
        <w:t>类</w:t>
      </w:r>
      <w:r>
        <w:rPr>
          <w:rFonts w:ascii="仿宋_GB2312"/>
          <w:b/>
          <w:szCs w:val="32"/>
        </w:rPr>
        <w:t>）</w:t>
      </w:r>
      <w:r>
        <w:rPr>
          <w:rFonts w:hint="eastAsia" w:ascii="仿宋_GB2312"/>
          <w:szCs w:val="32"/>
        </w:rPr>
        <w:t>支出17.1</w:t>
      </w:r>
      <w:r>
        <w:rPr>
          <w:rFonts w:hint="eastAsia" w:ascii="仿宋_GB2312"/>
          <w:szCs w:val="32"/>
          <w:lang w:val="en-US" w:eastAsia="zh-CN"/>
        </w:rPr>
        <w:t>4</w:t>
      </w:r>
      <w:r>
        <w:rPr>
          <w:rFonts w:hint="eastAsia" w:ascii="仿宋_GB2312"/>
          <w:szCs w:val="32"/>
        </w:rPr>
        <w:t>万元</w:t>
      </w:r>
      <w:r>
        <w:rPr>
          <w:rFonts w:ascii="仿宋_GB2312"/>
          <w:szCs w:val="32"/>
        </w:rPr>
        <w:t>，占</w:t>
      </w:r>
      <w:r>
        <w:rPr>
          <w:rFonts w:hint="eastAsia" w:ascii="仿宋_GB2312"/>
          <w:szCs w:val="32"/>
        </w:rPr>
        <w:t>3.5</w:t>
      </w:r>
      <w:r>
        <w:rPr>
          <w:rFonts w:ascii="仿宋_GB2312"/>
          <w:szCs w:val="32"/>
        </w:rPr>
        <w:t>%；</w:t>
      </w:r>
      <w:r>
        <w:rPr>
          <w:rFonts w:hint="eastAsia" w:ascii="仿宋_GB2312"/>
          <w:b/>
          <w:szCs w:val="32"/>
        </w:rPr>
        <w:t>教育</w:t>
      </w:r>
      <w:r>
        <w:rPr>
          <w:rFonts w:ascii="仿宋_GB2312"/>
          <w:b/>
          <w:szCs w:val="32"/>
        </w:rPr>
        <w:t>（</w:t>
      </w:r>
      <w:r>
        <w:rPr>
          <w:rFonts w:hint="eastAsia" w:ascii="仿宋_GB2312"/>
          <w:b/>
          <w:szCs w:val="32"/>
        </w:rPr>
        <w:t>类</w:t>
      </w:r>
      <w:r>
        <w:rPr>
          <w:rFonts w:ascii="仿宋_GB2312"/>
          <w:b/>
          <w:szCs w:val="32"/>
        </w:rPr>
        <w:t>）</w:t>
      </w:r>
      <w:r>
        <w:rPr>
          <w:rFonts w:hint="eastAsia" w:ascii="仿宋_GB2312"/>
          <w:szCs w:val="32"/>
        </w:rPr>
        <w:t>支出472.71万元</w:t>
      </w:r>
      <w:r>
        <w:rPr>
          <w:rFonts w:ascii="仿宋_GB2312"/>
          <w:szCs w:val="32"/>
        </w:rPr>
        <w:t>，占</w:t>
      </w:r>
      <w:r>
        <w:rPr>
          <w:rFonts w:hint="eastAsia" w:ascii="仿宋_GB2312"/>
          <w:szCs w:val="32"/>
        </w:rPr>
        <w:t>96.5</w:t>
      </w:r>
      <w:r>
        <w:rPr>
          <w:rFonts w:ascii="仿宋_GB2312"/>
          <w:szCs w:val="32"/>
        </w:rPr>
        <w:t>%</w:t>
      </w:r>
      <w:r>
        <w:rPr>
          <w:rFonts w:hint="eastAsia" w:ascii="仿宋_GB2312"/>
          <w:szCs w:val="32"/>
        </w:rPr>
        <w:t>。</w:t>
      </w:r>
    </w:p>
    <w:p>
      <w:pPr>
        <w:spacing w:line="580" w:lineRule="exact"/>
        <w:ind w:firstLine="643"/>
        <w:rPr>
          <w:rFonts w:ascii="仿宋_GB2312"/>
          <w:b/>
          <w:szCs w:val="32"/>
        </w:rPr>
      </w:pPr>
      <w:r>
        <w:rPr>
          <w:rFonts w:hint="eastAsia" w:ascii="仿宋_GB2312"/>
          <w:b/>
          <w:szCs w:val="32"/>
        </w:rPr>
        <w:t>（三）财政拨款支出决算具体情况</w:t>
      </w:r>
    </w:p>
    <w:p>
      <w:pPr>
        <w:spacing w:line="580" w:lineRule="exact"/>
        <w:ind w:firstLine="640"/>
        <w:rPr>
          <w:rFonts w:ascii="仿宋" w:hAnsi="仿宋" w:eastAsia="仿宋" w:cs="仿宋"/>
          <w:szCs w:val="32"/>
        </w:rPr>
      </w:pPr>
      <w:r>
        <w:rPr>
          <w:rFonts w:hint="eastAsia"/>
          <w:szCs w:val="32"/>
        </w:rPr>
        <w:t>2</w:t>
      </w:r>
      <w:r>
        <w:rPr>
          <w:szCs w:val="32"/>
        </w:rPr>
        <w:t>02</w:t>
      </w:r>
      <w:r>
        <w:rPr>
          <w:rFonts w:hint="eastAsia"/>
          <w:szCs w:val="32"/>
        </w:rPr>
        <w:t>1年度财政拨款支出年初预算489.85万元，支出决算489.85万元，完成年初预算的100</w:t>
      </w:r>
      <w:r>
        <w:rPr>
          <w:szCs w:val="32"/>
        </w:rPr>
        <w:t>%</w:t>
      </w:r>
      <w:r>
        <w:rPr>
          <w:rFonts w:hint="eastAsia"/>
          <w:szCs w:val="32"/>
        </w:rPr>
        <w:t>。其中：</w:t>
      </w:r>
    </w:p>
    <w:p>
      <w:pPr>
        <w:ind w:firstLine="640"/>
        <w:jc w:val="left"/>
        <w:rPr>
          <w:rFonts w:ascii="仿宋" w:hAnsi="仿宋" w:eastAsia="仿宋" w:cs="仿宋"/>
          <w:szCs w:val="32"/>
        </w:rPr>
      </w:pPr>
      <w:r>
        <w:rPr>
          <w:rFonts w:hint="eastAsia" w:ascii="仿宋" w:hAnsi="仿宋" w:eastAsia="仿宋" w:cs="仿宋"/>
          <w:szCs w:val="32"/>
        </w:rPr>
        <w:t>（1）按功能科目分类对比如下：</w:t>
      </w:r>
    </w:p>
    <w:p>
      <w:pPr>
        <w:ind w:firstLine="640"/>
        <w:jc w:val="left"/>
        <w:rPr>
          <w:rFonts w:ascii="宋体" w:hAnsi="宋体" w:cs="Arial"/>
          <w:b/>
          <w:kern w:val="0"/>
          <w:sz w:val="30"/>
          <w:szCs w:val="30"/>
        </w:rPr>
      </w:pPr>
      <w:r>
        <w:rPr>
          <w:rFonts w:hint="eastAsia" w:ascii="仿宋_GB2312"/>
          <w:szCs w:val="32"/>
        </w:rPr>
        <w:t xml:space="preserve"> </w:t>
      </w:r>
      <w:r>
        <w:rPr>
          <w:rFonts w:ascii="宋体" w:hAnsi="宋体" w:cs="Arial"/>
          <w:b/>
          <w:kern w:val="0"/>
          <w:sz w:val="30"/>
          <w:szCs w:val="30"/>
        </w:rPr>
        <w:t>2</w:t>
      </w:r>
      <w:r>
        <w:rPr>
          <w:rFonts w:hint="eastAsia" w:ascii="宋体" w:hAnsi="宋体" w:cs="Arial"/>
          <w:b/>
          <w:kern w:val="0"/>
          <w:sz w:val="30"/>
          <w:szCs w:val="30"/>
        </w:rPr>
        <w:t>021年度支出功能科目分类对比表    单位：万元</w:t>
      </w:r>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1378"/>
        <w:gridCol w:w="1712"/>
        <w:gridCol w:w="2160"/>
        <w:gridCol w:w="1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jc w:val="center"/>
        </w:trPr>
        <w:tc>
          <w:tcPr>
            <w:tcW w:w="1696" w:type="dxa"/>
          </w:tcPr>
          <w:p>
            <w:pPr>
              <w:widowControl/>
              <w:ind w:firstLine="0" w:firstLineChars="0"/>
              <w:rPr>
                <w:rFonts w:ascii="宋体" w:hAnsi="宋体" w:cs="Arial"/>
                <w:b/>
                <w:kern w:val="0"/>
                <w:sz w:val="24"/>
                <w:szCs w:val="24"/>
              </w:rPr>
            </w:pPr>
            <w:r>
              <w:rPr>
                <w:rFonts w:hint="eastAsia" w:ascii="宋体" w:hAnsi="宋体" w:cs="Arial"/>
                <w:b/>
                <w:kern w:val="0"/>
                <w:sz w:val="24"/>
                <w:szCs w:val="24"/>
              </w:rPr>
              <w:t>科目代码</w:t>
            </w:r>
          </w:p>
        </w:tc>
        <w:tc>
          <w:tcPr>
            <w:tcW w:w="1378" w:type="dxa"/>
          </w:tcPr>
          <w:p>
            <w:pPr>
              <w:widowControl/>
              <w:ind w:firstLine="482"/>
              <w:rPr>
                <w:rFonts w:ascii="宋体" w:hAnsi="宋体" w:cs="Arial"/>
                <w:b/>
                <w:kern w:val="0"/>
                <w:sz w:val="24"/>
                <w:szCs w:val="24"/>
              </w:rPr>
            </w:pPr>
            <w:r>
              <w:rPr>
                <w:rFonts w:hint="eastAsia" w:ascii="宋体" w:hAnsi="宋体" w:cs="Arial"/>
                <w:b/>
                <w:kern w:val="0"/>
                <w:sz w:val="24"/>
                <w:szCs w:val="24"/>
              </w:rPr>
              <w:t>科目名称</w:t>
            </w:r>
          </w:p>
        </w:tc>
        <w:tc>
          <w:tcPr>
            <w:tcW w:w="1712" w:type="dxa"/>
          </w:tcPr>
          <w:p>
            <w:pPr>
              <w:widowControl/>
              <w:ind w:firstLine="482"/>
              <w:jc w:val="left"/>
              <w:rPr>
                <w:rFonts w:ascii="宋体" w:hAnsi="宋体" w:eastAsia="宋体" w:cs="Arial"/>
                <w:b/>
                <w:kern w:val="0"/>
                <w:sz w:val="24"/>
                <w:szCs w:val="24"/>
              </w:rPr>
            </w:pPr>
            <w:r>
              <w:rPr>
                <w:rFonts w:hint="eastAsia" w:ascii="宋体" w:hAnsi="宋体" w:cs="Arial"/>
                <w:b/>
                <w:kern w:val="0"/>
                <w:sz w:val="24"/>
                <w:szCs w:val="24"/>
              </w:rPr>
              <w:t>2020年</w:t>
            </w:r>
          </w:p>
        </w:tc>
        <w:tc>
          <w:tcPr>
            <w:tcW w:w="2160" w:type="dxa"/>
          </w:tcPr>
          <w:p>
            <w:pPr>
              <w:widowControl/>
              <w:ind w:firstLine="482"/>
              <w:jc w:val="left"/>
              <w:rPr>
                <w:rFonts w:ascii="宋体" w:hAnsi="宋体" w:eastAsia="宋体" w:cs="Arial"/>
                <w:b/>
                <w:kern w:val="0"/>
                <w:sz w:val="24"/>
                <w:szCs w:val="24"/>
              </w:rPr>
            </w:pPr>
            <w:r>
              <w:rPr>
                <w:rFonts w:hint="eastAsia" w:ascii="宋体" w:hAnsi="宋体" w:eastAsia="宋体" w:cs="Arial"/>
                <w:b/>
                <w:kern w:val="0"/>
                <w:sz w:val="24"/>
                <w:szCs w:val="24"/>
              </w:rPr>
              <w:t>2021年</w:t>
            </w:r>
          </w:p>
        </w:tc>
        <w:tc>
          <w:tcPr>
            <w:tcW w:w="1576" w:type="dxa"/>
          </w:tcPr>
          <w:p>
            <w:pPr>
              <w:widowControl/>
              <w:ind w:firstLine="0" w:firstLineChars="0"/>
              <w:jc w:val="left"/>
              <w:rPr>
                <w:rFonts w:ascii="宋体" w:hAnsi="宋体" w:eastAsia="宋体" w:cs="Arial"/>
                <w:b/>
                <w:kern w:val="0"/>
                <w:sz w:val="24"/>
                <w:szCs w:val="24"/>
              </w:rPr>
            </w:pPr>
            <w:r>
              <w:rPr>
                <w:rFonts w:hint="eastAsia" w:ascii="宋体" w:hAnsi="宋体" w:cs="Arial"/>
                <w:b/>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696" w:type="dxa"/>
          </w:tcPr>
          <w:p>
            <w:pPr>
              <w:ind w:firstLine="480"/>
              <w:jc w:val="left"/>
              <w:rPr>
                <w:rFonts w:ascii="仿宋" w:hAnsi="仿宋" w:eastAsia="仿宋" w:cs="仿宋"/>
                <w:sz w:val="24"/>
                <w:szCs w:val="24"/>
              </w:rPr>
            </w:pPr>
            <w:r>
              <w:rPr>
                <w:rFonts w:hint="eastAsia" w:ascii="仿宋" w:hAnsi="仿宋" w:eastAsia="仿宋" w:cs="仿宋"/>
                <w:sz w:val="24"/>
                <w:szCs w:val="24"/>
              </w:rPr>
              <w:t>201</w:t>
            </w:r>
          </w:p>
        </w:tc>
        <w:tc>
          <w:tcPr>
            <w:tcW w:w="1378" w:type="dxa"/>
          </w:tcPr>
          <w:p>
            <w:pPr>
              <w:ind w:firstLine="0" w:firstLineChars="0"/>
              <w:jc w:val="left"/>
              <w:rPr>
                <w:rFonts w:ascii="仿宋" w:hAnsi="仿宋" w:eastAsia="仿宋" w:cs="仿宋"/>
                <w:sz w:val="24"/>
                <w:szCs w:val="24"/>
              </w:rPr>
            </w:pPr>
            <w:r>
              <w:rPr>
                <w:rFonts w:hint="eastAsia" w:ascii="仿宋" w:hAnsi="仿宋" w:eastAsia="仿宋" w:cs="仿宋"/>
                <w:sz w:val="24"/>
                <w:szCs w:val="24"/>
              </w:rPr>
              <w:t>一般公共服务支出</w:t>
            </w:r>
          </w:p>
        </w:tc>
        <w:tc>
          <w:tcPr>
            <w:tcW w:w="1712" w:type="dxa"/>
            <w:vAlign w:val="center"/>
          </w:tcPr>
          <w:p>
            <w:pPr>
              <w:widowControl/>
              <w:ind w:firstLine="480"/>
              <w:jc w:val="center"/>
              <w:textAlignment w:val="center"/>
              <w:rPr>
                <w:rFonts w:ascii="仿宋" w:hAnsi="仿宋" w:eastAsia="仿宋" w:cs="仿宋"/>
                <w:sz w:val="24"/>
                <w:szCs w:val="24"/>
              </w:rPr>
            </w:pPr>
            <w:r>
              <w:rPr>
                <w:rFonts w:hint="eastAsia" w:ascii="仿宋" w:hAnsi="仿宋" w:eastAsia="仿宋" w:cs="仿宋"/>
                <w:sz w:val="24"/>
                <w:szCs w:val="24"/>
              </w:rPr>
              <w:t>150</w:t>
            </w:r>
          </w:p>
        </w:tc>
        <w:tc>
          <w:tcPr>
            <w:tcW w:w="2160" w:type="dxa"/>
            <w:vAlign w:val="center"/>
          </w:tcPr>
          <w:p>
            <w:pPr>
              <w:widowControl/>
              <w:ind w:firstLine="480"/>
              <w:jc w:val="center"/>
              <w:textAlignment w:val="center"/>
              <w:rPr>
                <w:rFonts w:ascii="仿宋" w:hAnsi="仿宋" w:eastAsia="仿宋" w:cs="仿宋"/>
                <w:sz w:val="24"/>
                <w:szCs w:val="24"/>
              </w:rPr>
            </w:pPr>
            <w:r>
              <w:rPr>
                <w:rFonts w:hint="eastAsia" w:ascii="仿宋" w:hAnsi="仿宋" w:eastAsia="仿宋" w:cs="仿宋"/>
                <w:sz w:val="24"/>
                <w:szCs w:val="24"/>
              </w:rPr>
              <w:t>17.14</w:t>
            </w:r>
          </w:p>
        </w:tc>
        <w:tc>
          <w:tcPr>
            <w:tcW w:w="1576" w:type="dxa"/>
          </w:tcPr>
          <w:p>
            <w:pPr>
              <w:ind w:firstLine="0" w:firstLineChars="0"/>
              <w:jc w:val="center"/>
              <w:rPr>
                <w:rFonts w:ascii="仿宋" w:hAnsi="仿宋" w:eastAsia="仿宋" w:cs="仿宋"/>
                <w:sz w:val="24"/>
                <w:szCs w:val="24"/>
              </w:rPr>
            </w:pPr>
            <w:r>
              <w:rPr>
                <w:rFonts w:hint="eastAsia" w:ascii="仿宋" w:hAnsi="仿宋" w:eastAsia="仿宋" w:cs="仿宋"/>
                <w:sz w:val="24"/>
                <w:szCs w:val="24"/>
                <w:lang w:val="en-US" w:eastAsia="zh-CN"/>
              </w:rPr>
              <w:t>-</w:t>
            </w:r>
            <w:r>
              <w:rPr>
                <w:rFonts w:hint="eastAsia" w:ascii="仿宋" w:hAnsi="仿宋" w:eastAsia="仿宋" w:cs="仿宋"/>
                <w:sz w:val="24"/>
                <w:szCs w:val="24"/>
              </w:rPr>
              <w:t>88.57%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jc w:val="center"/>
        </w:trPr>
        <w:tc>
          <w:tcPr>
            <w:tcW w:w="1696" w:type="dxa"/>
          </w:tcPr>
          <w:p>
            <w:pPr>
              <w:ind w:firstLine="480"/>
              <w:jc w:val="left"/>
              <w:rPr>
                <w:rFonts w:ascii="仿宋" w:hAnsi="仿宋" w:eastAsia="仿宋" w:cs="仿宋"/>
                <w:sz w:val="24"/>
                <w:szCs w:val="24"/>
              </w:rPr>
            </w:pPr>
            <w:r>
              <w:rPr>
                <w:rFonts w:hint="eastAsia" w:ascii="仿宋" w:hAnsi="仿宋" w:eastAsia="仿宋" w:cs="仿宋"/>
                <w:sz w:val="24"/>
                <w:szCs w:val="24"/>
              </w:rPr>
              <w:t>20106</w:t>
            </w:r>
          </w:p>
        </w:tc>
        <w:tc>
          <w:tcPr>
            <w:tcW w:w="1378" w:type="dxa"/>
          </w:tcPr>
          <w:p>
            <w:pPr>
              <w:ind w:firstLine="0" w:firstLineChars="0"/>
              <w:jc w:val="left"/>
              <w:rPr>
                <w:rFonts w:ascii="仿宋" w:hAnsi="仿宋" w:eastAsia="仿宋" w:cs="仿宋"/>
                <w:sz w:val="24"/>
                <w:szCs w:val="24"/>
              </w:rPr>
            </w:pPr>
            <w:r>
              <w:rPr>
                <w:rFonts w:hint="eastAsia" w:ascii="仿宋" w:hAnsi="仿宋" w:eastAsia="仿宋" w:cs="仿宋"/>
                <w:sz w:val="24"/>
                <w:szCs w:val="24"/>
              </w:rPr>
              <w:t>财政事务</w:t>
            </w:r>
          </w:p>
        </w:tc>
        <w:tc>
          <w:tcPr>
            <w:tcW w:w="1712" w:type="dxa"/>
            <w:vAlign w:val="center"/>
          </w:tcPr>
          <w:p>
            <w:pPr>
              <w:widowControl/>
              <w:ind w:firstLine="480"/>
              <w:jc w:val="center"/>
              <w:textAlignment w:val="center"/>
              <w:rPr>
                <w:rFonts w:ascii="仿宋" w:hAnsi="仿宋" w:eastAsia="仿宋" w:cs="仿宋"/>
                <w:sz w:val="24"/>
                <w:szCs w:val="24"/>
              </w:rPr>
            </w:pPr>
          </w:p>
        </w:tc>
        <w:tc>
          <w:tcPr>
            <w:tcW w:w="2160" w:type="dxa"/>
            <w:vAlign w:val="center"/>
          </w:tcPr>
          <w:p>
            <w:pPr>
              <w:widowControl/>
              <w:ind w:firstLine="480"/>
              <w:jc w:val="center"/>
              <w:textAlignment w:val="center"/>
              <w:rPr>
                <w:rFonts w:ascii="仿宋" w:hAnsi="仿宋" w:eastAsia="仿宋" w:cs="仿宋"/>
                <w:sz w:val="24"/>
                <w:szCs w:val="24"/>
              </w:rPr>
            </w:pPr>
          </w:p>
        </w:tc>
        <w:tc>
          <w:tcPr>
            <w:tcW w:w="1576" w:type="dxa"/>
          </w:tcPr>
          <w:p>
            <w:pPr>
              <w:ind w:firstLine="48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jc w:val="center"/>
        </w:trPr>
        <w:tc>
          <w:tcPr>
            <w:tcW w:w="1696" w:type="dxa"/>
          </w:tcPr>
          <w:p>
            <w:pPr>
              <w:ind w:firstLine="480"/>
              <w:jc w:val="left"/>
              <w:rPr>
                <w:rFonts w:ascii="仿宋" w:hAnsi="仿宋" w:eastAsia="仿宋" w:cs="仿宋"/>
                <w:sz w:val="24"/>
                <w:szCs w:val="24"/>
              </w:rPr>
            </w:pPr>
            <w:r>
              <w:rPr>
                <w:rFonts w:hint="eastAsia" w:ascii="仿宋" w:hAnsi="仿宋" w:eastAsia="仿宋" w:cs="仿宋"/>
                <w:sz w:val="24"/>
                <w:szCs w:val="24"/>
              </w:rPr>
              <w:t>2010601</w:t>
            </w:r>
          </w:p>
        </w:tc>
        <w:tc>
          <w:tcPr>
            <w:tcW w:w="1378" w:type="dxa"/>
          </w:tcPr>
          <w:p>
            <w:pPr>
              <w:ind w:firstLine="0" w:firstLineChars="0"/>
              <w:jc w:val="left"/>
              <w:rPr>
                <w:rFonts w:ascii="仿宋" w:hAnsi="仿宋" w:eastAsia="仿宋" w:cs="仿宋"/>
                <w:sz w:val="24"/>
                <w:szCs w:val="24"/>
              </w:rPr>
            </w:pPr>
            <w:r>
              <w:rPr>
                <w:rFonts w:hint="eastAsia" w:ascii="仿宋" w:hAnsi="仿宋" w:eastAsia="仿宋" w:cs="仿宋"/>
                <w:sz w:val="24"/>
                <w:szCs w:val="24"/>
              </w:rPr>
              <w:t>行政运行</w:t>
            </w:r>
          </w:p>
        </w:tc>
        <w:tc>
          <w:tcPr>
            <w:tcW w:w="1712" w:type="dxa"/>
            <w:vAlign w:val="center"/>
          </w:tcPr>
          <w:p>
            <w:pPr>
              <w:widowControl/>
              <w:ind w:firstLine="480"/>
              <w:jc w:val="center"/>
              <w:textAlignment w:val="center"/>
              <w:rPr>
                <w:rFonts w:ascii="仿宋" w:hAnsi="仿宋" w:eastAsia="仿宋" w:cs="仿宋"/>
                <w:sz w:val="24"/>
                <w:szCs w:val="24"/>
              </w:rPr>
            </w:pPr>
          </w:p>
        </w:tc>
        <w:tc>
          <w:tcPr>
            <w:tcW w:w="2160" w:type="dxa"/>
            <w:vAlign w:val="center"/>
          </w:tcPr>
          <w:p>
            <w:pPr>
              <w:widowControl/>
              <w:ind w:firstLine="480"/>
              <w:jc w:val="center"/>
              <w:textAlignment w:val="center"/>
              <w:rPr>
                <w:rFonts w:ascii="仿宋" w:hAnsi="仿宋" w:eastAsia="仿宋" w:cs="仿宋"/>
                <w:sz w:val="24"/>
                <w:szCs w:val="24"/>
              </w:rPr>
            </w:pPr>
          </w:p>
        </w:tc>
        <w:tc>
          <w:tcPr>
            <w:tcW w:w="1576" w:type="dxa"/>
          </w:tcPr>
          <w:p>
            <w:pPr>
              <w:ind w:firstLine="48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jc w:val="center"/>
        </w:trPr>
        <w:tc>
          <w:tcPr>
            <w:tcW w:w="1696" w:type="dxa"/>
          </w:tcPr>
          <w:p>
            <w:pPr>
              <w:ind w:firstLine="480"/>
              <w:jc w:val="left"/>
              <w:rPr>
                <w:rFonts w:ascii="仿宋" w:hAnsi="仿宋" w:eastAsia="仿宋" w:cs="仿宋"/>
                <w:sz w:val="24"/>
                <w:szCs w:val="24"/>
              </w:rPr>
            </w:pPr>
            <w:r>
              <w:rPr>
                <w:rFonts w:hint="eastAsia" w:ascii="仿宋" w:hAnsi="仿宋" w:eastAsia="仿宋" w:cs="仿宋"/>
                <w:sz w:val="24"/>
                <w:szCs w:val="24"/>
              </w:rPr>
              <w:t>2010602</w:t>
            </w:r>
          </w:p>
        </w:tc>
        <w:tc>
          <w:tcPr>
            <w:tcW w:w="1378" w:type="dxa"/>
          </w:tcPr>
          <w:p>
            <w:pPr>
              <w:ind w:firstLine="0" w:firstLineChars="0"/>
              <w:jc w:val="left"/>
              <w:rPr>
                <w:rFonts w:ascii="仿宋" w:hAnsi="仿宋" w:eastAsia="仿宋" w:cs="仿宋"/>
                <w:sz w:val="24"/>
                <w:szCs w:val="24"/>
              </w:rPr>
            </w:pPr>
            <w:r>
              <w:rPr>
                <w:rFonts w:hint="eastAsia" w:ascii="仿宋" w:hAnsi="仿宋" w:eastAsia="仿宋" w:cs="仿宋"/>
                <w:sz w:val="24"/>
                <w:szCs w:val="24"/>
              </w:rPr>
              <w:t>一般行政管理事务</w:t>
            </w:r>
          </w:p>
        </w:tc>
        <w:tc>
          <w:tcPr>
            <w:tcW w:w="1712" w:type="dxa"/>
          </w:tcPr>
          <w:p>
            <w:pPr>
              <w:ind w:firstLine="480"/>
              <w:jc w:val="center"/>
              <w:rPr>
                <w:rFonts w:ascii="仿宋" w:hAnsi="仿宋" w:eastAsia="仿宋" w:cs="仿宋"/>
                <w:sz w:val="24"/>
                <w:szCs w:val="24"/>
              </w:rPr>
            </w:pPr>
          </w:p>
        </w:tc>
        <w:tc>
          <w:tcPr>
            <w:tcW w:w="2160" w:type="dxa"/>
          </w:tcPr>
          <w:p>
            <w:pPr>
              <w:ind w:firstLine="720" w:firstLineChars="300"/>
              <w:jc w:val="center"/>
              <w:rPr>
                <w:rFonts w:ascii="仿宋" w:hAnsi="仿宋" w:eastAsia="仿宋" w:cs="仿宋"/>
                <w:sz w:val="24"/>
                <w:szCs w:val="24"/>
              </w:rPr>
            </w:pPr>
          </w:p>
        </w:tc>
        <w:tc>
          <w:tcPr>
            <w:tcW w:w="1576" w:type="dxa"/>
          </w:tcPr>
          <w:p>
            <w:pPr>
              <w:ind w:firstLine="48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jc w:val="center"/>
        </w:trPr>
        <w:tc>
          <w:tcPr>
            <w:tcW w:w="1696" w:type="dxa"/>
          </w:tcPr>
          <w:p>
            <w:pPr>
              <w:ind w:firstLine="480"/>
              <w:jc w:val="left"/>
              <w:rPr>
                <w:rFonts w:ascii="仿宋" w:hAnsi="仿宋" w:eastAsia="仿宋" w:cs="仿宋"/>
                <w:sz w:val="24"/>
                <w:szCs w:val="24"/>
              </w:rPr>
            </w:pPr>
            <w:r>
              <w:rPr>
                <w:rFonts w:hint="eastAsia" w:ascii="仿宋" w:hAnsi="仿宋" w:eastAsia="仿宋" w:cs="仿宋"/>
                <w:sz w:val="24"/>
                <w:szCs w:val="24"/>
              </w:rPr>
              <w:t>2010605</w:t>
            </w:r>
          </w:p>
        </w:tc>
        <w:tc>
          <w:tcPr>
            <w:tcW w:w="1378" w:type="dxa"/>
          </w:tcPr>
          <w:p>
            <w:pPr>
              <w:ind w:firstLine="480"/>
              <w:jc w:val="left"/>
              <w:rPr>
                <w:rFonts w:ascii="仿宋" w:hAnsi="仿宋" w:eastAsia="仿宋" w:cs="仿宋"/>
                <w:sz w:val="24"/>
                <w:szCs w:val="24"/>
              </w:rPr>
            </w:pPr>
            <w:r>
              <w:rPr>
                <w:rFonts w:hint="eastAsia" w:ascii="仿宋" w:hAnsi="仿宋" w:eastAsia="仿宋" w:cs="仿宋"/>
                <w:sz w:val="24"/>
                <w:szCs w:val="24"/>
              </w:rPr>
              <w:t>财政国库业务</w:t>
            </w:r>
          </w:p>
        </w:tc>
        <w:tc>
          <w:tcPr>
            <w:tcW w:w="1712" w:type="dxa"/>
            <w:vAlign w:val="center"/>
          </w:tcPr>
          <w:p>
            <w:pPr>
              <w:widowControl/>
              <w:ind w:firstLine="440"/>
              <w:jc w:val="center"/>
              <w:textAlignment w:val="center"/>
              <w:rPr>
                <w:rFonts w:ascii="仿宋" w:hAnsi="仿宋" w:eastAsia="仿宋" w:cs="仿宋"/>
                <w:kern w:val="0"/>
                <w:sz w:val="22"/>
              </w:rPr>
            </w:pPr>
          </w:p>
        </w:tc>
        <w:tc>
          <w:tcPr>
            <w:tcW w:w="2160" w:type="dxa"/>
            <w:vAlign w:val="center"/>
          </w:tcPr>
          <w:p>
            <w:pPr>
              <w:widowControl/>
              <w:ind w:firstLine="480"/>
              <w:jc w:val="center"/>
              <w:textAlignment w:val="center"/>
              <w:rPr>
                <w:rFonts w:ascii="仿宋" w:hAnsi="仿宋" w:eastAsia="仿宋" w:cs="仿宋"/>
                <w:sz w:val="24"/>
                <w:szCs w:val="24"/>
              </w:rPr>
            </w:pPr>
          </w:p>
        </w:tc>
        <w:tc>
          <w:tcPr>
            <w:tcW w:w="1576" w:type="dxa"/>
          </w:tcPr>
          <w:p>
            <w:pPr>
              <w:ind w:firstLine="48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jc w:val="center"/>
        </w:trPr>
        <w:tc>
          <w:tcPr>
            <w:tcW w:w="1696" w:type="dxa"/>
          </w:tcPr>
          <w:p>
            <w:pPr>
              <w:ind w:firstLine="480"/>
              <w:jc w:val="left"/>
              <w:rPr>
                <w:rFonts w:ascii="仿宋" w:hAnsi="仿宋" w:eastAsia="仿宋" w:cs="仿宋"/>
                <w:sz w:val="24"/>
                <w:szCs w:val="24"/>
              </w:rPr>
            </w:pPr>
            <w:r>
              <w:rPr>
                <w:rFonts w:hint="eastAsia" w:ascii="仿宋" w:hAnsi="仿宋" w:eastAsia="仿宋" w:cs="仿宋"/>
                <w:sz w:val="24"/>
                <w:szCs w:val="24"/>
              </w:rPr>
              <w:t>2010607</w:t>
            </w:r>
          </w:p>
        </w:tc>
        <w:tc>
          <w:tcPr>
            <w:tcW w:w="1378" w:type="dxa"/>
          </w:tcPr>
          <w:p>
            <w:pPr>
              <w:ind w:firstLine="0" w:firstLineChars="0"/>
              <w:jc w:val="left"/>
              <w:rPr>
                <w:rFonts w:ascii="仿宋" w:hAnsi="仿宋" w:eastAsia="仿宋" w:cs="仿宋"/>
                <w:sz w:val="24"/>
                <w:szCs w:val="24"/>
              </w:rPr>
            </w:pPr>
            <w:r>
              <w:rPr>
                <w:rFonts w:hint="eastAsia" w:ascii="仿宋" w:hAnsi="仿宋" w:eastAsia="仿宋" w:cs="仿宋"/>
                <w:sz w:val="24"/>
                <w:szCs w:val="24"/>
              </w:rPr>
              <w:t>信息化建设</w:t>
            </w:r>
          </w:p>
        </w:tc>
        <w:tc>
          <w:tcPr>
            <w:tcW w:w="1712" w:type="dxa"/>
            <w:vAlign w:val="center"/>
          </w:tcPr>
          <w:p>
            <w:pPr>
              <w:widowControl/>
              <w:ind w:firstLine="440"/>
              <w:jc w:val="center"/>
              <w:textAlignment w:val="center"/>
              <w:rPr>
                <w:rFonts w:ascii="仿宋" w:hAnsi="仿宋" w:eastAsia="仿宋" w:cs="仿宋"/>
                <w:kern w:val="0"/>
                <w:sz w:val="22"/>
              </w:rPr>
            </w:pPr>
          </w:p>
        </w:tc>
        <w:tc>
          <w:tcPr>
            <w:tcW w:w="2160" w:type="dxa"/>
            <w:vAlign w:val="center"/>
          </w:tcPr>
          <w:p>
            <w:pPr>
              <w:widowControl/>
              <w:ind w:firstLine="480"/>
              <w:jc w:val="center"/>
              <w:textAlignment w:val="center"/>
              <w:rPr>
                <w:rFonts w:ascii="仿宋" w:hAnsi="仿宋" w:eastAsia="仿宋" w:cs="仿宋"/>
                <w:sz w:val="24"/>
                <w:szCs w:val="24"/>
              </w:rPr>
            </w:pPr>
          </w:p>
        </w:tc>
        <w:tc>
          <w:tcPr>
            <w:tcW w:w="1576" w:type="dxa"/>
          </w:tcPr>
          <w:p>
            <w:pPr>
              <w:ind w:firstLine="48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jc w:val="center"/>
        </w:trPr>
        <w:tc>
          <w:tcPr>
            <w:tcW w:w="1696" w:type="dxa"/>
          </w:tcPr>
          <w:p>
            <w:pPr>
              <w:ind w:firstLine="480"/>
              <w:jc w:val="left"/>
              <w:rPr>
                <w:rFonts w:ascii="仿宋" w:hAnsi="仿宋" w:eastAsia="仿宋" w:cs="仿宋"/>
                <w:sz w:val="24"/>
                <w:szCs w:val="24"/>
              </w:rPr>
            </w:pPr>
            <w:r>
              <w:rPr>
                <w:rFonts w:hint="eastAsia" w:ascii="仿宋" w:hAnsi="仿宋" w:eastAsia="仿宋" w:cs="仿宋"/>
                <w:sz w:val="24"/>
                <w:szCs w:val="24"/>
              </w:rPr>
              <w:t>2010608</w:t>
            </w:r>
          </w:p>
        </w:tc>
        <w:tc>
          <w:tcPr>
            <w:tcW w:w="1378" w:type="dxa"/>
          </w:tcPr>
          <w:p>
            <w:pPr>
              <w:ind w:firstLine="0" w:firstLineChars="0"/>
              <w:jc w:val="left"/>
              <w:rPr>
                <w:rFonts w:ascii="仿宋" w:hAnsi="仿宋" w:eastAsia="仿宋" w:cs="仿宋"/>
                <w:sz w:val="24"/>
                <w:szCs w:val="24"/>
              </w:rPr>
            </w:pPr>
            <w:r>
              <w:rPr>
                <w:rFonts w:hint="eastAsia" w:ascii="仿宋" w:hAnsi="仿宋" w:eastAsia="仿宋" w:cs="仿宋"/>
                <w:sz w:val="24"/>
                <w:szCs w:val="24"/>
              </w:rPr>
              <w:t>财政委托业务支出</w:t>
            </w:r>
          </w:p>
        </w:tc>
        <w:tc>
          <w:tcPr>
            <w:tcW w:w="1712" w:type="dxa"/>
            <w:vAlign w:val="center"/>
          </w:tcPr>
          <w:p>
            <w:pPr>
              <w:widowControl/>
              <w:ind w:firstLine="440"/>
              <w:jc w:val="right"/>
              <w:textAlignment w:val="center"/>
              <w:rPr>
                <w:rFonts w:ascii="仿宋" w:hAnsi="仿宋" w:eastAsia="仿宋" w:cs="仿宋"/>
                <w:kern w:val="0"/>
                <w:sz w:val="22"/>
              </w:rPr>
            </w:pPr>
          </w:p>
        </w:tc>
        <w:tc>
          <w:tcPr>
            <w:tcW w:w="2160" w:type="dxa"/>
            <w:vAlign w:val="center"/>
          </w:tcPr>
          <w:p>
            <w:pPr>
              <w:widowControl/>
              <w:ind w:firstLine="480"/>
              <w:jc w:val="right"/>
              <w:textAlignment w:val="center"/>
              <w:rPr>
                <w:rFonts w:ascii="仿宋" w:hAnsi="仿宋" w:eastAsia="仿宋" w:cs="仿宋"/>
                <w:sz w:val="24"/>
                <w:szCs w:val="24"/>
              </w:rPr>
            </w:pPr>
          </w:p>
        </w:tc>
        <w:tc>
          <w:tcPr>
            <w:tcW w:w="1576" w:type="dxa"/>
          </w:tcPr>
          <w:p>
            <w:pPr>
              <w:ind w:firstLine="480"/>
              <w:jc w:val="lef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jc w:val="center"/>
        </w:trPr>
        <w:tc>
          <w:tcPr>
            <w:tcW w:w="1696" w:type="dxa"/>
          </w:tcPr>
          <w:p>
            <w:pPr>
              <w:ind w:firstLine="480"/>
              <w:jc w:val="left"/>
              <w:rPr>
                <w:rFonts w:ascii="仿宋" w:hAnsi="仿宋" w:eastAsia="仿宋" w:cs="仿宋"/>
                <w:sz w:val="24"/>
                <w:szCs w:val="24"/>
              </w:rPr>
            </w:pPr>
            <w:r>
              <w:rPr>
                <w:rFonts w:hint="eastAsia" w:ascii="仿宋" w:hAnsi="仿宋" w:eastAsia="仿宋" w:cs="仿宋"/>
                <w:sz w:val="24"/>
                <w:szCs w:val="24"/>
              </w:rPr>
              <w:t>2010650</w:t>
            </w:r>
          </w:p>
        </w:tc>
        <w:tc>
          <w:tcPr>
            <w:tcW w:w="1378" w:type="dxa"/>
          </w:tcPr>
          <w:p>
            <w:pPr>
              <w:ind w:firstLine="480"/>
              <w:jc w:val="left"/>
              <w:rPr>
                <w:rFonts w:ascii="仿宋" w:hAnsi="仿宋" w:eastAsia="仿宋" w:cs="仿宋"/>
                <w:sz w:val="24"/>
                <w:szCs w:val="24"/>
              </w:rPr>
            </w:pPr>
            <w:r>
              <w:rPr>
                <w:rFonts w:hint="eastAsia" w:ascii="仿宋" w:hAnsi="仿宋" w:eastAsia="仿宋" w:cs="仿宋"/>
                <w:sz w:val="24"/>
                <w:szCs w:val="24"/>
              </w:rPr>
              <w:t>财政事业运行</w:t>
            </w:r>
          </w:p>
        </w:tc>
        <w:tc>
          <w:tcPr>
            <w:tcW w:w="1712" w:type="dxa"/>
            <w:vAlign w:val="center"/>
          </w:tcPr>
          <w:p>
            <w:pPr>
              <w:widowControl/>
              <w:ind w:firstLine="480"/>
              <w:jc w:val="right"/>
              <w:textAlignment w:val="center"/>
              <w:rPr>
                <w:rFonts w:ascii="仿宋" w:hAnsi="仿宋" w:eastAsia="仿宋" w:cs="仿宋"/>
                <w:sz w:val="24"/>
                <w:szCs w:val="24"/>
              </w:rPr>
            </w:pPr>
          </w:p>
        </w:tc>
        <w:tc>
          <w:tcPr>
            <w:tcW w:w="2160" w:type="dxa"/>
            <w:vAlign w:val="center"/>
          </w:tcPr>
          <w:p>
            <w:pPr>
              <w:widowControl/>
              <w:ind w:firstLine="480"/>
              <w:jc w:val="right"/>
              <w:textAlignment w:val="center"/>
              <w:rPr>
                <w:rFonts w:ascii="仿宋" w:hAnsi="仿宋" w:eastAsia="仿宋" w:cs="仿宋"/>
                <w:sz w:val="24"/>
                <w:szCs w:val="24"/>
              </w:rPr>
            </w:pPr>
          </w:p>
        </w:tc>
        <w:tc>
          <w:tcPr>
            <w:tcW w:w="1576" w:type="dxa"/>
          </w:tcPr>
          <w:p>
            <w:pPr>
              <w:ind w:firstLine="480"/>
              <w:jc w:val="lef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1696" w:type="dxa"/>
          </w:tcPr>
          <w:p>
            <w:pPr>
              <w:ind w:firstLine="480"/>
              <w:jc w:val="left"/>
              <w:rPr>
                <w:rFonts w:ascii="仿宋" w:hAnsi="仿宋" w:eastAsia="仿宋" w:cs="仿宋"/>
                <w:sz w:val="24"/>
                <w:szCs w:val="24"/>
              </w:rPr>
            </w:pPr>
            <w:r>
              <w:rPr>
                <w:rFonts w:hint="eastAsia" w:ascii="仿宋" w:hAnsi="仿宋" w:eastAsia="仿宋" w:cs="仿宋"/>
                <w:sz w:val="24"/>
                <w:szCs w:val="24"/>
              </w:rPr>
              <w:t>205</w:t>
            </w:r>
          </w:p>
        </w:tc>
        <w:tc>
          <w:tcPr>
            <w:tcW w:w="1378" w:type="dxa"/>
          </w:tcPr>
          <w:p>
            <w:pPr>
              <w:ind w:firstLine="0" w:firstLineChars="0"/>
              <w:jc w:val="left"/>
              <w:rPr>
                <w:rFonts w:ascii="仿宋" w:hAnsi="仿宋" w:eastAsia="仿宋" w:cs="仿宋"/>
                <w:sz w:val="24"/>
                <w:szCs w:val="24"/>
              </w:rPr>
            </w:pPr>
            <w:r>
              <w:rPr>
                <w:rFonts w:hint="eastAsia" w:ascii="仿宋" w:hAnsi="仿宋" w:eastAsia="仿宋" w:cs="仿宋"/>
                <w:sz w:val="24"/>
                <w:szCs w:val="24"/>
              </w:rPr>
              <w:t>教育支出</w:t>
            </w:r>
          </w:p>
        </w:tc>
        <w:tc>
          <w:tcPr>
            <w:tcW w:w="1712" w:type="dxa"/>
            <w:vAlign w:val="center"/>
          </w:tcPr>
          <w:p>
            <w:pPr>
              <w:widowControl/>
              <w:ind w:firstLine="480"/>
              <w:jc w:val="right"/>
              <w:textAlignment w:val="center"/>
              <w:rPr>
                <w:rFonts w:ascii="仿宋" w:hAnsi="仿宋" w:eastAsia="仿宋" w:cs="仿宋"/>
                <w:sz w:val="24"/>
                <w:szCs w:val="24"/>
              </w:rPr>
            </w:pPr>
            <w:r>
              <w:rPr>
                <w:rFonts w:hint="eastAsia" w:ascii="仿宋" w:hAnsi="仿宋" w:eastAsia="仿宋" w:cs="仿宋"/>
                <w:sz w:val="24"/>
                <w:szCs w:val="24"/>
              </w:rPr>
              <w:t>937.79</w:t>
            </w:r>
          </w:p>
        </w:tc>
        <w:tc>
          <w:tcPr>
            <w:tcW w:w="2160" w:type="dxa"/>
            <w:vAlign w:val="center"/>
          </w:tcPr>
          <w:p>
            <w:pPr>
              <w:widowControl/>
              <w:ind w:firstLine="480"/>
              <w:jc w:val="center"/>
              <w:textAlignment w:val="center"/>
              <w:rPr>
                <w:rFonts w:ascii="仿宋" w:hAnsi="仿宋" w:eastAsia="仿宋" w:cs="仿宋"/>
                <w:sz w:val="24"/>
                <w:szCs w:val="24"/>
              </w:rPr>
            </w:pPr>
            <w:r>
              <w:rPr>
                <w:rFonts w:hint="eastAsia" w:ascii="仿宋" w:hAnsi="仿宋" w:eastAsia="仿宋" w:cs="仿宋"/>
                <w:sz w:val="24"/>
                <w:szCs w:val="24"/>
              </w:rPr>
              <w:t>4</w:t>
            </w:r>
            <w:r>
              <w:rPr>
                <w:rFonts w:hint="default" w:ascii="仿宋" w:hAnsi="仿宋" w:eastAsia="仿宋" w:cs="仿宋"/>
                <w:sz w:val="24"/>
                <w:szCs w:val="24"/>
                <w:lang w:val="en-US"/>
              </w:rPr>
              <w:t>72.71</w:t>
            </w:r>
          </w:p>
        </w:tc>
        <w:tc>
          <w:tcPr>
            <w:tcW w:w="1576" w:type="dxa"/>
          </w:tcPr>
          <w:p>
            <w:pPr>
              <w:ind w:firstLine="480"/>
              <w:jc w:val="left"/>
              <w:rPr>
                <w:rFonts w:ascii="仿宋" w:hAnsi="仿宋" w:eastAsia="仿宋" w:cs="仿宋"/>
                <w:sz w:val="24"/>
                <w:szCs w:val="24"/>
              </w:rPr>
            </w:pPr>
            <w:r>
              <w:rPr>
                <w:rFonts w:hint="eastAsia" w:ascii="仿宋" w:hAnsi="仿宋" w:eastAsia="仿宋" w:cs="仿宋"/>
                <w:sz w:val="24"/>
                <w:szCs w:val="24"/>
                <w:lang w:val="en-US" w:eastAsia="zh-CN"/>
              </w:rPr>
              <w:t>-</w:t>
            </w:r>
            <w:r>
              <w:rPr>
                <w:rFonts w:hint="eastAsia" w:ascii="仿宋" w:hAnsi="仿宋" w:eastAsia="仿宋" w:cs="仿宋"/>
                <w:sz w:val="24"/>
                <w:szCs w:val="24"/>
              </w:rPr>
              <w:t>37.81%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jc w:val="center"/>
        </w:trPr>
        <w:tc>
          <w:tcPr>
            <w:tcW w:w="1696" w:type="dxa"/>
          </w:tcPr>
          <w:p>
            <w:pPr>
              <w:ind w:firstLine="480"/>
              <w:jc w:val="left"/>
              <w:rPr>
                <w:rFonts w:ascii="仿宋" w:hAnsi="仿宋" w:eastAsia="仿宋" w:cs="仿宋"/>
                <w:sz w:val="24"/>
                <w:szCs w:val="24"/>
              </w:rPr>
            </w:pPr>
            <w:r>
              <w:rPr>
                <w:rFonts w:hint="eastAsia" w:ascii="仿宋" w:hAnsi="仿宋" w:eastAsia="仿宋" w:cs="仿宋"/>
                <w:sz w:val="24"/>
                <w:szCs w:val="24"/>
              </w:rPr>
              <w:t>20504</w:t>
            </w:r>
          </w:p>
        </w:tc>
        <w:tc>
          <w:tcPr>
            <w:tcW w:w="1378" w:type="dxa"/>
          </w:tcPr>
          <w:p>
            <w:pPr>
              <w:ind w:firstLine="0" w:firstLineChars="0"/>
              <w:jc w:val="left"/>
              <w:rPr>
                <w:rFonts w:ascii="仿宋" w:hAnsi="仿宋" w:eastAsia="仿宋" w:cs="仿宋"/>
                <w:sz w:val="24"/>
                <w:szCs w:val="24"/>
              </w:rPr>
            </w:pPr>
            <w:r>
              <w:rPr>
                <w:rFonts w:hint="eastAsia" w:ascii="仿宋" w:hAnsi="仿宋" w:eastAsia="仿宋" w:cs="仿宋"/>
                <w:sz w:val="24"/>
                <w:szCs w:val="24"/>
              </w:rPr>
              <w:t>成人教育</w:t>
            </w:r>
          </w:p>
        </w:tc>
        <w:tc>
          <w:tcPr>
            <w:tcW w:w="1712" w:type="dxa"/>
          </w:tcPr>
          <w:p>
            <w:pPr>
              <w:ind w:firstLine="480"/>
              <w:jc w:val="left"/>
              <w:rPr>
                <w:rFonts w:ascii="仿宋" w:hAnsi="仿宋" w:eastAsia="仿宋" w:cs="仿宋"/>
                <w:sz w:val="24"/>
                <w:szCs w:val="24"/>
              </w:rPr>
            </w:pPr>
          </w:p>
        </w:tc>
        <w:tc>
          <w:tcPr>
            <w:tcW w:w="2160" w:type="dxa"/>
          </w:tcPr>
          <w:p>
            <w:pPr>
              <w:ind w:firstLine="480"/>
              <w:jc w:val="left"/>
              <w:rPr>
                <w:rFonts w:ascii="仿宋" w:hAnsi="仿宋" w:eastAsia="仿宋" w:cs="仿宋"/>
                <w:sz w:val="24"/>
                <w:szCs w:val="24"/>
              </w:rPr>
            </w:pPr>
          </w:p>
        </w:tc>
        <w:tc>
          <w:tcPr>
            <w:tcW w:w="1576" w:type="dxa"/>
          </w:tcPr>
          <w:p>
            <w:pPr>
              <w:ind w:firstLine="480"/>
              <w:jc w:val="lef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jc w:val="center"/>
        </w:trPr>
        <w:tc>
          <w:tcPr>
            <w:tcW w:w="1696" w:type="dxa"/>
          </w:tcPr>
          <w:p>
            <w:pPr>
              <w:ind w:firstLine="480"/>
              <w:jc w:val="left"/>
              <w:rPr>
                <w:rFonts w:ascii="仿宋" w:hAnsi="仿宋" w:eastAsia="仿宋" w:cs="仿宋"/>
                <w:sz w:val="24"/>
                <w:szCs w:val="24"/>
              </w:rPr>
            </w:pPr>
            <w:r>
              <w:rPr>
                <w:rFonts w:hint="eastAsia" w:ascii="仿宋" w:hAnsi="仿宋" w:eastAsia="仿宋" w:cs="仿宋"/>
                <w:sz w:val="24"/>
                <w:szCs w:val="24"/>
              </w:rPr>
              <w:t>2050499</w:t>
            </w:r>
          </w:p>
        </w:tc>
        <w:tc>
          <w:tcPr>
            <w:tcW w:w="1378" w:type="dxa"/>
          </w:tcPr>
          <w:p>
            <w:pPr>
              <w:ind w:firstLine="0" w:firstLineChars="0"/>
              <w:jc w:val="left"/>
              <w:rPr>
                <w:rFonts w:ascii="仿宋" w:hAnsi="仿宋" w:eastAsia="仿宋" w:cs="仿宋"/>
                <w:sz w:val="24"/>
                <w:szCs w:val="24"/>
              </w:rPr>
            </w:pPr>
            <w:r>
              <w:rPr>
                <w:rFonts w:hint="eastAsia" w:ascii="仿宋" w:hAnsi="仿宋" w:eastAsia="仿宋" w:cs="仿宋"/>
                <w:sz w:val="24"/>
                <w:szCs w:val="24"/>
              </w:rPr>
              <w:t xml:space="preserve"> 其他成人教育支出</w:t>
            </w:r>
          </w:p>
        </w:tc>
        <w:tc>
          <w:tcPr>
            <w:tcW w:w="1712" w:type="dxa"/>
          </w:tcPr>
          <w:p>
            <w:pPr>
              <w:ind w:firstLine="480"/>
              <w:jc w:val="left"/>
              <w:rPr>
                <w:rFonts w:ascii="仿宋" w:hAnsi="仿宋" w:eastAsia="仿宋" w:cs="仿宋"/>
                <w:sz w:val="24"/>
                <w:szCs w:val="24"/>
              </w:rPr>
            </w:pPr>
          </w:p>
        </w:tc>
        <w:tc>
          <w:tcPr>
            <w:tcW w:w="2160" w:type="dxa"/>
          </w:tcPr>
          <w:p>
            <w:pPr>
              <w:ind w:firstLine="480"/>
              <w:jc w:val="left"/>
              <w:rPr>
                <w:rFonts w:ascii="仿宋" w:hAnsi="仿宋" w:eastAsia="仿宋" w:cs="仿宋"/>
                <w:sz w:val="24"/>
                <w:szCs w:val="24"/>
              </w:rPr>
            </w:pPr>
          </w:p>
        </w:tc>
        <w:tc>
          <w:tcPr>
            <w:tcW w:w="1576" w:type="dxa"/>
          </w:tcPr>
          <w:p>
            <w:pPr>
              <w:ind w:firstLine="480"/>
              <w:jc w:val="lef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jc w:val="center"/>
        </w:trPr>
        <w:tc>
          <w:tcPr>
            <w:tcW w:w="1696" w:type="dxa"/>
          </w:tcPr>
          <w:p>
            <w:pPr>
              <w:ind w:firstLine="480"/>
              <w:jc w:val="left"/>
              <w:rPr>
                <w:rFonts w:ascii="仿宋" w:hAnsi="仿宋" w:eastAsia="仿宋" w:cs="仿宋"/>
                <w:sz w:val="24"/>
                <w:szCs w:val="24"/>
              </w:rPr>
            </w:pPr>
            <w:r>
              <w:rPr>
                <w:rFonts w:hint="eastAsia" w:ascii="仿宋" w:hAnsi="仿宋" w:eastAsia="仿宋" w:cs="仿宋"/>
                <w:sz w:val="24"/>
                <w:szCs w:val="24"/>
              </w:rPr>
              <w:t>229</w:t>
            </w:r>
          </w:p>
        </w:tc>
        <w:tc>
          <w:tcPr>
            <w:tcW w:w="1378" w:type="dxa"/>
          </w:tcPr>
          <w:p>
            <w:pPr>
              <w:ind w:firstLine="0" w:firstLineChars="0"/>
              <w:jc w:val="left"/>
              <w:rPr>
                <w:rFonts w:ascii="仿宋" w:hAnsi="仿宋" w:eastAsia="仿宋" w:cs="仿宋"/>
                <w:sz w:val="24"/>
                <w:szCs w:val="24"/>
              </w:rPr>
            </w:pPr>
            <w:r>
              <w:rPr>
                <w:rFonts w:hint="eastAsia" w:ascii="仿宋" w:hAnsi="仿宋" w:eastAsia="仿宋" w:cs="仿宋"/>
                <w:sz w:val="24"/>
                <w:szCs w:val="24"/>
              </w:rPr>
              <w:t>其他支出</w:t>
            </w:r>
          </w:p>
        </w:tc>
        <w:tc>
          <w:tcPr>
            <w:tcW w:w="1712" w:type="dxa"/>
          </w:tcPr>
          <w:p>
            <w:pPr>
              <w:ind w:firstLine="480"/>
              <w:jc w:val="left"/>
              <w:rPr>
                <w:rFonts w:ascii="仿宋" w:hAnsi="仿宋" w:eastAsia="仿宋" w:cs="仿宋"/>
                <w:sz w:val="24"/>
                <w:szCs w:val="24"/>
              </w:rPr>
            </w:pPr>
          </w:p>
        </w:tc>
        <w:tc>
          <w:tcPr>
            <w:tcW w:w="2160" w:type="dxa"/>
          </w:tcPr>
          <w:p>
            <w:pPr>
              <w:ind w:firstLine="480"/>
              <w:jc w:val="left"/>
              <w:rPr>
                <w:rFonts w:ascii="仿宋" w:hAnsi="仿宋" w:eastAsia="仿宋" w:cs="仿宋"/>
                <w:sz w:val="24"/>
                <w:szCs w:val="24"/>
              </w:rPr>
            </w:pPr>
          </w:p>
        </w:tc>
        <w:tc>
          <w:tcPr>
            <w:tcW w:w="1576" w:type="dxa"/>
          </w:tcPr>
          <w:p>
            <w:pPr>
              <w:ind w:firstLine="480"/>
              <w:jc w:val="left"/>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jc w:val="center"/>
        </w:trPr>
        <w:tc>
          <w:tcPr>
            <w:tcW w:w="1696" w:type="dxa"/>
          </w:tcPr>
          <w:p>
            <w:pPr>
              <w:ind w:firstLine="480"/>
              <w:jc w:val="left"/>
              <w:rPr>
                <w:rFonts w:ascii="仿宋" w:hAnsi="仿宋" w:eastAsia="仿宋" w:cs="仿宋"/>
                <w:sz w:val="24"/>
                <w:szCs w:val="24"/>
              </w:rPr>
            </w:pPr>
            <w:r>
              <w:rPr>
                <w:rFonts w:hint="eastAsia" w:ascii="仿宋" w:hAnsi="仿宋" w:eastAsia="仿宋" w:cs="仿宋"/>
                <w:sz w:val="24"/>
                <w:szCs w:val="24"/>
              </w:rPr>
              <w:t>22999</w:t>
            </w:r>
          </w:p>
        </w:tc>
        <w:tc>
          <w:tcPr>
            <w:tcW w:w="1378" w:type="dxa"/>
          </w:tcPr>
          <w:p>
            <w:pPr>
              <w:ind w:firstLine="0" w:firstLineChars="0"/>
              <w:jc w:val="left"/>
              <w:rPr>
                <w:rFonts w:ascii="仿宋" w:hAnsi="仿宋" w:eastAsia="仿宋" w:cs="仿宋"/>
                <w:sz w:val="24"/>
                <w:szCs w:val="24"/>
              </w:rPr>
            </w:pPr>
            <w:r>
              <w:rPr>
                <w:rFonts w:hint="eastAsia" w:ascii="仿宋" w:hAnsi="仿宋" w:eastAsia="仿宋" w:cs="仿宋"/>
                <w:sz w:val="24"/>
                <w:szCs w:val="24"/>
              </w:rPr>
              <w:t>其他支出</w:t>
            </w:r>
          </w:p>
        </w:tc>
        <w:tc>
          <w:tcPr>
            <w:tcW w:w="1712" w:type="dxa"/>
          </w:tcPr>
          <w:p>
            <w:pPr>
              <w:ind w:firstLine="480"/>
              <w:jc w:val="left"/>
              <w:rPr>
                <w:rFonts w:ascii="仿宋" w:hAnsi="仿宋" w:eastAsia="仿宋" w:cs="仿宋"/>
                <w:sz w:val="24"/>
                <w:szCs w:val="24"/>
              </w:rPr>
            </w:pPr>
          </w:p>
        </w:tc>
        <w:tc>
          <w:tcPr>
            <w:tcW w:w="2160" w:type="dxa"/>
          </w:tcPr>
          <w:p>
            <w:pPr>
              <w:ind w:firstLine="480"/>
              <w:jc w:val="left"/>
              <w:rPr>
                <w:rFonts w:ascii="仿宋" w:hAnsi="仿宋" w:eastAsia="仿宋" w:cs="仿宋"/>
                <w:sz w:val="24"/>
                <w:szCs w:val="24"/>
              </w:rPr>
            </w:pPr>
          </w:p>
        </w:tc>
        <w:tc>
          <w:tcPr>
            <w:tcW w:w="1576" w:type="dxa"/>
          </w:tcPr>
          <w:p>
            <w:pPr>
              <w:ind w:firstLine="480"/>
              <w:jc w:val="left"/>
              <w:rPr>
                <w:rFonts w:ascii="仿宋" w:hAnsi="仿宋" w:eastAsia="仿宋" w:cs="仿宋"/>
                <w:sz w:val="24"/>
                <w:szCs w:val="24"/>
              </w:rPr>
            </w:pPr>
          </w:p>
        </w:tc>
      </w:tr>
    </w:tbl>
    <w:p>
      <w:pPr>
        <w:numPr>
          <w:ilvl w:val="0"/>
          <w:numId w:val="2"/>
        </w:numPr>
        <w:ind w:firstLine="640"/>
        <w:jc w:val="left"/>
        <w:rPr>
          <w:rFonts w:ascii="仿宋" w:hAnsi="仿宋" w:eastAsia="仿宋" w:cs="仿宋"/>
          <w:szCs w:val="32"/>
        </w:rPr>
      </w:pPr>
      <w:r>
        <w:rPr>
          <w:rFonts w:hint="eastAsia" w:ascii="仿宋" w:hAnsi="仿宋" w:eastAsia="仿宋" w:cs="仿宋"/>
          <w:szCs w:val="32"/>
        </w:rPr>
        <w:t>按经济科目分类对比如下：</w:t>
      </w:r>
    </w:p>
    <w:p>
      <w:pPr>
        <w:ind w:firstLine="602"/>
        <w:jc w:val="left"/>
        <w:rPr>
          <w:rFonts w:ascii="仿宋" w:hAnsi="仿宋" w:eastAsia="仿宋" w:cs="仿宋"/>
          <w:sz w:val="30"/>
          <w:szCs w:val="30"/>
        </w:rPr>
      </w:pPr>
      <w:r>
        <w:rPr>
          <w:rFonts w:hint="eastAsia" w:ascii="仿宋" w:hAnsi="仿宋" w:eastAsia="仿宋" w:cs="Arial"/>
          <w:b/>
          <w:kern w:val="0"/>
          <w:sz w:val="30"/>
          <w:szCs w:val="30"/>
        </w:rPr>
        <w:t>2020年度支出经济科目分类决算对比表      单位：万元</w:t>
      </w:r>
    </w:p>
    <w:tbl>
      <w:tblPr>
        <w:tblStyle w:val="10"/>
        <w:tblW w:w="86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81"/>
        <w:gridCol w:w="1976"/>
        <w:gridCol w:w="2256"/>
        <w:gridCol w:w="1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481" w:type="dxa"/>
            <w:vAlign w:val="center"/>
          </w:tcPr>
          <w:p>
            <w:pPr>
              <w:widowControl/>
              <w:ind w:firstLine="562"/>
              <w:rPr>
                <w:rFonts w:ascii="仿宋" w:hAnsi="仿宋" w:eastAsia="仿宋" w:cs="仿宋"/>
                <w:b/>
                <w:kern w:val="0"/>
                <w:sz w:val="28"/>
                <w:szCs w:val="28"/>
              </w:rPr>
            </w:pPr>
            <w:r>
              <w:rPr>
                <w:rFonts w:hint="eastAsia" w:ascii="仿宋" w:hAnsi="仿宋" w:eastAsia="仿宋" w:cs="仿宋"/>
                <w:b/>
                <w:kern w:val="0"/>
                <w:sz w:val="28"/>
                <w:szCs w:val="28"/>
              </w:rPr>
              <w:t>科目名称</w:t>
            </w:r>
          </w:p>
        </w:tc>
        <w:tc>
          <w:tcPr>
            <w:tcW w:w="1976" w:type="dxa"/>
          </w:tcPr>
          <w:p>
            <w:pPr>
              <w:widowControl/>
              <w:ind w:firstLine="482"/>
              <w:rPr>
                <w:rFonts w:ascii="仿宋" w:hAnsi="仿宋" w:eastAsia="仿宋" w:cs="仿宋"/>
                <w:b/>
                <w:kern w:val="0"/>
                <w:sz w:val="28"/>
                <w:szCs w:val="28"/>
              </w:rPr>
            </w:pPr>
            <w:r>
              <w:rPr>
                <w:rFonts w:hint="eastAsia" w:ascii="仿宋" w:hAnsi="仿宋" w:eastAsia="仿宋" w:cs="仿宋"/>
                <w:b/>
                <w:kern w:val="0"/>
                <w:sz w:val="24"/>
                <w:szCs w:val="24"/>
              </w:rPr>
              <w:t>2020年</w:t>
            </w:r>
          </w:p>
        </w:tc>
        <w:tc>
          <w:tcPr>
            <w:tcW w:w="2256" w:type="dxa"/>
          </w:tcPr>
          <w:p>
            <w:pPr>
              <w:widowControl/>
              <w:ind w:firstLine="482"/>
              <w:rPr>
                <w:rFonts w:ascii="仿宋" w:hAnsi="仿宋" w:eastAsia="仿宋" w:cs="仿宋"/>
                <w:b/>
                <w:kern w:val="0"/>
                <w:sz w:val="28"/>
                <w:szCs w:val="28"/>
              </w:rPr>
            </w:pPr>
            <w:r>
              <w:rPr>
                <w:rFonts w:hint="eastAsia" w:ascii="仿宋" w:hAnsi="仿宋" w:eastAsia="仿宋" w:cs="仿宋"/>
                <w:b/>
                <w:kern w:val="0"/>
                <w:sz w:val="24"/>
                <w:szCs w:val="24"/>
              </w:rPr>
              <w:t>2021年</w:t>
            </w:r>
          </w:p>
        </w:tc>
        <w:tc>
          <w:tcPr>
            <w:tcW w:w="1902" w:type="dxa"/>
          </w:tcPr>
          <w:p>
            <w:pPr>
              <w:widowControl/>
              <w:ind w:firstLine="482"/>
              <w:rPr>
                <w:rFonts w:ascii="仿宋" w:hAnsi="仿宋" w:eastAsia="仿宋" w:cs="仿宋"/>
                <w:b/>
                <w:kern w:val="0"/>
                <w:sz w:val="28"/>
                <w:szCs w:val="28"/>
              </w:rPr>
            </w:pPr>
            <w:r>
              <w:rPr>
                <w:rFonts w:hint="eastAsia" w:ascii="仿宋" w:hAnsi="仿宋" w:eastAsia="仿宋" w:cs="仿宋"/>
                <w:b/>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481" w:type="dxa"/>
            <w:vAlign w:val="center"/>
          </w:tcPr>
          <w:p>
            <w:pPr>
              <w:widowControl/>
              <w:ind w:firstLine="560"/>
              <w:rPr>
                <w:rFonts w:ascii="仿宋" w:hAnsi="仿宋" w:eastAsia="仿宋" w:cs="仿宋"/>
                <w:kern w:val="0"/>
                <w:sz w:val="28"/>
                <w:szCs w:val="28"/>
              </w:rPr>
            </w:pPr>
            <w:r>
              <w:rPr>
                <w:rFonts w:hint="eastAsia" w:ascii="仿宋" w:hAnsi="仿宋" w:eastAsia="仿宋" w:cs="仿宋"/>
                <w:kern w:val="0"/>
                <w:sz w:val="28"/>
                <w:szCs w:val="28"/>
              </w:rPr>
              <w:t>合  计</w:t>
            </w:r>
          </w:p>
        </w:tc>
        <w:tc>
          <w:tcPr>
            <w:tcW w:w="1976" w:type="dxa"/>
            <w:vAlign w:val="center"/>
          </w:tcPr>
          <w:p>
            <w:pPr>
              <w:widowControl/>
              <w:ind w:firstLine="560"/>
              <w:rPr>
                <w:rFonts w:ascii="仿宋" w:hAnsi="仿宋" w:eastAsia="仿宋" w:cs="仿宋"/>
                <w:kern w:val="0"/>
                <w:sz w:val="28"/>
                <w:szCs w:val="28"/>
              </w:rPr>
            </w:pPr>
          </w:p>
        </w:tc>
        <w:tc>
          <w:tcPr>
            <w:tcW w:w="2256" w:type="dxa"/>
            <w:vAlign w:val="center"/>
          </w:tcPr>
          <w:p>
            <w:pPr>
              <w:widowControl/>
              <w:ind w:firstLine="560"/>
              <w:textAlignment w:val="center"/>
              <w:rPr>
                <w:rFonts w:ascii="仿宋" w:hAnsi="仿宋" w:eastAsia="仿宋" w:cs="仿宋"/>
                <w:kern w:val="0"/>
                <w:sz w:val="28"/>
                <w:szCs w:val="28"/>
              </w:rPr>
            </w:pPr>
          </w:p>
        </w:tc>
        <w:tc>
          <w:tcPr>
            <w:tcW w:w="1902" w:type="dxa"/>
            <w:vAlign w:val="center"/>
          </w:tcPr>
          <w:p>
            <w:pPr>
              <w:widowControl/>
              <w:ind w:firstLine="560"/>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481" w:type="dxa"/>
            <w:vAlign w:val="center"/>
          </w:tcPr>
          <w:p>
            <w:pPr>
              <w:widowControl/>
              <w:ind w:firstLine="560"/>
              <w:rPr>
                <w:rFonts w:ascii="仿宋" w:hAnsi="仿宋" w:eastAsia="仿宋" w:cs="仿宋"/>
                <w:kern w:val="0"/>
                <w:sz w:val="28"/>
                <w:szCs w:val="28"/>
              </w:rPr>
            </w:pPr>
            <w:r>
              <w:rPr>
                <w:rFonts w:hint="eastAsia" w:ascii="仿宋" w:hAnsi="仿宋" w:eastAsia="仿宋" w:cs="仿宋"/>
                <w:kern w:val="0"/>
                <w:sz w:val="28"/>
                <w:szCs w:val="28"/>
              </w:rPr>
              <w:t>工资福利支出</w:t>
            </w:r>
          </w:p>
        </w:tc>
        <w:tc>
          <w:tcPr>
            <w:tcW w:w="1976" w:type="dxa"/>
            <w:vAlign w:val="center"/>
          </w:tcPr>
          <w:p>
            <w:pPr>
              <w:widowControl/>
              <w:ind w:firstLine="560"/>
              <w:rPr>
                <w:rFonts w:ascii="仿宋" w:hAnsi="仿宋" w:eastAsia="仿宋" w:cs="仿宋"/>
                <w:kern w:val="0"/>
                <w:sz w:val="28"/>
                <w:szCs w:val="28"/>
              </w:rPr>
            </w:pPr>
            <w:r>
              <w:rPr>
                <w:rFonts w:hint="eastAsia" w:ascii="仿宋" w:hAnsi="仿宋" w:eastAsia="仿宋" w:cs="仿宋"/>
                <w:kern w:val="0"/>
                <w:sz w:val="28"/>
                <w:szCs w:val="28"/>
              </w:rPr>
              <w:t>292.90</w:t>
            </w:r>
          </w:p>
        </w:tc>
        <w:tc>
          <w:tcPr>
            <w:tcW w:w="2256" w:type="dxa"/>
            <w:vAlign w:val="center"/>
          </w:tcPr>
          <w:p>
            <w:pPr>
              <w:widowControl/>
              <w:ind w:firstLine="560"/>
              <w:textAlignment w:val="center"/>
              <w:rPr>
                <w:rFonts w:ascii="仿宋" w:hAnsi="仿宋" w:eastAsia="仿宋" w:cs="仿宋"/>
                <w:kern w:val="0"/>
                <w:sz w:val="28"/>
                <w:szCs w:val="28"/>
              </w:rPr>
            </w:pPr>
            <w:r>
              <w:rPr>
                <w:rFonts w:hint="eastAsia" w:ascii="仿宋" w:hAnsi="仿宋" w:eastAsia="仿宋" w:cs="仿宋"/>
                <w:kern w:val="0"/>
                <w:sz w:val="28"/>
                <w:szCs w:val="28"/>
              </w:rPr>
              <w:t>312.92</w:t>
            </w:r>
          </w:p>
        </w:tc>
        <w:tc>
          <w:tcPr>
            <w:tcW w:w="1902" w:type="dxa"/>
            <w:vAlign w:val="center"/>
          </w:tcPr>
          <w:p>
            <w:pPr>
              <w:widowControl/>
              <w:ind w:firstLine="560"/>
              <w:rPr>
                <w:rFonts w:ascii="仿宋" w:hAnsi="仿宋" w:eastAsia="仿宋" w:cs="仿宋"/>
                <w:kern w:val="0"/>
                <w:sz w:val="28"/>
                <w:szCs w:val="28"/>
              </w:rPr>
            </w:pPr>
            <w:r>
              <w:rPr>
                <w:rFonts w:hint="eastAsia" w:ascii="仿宋" w:hAnsi="仿宋" w:eastAsia="仿宋" w:cs="仿宋"/>
                <w:kern w:val="0"/>
                <w:sz w:val="28"/>
                <w:szCs w:val="28"/>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481" w:type="dxa"/>
            <w:vAlign w:val="center"/>
          </w:tcPr>
          <w:p>
            <w:pPr>
              <w:widowControl/>
              <w:ind w:firstLine="560"/>
              <w:rPr>
                <w:rFonts w:ascii="仿宋" w:hAnsi="仿宋" w:eastAsia="仿宋" w:cs="仿宋"/>
                <w:kern w:val="0"/>
                <w:sz w:val="28"/>
                <w:szCs w:val="28"/>
              </w:rPr>
            </w:pPr>
            <w:r>
              <w:rPr>
                <w:rFonts w:hint="eastAsia" w:ascii="仿宋" w:hAnsi="仿宋" w:eastAsia="仿宋" w:cs="仿宋"/>
                <w:kern w:val="0"/>
                <w:sz w:val="28"/>
                <w:szCs w:val="28"/>
              </w:rPr>
              <w:t>商品服务支出</w:t>
            </w:r>
          </w:p>
        </w:tc>
        <w:tc>
          <w:tcPr>
            <w:tcW w:w="1976" w:type="dxa"/>
            <w:vAlign w:val="center"/>
          </w:tcPr>
          <w:p>
            <w:pPr>
              <w:widowControl/>
              <w:ind w:firstLine="560"/>
              <w:rPr>
                <w:rFonts w:ascii="仿宋" w:hAnsi="仿宋" w:eastAsia="仿宋" w:cs="仿宋"/>
                <w:kern w:val="0"/>
                <w:sz w:val="28"/>
                <w:szCs w:val="28"/>
              </w:rPr>
            </w:pPr>
            <w:r>
              <w:rPr>
                <w:rFonts w:hint="eastAsia" w:ascii="仿宋" w:hAnsi="仿宋" w:eastAsia="仿宋" w:cs="仿宋"/>
                <w:kern w:val="0"/>
                <w:sz w:val="28"/>
                <w:szCs w:val="28"/>
              </w:rPr>
              <w:t>581.77</w:t>
            </w:r>
          </w:p>
        </w:tc>
        <w:tc>
          <w:tcPr>
            <w:tcW w:w="2256" w:type="dxa"/>
            <w:vAlign w:val="center"/>
          </w:tcPr>
          <w:p>
            <w:pPr>
              <w:widowControl/>
              <w:ind w:firstLine="560"/>
              <w:textAlignment w:val="center"/>
              <w:rPr>
                <w:rFonts w:ascii="仿宋" w:hAnsi="仿宋" w:eastAsia="仿宋" w:cs="仿宋"/>
                <w:kern w:val="0"/>
                <w:sz w:val="28"/>
                <w:szCs w:val="28"/>
              </w:rPr>
            </w:pPr>
            <w:r>
              <w:rPr>
                <w:rFonts w:hint="eastAsia" w:ascii="仿宋" w:hAnsi="仿宋" w:eastAsia="仿宋" w:cs="仿宋"/>
                <w:kern w:val="0"/>
                <w:sz w:val="28"/>
                <w:szCs w:val="28"/>
              </w:rPr>
              <w:t>32.43</w:t>
            </w:r>
          </w:p>
        </w:tc>
        <w:tc>
          <w:tcPr>
            <w:tcW w:w="1902" w:type="dxa"/>
            <w:vAlign w:val="center"/>
          </w:tcPr>
          <w:p>
            <w:pPr>
              <w:widowControl/>
              <w:ind w:firstLine="560"/>
              <w:rPr>
                <w:rFonts w:ascii="仿宋" w:hAnsi="仿宋" w:eastAsia="仿宋" w:cs="仿宋"/>
                <w:kern w:val="0"/>
                <w:sz w:val="28"/>
                <w:szCs w:val="28"/>
              </w:rPr>
            </w:pPr>
            <w:r>
              <w:rPr>
                <w:rFonts w:hint="eastAsia" w:ascii="仿宋" w:hAnsi="仿宋" w:eastAsia="仿宋" w:cs="仿宋"/>
                <w:kern w:val="0"/>
                <w:sz w:val="28"/>
                <w:szCs w:val="28"/>
              </w:rPr>
              <w:t>-94.42</w:t>
            </w:r>
            <w:r>
              <w:rPr>
                <w:rFonts w:hint="eastAsia" w:ascii="仿宋" w:hAnsi="仿宋" w:eastAsia="仿宋" w:cs="仿宋"/>
                <w:kern w:val="0"/>
                <w:sz w:val="28"/>
                <w:szCs w:val="2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481" w:type="dxa"/>
            <w:vAlign w:val="center"/>
          </w:tcPr>
          <w:p>
            <w:pPr>
              <w:widowControl/>
              <w:ind w:firstLine="0" w:firstLineChars="0"/>
              <w:rPr>
                <w:rFonts w:ascii="仿宋" w:hAnsi="仿宋" w:eastAsia="仿宋" w:cs="仿宋"/>
                <w:kern w:val="0"/>
                <w:sz w:val="28"/>
                <w:szCs w:val="28"/>
              </w:rPr>
            </w:pPr>
            <w:r>
              <w:rPr>
                <w:rFonts w:hint="eastAsia" w:ascii="仿宋" w:hAnsi="仿宋" w:eastAsia="仿宋" w:cs="仿宋"/>
                <w:kern w:val="0"/>
                <w:sz w:val="28"/>
                <w:szCs w:val="28"/>
              </w:rPr>
              <w:t>对个人和家庭的补助</w:t>
            </w:r>
          </w:p>
        </w:tc>
        <w:tc>
          <w:tcPr>
            <w:tcW w:w="1976" w:type="dxa"/>
            <w:vAlign w:val="center"/>
          </w:tcPr>
          <w:p>
            <w:pPr>
              <w:widowControl/>
              <w:ind w:firstLine="560"/>
              <w:rPr>
                <w:rFonts w:ascii="仿宋" w:hAnsi="仿宋" w:eastAsia="仿宋" w:cs="仿宋"/>
                <w:kern w:val="0"/>
                <w:sz w:val="28"/>
                <w:szCs w:val="28"/>
              </w:rPr>
            </w:pPr>
            <w:r>
              <w:rPr>
                <w:rFonts w:hint="eastAsia" w:ascii="仿宋" w:hAnsi="仿宋" w:eastAsia="仿宋" w:cs="仿宋"/>
                <w:kern w:val="0"/>
                <w:sz w:val="28"/>
                <w:szCs w:val="28"/>
              </w:rPr>
              <w:t>2.6555</w:t>
            </w:r>
          </w:p>
        </w:tc>
        <w:tc>
          <w:tcPr>
            <w:tcW w:w="2256" w:type="dxa"/>
            <w:vAlign w:val="center"/>
          </w:tcPr>
          <w:p>
            <w:pPr>
              <w:widowControl/>
              <w:ind w:firstLine="560"/>
              <w:rPr>
                <w:rFonts w:ascii="仿宋" w:hAnsi="仿宋" w:eastAsia="仿宋" w:cs="仿宋"/>
                <w:kern w:val="0"/>
                <w:sz w:val="28"/>
                <w:szCs w:val="28"/>
              </w:rPr>
            </w:pPr>
            <w:r>
              <w:rPr>
                <w:rFonts w:hint="eastAsia" w:ascii="仿宋" w:hAnsi="仿宋" w:eastAsia="仿宋" w:cs="仿宋"/>
                <w:kern w:val="0"/>
                <w:sz w:val="28"/>
                <w:szCs w:val="28"/>
              </w:rPr>
              <w:t>0</w:t>
            </w:r>
          </w:p>
        </w:tc>
        <w:tc>
          <w:tcPr>
            <w:tcW w:w="1902" w:type="dxa"/>
            <w:vAlign w:val="center"/>
          </w:tcPr>
          <w:p>
            <w:pPr>
              <w:widowControl/>
              <w:ind w:firstLine="560"/>
              <w:rPr>
                <w:rFonts w:ascii="仿宋" w:hAnsi="仿宋" w:eastAsia="仿宋" w:cs="仿宋"/>
                <w:kern w:val="0"/>
                <w:sz w:val="28"/>
                <w:szCs w:val="28"/>
              </w:rPr>
            </w:pPr>
            <w:r>
              <w:rPr>
                <w:rFonts w:hint="eastAsia" w:ascii="仿宋" w:hAnsi="仿宋" w:eastAsia="仿宋" w:cs="仿宋"/>
                <w:kern w:val="0"/>
                <w:sz w:val="28"/>
                <w:szCs w:val="2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481" w:type="dxa"/>
            <w:vAlign w:val="center"/>
          </w:tcPr>
          <w:p>
            <w:pPr>
              <w:widowControl/>
              <w:ind w:firstLine="560"/>
              <w:rPr>
                <w:rFonts w:ascii="仿宋" w:hAnsi="仿宋" w:eastAsia="仿宋" w:cs="仿宋"/>
                <w:b/>
                <w:bCs/>
                <w:kern w:val="0"/>
                <w:sz w:val="28"/>
                <w:szCs w:val="28"/>
              </w:rPr>
            </w:pPr>
            <w:r>
              <w:rPr>
                <w:rFonts w:hint="eastAsia" w:ascii="仿宋" w:hAnsi="仿宋" w:eastAsia="仿宋" w:cs="仿宋"/>
                <w:kern w:val="0"/>
                <w:sz w:val="28"/>
                <w:szCs w:val="28"/>
              </w:rPr>
              <w:t>资本性支出</w:t>
            </w:r>
          </w:p>
        </w:tc>
        <w:tc>
          <w:tcPr>
            <w:tcW w:w="1976" w:type="dxa"/>
            <w:vAlign w:val="center"/>
          </w:tcPr>
          <w:p>
            <w:pPr>
              <w:widowControl/>
              <w:ind w:firstLine="560"/>
              <w:rPr>
                <w:rFonts w:ascii="仿宋" w:hAnsi="仿宋" w:eastAsia="仿宋" w:cs="仿宋"/>
                <w:kern w:val="0"/>
                <w:sz w:val="28"/>
                <w:szCs w:val="28"/>
              </w:rPr>
            </w:pPr>
          </w:p>
        </w:tc>
        <w:tc>
          <w:tcPr>
            <w:tcW w:w="2256" w:type="dxa"/>
            <w:vAlign w:val="center"/>
          </w:tcPr>
          <w:p>
            <w:pPr>
              <w:widowControl/>
              <w:ind w:firstLine="640"/>
              <w:textAlignment w:val="center"/>
              <w:rPr>
                <w:rFonts w:ascii="仿宋" w:hAnsi="仿宋" w:eastAsia="仿宋" w:cs="仿宋"/>
              </w:rPr>
            </w:pPr>
            <w:r>
              <w:rPr>
                <w:rFonts w:hint="eastAsia" w:ascii="仿宋" w:hAnsi="仿宋" w:eastAsia="仿宋" w:cs="仿宋"/>
              </w:rPr>
              <w:t>144.50</w:t>
            </w:r>
          </w:p>
        </w:tc>
        <w:tc>
          <w:tcPr>
            <w:tcW w:w="1902" w:type="dxa"/>
            <w:vAlign w:val="center"/>
          </w:tcPr>
          <w:p>
            <w:pPr>
              <w:widowControl/>
              <w:ind w:firstLine="560"/>
              <w:rPr>
                <w:rFonts w:ascii="仿宋" w:hAnsi="仿宋" w:eastAsia="仿宋" w:cs="仿宋"/>
                <w:kern w:val="0"/>
                <w:sz w:val="28"/>
                <w:szCs w:val="28"/>
              </w:rPr>
            </w:pPr>
            <w:r>
              <w:rPr>
                <w:rFonts w:hint="eastAsia" w:ascii="仿宋" w:hAnsi="仿宋" w:eastAsia="仿宋" w:cs="仿宋"/>
                <w:kern w:val="0"/>
                <w:sz w:val="28"/>
                <w:szCs w:val="2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481" w:type="dxa"/>
            <w:vAlign w:val="center"/>
          </w:tcPr>
          <w:p>
            <w:pPr>
              <w:widowControl/>
              <w:ind w:firstLine="562"/>
              <w:rPr>
                <w:rFonts w:ascii="仿宋" w:hAnsi="仿宋" w:eastAsia="仿宋" w:cs="仿宋"/>
                <w:b/>
                <w:bCs/>
                <w:kern w:val="0"/>
                <w:sz w:val="28"/>
                <w:szCs w:val="28"/>
              </w:rPr>
            </w:pPr>
          </w:p>
        </w:tc>
        <w:tc>
          <w:tcPr>
            <w:tcW w:w="1976" w:type="dxa"/>
            <w:vAlign w:val="center"/>
          </w:tcPr>
          <w:p>
            <w:pPr>
              <w:widowControl/>
              <w:ind w:firstLine="560"/>
              <w:rPr>
                <w:rFonts w:ascii="仿宋" w:hAnsi="仿宋" w:eastAsia="仿宋" w:cs="仿宋"/>
                <w:kern w:val="0"/>
                <w:sz w:val="28"/>
                <w:szCs w:val="28"/>
              </w:rPr>
            </w:pPr>
          </w:p>
        </w:tc>
        <w:tc>
          <w:tcPr>
            <w:tcW w:w="2256" w:type="dxa"/>
            <w:vAlign w:val="center"/>
          </w:tcPr>
          <w:p>
            <w:pPr>
              <w:widowControl/>
              <w:ind w:firstLine="640"/>
              <w:textAlignment w:val="center"/>
              <w:rPr>
                <w:rFonts w:ascii="仿宋" w:hAnsi="仿宋" w:eastAsia="仿宋" w:cs="仿宋"/>
              </w:rPr>
            </w:pPr>
          </w:p>
        </w:tc>
        <w:tc>
          <w:tcPr>
            <w:tcW w:w="1902" w:type="dxa"/>
            <w:vAlign w:val="center"/>
          </w:tcPr>
          <w:p>
            <w:pPr>
              <w:widowControl/>
              <w:ind w:firstLine="560"/>
              <w:rPr>
                <w:rFonts w:ascii="仿宋" w:hAnsi="仿宋" w:eastAsia="仿宋" w:cs="仿宋"/>
                <w:kern w:val="0"/>
                <w:sz w:val="28"/>
                <w:szCs w:val="28"/>
              </w:rPr>
            </w:pPr>
          </w:p>
        </w:tc>
      </w:tr>
    </w:tbl>
    <w:p>
      <w:pPr>
        <w:spacing w:line="580" w:lineRule="exact"/>
        <w:ind w:firstLine="0" w:firstLineChars="0"/>
        <w:rPr>
          <w:szCs w:val="32"/>
        </w:rPr>
      </w:pPr>
    </w:p>
    <w:p>
      <w:pPr>
        <w:pStyle w:val="3"/>
        <w:ind w:firstLine="643"/>
        <w:rPr>
          <w:rFonts w:ascii="仿宋" w:hAnsi="仿宋" w:eastAsia="仿宋" w:cs="仿宋"/>
        </w:rPr>
      </w:pPr>
      <w:bookmarkStart w:id="21" w:name="_Toc841"/>
      <w:bookmarkStart w:id="22" w:name="_Toc17728"/>
      <w:r>
        <w:rPr>
          <w:rFonts w:hint="eastAsia" w:ascii="仿宋" w:hAnsi="仿宋" w:eastAsia="仿宋" w:cs="仿宋"/>
        </w:rPr>
        <w:t>六、一般公共预算财政拨款基本支出决算情况说明</w:t>
      </w:r>
      <w:bookmarkEnd w:id="21"/>
      <w:bookmarkEnd w:id="22"/>
    </w:p>
    <w:p>
      <w:pPr>
        <w:spacing w:line="580" w:lineRule="exact"/>
        <w:ind w:firstLine="640"/>
        <w:rPr>
          <w:rFonts w:ascii="仿宋_GB2312"/>
          <w:szCs w:val="32"/>
        </w:rPr>
      </w:pPr>
      <w:r>
        <w:rPr>
          <w:rFonts w:hint="eastAsia" w:ascii="仿宋_GB2312"/>
          <w:szCs w:val="32"/>
        </w:rPr>
        <w:t>2021年度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rPr>
        <w:t>489.85万元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rPr>
        <w:t>312.92万元</w:t>
      </w:r>
      <w:r>
        <w:rPr>
          <w:rFonts w:ascii="仿宋_GB2312"/>
          <w:szCs w:val="32"/>
        </w:rPr>
        <w:t>，</w:t>
      </w:r>
      <w:r>
        <w:rPr>
          <w:rFonts w:hint="eastAsia" w:ascii="仿宋_GB2312"/>
          <w:szCs w:val="32"/>
        </w:rPr>
        <w:t>主要包括基本工资132.05万元</w:t>
      </w:r>
      <w:r>
        <w:rPr>
          <w:rFonts w:ascii="仿宋_GB2312"/>
          <w:szCs w:val="32"/>
        </w:rPr>
        <w:t>；</w:t>
      </w:r>
      <w:r>
        <w:rPr>
          <w:rFonts w:hint="eastAsia" w:ascii="仿宋_GB2312"/>
          <w:szCs w:val="32"/>
        </w:rPr>
        <w:t>津贴补贴31.89万元；奖金18.68万元；绩效工资65.53万元；机关事业单位基本养老保险缴纳36.71万元；职工基本医疗保险缴费15.59万元；其他社会保障缴费1.88万元；住房公积金17.1</w:t>
      </w:r>
      <w:r>
        <w:rPr>
          <w:rFonts w:hint="eastAsia" w:ascii="仿宋_GB2312"/>
          <w:szCs w:val="32"/>
          <w:lang w:val="en-US" w:eastAsia="zh-CN"/>
        </w:rPr>
        <w:t>7</w:t>
      </w:r>
      <w:r>
        <w:rPr>
          <w:rFonts w:hint="eastAsia" w:ascii="仿宋_GB2312"/>
          <w:szCs w:val="32"/>
        </w:rPr>
        <w:t>万元；其他工资福利支出10.22万元；公用</w:t>
      </w:r>
      <w:r>
        <w:rPr>
          <w:rFonts w:ascii="仿宋_GB2312"/>
          <w:szCs w:val="32"/>
        </w:rPr>
        <w:t>经费</w:t>
      </w:r>
      <w:r>
        <w:rPr>
          <w:rFonts w:hint="eastAsia" w:ascii="仿宋_GB2312"/>
          <w:szCs w:val="32"/>
        </w:rPr>
        <w:t>17.13万元</w:t>
      </w:r>
      <w:r>
        <w:rPr>
          <w:rFonts w:ascii="仿宋_GB2312"/>
          <w:szCs w:val="32"/>
        </w:rPr>
        <w:t>，主要包括</w:t>
      </w:r>
      <w:r>
        <w:rPr>
          <w:rFonts w:hint="eastAsia" w:ascii="仿宋_GB2312"/>
          <w:szCs w:val="32"/>
        </w:rPr>
        <w:t>办公费5.69万元；邮电费2.1488万元；差旅费0.1</w:t>
      </w:r>
      <w:r>
        <w:rPr>
          <w:rFonts w:hint="eastAsia" w:ascii="仿宋_GB2312"/>
          <w:szCs w:val="32"/>
          <w:lang w:val="en-US" w:eastAsia="zh-CN"/>
        </w:rPr>
        <w:t>2</w:t>
      </w:r>
      <w:r>
        <w:rPr>
          <w:rFonts w:hint="eastAsia" w:ascii="仿宋_GB2312"/>
          <w:szCs w:val="32"/>
        </w:rPr>
        <w:t>万元；工会经费2.67万元；其他交通费用3.51万元；办公设备购置3万元。2021年度</w:t>
      </w:r>
      <w:r>
        <w:rPr>
          <w:rFonts w:ascii="仿宋_GB2312"/>
          <w:szCs w:val="32"/>
        </w:rPr>
        <w:t>财政拨款</w:t>
      </w:r>
      <w:r>
        <w:rPr>
          <w:rFonts w:hint="eastAsia" w:ascii="仿宋_GB2312"/>
          <w:szCs w:val="32"/>
        </w:rPr>
        <w:t>项目</w:t>
      </w:r>
      <w:r>
        <w:rPr>
          <w:rFonts w:ascii="仿宋_GB2312"/>
          <w:szCs w:val="32"/>
        </w:rPr>
        <w:t>支出</w:t>
      </w:r>
      <w:r>
        <w:rPr>
          <w:rFonts w:hint="eastAsia" w:ascii="仿宋_GB2312"/>
          <w:szCs w:val="32"/>
        </w:rPr>
        <w:t>159.79万元</w:t>
      </w:r>
      <w:r>
        <w:rPr>
          <w:rFonts w:ascii="仿宋_GB2312"/>
          <w:szCs w:val="32"/>
        </w:rPr>
        <w:t xml:space="preserve"> ;</w:t>
      </w:r>
      <w:r>
        <w:rPr>
          <w:rFonts w:hint="eastAsia" w:ascii="仿宋_GB2312"/>
          <w:szCs w:val="32"/>
        </w:rPr>
        <w:t>其中全员党员干部培训（九期全封闭培训）项目6.</w:t>
      </w:r>
      <w:r>
        <w:rPr>
          <w:rFonts w:hint="eastAsia" w:ascii="仿宋_GB2312"/>
          <w:szCs w:val="32"/>
          <w:lang w:val="en-US" w:eastAsia="zh-CN"/>
        </w:rPr>
        <w:t>80</w:t>
      </w:r>
      <w:r>
        <w:rPr>
          <w:rFonts w:hint="eastAsia" w:ascii="仿宋_GB2312"/>
          <w:szCs w:val="32"/>
        </w:rPr>
        <w:t>万元；党校校址勘测、规划、评估项目11.5万元；党校培训中心维修改造项目（新增项目）61.70</w:t>
      </w:r>
      <w:bookmarkStart w:id="33" w:name="_GoBack"/>
      <w:bookmarkEnd w:id="33"/>
      <w:r>
        <w:rPr>
          <w:rFonts w:hint="eastAsia" w:ascii="仿宋_GB2312"/>
          <w:szCs w:val="32"/>
        </w:rPr>
        <w:t>万元；　VR智慧党建教室79.7</w:t>
      </w:r>
      <w:r>
        <w:rPr>
          <w:rFonts w:hint="eastAsia" w:ascii="仿宋_GB2312"/>
          <w:szCs w:val="32"/>
          <w:lang w:val="en-US" w:eastAsia="zh-CN"/>
        </w:rPr>
        <w:t>9</w:t>
      </w:r>
      <w:r>
        <w:rPr>
          <w:rFonts w:hint="eastAsia" w:ascii="仿宋_GB2312"/>
          <w:szCs w:val="32"/>
        </w:rPr>
        <w:t>万元。</w:t>
      </w:r>
    </w:p>
    <w:p>
      <w:pPr>
        <w:pStyle w:val="3"/>
        <w:ind w:firstLine="643"/>
        <w:rPr>
          <w:rFonts w:ascii="仿宋" w:hAnsi="仿宋" w:eastAsia="仿宋" w:cs="仿宋"/>
        </w:rPr>
      </w:pPr>
      <w:bookmarkStart w:id="23" w:name="_Toc2304"/>
      <w:bookmarkStart w:id="24" w:name="_Toc26508"/>
      <w:r>
        <w:rPr>
          <w:rFonts w:hint="eastAsia" w:ascii="仿宋" w:hAnsi="仿宋" w:eastAsia="仿宋" w:cs="仿宋"/>
        </w:rPr>
        <w:t>七、一般公共预算财政拨款“三公”经费支出决算情况说明</w:t>
      </w:r>
      <w:bookmarkEnd w:id="23"/>
      <w:bookmarkEnd w:id="24"/>
    </w:p>
    <w:p>
      <w:pPr>
        <w:spacing w:line="580" w:lineRule="exact"/>
        <w:ind w:firstLine="640"/>
        <w:rPr>
          <w:rFonts w:ascii="仿宋_GB2312"/>
          <w:szCs w:val="32"/>
        </w:rPr>
      </w:pPr>
      <w:r>
        <w:rPr>
          <w:rFonts w:hint="eastAsia" w:ascii="仿宋_GB2312"/>
          <w:szCs w:val="32"/>
        </w:rPr>
        <w:t>2021年度，本部门无三公经费。</w:t>
      </w:r>
    </w:p>
    <w:p>
      <w:pPr>
        <w:pStyle w:val="8"/>
        <w:tabs>
          <w:tab w:val="left" w:pos="5760"/>
        </w:tabs>
        <w:spacing w:before="0" w:beforeAutospacing="0" w:after="0" w:afterAutospacing="0"/>
        <w:ind w:firstLine="640"/>
        <w:rPr>
          <w:rFonts w:ascii="仿宋_GB2312"/>
          <w:sz w:val="32"/>
          <w:szCs w:val="32"/>
        </w:rPr>
      </w:pPr>
      <w:r>
        <w:rPr>
          <w:rFonts w:hint="eastAsia" w:ascii="仿宋_GB2312"/>
          <w:sz w:val="32"/>
          <w:szCs w:val="32"/>
        </w:rPr>
        <w:t>2021年“三公”经费支出情况，分三项和2020年相比。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spacing w:before="0" w:beforeAutospacing="0" w:after="0" w:afterAutospacing="0" w:line="300" w:lineRule="exact"/>
              <w:ind w:firstLine="2368" w:firstLineChars="1123"/>
              <w:rPr>
                <w:b/>
                <w:sz w:val="21"/>
                <w:szCs w:val="21"/>
              </w:rPr>
            </w:pPr>
            <w:r>
              <w:rPr>
                <w:rFonts w:hint="eastAsia"/>
                <w:b/>
                <w:sz w:val="21"/>
                <w:szCs w:val="21"/>
              </w:rPr>
              <w:t>年度</w:t>
            </w:r>
          </w:p>
          <w:p>
            <w:pPr>
              <w:pStyle w:val="8"/>
              <w:spacing w:before="0" w:beforeAutospacing="0" w:after="0" w:afterAutospacing="0" w:line="300" w:lineRule="exact"/>
              <w:ind w:firstLine="310" w:firstLineChars="147"/>
              <w:rPr>
                <w:b/>
                <w:sz w:val="28"/>
                <w:szCs w:val="28"/>
              </w:rPr>
            </w:pPr>
            <w:r>
              <w:rPr>
                <w:rFonts w:hint="eastAsia"/>
                <w:b/>
                <w:sz w:val="21"/>
                <w:szCs w:val="21"/>
              </w:rPr>
              <w:t>项目</w:t>
            </w:r>
          </w:p>
        </w:tc>
        <w:tc>
          <w:tcPr>
            <w:tcW w:w="1701" w:type="dxa"/>
          </w:tcPr>
          <w:p>
            <w:pPr>
              <w:pStyle w:val="8"/>
              <w:ind w:firstLine="562"/>
              <w:jc w:val="center"/>
              <w:rPr>
                <w:b/>
                <w:sz w:val="28"/>
                <w:szCs w:val="28"/>
              </w:rPr>
            </w:pPr>
            <w:r>
              <w:rPr>
                <w:rFonts w:hint="eastAsia"/>
                <w:b/>
                <w:sz w:val="28"/>
                <w:szCs w:val="28"/>
              </w:rPr>
              <w:t>2020年</w:t>
            </w:r>
          </w:p>
        </w:tc>
        <w:tc>
          <w:tcPr>
            <w:tcW w:w="1701" w:type="dxa"/>
          </w:tcPr>
          <w:p>
            <w:pPr>
              <w:pStyle w:val="8"/>
              <w:ind w:firstLine="562"/>
              <w:jc w:val="center"/>
              <w:rPr>
                <w:b/>
                <w:sz w:val="28"/>
                <w:szCs w:val="28"/>
              </w:rPr>
            </w:pPr>
            <w:r>
              <w:rPr>
                <w:rFonts w:hint="eastAsia"/>
                <w:b/>
                <w:sz w:val="28"/>
                <w:szCs w:val="28"/>
              </w:rPr>
              <w:t>2021年</w:t>
            </w:r>
          </w:p>
        </w:tc>
        <w:tc>
          <w:tcPr>
            <w:tcW w:w="1418" w:type="dxa"/>
          </w:tcPr>
          <w:p>
            <w:pPr>
              <w:pStyle w:val="8"/>
              <w:ind w:firstLine="0" w:firstLineChars="0"/>
              <w:jc w:val="both"/>
              <w:rPr>
                <w:b/>
                <w:sz w:val="28"/>
                <w:szCs w:val="28"/>
              </w:rPr>
            </w:pPr>
            <w:r>
              <w:rPr>
                <w:rFonts w:hint="eastAsia"/>
                <w:b/>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560"/>
              <w:rPr>
                <w:sz w:val="28"/>
                <w:szCs w:val="28"/>
              </w:rPr>
            </w:pPr>
            <w:r>
              <w:rPr>
                <w:rFonts w:hint="eastAsia"/>
                <w:sz w:val="28"/>
                <w:szCs w:val="28"/>
              </w:rPr>
              <w:t>因公出国（境）费</w:t>
            </w:r>
          </w:p>
        </w:tc>
        <w:tc>
          <w:tcPr>
            <w:tcW w:w="1701" w:type="dxa"/>
          </w:tcPr>
          <w:p>
            <w:pPr>
              <w:pStyle w:val="8"/>
              <w:ind w:firstLine="560"/>
              <w:jc w:val="right"/>
              <w:rPr>
                <w:sz w:val="28"/>
                <w:szCs w:val="28"/>
              </w:rPr>
            </w:pPr>
          </w:p>
        </w:tc>
        <w:tc>
          <w:tcPr>
            <w:tcW w:w="1701" w:type="dxa"/>
          </w:tcPr>
          <w:p>
            <w:pPr>
              <w:pStyle w:val="8"/>
              <w:ind w:firstLine="560"/>
              <w:jc w:val="right"/>
              <w:rPr>
                <w:sz w:val="28"/>
                <w:szCs w:val="28"/>
              </w:rPr>
            </w:pPr>
          </w:p>
        </w:tc>
        <w:tc>
          <w:tcPr>
            <w:tcW w:w="1418" w:type="dxa"/>
          </w:tcPr>
          <w:p>
            <w:pPr>
              <w:pStyle w:val="8"/>
              <w:ind w:firstLine="560"/>
              <w:jc w:val="righ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560"/>
              <w:rPr>
                <w:sz w:val="28"/>
                <w:szCs w:val="28"/>
              </w:rPr>
            </w:pPr>
            <w:r>
              <w:rPr>
                <w:rFonts w:hint="eastAsia"/>
                <w:sz w:val="28"/>
                <w:szCs w:val="28"/>
              </w:rPr>
              <w:t>公务接待费</w:t>
            </w:r>
          </w:p>
        </w:tc>
        <w:tc>
          <w:tcPr>
            <w:tcW w:w="1701" w:type="dxa"/>
          </w:tcPr>
          <w:p>
            <w:pPr>
              <w:pStyle w:val="8"/>
              <w:ind w:firstLine="560"/>
              <w:jc w:val="right"/>
              <w:rPr>
                <w:sz w:val="28"/>
                <w:szCs w:val="28"/>
              </w:rPr>
            </w:pPr>
          </w:p>
        </w:tc>
        <w:tc>
          <w:tcPr>
            <w:tcW w:w="1701" w:type="dxa"/>
          </w:tcPr>
          <w:p>
            <w:pPr>
              <w:pStyle w:val="8"/>
              <w:ind w:firstLine="560"/>
              <w:jc w:val="right"/>
              <w:rPr>
                <w:sz w:val="28"/>
                <w:szCs w:val="28"/>
              </w:rPr>
            </w:pPr>
          </w:p>
        </w:tc>
        <w:tc>
          <w:tcPr>
            <w:tcW w:w="1418" w:type="dxa"/>
          </w:tcPr>
          <w:p>
            <w:pPr>
              <w:pStyle w:val="8"/>
              <w:ind w:firstLine="560"/>
              <w:jc w:val="righ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0" w:firstLineChars="0"/>
              <w:rPr>
                <w:sz w:val="28"/>
                <w:szCs w:val="28"/>
              </w:rPr>
            </w:pPr>
            <w:r>
              <w:rPr>
                <w:rFonts w:hint="eastAsia"/>
                <w:sz w:val="28"/>
                <w:szCs w:val="28"/>
              </w:rPr>
              <w:t>公务用车购置及运行维护费</w:t>
            </w:r>
          </w:p>
        </w:tc>
        <w:tc>
          <w:tcPr>
            <w:tcW w:w="1701" w:type="dxa"/>
          </w:tcPr>
          <w:p>
            <w:pPr>
              <w:pStyle w:val="8"/>
              <w:ind w:firstLine="560"/>
              <w:jc w:val="right"/>
              <w:rPr>
                <w:rFonts w:eastAsia="宋体"/>
                <w:sz w:val="28"/>
                <w:szCs w:val="28"/>
              </w:rPr>
            </w:pPr>
          </w:p>
        </w:tc>
        <w:tc>
          <w:tcPr>
            <w:tcW w:w="1701" w:type="dxa"/>
          </w:tcPr>
          <w:p>
            <w:pPr>
              <w:pStyle w:val="8"/>
              <w:ind w:firstLine="560"/>
              <w:jc w:val="right"/>
              <w:rPr>
                <w:sz w:val="28"/>
                <w:szCs w:val="28"/>
              </w:rPr>
            </w:pPr>
          </w:p>
        </w:tc>
        <w:tc>
          <w:tcPr>
            <w:tcW w:w="1418" w:type="dxa"/>
          </w:tcPr>
          <w:p>
            <w:pPr>
              <w:pStyle w:val="8"/>
              <w:ind w:firstLine="560"/>
              <w:jc w:val="right"/>
              <w:rPr>
                <w:rFonts w:eastAsia="宋体"/>
                <w:sz w:val="28"/>
                <w:szCs w:val="28"/>
              </w:rPr>
            </w:pPr>
          </w:p>
        </w:tc>
      </w:tr>
    </w:tbl>
    <w:p>
      <w:pPr>
        <w:pStyle w:val="8"/>
        <w:spacing w:before="0" w:beforeAutospacing="0" w:after="0" w:afterAutospacing="0"/>
        <w:ind w:firstLine="482"/>
        <w:rPr>
          <w:b/>
          <w:szCs w:val="32"/>
        </w:rPr>
      </w:pPr>
    </w:p>
    <w:p>
      <w:pPr>
        <w:pStyle w:val="3"/>
        <w:ind w:firstLine="643"/>
        <w:rPr>
          <w:rFonts w:ascii="仿宋" w:hAnsi="仿宋" w:eastAsia="仿宋" w:cs="仿宋"/>
        </w:rPr>
      </w:pPr>
      <w:bookmarkStart w:id="25" w:name="_Toc9078"/>
      <w:bookmarkStart w:id="26" w:name="_Toc1792"/>
      <w:r>
        <w:rPr>
          <w:rFonts w:hint="eastAsia" w:ascii="仿宋" w:hAnsi="仿宋" w:eastAsia="仿宋" w:cs="仿宋"/>
        </w:rPr>
        <w:t>八、其他重要事项情况说明</w:t>
      </w:r>
      <w:bookmarkEnd w:id="25"/>
      <w:bookmarkEnd w:id="26"/>
    </w:p>
    <w:p>
      <w:pPr>
        <w:ind w:firstLine="643"/>
        <w:rPr>
          <w:b/>
          <w:bCs/>
        </w:rPr>
      </w:pPr>
      <w:bookmarkStart w:id="27" w:name="_Toc23407"/>
      <w:r>
        <w:rPr>
          <w:rFonts w:hint="eastAsia"/>
          <w:b/>
          <w:bCs/>
        </w:rPr>
        <w:t>（一）机关运行经费支出情况说明</w:t>
      </w:r>
      <w:bookmarkEnd w:id="27"/>
    </w:p>
    <w:p>
      <w:pPr>
        <w:spacing w:line="580" w:lineRule="exact"/>
        <w:ind w:firstLine="640"/>
        <w:rPr>
          <w:b/>
          <w:szCs w:val="32"/>
        </w:rPr>
      </w:pPr>
      <w:r>
        <w:rPr>
          <w:rFonts w:hint="eastAsia" w:ascii="仿宋_GB2312" w:hAnsi="宋体"/>
          <w:szCs w:val="32"/>
        </w:rPr>
        <w:t>2021年</w:t>
      </w:r>
      <w:r>
        <w:rPr>
          <w:rFonts w:hint="eastAsia"/>
          <w:b/>
          <w:szCs w:val="32"/>
        </w:rPr>
        <w:t>本部门无机关运行经费。</w:t>
      </w:r>
    </w:p>
    <w:p>
      <w:pPr>
        <w:ind w:firstLine="643"/>
        <w:rPr>
          <w:b/>
          <w:bCs/>
        </w:rPr>
      </w:pPr>
      <w:bookmarkStart w:id="28" w:name="_Toc16103"/>
      <w:r>
        <w:rPr>
          <w:rFonts w:hint="eastAsia"/>
          <w:b/>
          <w:bCs/>
        </w:rPr>
        <w:t>（二）政府采购情况说明</w:t>
      </w:r>
      <w:bookmarkEnd w:id="28"/>
    </w:p>
    <w:p>
      <w:pPr>
        <w:spacing w:line="580" w:lineRule="exact"/>
        <w:ind w:firstLine="640"/>
        <w:rPr>
          <w:rFonts w:ascii="仿宋_GB2312"/>
          <w:szCs w:val="32"/>
        </w:rPr>
      </w:pPr>
      <w:r>
        <w:rPr>
          <w:rFonts w:hint="eastAsia" w:ascii="仿宋_GB2312"/>
          <w:szCs w:val="32"/>
        </w:rPr>
        <w:t>2021年度，政府采购支出总额153.00万元，其中：政府采购货物支出79.79万元；占比52%。政府采购工程支出61.71万元；占比40.33%政府采购服务支出11.5万元。占比7.5%。</w:t>
      </w:r>
    </w:p>
    <w:p>
      <w:pPr>
        <w:ind w:firstLine="643"/>
        <w:rPr>
          <w:b/>
          <w:bCs/>
        </w:rPr>
      </w:pPr>
      <w:bookmarkStart w:id="29" w:name="_Toc19975"/>
      <w:r>
        <w:rPr>
          <w:rFonts w:hint="eastAsia"/>
          <w:b/>
          <w:bCs/>
        </w:rPr>
        <w:t>（三）国有资产占用情况说明</w:t>
      </w:r>
      <w:bookmarkEnd w:id="29"/>
    </w:p>
    <w:p>
      <w:pPr>
        <w:spacing w:line="580" w:lineRule="exact"/>
        <w:ind w:firstLine="640"/>
        <w:rPr>
          <w:rFonts w:ascii="仿宋_GB2312"/>
          <w:szCs w:val="32"/>
        </w:rPr>
      </w:pPr>
      <w:r>
        <w:rPr>
          <w:rFonts w:hint="eastAsia" w:ascii="仿宋_GB2312"/>
          <w:szCs w:val="32"/>
        </w:rPr>
        <w:t>截至2021年12月31日，本部门无车辆。无单价50万元（含）以上的通用设备。无单价100万元（含）以上专用设备。</w:t>
      </w:r>
    </w:p>
    <w:p>
      <w:pPr>
        <w:ind w:firstLine="643"/>
        <w:rPr>
          <w:b/>
          <w:bCs/>
        </w:rPr>
      </w:pPr>
      <w:r>
        <w:rPr>
          <w:rFonts w:hint="eastAsia"/>
          <w:b/>
          <w:bCs/>
        </w:rPr>
        <w:t>（四）重点项目预算的绩效目标情况说明：</w:t>
      </w:r>
    </w:p>
    <w:p>
      <w:pPr>
        <w:ind w:firstLine="643"/>
        <w:rPr>
          <w:rFonts w:ascii="仿宋" w:hAnsi="仿宋" w:eastAsia="仿宋" w:cs="仿宋"/>
          <w:b/>
          <w:bCs/>
          <w:szCs w:val="32"/>
        </w:rPr>
      </w:pPr>
      <w:r>
        <w:rPr>
          <w:rFonts w:hint="eastAsia" w:ascii="仿宋" w:hAnsi="仿宋" w:eastAsia="仿宋" w:cs="仿宋"/>
          <w:b/>
          <w:bCs/>
          <w:szCs w:val="32"/>
        </w:rPr>
        <w:t>2021年本单位无重点项目。</w:t>
      </w:r>
    </w:p>
    <w:p>
      <w:pPr>
        <w:ind w:firstLine="643"/>
        <w:rPr>
          <w:rFonts w:ascii="仿宋_GB2312" w:hAnsi="仿宋_GB2312" w:cs="仿宋_GB2312"/>
          <w:szCs w:val="32"/>
        </w:rPr>
      </w:pPr>
      <w:r>
        <w:rPr>
          <w:rFonts w:hint="eastAsia" w:ascii="仿宋_GB2312" w:hAnsi="仿宋_GB2312" w:cs="仿宋_GB2312"/>
          <w:b/>
          <w:bCs/>
          <w:szCs w:val="32"/>
        </w:rPr>
        <w:t>（2）部门决算中项目绩效自评结果。</w:t>
      </w:r>
      <w:r>
        <w:rPr>
          <w:rFonts w:hint="eastAsia" w:ascii="仿宋_GB2312" w:hAnsi="仿宋_GB2312" w:cs="仿宋_GB2312"/>
          <w:szCs w:val="32"/>
        </w:rPr>
        <w:t>部门本单位无重点项目向社会公开。</w:t>
      </w:r>
    </w:p>
    <w:p>
      <w:pPr>
        <w:numPr>
          <w:ilvl w:val="0"/>
          <w:numId w:val="2"/>
        </w:numPr>
        <w:ind w:firstLine="643"/>
        <w:rPr>
          <w:rFonts w:ascii="仿宋_GB2312" w:hAnsi="仿宋_GB2312" w:cs="仿宋_GB2312"/>
          <w:b/>
          <w:bCs/>
          <w:szCs w:val="32"/>
        </w:rPr>
      </w:pPr>
      <w:r>
        <w:rPr>
          <w:rFonts w:hint="eastAsia" w:ascii="仿宋_GB2312" w:hAnsi="仿宋_GB2312" w:cs="仿宋_GB2312"/>
          <w:b/>
          <w:bCs/>
          <w:szCs w:val="32"/>
        </w:rPr>
        <w:t>部门评价项目绩效评价结果。</w:t>
      </w:r>
    </w:p>
    <w:p>
      <w:pPr>
        <w:ind w:firstLine="1600" w:firstLineChars="500"/>
        <w:rPr>
          <w:rFonts w:ascii="仿宋_GB2312" w:hAnsi="仿宋_GB2312" w:cs="仿宋_GB2312"/>
          <w:szCs w:val="32"/>
        </w:rPr>
      </w:pPr>
      <w:r>
        <w:rPr>
          <w:rFonts w:hint="eastAsia" w:ascii="仿宋_GB2312" w:hAnsi="仿宋_GB2312" w:cs="仿宋_GB2312"/>
          <w:szCs w:val="32"/>
        </w:rPr>
        <w:t>本单位无重点项目。</w:t>
      </w:r>
    </w:p>
    <w:p>
      <w:pPr>
        <w:ind w:firstLine="643"/>
        <w:rPr>
          <w:rFonts w:ascii="仿宋" w:hAnsi="仿宋" w:eastAsia="仿宋" w:cs="仿宋"/>
          <w:b/>
          <w:bCs/>
          <w:szCs w:val="32"/>
        </w:rPr>
      </w:pPr>
    </w:p>
    <w:p>
      <w:pPr>
        <w:numPr>
          <w:ilvl w:val="0"/>
          <w:numId w:val="3"/>
        </w:numPr>
        <w:spacing w:line="580" w:lineRule="exact"/>
        <w:ind w:firstLine="643"/>
        <w:outlineLvl w:val="0"/>
        <w:rPr>
          <w:rFonts w:ascii="仿宋_GB2312"/>
          <w:b/>
          <w:szCs w:val="32"/>
        </w:rPr>
      </w:pPr>
      <w:bookmarkStart w:id="30" w:name="_Toc8450"/>
      <w:bookmarkStart w:id="31" w:name="_Toc28108"/>
      <w:r>
        <w:rPr>
          <w:rFonts w:hint="eastAsia" w:ascii="仿宋_GB2312"/>
          <w:b/>
          <w:szCs w:val="32"/>
        </w:rPr>
        <w:t>其他需要说明的事项</w:t>
      </w:r>
      <w:bookmarkEnd w:id="30"/>
      <w:bookmarkEnd w:id="31"/>
    </w:p>
    <w:p>
      <w:pPr>
        <w:pStyle w:val="2"/>
        <w:ind w:firstLine="0" w:firstLineChars="0"/>
        <w:jc w:val="center"/>
        <w:rPr>
          <w:sz w:val="36"/>
          <w:szCs w:val="36"/>
        </w:rPr>
      </w:pPr>
      <w:bookmarkStart w:id="32" w:name="_Toc8545"/>
      <w:r>
        <w:rPr>
          <w:rFonts w:hint="eastAsia"/>
          <w:sz w:val="36"/>
          <w:szCs w:val="36"/>
        </w:rPr>
        <w:t>第四部分  名词解释</w:t>
      </w:r>
      <w:bookmarkEnd w:id="32"/>
    </w:p>
    <w:p>
      <w:pPr>
        <w:spacing w:line="580" w:lineRule="exact"/>
        <w:ind w:firstLine="640"/>
        <w:rPr>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ascii="仿宋_GB2312"/>
          <w:szCs w:val="32"/>
        </w:rPr>
      </w:pPr>
      <w:r>
        <w:rPr>
          <w:rFonts w:hint="eastAsia" w:ascii="仿宋_GB2312"/>
          <w:b/>
          <w:szCs w:val="32"/>
        </w:rPr>
        <w:t>一、财政拨款收入：</w:t>
      </w:r>
      <w:r>
        <w:rPr>
          <w:rFonts w:hint="eastAsia" w:ascii="仿宋_GB2312"/>
          <w:szCs w:val="32"/>
        </w:rPr>
        <w:t>指单位从同级财政部门取得的财政预算资金。</w:t>
      </w:r>
    </w:p>
    <w:p>
      <w:pPr>
        <w:spacing w:line="580" w:lineRule="exact"/>
        <w:ind w:firstLine="520" w:firstLineChars="162"/>
        <w:rPr>
          <w:rFonts w:ascii="仿宋_GB2312"/>
          <w:szCs w:val="32"/>
        </w:rPr>
      </w:pPr>
      <w:r>
        <w:rPr>
          <w:rFonts w:hint="eastAsia" w:ascii="仿宋_GB2312"/>
          <w:b/>
          <w:szCs w:val="32"/>
        </w:rPr>
        <w:t>二、事业收入：</w:t>
      </w:r>
      <w:r>
        <w:rPr>
          <w:rFonts w:hint="eastAsia" w:ascii="仿宋_GB2312"/>
          <w:szCs w:val="32"/>
        </w:rPr>
        <w:t>指事业单位开展专业业务活动及辅助活动取得的收入。</w:t>
      </w:r>
    </w:p>
    <w:p>
      <w:pPr>
        <w:spacing w:line="580" w:lineRule="exact"/>
        <w:ind w:firstLine="520" w:firstLineChars="162"/>
        <w:rPr>
          <w:rFonts w:ascii="仿宋_GB2312"/>
          <w:szCs w:val="32"/>
        </w:rPr>
      </w:pPr>
      <w:r>
        <w:rPr>
          <w:rFonts w:hint="eastAsia" w:ascii="仿宋_GB2312"/>
          <w:b/>
          <w:szCs w:val="32"/>
        </w:rPr>
        <w:t>三、经营收入：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ascii="仿宋_GB2312"/>
          <w:szCs w:val="32"/>
        </w:rPr>
      </w:pPr>
      <w:r>
        <w:rPr>
          <w:rFonts w:hint="eastAsia" w:ascii="仿宋_GB2312"/>
          <w:b/>
          <w:szCs w:val="32"/>
        </w:rPr>
        <w:t>四、其他收入：</w:t>
      </w:r>
      <w:r>
        <w:rPr>
          <w:rFonts w:hint="eastAsia" w:ascii="仿宋_GB2312"/>
          <w:szCs w:val="32"/>
        </w:rPr>
        <w:t>指单位取得的除上述收入以外的各项收</w:t>
      </w:r>
    </w:p>
    <w:p>
      <w:pPr>
        <w:spacing w:line="580" w:lineRule="exact"/>
        <w:ind w:firstLineChars="0"/>
        <w:rPr>
          <w:rFonts w:ascii="仿宋_GB2312"/>
          <w:szCs w:val="32"/>
        </w:rPr>
      </w:pPr>
      <w:r>
        <w:rPr>
          <w:rFonts w:hint="eastAsia" w:ascii="仿宋_GB2312"/>
          <w:szCs w:val="32"/>
        </w:rPr>
        <w:t>入。主要是按规定动用的售房收入、存款利息收入等。</w:t>
      </w:r>
    </w:p>
    <w:p>
      <w:pPr>
        <w:spacing w:line="580" w:lineRule="exact"/>
        <w:ind w:firstLine="520" w:firstLineChars="162"/>
        <w:rPr>
          <w:rFonts w:ascii="仿宋_GB2312"/>
          <w:szCs w:val="32"/>
        </w:rPr>
      </w:pPr>
      <w:r>
        <w:rPr>
          <w:rFonts w:hint="eastAsia" w:ascii="仿宋_GB2312"/>
          <w:b/>
          <w:szCs w:val="32"/>
        </w:rPr>
        <w:t>五、年初结转和结余：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rPr>
        <w:t>六、基本支出：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640"/>
        <w:rPr>
          <w:rFonts w:ascii="仿宋_GB2312"/>
          <w:szCs w:val="32"/>
        </w:rPr>
      </w:pPr>
      <w:r>
        <w:rPr>
          <w:rFonts w:hint="eastAsia" w:ascii="仿宋_GB2312"/>
          <w:szCs w:val="32"/>
        </w:rPr>
        <w:t xml:space="preserve">                      单位名称：中共静乐县委党校</w:t>
      </w:r>
    </w:p>
    <w:p>
      <w:pPr>
        <w:ind w:firstLine="4800" w:firstLineChars="1500"/>
      </w:pPr>
      <w:r>
        <w:rPr>
          <w:rFonts w:hint="eastAsia"/>
        </w:rPr>
        <w:t>二〇二二年六月六日</w:t>
      </w:r>
    </w:p>
    <w:sectPr>
      <w:headerReference r:id="rId5"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华文中宋">
    <w:altName w:val="宋体"/>
    <w:panose1 w:val="020106000400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00000000"/>
    <w:lvl w:ilvl="0" w:tentative="0">
      <w:start w:val="1"/>
      <w:numFmt w:val="japaneseCounting"/>
      <w:lvlText w:val="%1、"/>
      <w:lvlJc w:val="left"/>
      <w:pPr>
        <w:ind w:left="920" w:hanging="720"/>
      </w:pPr>
      <w:rPr>
        <w:rFonts w:hint="default"/>
      </w:r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1">
    <w:nsid w:val="00000002"/>
    <w:multiLevelType w:val="singleLevel"/>
    <w:tmpl w:val="00000002"/>
    <w:lvl w:ilvl="0" w:tentative="0">
      <w:start w:val="2"/>
      <w:numFmt w:val="decimal"/>
      <w:suff w:val="nothing"/>
      <w:lvlText w:val="（%1）"/>
      <w:lvlJc w:val="left"/>
    </w:lvl>
  </w:abstractNum>
  <w:abstractNum w:abstractNumId="2">
    <w:nsid w:val="00000003"/>
    <w:multiLevelType w:val="singleLevel"/>
    <w:tmpl w:val="00000003"/>
    <w:lvl w:ilvl="0" w:tentative="0">
      <w:start w:val="4"/>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00000"/>
    <w:rsid w:val="0DF77E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宋体"/>
      <w:kern w:val="2"/>
      <w:sz w:val="32"/>
      <w:szCs w:val="22"/>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qFormat/>
    <w:uiPriority w:val="0"/>
    <w:pPr>
      <w:keepNext/>
      <w:keepLines/>
      <w:spacing w:line="413" w:lineRule="auto"/>
      <w:outlineLvl w:val="1"/>
    </w:pPr>
    <w:rPr>
      <w:rFonts w:ascii="Arial" w:hAnsi="Arial" w:eastAsia="黑体"/>
      <w:b/>
    </w:rPr>
  </w:style>
  <w:style w:type="character" w:default="1" w:styleId="9">
    <w:name w:val="Default Paragraph Font"/>
    <w:uiPriority w:val="1"/>
  </w:style>
  <w:style w:type="table" w:default="1" w:styleId="10">
    <w:name w:val="Normal Table"/>
    <w:qFormat/>
    <w:uiPriority w:val="99"/>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sz w:val="18"/>
      <w:szCs w:val="18"/>
    </w:rPr>
  </w:style>
  <w:style w:type="paragraph" w:styleId="5">
    <w:name w:val="header"/>
    <w:basedOn w:val="1"/>
    <w:uiPriority w:val="0"/>
    <w:pPr>
      <w:tabs>
        <w:tab w:val="center" w:pos="4153"/>
        <w:tab w:val="right" w:pos="8306"/>
      </w:tabs>
      <w:snapToGrid w:val="0"/>
      <w:spacing w:line="240" w:lineRule="atLeast"/>
      <w:jc w:val="center"/>
    </w:pPr>
    <w:rPr>
      <w:sz w:val="18"/>
      <w:szCs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List Paragraph"/>
    <w:basedOn w:val="1"/>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2738</Words>
  <Characters>3282</Characters>
  <Paragraphs>242</Paragraphs>
  <TotalTime>0</TotalTime>
  <ScaleCrop>false</ScaleCrop>
  <LinksUpToDate>false</LinksUpToDate>
  <CharactersWithSpaces>3352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2022-07-27T01:25:01Z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21BB9F8950F54DF7AA55E35868A6A8CE</vt:lpwstr>
  </property>
</Properties>
</file>