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农经办2021年服务农民专业合作社工作经费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静乐县农村经济经营服务站-051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宣传合作社有关法律法规，培训合作社理事长，下乡租车，资料档案整理，提升合作社经营管理能力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根据往年政府安排服务农民专业合作社的工作经费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宣传合作社有关法律法规，提升合作社经营管理能力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根据国家相关法律法规实施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及时有效的宣传合作社有关法律法规，培训合作社理事长人次不低于200人，通过服务提升合作社经营管理能力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61.25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完成全覆盖宣传和培训合作社理事长，服务提升合作社的经营管理能力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完成全覆盖宣传，培训合作社理事长，服务提升合作社的经营管理能力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农经办2021年服务农民专业合作社工作经费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88.64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培训人数（人）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宣传地区覆盖率（%）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新增社会合作机构数（个）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培训合作社理事长及时性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农民参加合作社比重（%）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本年度项目实施资金4.9万元，完成预算执行率的61.3%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本年度培训合作社机构85个，人员290人，合作社负责人做到应培尽培。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农民参加合作社比重95%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群众满意度99%以上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项目完成，未支付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培训人数（人）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96.67%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宣传地区覆盖率（%）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90.91%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13.64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新增社会合作机构数（个）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94.44%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培训合作社理事长及时性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农民参加合作社比重（%）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