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/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/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/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/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/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/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/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/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/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/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/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/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/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完成征占用地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36.4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完成附属补偿树木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14414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完成中药材补偿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16.544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完成电力线路迁移线杆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验收通过率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完成及时性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居住环境改善情况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改善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推动汾河廊道生态保护修复项目建设进度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生态效益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有效净化空气，提高大气质量。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提高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人民群众满意度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