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静乐县政法委员会</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rPr>
          <w:rFonts w:hint="eastAsia"/>
          <w:lang w:val="en-US" w:eastAsia="zh-CN"/>
        </w:rPr>
        <w:t>2</w:t>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0" w:beforeAutospacing="0" w:after="0" w:afterAutospacing="0" w:line="360" w:lineRule="auto"/>
        <w:ind w:left="0" w:leftChars="0" w:firstLine="640" w:firstLineChars="200"/>
        <w:rPr>
          <w:rFonts w:ascii="仿宋_GB2312" w:eastAsia="仿宋_GB2312"/>
          <w:color w:val="000000"/>
          <w:sz w:val="32"/>
          <w:szCs w:val="32"/>
        </w:rPr>
      </w:pPr>
      <w:r>
        <w:rPr>
          <w:rFonts w:hint="eastAsia" w:ascii="仿宋_GB2312" w:eastAsia="仿宋_GB2312"/>
          <w:color w:val="000000"/>
          <w:sz w:val="32"/>
          <w:szCs w:val="32"/>
        </w:rPr>
        <w:t>（一）贯彻习近平新时代中国特色社会主义思想，执行党的路线方针政策，维护党对政法工作的绝对领导；</w:t>
      </w:r>
    </w:p>
    <w:p>
      <w:pPr>
        <w:pStyle w:val="8"/>
        <w:spacing w:before="0" w:beforeAutospacing="0" w:after="0" w:afterAutospacing="0" w:line="360" w:lineRule="auto"/>
        <w:ind w:firstLine="480" w:firstLineChars="200"/>
        <w:rPr>
          <w:rFonts w:ascii="仿宋_GB2312" w:eastAsia="仿宋_GB2312"/>
          <w:color w:val="000000"/>
          <w:sz w:val="32"/>
          <w:szCs w:val="32"/>
        </w:rPr>
      </w:pPr>
      <w:r>
        <w:rPr>
          <w:rStyle w:val="11"/>
          <w:rFonts w:hint="eastAsia"/>
          <w:b w:val="0"/>
          <w:bCs w:val="0"/>
          <w:color w:val="000000"/>
        </w:rPr>
        <w:t xml:space="preserve">  </w:t>
      </w:r>
      <w:r>
        <w:rPr>
          <w:rFonts w:hint="eastAsia" w:ascii="仿宋_GB2312" w:eastAsia="仿宋_GB2312"/>
          <w:color w:val="000000"/>
          <w:sz w:val="32"/>
          <w:szCs w:val="32"/>
        </w:rPr>
        <w:t>（二）遵守和实施宪法法律，带头依法履职，推进严格执法、公正司法，维护国家法制统一、尊严和权威；</w:t>
      </w:r>
    </w:p>
    <w:p>
      <w:pPr>
        <w:pStyle w:val="8"/>
        <w:spacing w:before="0" w:beforeAutospacing="0" w:after="0" w:afterAutospacing="0" w:line="360" w:lineRule="auto"/>
        <w:ind w:firstLine="480" w:firstLineChars="200"/>
        <w:rPr>
          <w:rStyle w:val="11"/>
          <w:b w:val="0"/>
          <w:bCs w:val="0"/>
          <w:color w:val="000000"/>
        </w:rPr>
      </w:pPr>
      <w:r>
        <w:rPr>
          <w:rStyle w:val="11"/>
          <w:rFonts w:hint="eastAsia"/>
          <w:b w:val="0"/>
          <w:bCs w:val="0"/>
          <w:color w:val="000000"/>
        </w:rPr>
        <w:t xml:space="preserve">  </w:t>
      </w:r>
      <w:r>
        <w:rPr>
          <w:rFonts w:hint="eastAsia" w:ascii="仿宋_GB2312" w:eastAsia="仿宋_GB2312"/>
          <w:color w:val="000000"/>
          <w:sz w:val="32"/>
          <w:szCs w:val="32"/>
        </w:rPr>
        <w:t>（三）研究影响国家政治安全和社会稳定的重大事项或者重大案件，制定依法处理的原则、政策和措施；</w:t>
      </w:r>
    </w:p>
    <w:p>
      <w:pPr>
        <w:pStyle w:val="8"/>
        <w:numPr>
          <w:ilvl w:val="0"/>
          <w:numId w:val="1"/>
        </w:numPr>
        <w:spacing w:before="0" w:beforeAutospacing="0" w:after="0" w:afterAutospacing="0" w:line="360" w:lineRule="auto"/>
        <w:ind w:left="0" w:firstLine="640" w:firstLineChars="200"/>
        <w:rPr>
          <w:rFonts w:ascii="仿宋_GB2312" w:eastAsia="仿宋_GB2312"/>
          <w:color w:val="000000"/>
          <w:sz w:val="32"/>
          <w:szCs w:val="32"/>
        </w:rPr>
      </w:pPr>
      <w:r>
        <w:rPr>
          <w:rFonts w:hint="eastAsia" w:ascii="仿宋_GB2312" w:eastAsia="仿宋_GB2312"/>
          <w:color w:val="000000"/>
          <w:sz w:val="32"/>
          <w:szCs w:val="32"/>
        </w:rPr>
        <w:t>研究推动本单位或者本系统全面深化改革，研究制定本单位或者本系统执法司法政策，提高执法质量、效率和公信力；</w:t>
      </w:r>
    </w:p>
    <w:p>
      <w:pPr>
        <w:pStyle w:val="8"/>
        <w:numPr>
          <w:ilvl w:val="0"/>
          <w:numId w:val="1"/>
        </w:numPr>
        <w:spacing w:before="0" w:beforeAutospacing="0" w:after="0" w:afterAutospacing="0" w:line="360" w:lineRule="auto"/>
        <w:ind w:left="0" w:firstLine="640" w:firstLineChars="200"/>
        <w:rPr>
          <w:rFonts w:ascii="仿宋_GB2312" w:eastAsia="仿宋_GB2312"/>
          <w:color w:val="000000"/>
          <w:sz w:val="32"/>
          <w:szCs w:val="32"/>
        </w:rPr>
      </w:pPr>
      <w:r>
        <w:rPr>
          <w:rFonts w:hint="eastAsia" w:ascii="仿宋_GB2312" w:eastAsia="仿宋_GB2312"/>
          <w:color w:val="000000"/>
          <w:sz w:val="32"/>
          <w:szCs w:val="32"/>
        </w:rPr>
        <w:t>履行全面从严治党主体责任，加强本单位或者本系统党的建设和政法队伍建设；</w:t>
      </w:r>
    </w:p>
    <w:p>
      <w:pPr>
        <w:pStyle w:val="8"/>
        <w:numPr>
          <w:numId w:val="0"/>
        </w:numPr>
        <w:spacing w:before="0" w:beforeAutospacing="0" w:after="0" w:afterAutospacing="0" w:line="360" w:lineRule="auto"/>
        <w:ind w:leftChars="200"/>
        <w:rPr>
          <w:rFonts w:ascii="仿宋" w:hAnsi="仿宋" w:eastAsia="仿宋" w:cs="仿宋"/>
          <w:b/>
          <w:bCs/>
          <w:sz w:val="32"/>
          <w:szCs w:val="32"/>
        </w:rPr>
      </w:pPr>
      <w:r>
        <w:rPr>
          <w:rFonts w:hint="eastAsia" w:ascii="仿宋_GB2312"/>
          <w:color w:val="000000"/>
          <w:sz w:val="32"/>
          <w:szCs w:val="32"/>
          <w:lang w:eastAsia="zh-CN"/>
        </w:rPr>
        <w:t>（</w:t>
      </w:r>
      <w:r>
        <w:rPr>
          <w:rFonts w:hint="eastAsia" w:ascii="仿宋_GB2312"/>
          <w:color w:val="000000"/>
          <w:sz w:val="32"/>
          <w:szCs w:val="32"/>
          <w:lang w:val="en-US" w:eastAsia="zh-CN"/>
        </w:rPr>
        <w:t>六</w:t>
      </w:r>
      <w:r>
        <w:rPr>
          <w:rFonts w:hint="eastAsia" w:ascii="仿宋_GB2312"/>
          <w:color w:val="000000"/>
          <w:sz w:val="32"/>
          <w:szCs w:val="32"/>
          <w:lang w:eastAsia="zh-CN"/>
        </w:rPr>
        <w:t>）</w:t>
      </w:r>
      <w:r>
        <w:rPr>
          <w:rFonts w:hint="eastAsia" w:ascii="仿宋_GB2312" w:eastAsia="仿宋_GB2312"/>
          <w:color w:val="000000"/>
          <w:sz w:val="32"/>
          <w:szCs w:val="32"/>
        </w:rPr>
        <w:t>完成上级党组（党委）和党委政法委委员会交办的其他任务。</w:t>
      </w:r>
    </w:p>
    <w:p>
      <w:pPr>
        <w:pStyle w:val="8"/>
        <w:spacing w:before="0" w:beforeAutospacing="0" w:after="0" w:afterAutospacing="0" w:line="360" w:lineRule="auto"/>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rPr>
        <w:t>机构设置情况：</w:t>
      </w:r>
    </w:p>
    <w:p>
      <w:pPr>
        <w:pStyle w:val="8"/>
        <w:spacing w:before="0" w:beforeAutospacing="0" w:after="0" w:afterAutospacing="0"/>
        <w:ind w:firstLine="640" w:firstLineChars="200"/>
        <w:rPr>
          <w:b/>
          <w:bCs/>
          <w:sz w:val="32"/>
          <w:szCs w:val="32"/>
        </w:rPr>
      </w:pPr>
      <w:r>
        <w:rPr>
          <w:rFonts w:hint="eastAsia" w:ascii="仿宋_GB2312" w:eastAsia="仿宋_GB2312"/>
          <w:color w:val="000000"/>
          <w:sz w:val="32"/>
          <w:szCs w:val="32"/>
        </w:rPr>
        <w:t>静乐县</w:t>
      </w:r>
      <w:r>
        <w:fldChar w:fldCharType="begin"/>
      </w:r>
      <w:r>
        <w:instrText xml:space="preserve"> HYPERLINK "https://www.baidu.com/s?wd=%E6%94%BF%E6%B3%95%E5%A7%94&amp;tn=44039180_cpr&amp;fenlei=mv6quAkxTZn0IZRqIHckPjm4nH00T1YLnWTdnjN9rjTLPAD3njF90ZwV5Hcvrjm3rH6sPfKWUMw85HfYnjn4nH6sgvPsT6KdThsqpZwYTjCEQLGCpyw9Uz4Bmy-bIi4WUvYETgN-TLwGUv3EnHbLrH6zn6" </w:instrText>
      </w:r>
      <w:r>
        <w:fldChar w:fldCharType="separate"/>
      </w:r>
      <w:r>
        <w:rPr>
          <w:rFonts w:hint="eastAsia" w:ascii="仿宋_GB2312" w:eastAsia="仿宋_GB2312"/>
          <w:color w:val="000000"/>
          <w:sz w:val="32"/>
          <w:szCs w:val="32"/>
        </w:rPr>
        <w:t>政法委</w:t>
      </w:r>
      <w:r>
        <w:rPr>
          <w:rFonts w:hint="eastAsia" w:ascii="仿宋_GB2312" w:eastAsia="仿宋_GB2312"/>
          <w:color w:val="000000"/>
          <w:sz w:val="32"/>
          <w:szCs w:val="32"/>
        </w:rPr>
        <w:fldChar w:fldCharType="end"/>
      </w:r>
      <w:r>
        <w:rPr>
          <w:rFonts w:hint="eastAsia" w:ascii="仿宋_GB2312" w:eastAsia="仿宋_GB2312"/>
          <w:color w:val="000000"/>
          <w:sz w:val="32"/>
          <w:szCs w:val="32"/>
        </w:rPr>
        <w:t>内设综合办公室、政工室、执法监督室、综治督导室、县委国安办秘书室五个科室，人员编制23人，实有人数23人。</w:t>
      </w:r>
    </w:p>
    <w:p>
      <w:pPr>
        <w:rPr>
          <w:rFonts w:hint="eastAsia"/>
        </w:rPr>
      </w:pPr>
    </w:p>
    <w:p>
      <w:pPr>
        <w:pStyle w:val="2"/>
        <w:rPr>
          <w:rFonts w:hint="eastAsia"/>
          <w:b/>
          <w:bCs w:val="0"/>
          <w:sz w:val="36"/>
          <w:szCs w:val="36"/>
          <w:lang w:val="en-US" w:eastAsia="zh-CN"/>
        </w:rPr>
      </w:pPr>
      <w:bookmarkStart w:id="7" w:name="_Toc12749"/>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8717"/>
      <w:bookmarkStart w:id="10" w:name="_Toc43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920.75</w:t>
      </w:r>
      <w:r>
        <w:rPr>
          <w:rFonts w:hint="eastAsia" w:ascii="仿宋_GB2312"/>
          <w:color w:val="auto"/>
          <w:szCs w:val="32"/>
        </w:rPr>
        <w:t>万元、支出总计</w:t>
      </w:r>
      <w:r>
        <w:rPr>
          <w:rFonts w:hint="eastAsia" w:ascii="仿宋_GB2312"/>
          <w:color w:val="auto"/>
          <w:szCs w:val="32"/>
          <w:lang w:val="en-US" w:eastAsia="zh-CN"/>
        </w:rPr>
        <w:t>948.03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161.47</w:t>
      </w:r>
      <w:r>
        <w:rPr>
          <w:rFonts w:hint="eastAsia" w:ascii="仿宋_GB2312"/>
          <w:color w:val="auto"/>
          <w:szCs w:val="32"/>
        </w:rPr>
        <w:t>万元，下降</w:t>
      </w:r>
      <w:r>
        <w:rPr>
          <w:rFonts w:hint="eastAsia" w:ascii="仿宋_GB2312"/>
          <w:color w:val="auto"/>
          <w:szCs w:val="32"/>
          <w:lang w:val="en-US" w:eastAsia="zh-CN"/>
        </w:rPr>
        <w:t>17.54</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611.69</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64.52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:雪亮工程支出减少600万元</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17404"/>
      <w:bookmarkStart w:id="12" w:name="_Toc16754"/>
      <w:r>
        <w:rPr>
          <w:rFonts w:hint="eastAsia" w:ascii="仿宋" w:hAnsi="仿宋" w:eastAsia="仿宋" w:cs="仿宋"/>
          <w:b/>
          <w:bCs w:val="0"/>
          <w:color w:val="auto"/>
          <w:lang w:val="en-US" w:eastAsia="zh-CN"/>
        </w:rPr>
        <w:t>二、收入决算情况说明</w:t>
      </w:r>
      <w:bookmarkEnd w:id="11"/>
      <w:bookmarkEnd w:id="12"/>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920.75</w:t>
      </w:r>
      <w:r>
        <w:rPr>
          <w:rFonts w:hint="eastAsia" w:ascii="仿宋_GB2312"/>
          <w:szCs w:val="32"/>
        </w:rPr>
        <w:t>万元，其中：财政拨款收入</w:t>
      </w:r>
      <w:r>
        <w:rPr>
          <w:rFonts w:hint="eastAsia" w:ascii="仿宋_GB2312"/>
          <w:szCs w:val="32"/>
          <w:lang w:val="en-US" w:eastAsia="zh-CN"/>
        </w:rPr>
        <w:t>920.75</w:t>
      </w:r>
      <w:r>
        <w:rPr>
          <w:rFonts w:hint="eastAsia" w:ascii="仿宋_GB2312"/>
          <w:szCs w:val="32"/>
        </w:rPr>
        <w:t>万元，占比</w:t>
      </w:r>
      <w:r>
        <w:rPr>
          <w:rFonts w:hint="eastAsia" w:ascii="仿宋_GB2312"/>
          <w:szCs w:val="32"/>
          <w:lang w:val="en-US" w:eastAsia="zh-CN"/>
        </w:rPr>
        <w:t>100</w:t>
      </w:r>
      <w:r>
        <w:rPr>
          <w:rFonts w:hint="eastAsia" w:ascii="仿宋_GB2312"/>
          <w:szCs w:val="32"/>
        </w:rPr>
        <w:t>%；一般公共服务支出</w:t>
      </w:r>
      <w:r>
        <w:rPr>
          <w:rFonts w:hint="eastAsia" w:ascii="仿宋_GB2312"/>
          <w:szCs w:val="32"/>
          <w:lang w:val="en-US" w:eastAsia="zh-CN"/>
        </w:rPr>
        <w:t>900.75万元，占比97.82%，</w:t>
      </w:r>
      <w:r>
        <w:rPr>
          <w:rFonts w:hint="eastAsia" w:ascii="仿宋_GB2312"/>
          <w:szCs w:val="32"/>
        </w:rPr>
        <w:t>公共安全支出</w:t>
      </w:r>
      <w:r>
        <w:rPr>
          <w:rFonts w:hint="eastAsia" w:ascii="仿宋_GB2312"/>
          <w:szCs w:val="32"/>
          <w:lang w:val="en-US" w:eastAsia="zh-CN"/>
        </w:rPr>
        <w:t>20</w:t>
      </w:r>
      <w:r>
        <w:rPr>
          <w:rFonts w:hint="eastAsia" w:ascii="仿宋_GB2312"/>
          <w:szCs w:val="32"/>
        </w:rPr>
        <w:t>万元，占比</w:t>
      </w:r>
      <w:r>
        <w:rPr>
          <w:rFonts w:hint="eastAsia" w:ascii="仿宋_GB2312"/>
          <w:szCs w:val="32"/>
          <w:lang w:val="en-US" w:eastAsia="zh-CN"/>
        </w:rPr>
        <w:t>2.18</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22098"/>
      <w:bookmarkStart w:id="14" w:name="_Toc9596"/>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w:t>
      </w:r>
      <w:bookmarkStart w:id="31" w:name="_GoBack"/>
      <w:bookmarkEnd w:id="31"/>
      <w:r>
        <w:rPr>
          <w:rFonts w:hint="eastAsia" w:ascii="仿宋_GB2312"/>
          <w:szCs w:val="32"/>
        </w:rPr>
        <w:t>出合计</w:t>
      </w:r>
      <w:r>
        <w:rPr>
          <w:rFonts w:hint="eastAsia" w:ascii="仿宋_GB2312"/>
          <w:szCs w:val="32"/>
          <w:lang w:val="en-US" w:eastAsia="zh-CN"/>
        </w:rPr>
        <w:t>948.03</w:t>
      </w:r>
      <w:r>
        <w:rPr>
          <w:rFonts w:hint="eastAsia" w:ascii="仿宋_GB2312"/>
          <w:szCs w:val="32"/>
        </w:rPr>
        <w:t>万元，其中：基本支出</w:t>
      </w:r>
      <w:r>
        <w:rPr>
          <w:rFonts w:hint="eastAsia" w:ascii="仿宋_GB2312"/>
          <w:szCs w:val="32"/>
          <w:lang w:val="en-US" w:eastAsia="zh-CN"/>
        </w:rPr>
        <w:t>283.31</w:t>
      </w:r>
      <w:r>
        <w:rPr>
          <w:rFonts w:hint="eastAsia" w:ascii="仿宋_GB2312"/>
          <w:szCs w:val="32"/>
        </w:rPr>
        <w:t>万元，占比</w:t>
      </w:r>
      <w:r>
        <w:rPr>
          <w:rFonts w:hint="eastAsia" w:ascii="仿宋_GB2312"/>
          <w:szCs w:val="32"/>
          <w:lang w:val="en-US" w:eastAsia="zh-CN"/>
        </w:rPr>
        <w:t>29.88</w:t>
      </w:r>
      <w:r>
        <w:rPr>
          <w:rFonts w:hint="eastAsia" w:ascii="仿宋_GB2312"/>
          <w:szCs w:val="32"/>
        </w:rPr>
        <w:t>%；项目支出</w:t>
      </w:r>
      <w:r>
        <w:rPr>
          <w:rFonts w:hint="eastAsia" w:ascii="仿宋_GB2312"/>
          <w:szCs w:val="32"/>
          <w:lang w:val="en-US" w:eastAsia="zh-CN"/>
        </w:rPr>
        <w:t>664.71</w:t>
      </w:r>
      <w:r>
        <w:rPr>
          <w:rFonts w:hint="eastAsia" w:ascii="仿宋_GB2312"/>
          <w:szCs w:val="32"/>
        </w:rPr>
        <w:t>万元，占比</w:t>
      </w:r>
      <w:r>
        <w:rPr>
          <w:rFonts w:hint="eastAsia" w:ascii="仿宋_GB2312"/>
          <w:szCs w:val="32"/>
          <w:lang w:val="en-US" w:eastAsia="zh-CN"/>
        </w:rPr>
        <w:t>70.12</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2142"/>
      <w:bookmarkStart w:id="16" w:name="_Toc4614"/>
      <w:r>
        <w:rPr>
          <w:rFonts w:hint="eastAsia" w:ascii="仿宋" w:hAnsi="仿宋" w:eastAsia="仿宋" w:cs="仿宋"/>
          <w:b/>
          <w:bCs w:val="0"/>
          <w:lang w:val="en-US" w:eastAsia="zh-CN"/>
        </w:rPr>
        <w:t>四、财政拨款收入支出决算总体情况说明</w:t>
      </w:r>
      <w:bookmarkEnd w:id="15"/>
      <w:bookmarkEnd w:id="16"/>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920.75</w:t>
      </w:r>
      <w:r>
        <w:rPr>
          <w:rFonts w:hint="eastAsia" w:ascii="仿宋_GB2312"/>
          <w:color w:val="auto"/>
          <w:szCs w:val="32"/>
        </w:rPr>
        <w:t>万元、支出总计</w:t>
      </w:r>
      <w:r>
        <w:rPr>
          <w:rFonts w:hint="eastAsia" w:ascii="仿宋_GB2312"/>
          <w:color w:val="auto"/>
          <w:szCs w:val="32"/>
          <w:lang w:val="en-US" w:eastAsia="zh-CN"/>
        </w:rPr>
        <w:t>948.03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161.47</w:t>
      </w:r>
      <w:r>
        <w:rPr>
          <w:rFonts w:hint="eastAsia" w:ascii="仿宋_GB2312"/>
          <w:color w:val="auto"/>
          <w:szCs w:val="32"/>
        </w:rPr>
        <w:t>万元，下降</w:t>
      </w:r>
      <w:r>
        <w:rPr>
          <w:rFonts w:hint="eastAsia" w:ascii="仿宋_GB2312"/>
          <w:color w:val="auto"/>
          <w:szCs w:val="32"/>
          <w:lang w:val="en-US" w:eastAsia="zh-CN"/>
        </w:rPr>
        <w:t>17.54</w:t>
      </w:r>
      <w:r>
        <w:rPr>
          <w:rFonts w:hint="eastAsia" w:ascii="仿宋_GB2312"/>
          <w:color w:val="auto"/>
          <w:szCs w:val="32"/>
        </w:rPr>
        <w:t>%，财政拨款支出总计减少</w:t>
      </w:r>
      <w:r>
        <w:rPr>
          <w:rFonts w:hint="eastAsia" w:ascii="仿宋_GB2312"/>
          <w:color w:val="auto"/>
          <w:szCs w:val="32"/>
          <w:lang w:val="en-US" w:eastAsia="zh-CN"/>
        </w:rPr>
        <w:t>611.19</w:t>
      </w:r>
      <w:r>
        <w:rPr>
          <w:rFonts w:hint="eastAsia" w:ascii="仿宋_GB2312"/>
          <w:color w:val="auto"/>
          <w:szCs w:val="32"/>
        </w:rPr>
        <w:t>万元，下降</w:t>
      </w:r>
      <w:r>
        <w:rPr>
          <w:rFonts w:hint="eastAsia" w:ascii="仿宋_GB2312"/>
          <w:color w:val="auto"/>
          <w:szCs w:val="32"/>
          <w:lang w:val="en-US" w:eastAsia="zh-CN"/>
        </w:rPr>
        <w:t>64.52</w:t>
      </w:r>
      <w:r>
        <w:rPr>
          <w:rFonts w:hint="eastAsia" w:ascii="仿宋_GB2312"/>
          <w:color w:val="auto"/>
          <w:szCs w:val="32"/>
        </w:rPr>
        <w:t>%。主要原因是</w:t>
      </w:r>
      <w:r>
        <w:rPr>
          <w:rFonts w:hint="eastAsia" w:ascii="仿宋_GB2312"/>
          <w:color w:val="auto"/>
          <w:szCs w:val="32"/>
          <w:lang w:val="en-US" w:eastAsia="zh-CN"/>
        </w:rPr>
        <w:t>雪亮工程支出减少600万元</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9341"/>
      <w:bookmarkStart w:id="18" w:name="_Toc650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948.03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611.19</w:t>
      </w:r>
      <w:r>
        <w:rPr>
          <w:rFonts w:hint="eastAsia" w:ascii="仿宋_GB2312"/>
          <w:color w:val="auto"/>
          <w:szCs w:val="32"/>
        </w:rPr>
        <w:t>万元，下降</w:t>
      </w:r>
      <w:r>
        <w:rPr>
          <w:rFonts w:hint="eastAsia" w:ascii="仿宋_GB2312"/>
          <w:color w:val="auto"/>
          <w:szCs w:val="32"/>
          <w:lang w:val="en-US" w:eastAsia="zh-CN"/>
        </w:rPr>
        <w:t>64.52</w:t>
      </w:r>
      <w:r>
        <w:rPr>
          <w:rFonts w:hint="eastAsia" w:ascii="仿宋_GB2312"/>
          <w:color w:val="auto"/>
          <w:szCs w:val="32"/>
        </w:rPr>
        <w:t>%。主要原因是</w:t>
      </w:r>
      <w:r>
        <w:rPr>
          <w:rFonts w:hint="eastAsia" w:ascii="仿宋_GB2312"/>
          <w:color w:val="auto"/>
          <w:szCs w:val="32"/>
          <w:lang w:val="en-US" w:eastAsia="zh-CN"/>
        </w:rPr>
        <w:t>雪亮工程支出减少600万元</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948.03</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928.03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97.89</w:t>
      </w:r>
      <w:r>
        <w:rPr>
          <w:rFonts w:ascii="仿宋_GB2312"/>
          <w:color w:val="auto"/>
          <w:szCs w:val="32"/>
        </w:rPr>
        <w:t>%；</w:t>
      </w:r>
      <w:r>
        <w:rPr>
          <w:rFonts w:ascii="仿宋_GB2312"/>
          <w:b/>
          <w:color w:val="auto"/>
          <w:szCs w:val="32"/>
        </w:rPr>
        <w:t>公共安全（</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2.11</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920.75</w:t>
      </w:r>
      <w:r>
        <w:rPr>
          <w:rFonts w:hint="eastAsia"/>
          <w:color w:val="auto"/>
          <w:szCs w:val="32"/>
        </w:rPr>
        <w:t>万元，支出决算</w:t>
      </w:r>
      <w:r>
        <w:rPr>
          <w:rFonts w:hint="eastAsia"/>
          <w:color w:val="auto"/>
          <w:szCs w:val="32"/>
          <w:lang w:val="en-US" w:eastAsia="zh-CN"/>
        </w:rPr>
        <w:t>920.75</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 xml:space="preserve">年度支出功能科目分类对比表    </w:t>
      </w:r>
      <w:r>
        <w:rPr>
          <w:rFonts w:hint="eastAsia" w:ascii="宋体" w:hAnsi="宋体" w:cs="Arial"/>
          <w:b/>
          <w:color w:val="000000"/>
          <w:kern w:val="0"/>
          <w:sz w:val="30"/>
          <w:szCs w:val="30"/>
          <w:lang w:val="en-US" w:eastAsia="zh-CN"/>
        </w:rPr>
        <w:t xml:space="preserve">      </w:t>
      </w:r>
      <w:r>
        <w:rPr>
          <w:rFonts w:hint="eastAsia" w:ascii="宋体" w:hAnsi="宋体" w:cs="Arial"/>
          <w:b/>
          <w:color w:val="000000"/>
          <w:kern w:val="0"/>
          <w:sz w:val="30"/>
          <w:szCs w:val="30"/>
        </w:rPr>
        <w:t>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4065"/>
        <w:gridCol w:w="1290"/>
        <w:gridCol w:w="1245"/>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4065" w:type="dxa"/>
            <w:vAlign w:val="center"/>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290" w:type="dxa"/>
            <w:vAlign w:val="center"/>
          </w:tcPr>
          <w:p>
            <w:pPr>
              <w:widowControl/>
              <w:ind w:left="0" w:leftChars="0" w:firstLine="0" w:firstLineChars="0"/>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245" w:type="dxa"/>
            <w:vAlign w:val="center"/>
          </w:tcPr>
          <w:p>
            <w:pPr>
              <w:widowControl/>
              <w:ind w:left="0" w:leftChars="0" w:firstLine="0" w:firstLineChars="0"/>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225" w:type="dxa"/>
            <w:vAlign w:val="center"/>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95" w:type="dxa"/>
            <w:vAlign w:val="top"/>
          </w:tcPr>
          <w:p>
            <w:pPr>
              <w:ind w:left="0" w:leftChars="0" w:firstLine="0" w:firstLineChars="0"/>
              <w:jc w:val="left"/>
              <w:rPr>
                <w:rFonts w:hint="eastAsia" w:ascii="仿宋" w:hAnsi="仿宋" w:eastAsia="仿宋" w:cs="仿宋"/>
                <w:b/>
                <w:bCs/>
                <w:color w:val="auto"/>
                <w:sz w:val="24"/>
                <w:szCs w:val="24"/>
              </w:rPr>
            </w:pPr>
            <w:r>
              <w:rPr>
                <w:rFonts w:hint="eastAsia" w:ascii="仿宋" w:hAnsi="仿宋" w:eastAsia="仿宋" w:cs="仿宋"/>
                <w:b/>
                <w:bCs/>
                <w:color w:val="auto"/>
                <w:sz w:val="24"/>
                <w:szCs w:val="24"/>
              </w:rPr>
              <w:t>201</w:t>
            </w:r>
          </w:p>
        </w:tc>
        <w:tc>
          <w:tcPr>
            <w:tcW w:w="4065" w:type="dxa"/>
            <w:vAlign w:val="top"/>
          </w:tcPr>
          <w:p>
            <w:pPr>
              <w:ind w:left="0" w:leftChars="0" w:firstLine="0" w:firstLineChars="0"/>
              <w:jc w:val="left"/>
              <w:rPr>
                <w:rFonts w:hint="eastAsia" w:ascii="仿宋" w:hAnsi="仿宋" w:eastAsia="仿宋" w:cs="仿宋"/>
                <w:b/>
                <w:bCs/>
                <w:color w:val="auto"/>
                <w:sz w:val="24"/>
                <w:szCs w:val="24"/>
              </w:rPr>
            </w:pPr>
            <w:r>
              <w:rPr>
                <w:rFonts w:hint="eastAsia" w:ascii="仿宋" w:hAnsi="仿宋" w:eastAsia="仿宋" w:cs="仿宋"/>
                <w:b/>
                <w:bCs/>
                <w:color w:val="auto"/>
                <w:sz w:val="24"/>
                <w:szCs w:val="24"/>
              </w:rPr>
              <w:t>一般公共服务支出</w:t>
            </w:r>
          </w:p>
        </w:tc>
        <w:tc>
          <w:tcPr>
            <w:tcW w:w="1290" w:type="dxa"/>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b/>
                <w:bCs/>
                <w:color w:val="000000"/>
                <w:sz w:val="24"/>
                <w:szCs w:val="24"/>
              </w:rPr>
            </w:pPr>
            <w:r>
              <w:rPr>
                <w:rFonts w:hint="eastAsia" w:ascii="宋体" w:hAnsi="宋体" w:cs="Arial"/>
                <w:b/>
                <w:bCs/>
                <w:color w:val="000000" w:themeColor="text1"/>
                <w:sz w:val="22"/>
                <w:szCs w:val="22"/>
                <w14:textFill>
                  <w14:solidFill>
                    <w14:schemeClr w14:val="tx1"/>
                  </w14:solidFill>
                </w14:textFill>
              </w:rPr>
              <w:t>1559.72</w:t>
            </w:r>
          </w:p>
        </w:tc>
        <w:tc>
          <w:tcPr>
            <w:tcW w:w="1245"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928.03</w:t>
            </w:r>
          </w:p>
        </w:tc>
        <w:tc>
          <w:tcPr>
            <w:tcW w:w="1225" w:type="dxa"/>
            <w:vAlign w:val="top"/>
          </w:tcPr>
          <w:p>
            <w:pPr>
              <w:ind w:left="0" w:leftChars="0" w:firstLine="0" w:firstLineChars="0"/>
              <w:jc w:val="right"/>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-40.50%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20103</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290"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16</w:t>
            </w:r>
          </w:p>
        </w:tc>
        <w:tc>
          <w:tcPr>
            <w:tcW w:w="1225" w:type="dxa"/>
            <w:vAlign w:val="top"/>
          </w:tcPr>
          <w:p>
            <w:pPr>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2010301</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290"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24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w:t>
            </w:r>
          </w:p>
        </w:tc>
        <w:tc>
          <w:tcPr>
            <w:tcW w:w="1225" w:type="dxa"/>
            <w:vAlign w:val="top"/>
          </w:tcPr>
          <w:p>
            <w:pPr>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20129</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群众团体事务</w:t>
            </w:r>
          </w:p>
        </w:tc>
        <w:tc>
          <w:tcPr>
            <w:tcW w:w="1290" w:type="dxa"/>
            <w:vAlign w:val="top"/>
          </w:tcPr>
          <w:p>
            <w:pPr>
              <w:jc w:val="right"/>
              <w:rPr>
                <w:rFonts w:hint="eastAsia" w:ascii="仿宋" w:hAnsi="仿宋" w:eastAsia="仿宋" w:cs="仿宋"/>
                <w:color w:val="000000"/>
                <w:sz w:val="24"/>
                <w:szCs w:val="24"/>
              </w:rPr>
            </w:pPr>
          </w:p>
        </w:tc>
        <w:tc>
          <w:tcPr>
            <w:tcW w:w="1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1.95</w:t>
            </w:r>
          </w:p>
        </w:tc>
        <w:tc>
          <w:tcPr>
            <w:tcW w:w="1225" w:type="dxa"/>
            <w:vAlign w:val="top"/>
          </w:tcPr>
          <w:p>
            <w:pPr>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2012901</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290" w:type="dxa"/>
            <w:vAlign w:val="center"/>
          </w:tcPr>
          <w:p>
            <w:pPr>
              <w:keepNext w:val="0"/>
              <w:keepLines w:val="0"/>
              <w:widowControl/>
              <w:suppressLineNumbers w:val="0"/>
              <w:jc w:val="right"/>
              <w:textAlignment w:val="center"/>
              <w:rPr>
                <w:rFonts w:hint="eastAsia" w:ascii="仿宋" w:hAnsi="仿宋" w:eastAsia="仿宋" w:cs="仿宋"/>
                <w:i w:val="0"/>
                <w:color w:val="000000"/>
                <w:kern w:val="0"/>
                <w:sz w:val="22"/>
                <w:szCs w:val="22"/>
                <w:u w:val="none"/>
                <w:lang w:val="en-US" w:eastAsia="zh-CN" w:bidi="ar"/>
              </w:rPr>
            </w:pPr>
          </w:p>
        </w:tc>
        <w:tc>
          <w:tcPr>
            <w:tcW w:w="1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1.95</w:t>
            </w:r>
          </w:p>
        </w:tc>
        <w:tc>
          <w:tcPr>
            <w:tcW w:w="1225" w:type="dxa"/>
            <w:vAlign w:val="top"/>
          </w:tcPr>
          <w:p>
            <w:pPr>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20131</w:t>
            </w:r>
          </w:p>
        </w:tc>
        <w:tc>
          <w:tcPr>
            <w:tcW w:w="406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党委办公厅（室）及相关机构事务</w:t>
            </w:r>
          </w:p>
        </w:tc>
        <w:tc>
          <w:tcPr>
            <w:tcW w:w="1290"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kern w:val="2"/>
                <w:sz w:val="24"/>
                <w:szCs w:val="24"/>
                <w:lang w:val="en-US" w:eastAsia="zh-CN" w:bidi="ar-SA"/>
              </w:rPr>
            </w:pPr>
            <w:r>
              <w:rPr>
                <w:rFonts w:hint="eastAsia" w:ascii="宋体" w:hAnsi="宋体" w:cs="Arial"/>
                <w:color w:val="000000" w:themeColor="text1"/>
                <w:sz w:val="22"/>
                <w:szCs w:val="22"/>
                <w14:textFill>
                  <w14:solidFill>
                    <w14:schemeClr w14:val="tx1"/>
                  </w14:solidFill>
                </w14:textFill>
              </w:rPr>
              <w:t>1559.72</w:t>
            </w:r>
          </w:p>
        </w:tc>
        <w:tc>
          <w:tcPr>
            <w:tcW w:w="1245"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910.08</w:t>
            </w:r>
          </w:p>
        </w:tc>
        <w:tc>
          <w:tcPr>
            <w:tcW w:w="1225" w:type="dxa"/>
            <w:vAlign w:val="top"/>
          </w:tcPr>
          <w:p>
            <w:pPr>
              <w:ind w:left="0" w:leftChars="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2013101</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290"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kern w:val="2"/>
                <w:sz w:val="24"/>
                <w:szCs w:val="24"/>
                <w:lang w:val="en-US" w:eastAsia="zh-CN" w:bidi="ar-SA"/>
              </w:rPr>
            </w:pPr>
            <w:r>
              <w:rPr>
                <w:rFonts w:hint="eastAsia" w:ascii="宋体" w:hAnsi="宋体" w:eastAsia="仿宋" w:cs="Arial"/>
                <w:color w:val="000000" w:themeColor="text1"/>
                <w:sz w:val="22"/>
                <w:szCs w:val="22"/>
                <w:lang w:val="en-US" w:eastAsia="zh-CN"/>
                <w14:textFill>
                  <w14:solidFill>
                    <w14:schemeClr w14:val="tx1"/>
                  </w14:solidFill>
                </w14:textFill>
              </w:rPr>
              <w:t>454.12</w:t>
            </w:r>
          </w:p>
        </w:tc>
        <w:tc>
          <w:tcPr>
            <w:tcW w:w="1245"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372.06</w:t>
            </w:r>
          </w:p>
        </w:tc>
        <w:tc>
          <w:tcPr>
            <w:tcW w:w="1225" w:type="dxa"/>
            <w:vAlign w:val="top"/>
          </w:tcPr>
          <w:p>
            <w:pPr>
              <w:ind w:left="0" w:leftChars="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b/>
                <w:bCs/>
                <w:color w:val="FF0000"/>
                <w:sz w:val="24"/>
                <w:szCs w:val="24"/>
              </w:rPr>
            </w:pPr>
            <w:r>
              <w:rPr>
                <w:rFonts w:hint="eastAsia" w:ascii="宋体" w:hAnsi="宋体" w:eastAsia="宋体" w:cs="宋体"/>
                <w:i w:val="0"/>
                <w:iCs w:val="0"/>
                <w:color w:val="000000"/>
                <w:kern w:val="0"/>
                <w:sz w:val="22"/>
                <w:szCs w:val="22"/>
                <w:u w:val="none"/>
                <w:lang w:val="en-US" w:eastAsia="zh-CN" w:bidi="ar"/>
              </w:rPr>
              <w:t>2013199</w:t>
            </w:r>
          </w:p>
        </w:tc>
        <w:tc>
          <w:tcPr>
            <w:tcW w:w="406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b/>
                <w:bCs/>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其他党委办公厅（室）及相关机构事务支出</w:t>
            </w:r>
          </w:p>
        </w:tc>
        <w:tc>
          <w:tcPr>
            <w:tcW w:w="1290"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b/>
                <w:bCs/>
                <w:color w:val="000000"/>
                <w:sz w:val="24"/>
                <w:szCs w:val="24"/>
                <w:lang w:val="en-US" w:eastAsia="zh-CN"/>
              </w:rPr>
            </w:pPr>
            <w:r>
              <w:rPr>
                <w:rFonts w:hint="eastAsia" w:ascii="仿宋" w:hAnsi="仿宋" w:eastAsia="仿宋" w:cs="仿宋"/>
                <w:b w:val="0"/>
                <w:bCs w:val="0"/>
                <w:color w:val="000000"/>
                <w:sz w:val="24"/>
                <w:szCs w:val="24"/>
                <w:lang w:val="en-US" w:eastAsia="zh-CN"/>
              </w:rPr>
              <w:t>1102.90</w:t>
            </w:r>
          </w:p>
        </w:tc>
        <w:tc>
          <w:tcPr>
            <w:tcW w:w="1245" w:type="dxa"/>
            <w:vAlign w:val="center"/>
          </w:tcPr>
          <w:p>
            <w:pPr>
              <w:keepNext w:val="0"/>
              <w:keepLines w:val="0"/>
              <w:widowControl/>
              <w:suppressLineNumbers w:val="0"/>
              <w:jc w:val="right"/>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20</w:t>
            </w:r>
          </w:p>
        </w:tc>
        <w:tc>
          <w:tcPr>
            <w:tcW w:w="1225" w:type="dxa"/>
            <w:vAlign w:val="top"/>
          </w:tcPr>
          <w:p>
            <w:pPr>
              <w:ind w:left="0" w:leftChars="0" w:firstLine="240" w:firstLineChars="100"/>
              <w:jc w:val="both"/>
              <w:rPr>
                <w:rFonts w:hint="eastAsia" w:ascii="仿宋" w:hAnsi="仿宋" w:eastAsia="仿宋" w:cs="仿宋"/>
                <w:b w:val="0"/>
                <w:bCs w:val="0"/>
                <w:color w:val="000000"/>
                <w:sz w:val="24"/>
                <w:szCs w:val="24"/>
                <w:lang w:val="en-US" w:eastAsia="zh-CN"/>
              </w:rPr>
            </w:pPr>
            <w:r>
              <w:rPr>
                <w:rFonts w:hint="eastAsia" w:ascii="仿宋" w:hAnsi="仿宋" w:eastAsia="仿宋" w:cs="仿宋"/>
                <w:color w:val="000000"/>
                <w:sz w:val="24"/>
                <w:szCs w:val="24"/>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b/>
                <w:bCs/>
                <w:i w:val="0"/>
                <w:iCs w:val="0"/>
                <w:color w:val="000000"/>
                <w:kern w:val="0"/>
                <w:sz w:val="22"/>
                <w:szCs w:val="22"/>
                <w:u w:val="none"/>
                <w:lang w:val="en-US" w:eastAsia="zh-CN" w:bidi="ar"/>
              </w:rPr>
              <w:t>204</w:t>
            </w:r>
          </w:p>
        </w:tc>
        <w:tc>
          <w:tcPr>
            <w:tcW w:w="4065" w:type="dxa"/>
            <w:vAlign w:val="center"/>
          </w:tcPr>
          <w:p>
            <w:pPr>
              <w:keepNext w:val="0"/>
              <w:keepLines w:val="0"/>
              <w:widowControl/>
              <w:suppressLineNumbers w:val="0"/>
              <w:ind w:firstLine="442" w:firstLineChars="200"/>
              <w:jc w:val="left"/>
              <w:textAlignment w:val="center"/>
              <w:rPr>
                <w:rFonts w:hint="eastAsia" w:ascii="仿宋" w:hAnsi="仿宋" w:eastAsia="仿宋" w:cs="仿宋"/>
                <w:color w:val="FF0000"/>
                <w:sz w:val="24"/>
                <w:szCs w:val="24"/>
              </w:rPr>
            </w:pPr>
            <w:r>
              <w:rPr>
                <w:rFonts w:hint="eastAsia" w:ascii="宋体" w:hAnsi="宋体" w:eastAsia="宋体" w:cs="宋体"/>
                <w:b/>
                <w:bCs/>
                <w:i w:val="0"/>
                <w:iCs w:val="0"/>
                <w:color w:val="000000"/>
                <w:kern w:val="0"/>
                <w:sz w:val="22"/>
                <w:szCs w:val="22"/>
                <w:u w:val="none"/>
                <w:lang w:val="en-US" w:eastAsia="zh-CN" w:bidi="ar"/>
              </w:rPr>
              <w:t>公共安全支出</w:t>
            </w:r>
          </w:p>
        </w:tc>
        <w:tc>
          <w:tcPr>
            <w:tcW w:w="1290"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sz w:val="24"/>
                <w:szCs w:val="24"/>
              </w:rPr>
            </w:pPr>
          </w:p>
        </w:tc>
        <w:tc>
          <w:tcPr>
            <w:tcW w:w="1245" w:type="dxa"/>
            <w:vAlign w:val="center"/>
          </w:tcPr>
          <w:p>
            <w:pPr>
              <w:keepNext w:val="0"/>
              <w:keepLines w:val="0"/>
              <w:widowControl/>
              <w:suppressLineNumbers w:val="0"/>
              <w:ind w:firstLine="482"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b/>
                <w:bCs/>
                <w:color w:val="000000"/>
                <w:sz w:val="24"/>
                <w:szCs w:val="24"/>
                <w:lang w:val="en-US" w:eastAsia="zh-CN"/>
              </w:rPr>
              <w:t>20</w:t>
            </w:r>
          </w:p>
        </w:tc>
        <w:tc>
          <w:tcPr>
            <w:tcW w:w="1225" w:type="dxa"/>
            <w:vAlign w:val="top"/>
          </w:tcPr>
          <w:p>
            <w:pPr>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20406</w:t>
            </w:r>
          </w:p>
        </w:tc>
        <w:tc>
          <w:tcPr>
            <w:tcW w:w="4065"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司法</w:t>
            </w:r>
          </w:p>
        </w:tc>
        <w:tc>
          <w:tcPr>
            <w:tcW w:w="1290" w:type="dxa"/>
            <w:vAlign w:val="top"/>
          </w:tcPr>
          <w:p>
            <w:pPr>
              <w:ind w:firstLine="480" w:firstLineChars="200"/>
              <w:jc w:val="right"/>
              <w:rPr>
                <w:rFonts w:hint="eastAsia" w:ascii="仿宋" w:hAnsi="仿宋" w:eastAsia="仿宋" w:cs="仿宋"/>
                <w:color w:val="000000"/>
                <w:sz w:val="24"/>
                <w:szCs w:val="24"/>
              </w:rPr>
            </w:pPr>
          </w:p>
        </w:tc>
        <w:tc>
          <w:tcPr>
            <w:tcW w:w="1245" w:type="dxa"/>
            <w:vAlign w:val="top"/>
          </w:tcPr>
          <w:p>
            <w:pPr>
              <w:ind w:firstLine="480" w:firstLineChars="20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p>
        </w:tc>
        <w:tc>
          <w:tcPr>
            <w:tcW w:w="1225" w:type="dxa"/>
            <w:vAlign w:val="top"/>
          </w:tcPr>
          <w:p>
            <w:pPr>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000000"/>
                <w:kern w:val="0"/>
                <w:sz w:val="22"/>
                <w:szCs w:val="22"/>
                <w:u w:val="none"/>
                <w:lang w:val="en-US" w:eastAsia="zh-CN" w:bidi="ar"/>
              </w:rPr>
              <w:t>2040602</w:t>
            </w:r>
          </w:p>
        </w:tc>
        <w:tc>
          <w:tcPr>
            <w:tcW w:w="4065"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1290" w:type="dxa"/>
            <w:vAlign w:val="top"/>
          </w:tcPr>
          <w:p>
            <w:pPr>
              <w:ind w:firstLine="480" w:firstLineChars="200"/>
              <w:jc w:val="right"/>
              <w:rPr>
                <w:rFonts w:hint="eastAsia" w:ascii="仿宋" w:hAnsi="仿宋" w:eastAsia="仿宋" w:cs="仿宋"/>
                <w:color w:val="000000"/>
                <w:sz w:val="24"/>
                <w:szCs w:val="24"/>
              </w:rPr>
            </w:pPr>
          </w:p>
        </w:tc>
        <w:tc>
          <w:tcPr>
            <w:tcW w:w="1245" w:type="dxa"/>
            <w:vAlign w:val="top"/>
          </w:tcPr>
          <w:p>
            <w:pPr>
              <w:ind w:firstLine="480" w:firstLineChars="200"/>
              <w:jc w:val="righ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p>
        </w:tc>
        <w:tc>
          <w:tcPr>
            <w:tcW w:w="1225" w:type="dxa"/>
            <w:vAlign w:val="top"/>
          </w:tcPr>
          <w:p>
            <w:pPr>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195" w:type="dxa"/>
            <w:vAlign w:val="top"/>
          </w:tcPr>
          <w:p>
            <w:pPr>
              <w:ind w:left="0" w:leftChars="0" w:firstLine="0" w:firstLineChars="0"/>
              <w:jc w:val="left"/>
              <w:rPr>
                <w:rFonts w:hint="eastAsia" w:ascii="仿宋" w:hAnsi="仿宋" w:eastAsia="仿宋" w:cs="仿宋"/>
                <w:color w:val="auto"/>
                <w:sz w:val="24"/>
                <w:szCs w:val="24"/>
              </w:rPr>
            </w:pPr>
          </w:p>
        </w:tc>
        <w:tc>
          <w:tcPr>
            <w:tcW w:w="4065" w:type="dxa"/>
            <w:vAlign w:val="top"/>
          </w:tcPr>
          <w:p>
            <w:pPr>
              <w:jc w:val="left"/>
              <w:rPr>
                <w:rFonts w:hint="eastAsia" w:ascii="仿宋" w:hAnsi="仿宋" w:eastAsia="仿宋" w:cs="仿宋"/>
                <w:color w:val="auto"/>
                <w:sz w:val="24"/>
                <w:szCs w:val="24"/>
              </w:rPr>
            </w:pPr>
          </w:p>
        </w:tc>
        <w:tc>
          <w:tcPr>
            <w:tcW w:w="1290" w:type="dxa"/>
            <w:vAlign w:val="top"/>
          </w:tcPr>
          <w:p>
            <w:pPr>
              <w:jc w:val="right"/>
              <w:rPr>
                <w:rFonts w:hint="eastAsia" w:ascii="仿宋" w:hAnsi="仿宋" w:eastAsia="仿宋" w:cs="仿宋"/>
                <w:color w:val="000000"/>
                <w:sz w:val="24"/>
                <w:szCs w:val="24"/>
              </w:rPr>
            </w:pPr>
          </w:p>
        </w:tc>
        <w:tc>
          <w:tcPr>
            <w:tcW w:w="1245" w:type="dxa"/>
            <w:vAlign w:val="top"/>
          </w:tcPr>
          <w:p>
            <w:pPr>
              <w:jc w:val="right"/>
              <w:rPr>
                <w:rFonts w:hint="eastAsia" w:ascii="仿宋" w:hAnsi="仿宋" w:eastAsia="仿宋" w:cs="仿宋"/>
                <w:color w:val="000000"/>
                <w:sz w:val="24"/>
                <w:szCs w:val="24"/>
                <w:lang w:val="en-US" w:eastAsia="zh-CN"/>
              </w:rPr>
            </w:pPr>
          </w:p>
        </w:tc>
        <w:tc>
          <w:tcPr>
            <w:tcW w:w="1225" w:type="dxa"/>
            <w:vAlign w:val="top"/>
          </w:tcPr>
          <w:p>
            <w:pPr>
              <w:jc w:val="right"/>
              <w:rPr>
                <w:rFonts w:hint="eastAsia" w:ascii="仿宋" w:hAnsi="仿宋" w:eastAsia="仿宋" w:cs="仿宋"/>
                <w:color w:val="000000"/>
                <w:sz w:val="24"/>
                <w:szCs w:val="24"/>
              </w:rPr>
            </w:pP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1559.72</w:t>
            </w:r>
          </w:p>
        </w:tc>
        <w:tc>
          <w:tcPr>
            <w:tcW w:w="2071" w:type="dxa"/>
            <w:vAlign w:val="center"/>
          </w:tcPr>
          <w:p>
            <w:pPr>
              <w:keepNext w:val="0"/>
              <w:keepLines w:val="0"/>
              <w:widowControl/>
              <w:suppressLineNumbers w:val="0"/>
              <w:jc w:val="right"/>
              <w:textAlignment w:val="center"/>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948.03</w:t>
            </w:r>
          </w:p>
        </w:tc>
        <w:tc>
          <w:tcPr>
            <w:tcW w:w="1956" w:type="dxa"/>
            <w:vAlign w:val="center"/>
          </w:tcPr>
          <w:p>
            <w:pPr>
              <w:widowControl/>
              <w:jc w:val="righ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64.52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560" w:firstLineChars="200"/>
              <w:jc w:val="lef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266.90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250.55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259.54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190.11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15.00</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28.20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1018.28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sz w:val="24"/>
                <w:szCs w:val="24"/>
                <w:lang w:val="en-US" w:eastAsia="zh-CN"/>
              </w:rPr>
              <w:t>479.17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pStyle w:val="3"/>
        <w:ind w:left="0" w:leftChars="0" w:firstLine="321" w:firstLineChars="100"/>
        <w:rPr>
          <w:rFonts w:hint="eastAsia" w:ascii="仿宋" w:hAnsi="仿宋" w:eastAsia="仿宋" w:cs="仿宋"/>
          <w:b/>
          <w:bCs w:val="0"/>
          <w:lang w:val="en-US" w:eastAsia="zh-CN"/>
        </w:rPr>
      </w:pPr>
      <w:bookmarkStart w:id="19" w:name="_Toc17728"/>
      <w:bookmarkStart w:id="20" w:name="_Toc841"/>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default" w:ascii="仿宋_GB2312" w:eastAsia="仿宋_GB2312"/>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283.31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232.43</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基本工资</w:t>
      </w:r>
      <w:r>
        <w:rPr>
          <w:rFonts w:hint="eastAsia" w:ascii="仿宋_GB2312"/>
          <w:szCs w:val="32"/>
          <w:lang w:val="en-US" w:eastAsia="zh-CN"/>
        </w:rPr>
        <w:t>92.91万元，津贴补贴57.68万元，奖金4.75万元，绩效工资28.51万元，机关事业单位基本养老保险缴费23万元，职工基本医疗保险缴费12.40万元，其他社会保障缴费0.15万元，住房公积金13.03万元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41.74</w:t>
      </w:r>
      <w:r>
        <w:rPr>
          <w:rFonts w:hint="eastAsia" w:ascii="仿宋_GB2312"/>
          <w:szCs w:val="32"/>
        </w:rPr>
        <w:t>万元</w:t>
      </w:r>
      <w:r>
        <w:rPr>
          <w:rFonts w:ascii="仿宋_GB2312"/>
          <w:szCs w:val="32"/>
        </w:rPr>
        <w:t>，主要包括</w:t>
      </w:r>
      <w:r>
        <w:rPr>
          <w:rFonts w:hint="eastAsia" w:ascii="仿宋_GB2312"/>
          <w:szCs w:val="32"/>
        </w:rPr>
        <w:t>办公费</w:t>
      </w:r>
      <w:r>
        <w:rPr>
          <w:rFonts w:hint="eastAsia" w:ascii="仿宋_GB2312"/>
          <w:szCs w:val="32"/>
          <w:lang w:val="en-US" w:eastAsia="zh-CN"/>
        </w:rPr>
        <w:t>21.51万元，印刷费2万元，维修（护）费0.32万元，工会经费2.17万元，福利费7.36万元，公务用车运行维护费0.48万元，其他交通费用7.9万元</w:t>
      </w:r>
      <w:r>
        <w:rPr>
          <w:rFonts w:ascii="仿宋_GB2312"/>
          <w:szCs w:val="32"/>
        </w:rPr>
        <w:t>。</w:t>
      </w:r>
      <w:r>
        <w:rPr>
          <w:rFonts w:hint="eastAsia" w:ascii="仿宋_GB2312"/>
          <w:szCs w:val="32"/>
        </w:rPr>
        <w:t>对个人和家庭的补助</w:t>
      </w:r>
      <w:r>
        <w:rPr>
          <w:rFonts w:hint="eastAsia" w:ascii="仿宋_GB2312"/>
          <w:szCs w:val="32"/>
          <w:lang w:val="en-US" w:eastAsia="zh-CN"/>
        </w:rPr>
        <w:t>8.2万元</w:t>
      </w:r>
    </w:p>
    <w:p>
      <w:pPr>
        <w:spacing w:line="580" w:lineRule="exact"/>
        <w:ind w:left="0" w:leftChars="0" w:firstLine="960" w:firstLineChars="30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664.71</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eastAsia="仿宋_GB2312"/>
          <w:b/>
          <w:color w:val="FF0000"/>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szCs w:val="32"/>
          <w:lang w:val="en-US" w:eastAsia="zh-CN"/>
        </w:rPr>
        <w:t>0.4</w:t>
      </w:r>
      <w:r>
        <w:rPr>
          <w:rFonts w:hint="eastAsia" w:ascii="仿宋_GB2312"/>
          <w:color w:val="auto"/>
          <w:szCs w:val="32"/>
          <w:lang w:val="en-US" w:eastAsia="zh-CN"/>
        </w:rPr>
        <w:t>8</w:t>
      </w:r>
      <w:r>
        <w:rPr>
          <w:rFonts w:hint="eastAsia" w:ascii="仿宋_GB2312"/>
          <w:color w:val="auto"/>
          <w:szCs w:val="32"/>
        </w:rPr>
        <w:t>万元，</w:t>
      </w:r>
      <w:r>
        <w:rPr>
          <w:rFonts w:hint="eastAsia" w:ascii="仿宋_GB2312"/>
          <w:szCs w:val="32"/>
        </w:rPr>
        <w:t>比上年增加</w:t>
      </w:r>
      <w:r>
        <w:rPr>
          <w:rFonts w:hint="eastAsia" w:ascii="仿宋_GB2312"/>
          <w:szCs w:val="32"/>
          <w:lang w:val="en-US" w:eastAsia="zh-CN"/>
        </w:rPr>
        <w:t>0.08</w:t>
      </w:r>
      <w:r>
        <w:rPr>
          <w:rFonts w:hint="eastAsia" w:ascii="仿宋_GB2312"/>
          <w:szCs w:val="32"/>
        </w:rPr>
        <w:t>万元，增长</w:t>
      </w:r>
      <w:r>
        <w:rPr>
          <w:rFonts w:hint="eastAsia" w:ascii="仿宋_GB2312"/>
          <w:szCs w:val="32"/>
          <w:lang w:val="en-US" w:eastAsia="zh-CN"/>
        </w:rPr>
        <w:t>16.67</w:t>
      </w:r>
      <w:r>
        <w:rPr>
          <w:rFonts w:hint="eastAsia" w:ascii="仿宋_GB2312"/>
          <w:szCs w:val="32"/>
        </w:rPr>
        <w:t>%，原因是：</w:t>
      </w:r>
      <w:r>
        <w:rPr>
          <w:rFonts w:hint="eastAsia" w:ascii="仿宋_GB2312"/>
          <w:szCs w:val="32"/>
          <w:lang w:val="en-US" w:eastAsia="zh-CN"/>
        </w:rPr>
        <w:t>办案次数增加</w:t>
      </w:r>
      <w:r>
        <w:rPr>
          <w:rFonts w:hint="eastAsia" w:ascii="仿宋_GB2312"/>
          <w:szCs w:val="32"/>
        </w:rPr>
        <w:t>。其中：公务用车购置及运行费支出决算</w:t>
      </w:r>
      <w:r>
        <w:rPr>
          <w:rFonts w:hint="eastAsia" w:ascii="仿宋_GB2312"/>
          <w:szCs w:val="32"/>
          <w:lang w:val="en-US" w:eastAsia="zh-CN"/>
        </w:rPr>
        <w:t>0.48</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0.4</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0.48</w:t>
            </w:r>
          </w:p>
        </w:tc>
        <w:tc>
          <w:tcPr>
            <w:tcW w:w="1418" w:type="dxa"/>
            <w:vAlign w:val="top"/>
          </w:tcPr>
          <w:p>
            <w:pPr>
              <w:pStyle w:val="8"/>
              <w:ind w:left="0" w:leftChars="0" w:firstLine="0" w:firstLineChars="0"/>
              <w:jc w:val="both"/>
              <w:rPr>
                <w:rFonts w:hint="default" w:eastAsia="宋体"/>
                <w:color w:val="000000"/>
                <w:sz w:val="28"/>
                <w:szCs w:val="28"/>
                <w:lang w:val="en-US" w:eastAsia="zh-CN"/>
              </w:rPr>
            </w:pPr>
            <w:r>
              <w:rPr>
                <w:rFonts w:hint="eastAsia" w:eastAsia="宋体"/>
                <w:color w:val="000000"/>
                <w:sz w:val="28"/>
                <w:szCs w:val="28"/>
                <w:lang w:val="en-US" w:eastAsia="zh-CN"/>
              </w:rPr>
              <w:t>16.67</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9078"/>
      <w:bookmarkStart w:id="24" w:name="_Toc1792"/>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42.69</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218.13</w:t>
      </w:r>
      <w:r>
        <w:rPr>
          <w:rFonts w:hint="eastAsia" w:ascii="仿宋_GB2312" w:hAnsi="宋体"/>
          <w:szCs w:val="32"/>
        </w:rPr>
        <w:t>万元，降低</w:t>
      </w:r>
      <w:r>
        <w:rPr>
          <w:rFonts w:hint="eastAsia" w:ascii="仿宋_GB2312" w:hAnsi="宋体"/>
          <w:szCs w:val="32"/>
          <w:lang w:val="en-US" w:eastAsia="zh-CN"/>
        </w:rPr>
        <w:t>83.63</w:t>
      </w:r>
      <w:r>
        <w:rPr>
          <w:rFonts w:hint="eastAsia" w:ascii="仿宋_GB2312" w:hAnsi="宋体"/>
          <w:szCs w:val="32"/>
        </w:rPr>
        <w:t>%。主要原因是：</w:t>
      </w:r>
      <w:r>
        <w:rPr>
          <w:rFonts w:hint="eastAsia" w:ascii="仿宋_GB2312" w:hAnsi="宋体"/>
          <w:szCs w:val="32"/>
          <w:lang w:val="en-US" w:eastAsia="zh-CN"/>
        </w:rPr>
        <w:t>2021年机关运行经费支出与2020年机关运行经费支出报表口径不一致。</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3.05</w:t>
      </w:r>
      <w:r>
        <w:rPr>
          <w:rFonts w:hint="eastAsia" w:ascii="仿宋_GB2312"/>
          <w:szCs w:val="32"/>
        </w:rPr>
        <w:t>万元，其中：政府采购货物支出</w:t>
      </w:r>
      <w:r>
        <w:rPr>
          <w:rFonts w:hint="eastAsia" w:ascii="仿宋_GB2312"/>
          <w:szCs w:val="32"/>
          <w:lang w:val="en-US" w:eastAsia="zh-CN"/>
        </w:rPr>
        <w:t>1.85</w:t>
      </w:r>
      <w:r>
        <w:rPr>
          <w:rFonts w:hint="eastAsia" w:ascii="仿宋_GB2312"/>
          <w:szCs w:val="32"/>
        </w:rPr>
        <w:t>万元、政府采购服务支出</w:t>
      </w:r>
      <w:r>
        <w:rPr>
          <w:rFonts w:hint="eastAsia" w:ascii="仿宋_GB2312"/>
          <w:szCs w:val="32"/>
          <w:lang w:val="en-US" w:eastAsia="zh-CN"/>
        </w:rPr>
        <w:t>1.2</w:t>
      </w:r>
      <w:r>
        <w:rPr>
          <w:rFonts w:hint="eastAsia" w:ascii="仿宋_GB2312"/>
          <w:szCs w:val="32"/>
        </w:rPr>
        <w:t>万元。</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1</w:t>
      </w:r>
      <w:r>
        <w:rPr>
          <w:rFonts w:hint="eastAsia" w:ascii="仿宋_GB2312"/>
          <w:szCs w:val="32"/>
        </w:rPr>
        <w:t>辆。其中，其他用车</w:t>
      </w:r>
      <w:r>
        <w:rPr>
          <w:rFonts w:hint="eastAsia" w:ascii="仿宋_GB2312"/>
          <w:szCs w:val="32"/>
          <w:lang w:val="en-US" w:eastAsia="zh-CN"/>
        </w:rPr>
        <w:t>1</w:t>
      </w:r>
      <w:r>
        <w:rPr>
          <w:rFonts w:hint="eastAsia" w:ascii="仿宋_GB2312"/>
          <w:szCs w:val="32"/>
        </w:rPr>
        <w:t>辆，其他用车主要是</w:t>
      </w:r>
      <w:r>
        <w:rPr>
          <w:rFonts w:hint="eastAsia" w:ascii="仿宋_GB2312"/>
          <w:szCs w:val="32"/>
          <w:lang w:val="en-US" w:eastAsia="zh-CN"/>
        </w:rPr>
        <w:t>公务用车</w:t>
      </w:r>
      <w:r>
        <w:rPr>
          <w:rFonts w:hint="eastAsia" w:ascii="仿宋_GB2312"/>
          <w:szCs w:val="32"/>
        </w:rPr>
        <w:t>；</w:t>
      </w:r>
      <w:r>
        <w:rPr>
          <w:rFonts w:hint="eastAsia" w:ascii="仿宋_GB2312"/>
          <w:szCs w:val="32"/>
          <w:lang w:val="en-US" w:eastAsia="zh-CN"/>
        </w:rPr>
        <w:t>无</w:t>
      </w:r>
      <w:r>
        <w:rPr>
          <w:rFonts w:hint="eastAsia" w:ascii="仿宋_GB2312"/>
          <w:szCs w:val="32"/>
        </w:rPr>
        <w:t>单价50万元（含）以上的通用设备台（套），</w:t>
      </w:r>
      <w:r>
        <w:rPr>
          <w:rFonts w:hint="eastAsia" w:ascii="仿宋_GB2312"/>
          <w:szCs w:val="32"/>
          <w:lang w:val="en-US" w:eastAsia="zh-CN"/>
        </w:rPr>
        <w:t>无</w:t>
      </w:r>
      <w:r>
        <w:rPr>
          <w:rFonts w:hint="eastAsia" w:ascii="仿宋_GB2312"/>
          <w:szCs w:val="32"/>
        </w:rPr>
        <w:t>单价100万元（含）以上专用设备台（套）。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00万元以上的经费补助类</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个项目支出全面开展</w:t>
      </w:r>
      <w:r>
        <w:rPr>
          <w:rFonts w:hint="eastAsia" w:ascii="仿宋_GB2312" w:hAnsi="仿宋_GB2312" w:eastAsia="仿宋_GB2312" w:cs="仿宋_GB2312"/>
          <w:sz w:val="32"/>
          <w:szCs w:val="32"/>
          <w:lang w:val="en-US" w:eastAsia="zh-CN"/>
        </w:rPr>
        <w:t>绩效自评，涉及预算资金</w:t>
      </w:r>
      <w:r>
        <w:rPr>
          <w:rFonts w:hint="eastAsia" w:ascii="仿宋_GB2312" w:hAnsi="仿宋_GB2312" w:cs="仿宋_GB2312"/>
          <w:sz w:val="32"/>
          <w:szCs w:val="32"/>
          <w:lang w:val="en-US" w:eastAsia="zh-CN"/>
        </w:rPr>
        <w:t>480</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52.13</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政法委2021年雪亮工程</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99.37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480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478.23</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99.37</w:t>
      </w:r>
      <w:r>
        <w:rPr>
          <w:rFonts w:hint="eastAsia" w:ascii="仿宋_GB2312" w:hAnsi="仿宋_GB2312" w:eastAsia="仿宋_GB2312" w:cs="仿宋_GB2312"/>
          <w:sz w:val="32"/>
          <w:szCs w:val="32"/>
          <w:lang w:val="en-US" w:eastAsia="zh-CN"/>
        </w:rPr>
        <w:t>%。项目绩效目标完成情况：一是按照雪亮工程合同拨付工程项目款；二是根据合同规定，严格按照计划推进工程进度，确保工程项目顺利推进。发现的主要问题及原因：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政法委2021年雪亮工程</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项目绩效自评综述：·综合考虑预算执行情况、产出、效益、服务对象满意度各方面因素，通过数据采集及分析，最终评分结果：政法委2021年雪亮工程进度款项目绩效自评价结果为:总得分80.43分，属于"良好"。</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28" w:name="_Toc8450"/>
      <w:bookmarkStart w:id="29" w:name="_Toc28108"/>
      <w:r>
        <w:rPr>
          <w:rFonts w:hint="eastAsia" w:ascii="仿宋_GB2312"/>
          <w:b/>
          <w:szCs w:val="32"/>
        </w:rPr>
        <w:t>其他需要说明的事项</w:t>
      </w:r>
      <w:bookmarkEnd w:id="28"/>
      <w:bookmarkEnd w:id="29"/>
      <w:r>
        <w:rPr>
          <w:rFonts w:hint="eastAsia" w:ascii="仿宋_GB2312"/>
          <w:b/>
          <w:szCs w:val="32"/>
          <w:lang w:eastAsia="zh-CN"/>
        </w:rPr>
        <w:t>：</w:t>
      </w:r>
      <w:r>
        <w:rPr>
          <w:rFonts w:hint="eastAsia" w:ascii="仿宋_GB2312"/>
          <w:b w:val="0"/>
          <w:bCs/>
          <w:szCs w:val="32"/>
          <w:lang w:val="en-US" w:eastAsia="zh-CN"/>
        </w:rPr>
        <w:t>无</w:t>
      </w:r>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单位名称：中共静乐县政法委员会</w:t>
      </w:r>
    </w:p>
    <w:p>
      <w:pPr>
        <w:ind w:firstLine="4480" w:firstLineChars="14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2B47"/>
    <w:multiLevelType w:val="singleLevel"/>
    <w:tmpl w:val="018E2B47"/>
    <w:lvl w:ilvl="0" w:tentative="0">
      <w:start w:val="1"/>
      <w:numFmt w:val="decimal"/>
      <w:suff w:val="nothing"/>
      <w:lvlText w:val="（%1）"/>
      <w:lvlJc w:val="left"/>
    </w:lvl>
  </w:abstractNum>
  <w:abstractNum w:abstractNumId="1">
    <w:nsid w:val="12BE490F"/>
    <w:multiLevelType w:val="singleLevel"/>
    <w:tmpl w:val="12BE490F"/>
    <w:lvl w:ilvl="0" w:tentative="0">
      <w:start w:val="4"/>
      <w:numFmt w:val="chineseCounting"/>
      <w:suff w:val="nothing"/>
      <w:lvlText w:val="（%1）"/>
      <w:lvlJc w:val="left"/>
      <w:pPr>
        <w:ind w:left="720" w:firstLine="0"/>
      </w:pPr>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MGVmOGU5ZmIwYjg3NDMwN2MyMzk0NjRlOTJlNzIifQ=="/>
  </w:docVars>
  <w:rsids>
    <w:rsidRoot w:val="495520D0"/>
    <w:rsid w:val="03696819"/>
    <w:rsid w:val="03C230FA"/>
    <w:rsid w:val="05410997"/>
    <w:rsid w:val="0777244E"/>
    <w:rsid w:val="0B275F39"/>
    <w:rsid w:val="0D2766C4"/>
    <w:rsid w:val="0E18320E"/>
    <w:rsid w:val="0E8C2C83"/>
    <w:rsid w:val="125D34BF"/>
    <w:rsid w:val="15205ED3"/>
    <w:rsid w:val="16654CDD"/>
    <w:rsid w:val="1A4A5C33"/>
    <w:rsid w:val="1CF77E61"/>
    <w:rsid w:val="1F4762BF"/>
    <w:rsid w:val="21DD67FD"/>
    <w:rsid w:val="22BD1205"/>
    <w:rsid w:val="2321467F"/>
    <w:rsid w:val="26325A66"/>
    <w:rsid w:val="2701594C"/>
    <w:rsid w:val="27426717"/>
    <w:rsid w:val="27C60B5C"/>
    <w:rsid w:val="27FA25B3"/>
    <w:rsid w:val="28706D19"/>
    <w:rsid w:val="2973086F"/>
    <w:rsid w:val="29B80978"/>
    <w:rsid w:val="2A9A007E"/>
    <w:rsid w:val="2BC5112A"/>
    <w:rsid w:val="30C740E4"/>
    <w:rsid w:val="3220355E"/>
    <w:rsid w:val="34E95E89"/>
    <w:rsid w:val="37943B50"/>
    <w:rsid w:val="3821117E"/>
    <w:rsid w:val="3C8A61A4"/>
    <w:rsid w:val="3C942B7F"/>
    <w:rsid w:val="3E6F35DF"/>
    <w:rsid w:val="42C12CEC"/>
    <w:rsid w:val="44401A62"/>
    <w:rsid w:val="46E14C12"/>
    <w:rsid w:val="48943F06"/>
    <w:rsid w:val="495520D0"/>
    <w:rsid w:val="497D49EB"/>
    <w:rsid w:val="49A32653"/>
    <w:rsid w:val="4A012068"/>
    <w:rsid w:val="4B010E98"/>
    <w:rsid w:val="50146059"/>
    <w:rsid w:val="53A30631"/>
    <w:rsid w:val="586C6306"/>
    <w:rsid w:val="5DAD53F7"/>
    <w:rsid w:val="5EC01F6A"/>
    <w:rsid w:val="5F2416E8"/>
    <w:rsid w:val="601577B0"/>
    <w:rsid w:val="605B738C"/>
    <w:rsid w:val="63AB51DF"/>
    <w:rsid w:val="649C6DC9"/>
    <w:rsid w:val="656E5DB3"/>
    <w:rsid w:val="679F614A"/>
    <w:rsid w:val="6A8B3CB8"/>
    <w:rsid w:val="6B6A4927"/>
    <w:rsid w:val="6C6E0447"/>
    <w:rsid w:val="6CA973E7"/>
    <w:rsid w:val="715A78E4"/>
    <w:rsid w:val="7256750B"/>
    <w:rsid w:val="742E508B"/>
    <w:rsid w:val="746565D3"/>
    <w:rsid w:val="77594AAE"/>
    <w:rsid w:val="7761744D"/>
    <w:rsid w:val="7B914152"/>
    <w:rsid w:val="7C370855"/>
    <w:rsid w:val="7C704248"/>
    <w:rsid w:val="7EE74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15"/>
    <w:basedOn w:val="9"/>
    <w:qFormat/>
    <w:uiPriority w:val="0"/>
    <w:rPr>
      <w:rFonts w:hint="default" w:ascii="Times New Roman" w:hAnsi="Times New Roman" w:cs="Times New Roman"/>
      <w:b/>
      <w:bCs/>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3276</Words>
  <Characters>3886</Characters>
  <Lines>0</Lines>
  <Paragraphs>0</Paragraphs>
  <ScaleCrop>false</ScaleCrop>
  <LinksUpToDate>false</LinksUpToDate>
  <CharactersWithSpaces>3992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2022-07-29T07:40:06Z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E1B425B9ADA040F29CEFB777062E38A0</vt:lpwstr>
  </property>
</Properties>
</file>