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0"/>
        <w:rPr>
          <w:rFonts w:hint="eastAsia" w:ascii="华文中宋" w:hAnsi="华文中宋" w:eastAsia="华文中宋"/>
          <w:color w:val="auto"/>
          <w:sz w:val="36"/>
          <w:szCs w:val="36"/>
          <w:lang w:val="en-US" w:eastAsia="zh-CN"/>
        </w:rPr>
      </w:pPr>
      <w:bookmarkStart w:id="0" w:name="_Toc31071"/>
      <w:bookmarkStart w:id="1" w:name="_Toc21118"/>
      <w:bookmarkStart w:id="2" w:name="_Toc32048"/>
      <w:r>
        <w:rPr>
          <w:rFonts w:hint="eastAsia" w:ascii="华文中宋" w:hAnsi="华文中宋" w:eastAsia="华文中宋"/>
          <w:color w:val="auto"/>
          <w:sz w:val="36"/>
          <w:szCs w:val="36"/>
          <w:lang w:val="en-US" w:eastAsia="zh-CN"/>
        </w:rPr>
        <w:t>静乐县城镇集体工业联合社</w:t>
      </w:r>
    </w:p>
    <w:p>
      <w:pPr>
        <w:pStyle w:val="2"/>
        <w:keepNext/>
        <w:keepLines/>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0"/>
        <w:rPr>
          <w:rFonts w:hint="eastAsia" w:ascii="华文中宋" w:hAnsi="华文中宋" w:eastAsia="华文中宋"/>
          <w:color w:val="auto"/>
          <w:sz w:val="36"/>
          <w:szCs w:val="36"/>
          <w:lang w:val="en-US" w:eastAsia="zh-CN"/>
        </w:rPr>
      </w:pPr>
      <w:r>
        <w:rPr>
          <w:rFonts w:hint="eastAsia" w:ascii="华文中宋" w:hAnsi="华文中宋" w:eastAsia="华文中宋"/>
          <w:color w:val="auto"/>
          <w:sz w:val="36"/>
          <w:szCs w:val="36"/>
        </w:rPr>
        <w:t>20</w:t>
      </w:r>
      <w:r>
        <w:rPr>
          <w:rFonts w:hint="eastAsia" w:ascii="华文中宋" w:hAnsi="华文中宋" w:eastAsia="华文中宋"/>
          <w:color w:val="auto"/>
          <w:sz w:val="36"/>
          <w:szCs w:val="36"/>
          <w:lang w:val="en-US" w:eastAsia="zh-CN"/>
        </w:rPr>
        <w:t>21</w:t>
      </w:r>
      <w:r>
        <w:rPr>
          <w:rFonts w:hint="eastAsia" w:ascii="华文中宋" w:hAnsi="华文中宋" w:eastAsia="华文中宋"/>
          <w:color w:val="auto"/>
          <w:sz w:val="36"/>
          <w:szCs w:val="36"/>
        </w:rPr>
        <w:t>年度部门决算</w:t>
      </w:r>
      <w:r>
        <w:rPr>
          <w:rFonts w:hint="eastAsia" w:ascii="华文中宋" w:hAnsi="华文中宋" w:eastAsia="华文中宋"/>
          <w:color w:val="auto"/>
          <w:sz w:val="36"/>
          <w:szCs w:val="36"/>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413" w:lineRule="auto"/>
        <w:ind w:left="0" w:leftChars="0" w:right="0" w:rightChars="0" w:firstLine="640" w:firstLineChars="200"/>
        <w:jc w:val="both"/>
        <w:textAlignment w:val="auto"/>
        <w:outlineLvl w:val="1"/>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本部门职责</w:t>
      </w:r>
      <w:bookmarkEnd w:id="5"/>
      <w:bookmarkEnd w:id="6"/>
    </w:p>
    <w:p>
      <w:pPr>
        <w:numPr>
          <w:ilvl w:val="0"/>
          <w:numId w:val="0"/>
        </w:numPr>
        <w:ind w:firstLine="640" w:firstLineChars="200"/>
        <w:rPr>
          <w:rFonts w:hint="eastAsia"/>
          <w:color w:val="auto"/>
        </w:rPr>
      </w:pPr>
      <w:r>
        <w:rPr>
          <w:rFonts w:hint="eastAsia" w:ascii="仿宋_GB2312" w:eastAsia="仿宋_GB2312"/>
          <w:color w:val="auto"/>
          <w:sz w:val="32"/>
          <w:szCs w:val="32"/>
          <w:lang w:val="en-US" w:eastAsia="zh-CN"/>
        </w:rPr>
        <w:t>制定城镇集体发展规划并组织实施；指导城镇集体工业联合社成员单位的工作；发挥联社资产优势，加强现有直属企业管理，办好集体福利事业；过多成主管部门交办的其它事项。</w:t>
      </w:r>
    </w:p>
    <w:p>
      <w:pPr>
        <w:pStyle w:val="3"/>
        <w:numPr>
          <w:ilvl w:val="0"/>
          <w:numId w:val="1"/>
        </w:numPr>
        <w:ind w:left="0" w:leftChars="0" w:firstLine="640" w:firstLineChars="200"/>
        <w:rPr>
          <w:rFonts w:hint="eastAsia" w:ascii="仿宋" w:hAnsi="仿宋" w:eastAsia="仿宋" w:cs="仿宋"/>
          <w:b w:val="0"/>
          <w:bCs/>
          <w:color w:val="auto"/>
        </w:rPr>
      </w:pPr>
      <w:bookmarkStart w:id="7" w:name="_Toc275"/>
      <w:bookmarkStart w:id="8" w:name="_Toc9155"/>
      <w:r>
        <w:rPr>
          <w:rFonts w:hint="eastAsia" w:ascii="仿宋" w:hAnsi="仿宋" w:eastAsia="仿宋" w:cs="仿宋"/>
          <w:b w:val="0"/>
          <w:bCs/>
          <w:color w:val="auto"/>
        </w:rPr>
        <w:t>机构设置情况</w:t>
      </w:r>
      <w:bookmarkEnd w:id="7"/>
      <w:bookmarkEnd w:id="8"/>
    </w:p>
    <w:p>
      <w:pPr>
        <w:pStyle w:val="8"/>
        <w:numPr>
          <w:ilvl w:val="0"/>
          <w:numId w:val="0"/>
        </w:numPr>
        <w:spacing w:before="0" w:beforeAutospacing="0" w:after="0" w:afterAutospacing="0"/>
        <w:ind w:firstLine="640" w:firstLineChars="200"/>
        <w:rPr>
          <w:rFonts w:hint="eastAsia"/>
          <w:color w:val="auto"/>
        </w:rPr>
      </w:pPr>
      <w:r>
        <w:rPr>
          <w:rFonts w:hint="eastAsia" w:ascii="仿宋_GB2312" w:eastAsia="仿宋_GB2312"/>
          <w:color w:val="auto"/>
          <w:sz w:val="32"/>
          <w:szCs w:val="32"/>
          <w:lang w:eastAsia="zh-CN"/>
        </w:rPr>
        <w:t>本单位内设机构</w:t>
      </w:r>
      <w:r>
        <w:rPr>
          <w:rFonts w:hint="eastAsia" w:ascii="仿宋_GB2312" w:eastAsia="仿宋_GB2312"/>
          <w:color w:val="auto"/>
          <w:sz w:val="32"/>
          <w:szCs w:val="32"/>
          <w:lang w:val="en-US" w:eastAsia="zh-CN"/>
        </w:rPr>
        <w:t>3个：（一）办公室（二）财务审计股（三）生产和信息化股。单位编制13人，实有人数</w:t>
      </w:r>
      <w:r>
        <w:rPr>
          <w:rFonts w:hint="eastAsia" w:ascii="仿宋_GB2312"/>
          <w:color w:val="auto"/>
          <w:sz w:val="32"/>
          <w:szCs w:val="32"/>
          <w:lang w:val="en-US" w:eastAsia="zh-CN"/>
        </w:rPr>
        <w:t>7</w:t>
      </w:r>
      <w:r>
        <w:rPr>
          <w:rFonts w:hint="eastAsia" w:ascii="仿宋_GB2312" w:eastAsia="仿宋_GB2312"/>
          <w:color w:val="auto"/>
          <w:sz w:val="32"/>
          <w:szCs w:val="32"/>
          <w:lang w:val="en-US" w:eastAsia="zh-CN"/>
        </w:rPr>
        <w:t>人。</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jc w:val="left"/>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83.93</w:t>
      </w:r>
      <w:r>
        <w:rPr>
          <w:rFonts w:hint="eastAsia" w:ascii="仿宋_GB2312"/>
          <w:color w:val="auto"/>
          <w:szCs w:val="32"/>
        </w:rPr>
        <w:t>万元、支出总计</w:t>
      </w:r>
      <w:r>
        <w:rPr>
          <w:rFonts w:hint="eastAsia" w:ascii="仿宋_GB2312"/>
          <w:color w:val="auto"/>
          <w:szCs w:val="32"/>
          <w:lang w:val="en-US" w:eastAsia="zh-CN"/>
        </w:rPr>
        <w:t>83.93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11.36</w:t>
      </w:r>
      <w:r>
        <w:rPr>
          <w:rFonts w:hint="eastAsia" w:ascii="仿宋_GB2312"/>
          <w:color w:val="auto"/>
          <w:szCs w:val="32"/>
        </w:rPr>
        <w:t>万元，下降</w:t>
      </w:r>
      <w:r>
        <w:rPr>
          <w:rFonts w:hint="eastAsia" w:ascii="仿宋_GB2312"/>
          <w:color w:val="auto"/>
          <w:szCs w:val="32"/>
          <w:lang w:val="en-US" w:eastAsia="zh-CN"/>
        </w:rPr>
        <w:t>11.92</w:t>
      </w:r>
      <w:r>
        <w:rPr>
          <w:rFonts w:hint="eastAsia" w:ascii="仿宋_GB2312"/>
          <w:color w:val="auto"/>
          <w:szCs w:val="32"/>
        </w:rPr>
        <w:t>%，</w:t>
      </w:r>
      <w:r>
        <w:rPr>
          <w:rFonts w:ascii="仿宋_GB2312"/>
          <w:color w:val="auto"/>
          <w:szCs w:val="32"/>
        </w:rPr>
        <w:t>支出总计减少</w:t>
      </w:r>
      <w:r>
        <w:rPr>
          <w:rFonts w:hint="eastAsia" w:ascii="仿宋_GB2312"/>
          <w:color w:val="auto"/>
          <w:szCs w:val="32"/>
          <w:lang w:val="en-US" w:eastAsia="zh-CN"/>
        </w:rPr>
        <w:t>11.36</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11.92</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本年退休2人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83.93</w:t>
      </w:r>
      <w:r>
        <w:rPr>
          <w:rFonts w:hint="eastAsia" w:ascii="仿宋_GB2312"/>
          <w:color w:val="auto"/>
          <w:szCs w:val="32"/>
        </w:rPr>
        <w:t>万元，其中：财政拨款收入</w:t>
      </w:r>
      <w:r>
        <w:rPr>
          <w:rFonts w:hint="eastAsia" w:ascii="仿宋_GB2312"/>
          <w:color w:val="auto"/>
          <w:szCs w:val="32"/>
          <w:lang w:val="en-US" w:eastAsia="zh-CN"/>
        </w:rPr>
        <w:t>83.93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83.93</w:t>
      </w:r>
      <w:r>
        <w:rPr>
          <w:rFonts w:hint="eastAsia" w:ascii="仿宋_GB2312"/>
          <w:color w:val="auto"/>
          <w:szCs w:val="32"/>
        </w:rPr>
        <w:t>万元，其中：基本支出</w:t>
      </w:r>
      <w:r>
        <w:rPr>
          <w:rFonts w:hint="eastAsia" w:ascii="仿宋_GB2312"/>
          <w:color w:val="auto"/>
          <w:szCs w:val="32"/>
          <w:lang w:val="en-US" w:eastAsia="zh-CN"/>
        </w:rPr>
        <w:t>70.73</w:t>
      </w:r>
      <w:r>
        <w:rPr>
          <w:rFonts w:hint="eastAsia" w:ascii="仿宋_GB2312"/>
          <w:color w:val="auto"/>
          <w:szCs w:val="32"/>
        </w:rPr>
        <w:t>万元，占比</w:t>
      </w:r>
      <w:r>
        <w:rPr>
          <w:rFonts w:hint="eastAsia" w:ascii="仿宋_GB2312"/>
          <w:color w:val="auto"/>
          <w:szCs w:val="32"/>
          <w:lang w:val="en-US" w:eastAsia="zh-CN"/>
        </w:rPr>
        <w:t>84.27</w:t>
      </w:r>
      <w:r>
        <w:rPr>
          <w:rFonts w:hint="eastAsia" w:ascii="仿宋_GB2312"/>
          <w:color w:val="auto"/>
          <w:szCs w:val="32"/>
        </w:rPr>
        <w:t>%；项目支出</w:t>
      </w:r>
      <w:r>
        <w:rPr>
          <w:rFonts w:hint="eastAsia" w:ascii="仿宋_GB2312"/>
          <w:color w:val="auto"/>
          <w:szCs w:val="32"/>
          <w:lang w:val="en-US" w:eastAsia="zh-CN"/>
        </w:rPr>
        <w:t>13.21</w:t>
      </w:r>
      <w:r>
        <w:rPr>
          <w:rFonts w:hint="eastAsia" w:ascii="仿宋_GB2312"/>
          <w:color w:val="auto"/>
          <w:szCs w:val="32"/>
        </w:rPr>
        <w:t>万元，占比</w:t>
      </w:r>
      <w:r>
        <w:rPr>
          <w:rFonts w:hint="eastAsia" w:ascii="仿宋_GB2312"/>
          <w:color w:val="auto"/>
          <w:szCs w:val="32"/>
          <w:lang w:val="en-US" w:eastAsia="zh-CN"/>
        </w:rPr>
        <w:t>15.74</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83.93</w:t>
      </w:r>
      <w:r>
        <w:rPr>
          <w:rFonts w:hint="eastAsia" w:ascii="仿宋_GB2312"/>
          <w:color w:val="auto"/>
          <w:szCs w:val="32"/>
        </w:rPr>
        <w:t>万元、支出总计</w:t>
      </w:r>
      <w:r>
        <w:rPr>
          <w:rFonts w:hint="eastAsia" w:ascii="仿宋_GB2312"/>
          <w:color w:val="auto"/>
          <w:szCs w:val="32"/>
          <w:lang w:val="en-US" w:eastAsia="zh-CN"/>
        </w:rPr>
        <w:t>83.93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11.36</w:t>
      </w:r>
      <w:r>
        <w:rPr>
          <w:rFonts w:hint="eastAsia" w:ascii="仿宋_GB2312"/>
          <w:color w:val="auto"/>
          <w:szCs w:val="32"/>
        </w:rPr>
        <w:t>万元，下降</w:t>
      </w:r>
      <w:r>
        <w:rPr>
          <w:rFonts w:hint="eastAsia" w:ascii="仿宋_GB2312"/>
          <w:color w:val="auto"/>
          <w:szCs w:val="32"/>
          <w:lang w:val="en-US" w:eastAsia="zh-CN"/>
        </w:rPr>
        <w:t>11.92</w:t>
      </w:r>
      <w:r>
        <w:rPr>
          <w:rFonts w:hint="eastAsia" w:ascii="仿宋_GB2312"/>
          <w:color w:val="auto"/>
          <w:szCs w:val="32"/>
        </w:rPr>
        <w:t>%，财政拨款支出总计减少</w:t>
      </w:r>
      <w:r>
        <w:rPr>
          <w:rFonts w:hint="eastAsia" w:ascii="仿宋_GB2312"/>
          <w:color w:val="auto"/>
          <w:szCs w:val="32"/>
          <w:lang w:val="en-US" w:eastAsia="zh-CN"/>
        </w:rPr>
        <w:t>11.36</w:t>
      </w:r>
      <w:r>
        <w:rPr>
          <w:rFonts w:hint="eastAsia" w:ascii="仿宋_GB2312"/>
          <w:color w:val="auto"/>
          <w:szCs w:val="32"/>
        </w:rPr>
        <w:t>万元，下降</w:t>
      </w:r>
      <w:r>
        <w:rPr>
          <w:rFonts w:hint="eastAsia" w:ascii="仿宋_GB2312"/>
          <w:color w:val="auto"/>
          <w:szCs w:val="32"/>
          <w:lang w:val="en-US" w:eastAsia="zh-CN"/>
        </w:rPr>
        <w:t>11.92</w:t>
      </w:r>
      <w:r>
        <w:rPr>
          <w:rFonts w:hint="eastAsia" w:ascii="仿宋_GB2312"/>
          <w:color w:val="auto"/>
          <w:szCs w:val="32"/>
        </w:rPr>
        <w:t>%。主要原因是</w:t>
      </w:r>
      <w:r>
        <w:rPr>
          <w:rFonts w:hint="eastAsia" w:ascii="仿宋_GB2312"/>
          <w:color w:val="auto"/>
          <w:szCs w:val="32"/>
          <w:lang w:val="en-US" w:eastAsia="zh-CN"/>
        </w:rPr>
        <w:t>本年退休2人，人员经费减少</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83.93</w:t>
      </w:r>
      <w:r>
        <w:rPr>
          <w:rFonts w:hint="eastAsia" w:ascii="仿宋_GB2312"/>
          <w:color w:val="auto"/>
          <w:szCs w:val="32"/>
        </w:rPr>
        <w:t>万元，占本年支出合计的</w:t>
      </w:r>
      <w:r>
        <w:rPr>
          <w:rFonts w:hint="eastAsia" w:ascii="仿宋_GB2312"/>
          <w:color w:val="auto"/>
          <w:szCs w:val="32"/>
          <w:lang w:val="en-US" w:eastAsia="zh-CN"/>
        </w:rPr>
        <w:t>11.92</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年相比，财政拨款支出减少</w:t>
      </w:r>
      <w:r>
        <w:rPr>
          <w:rFonts w:hint="eastAsia" w:ascii="仿宋_GB2312"/>
          <w:color w:val="auto"/>
          <w:szCs w:val="32"/>
          <w:lang w:val="en-US" w:eastAsia="zh-CN"/>
        </w:rPr>
        <w:t>11.36</w:t>
      </w:r>
      <w:r>
        <w:rPr>
          <w:rFonts w:hint="eastAsia" w:ascii="仿宋_GB2312"/>
          <w:color w:val="auto"/>
          <w:szCs w:val="32"/>
        </w:rPr>
        <w:t>万元，下降</w:t>
      </w:r>
      <w:r>
        <w:rPr>
          <w:rFonts w:hint="eastAsia" w:ascii="仿宋_GB2312"/>
          <w:color w:val="auto"/>
          <w:szCs w:val="32"/>
          <w:lang w:val="en-US" w:eastAsia="zh-CN"/>
        </w:rPr>
        <w:t>11.92</w:t>
      </w:r>
      <w:r>
        <w:rPr>
          <w:rFonts w:hint="eastAsia" w:ascii="仿宋_GB2312"/>
          <w:color w:val="auto"/>
          <w:szCs w:val="32"/>
        </w:rPr>
        <w:t>%。主要原因是</w:t>
      </w:r>
      <w:r>
        <w:rPr>
          <w:rFonts w:hint="eastAsia" w:ascii="仿宋_GB2312"/>
          <w:color w:val="auto"/>
          <w:szCs w:val="32"/>
          <w:lang w:val="en-US" w:eastAsia="zh-CN"/>
        </w:rPr>
        <w:t>本年退休2人，人员经费减少</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lang w:val="en-US"/>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83.93</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83.93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val="en-US"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86.69</w:t>
      </w:r>
      <w:r>
        <w:rPr>
          <w:rFonts w:hint="eastAsia"/>
          <w:color w:val="auto"/>
          <w:szCs w:val="32"/>
        </w:rPr>
        <w:t>万元，支出决算</w:t>
      </w:r>
      <w:r>
        <w:rPr>
          <w:rFonts w:hint="eastAsia"/>
          <w:color w:val="auto"/>
          <w:szCs w:val="32"/>
          <w:lang w:val="en-US" w:eastAsia="zh-CN"/>
        </w:rPr>
        <w:t>83.93</w:t>
      </w:r>
      <w:r>
        <w:rPr>
          <w:rFonts w:hint="eastAsia"/>
          <w:color w:val="auto"/>
          <w:szCs w:val="32"/>
        </w:rPr>
        <w:t>万元，完成年初预算的</w:t>
      </w:r>
      <w:r>
        <w:rPr>
          <w:rFonts w:hint="eastAsia"/>
          <w:color w:val="auto"/>
          <w:szCs w:val="32"/>
          <w:lang w:val="en-US" w:eastAsia="zh-CN"/>
        </w:rPr>
        <w:t>96.8</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widowControl/>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rPr>
              <w:t>201</w:t>
            </w:r>
          </w:p>
        </w:tc>
        <w:tc>
          <w:tcPr>
            <w:tcW w:w="2479" w:type="dxa"/>
            <w:vAlign w:val="center"/>
          </w:tcPr>
          <w:p>
            <w:pPr>
              <w:widowControl/>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rPr>
              <w:t>一般公共服务支出</w:t>
            </w:r>
          </w:p>
        </w:tc>
        <w:tc>
          <w:tcPr>
            <w:tcW w:w="1876" w:type="dxa"/>
            <w:vAlign w:val="center"/>
          </w:tcPr>
          <w:p>
            <w:pPr>
              <w:widowControl/>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rPr>
              <w:t>95.29</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83.93</w:t>
            </w:r>
          </w:p>
        </w:tc>
        <w:tc>
          <w:tcPr>
            <w:tcW w:w="1393"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widowControl/>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rPr>
              <w:t>20103</w:t>
            </w:r>
          </w:p>
        </w:tc>
        <w:tc>
          <w:tcPr>
            <w:tcW w:w="2479" w:type="dxa"/>
            <w:vAlign w:val="center"/>
          </w:tcPr>
          <w:p>
            <w:pPr>
              <w:widowControl/>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rPr>
              <w:t>政府办公厅（室）及相关机构事务</w:t>
            </w:r>
          </w:p>
        </w:tc>
        <w:tc>
          <w:tcPr>
            <w:tcW w:w="1876" w:type="dxa"/>
            <w:vAlign w:val="center"/>
          </w:tcPr>
          <w:p>
            <w:pPr>
              <w:widowControl/>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rPr>
              <w:t>95.29</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83.93</w:t>
            </w:r>
          </w:p>
        </w:tc>
        <w:tc>
          <w:tcPr>
            <w:tcW w:w="1393" w:type="dxa"/>
            <w:vAlign w:val="top"/>
          </w:tcPr>
          <w:p>
            <w:pPr>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widowControl/>
              <w:ind w:left="0" w:leftChars="0" w:firstLine="0" w:firstLineChars="0"/>
              <w:jc w:val="both"/>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rPr>
              <w:t>2010350</w:t>
            </w:r>
          </w:p>
        </w:tc>
        <w:tc>
          <w:tcPr>
            <w:tcW w:w="2479" w:type="dxa"/>
            <w:vAlign w:val="center"/>
          </w:tcPr>
          <w:p>
            <w:pPr>
              <w:widowControl/>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rPr>
              <w:t>事业运行</w:t>
            </w:r>
          </w:p>
        </w:tc>
        <w:tc>
          <w:tcPr>
            <w:tcW w:w="1876" w:type="dxa"/>
            <w:vAlign w:val="center"/>
          </w:tcPr>
          <w:p>
            <w:pPr>
              <w:widowControl/>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rPr>
              <w:t>95.29</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83.93</w:t>
            </w:r>
          </w:p>
        </w:tc>
        <w:tc>
          <w:tcPr>
            <w:tcW w:w="1393" w:type="dxa"/>
            <w:vAlign w:val="top"/>
          </w:tcPr>
          <w:p>
            <w:pPr>
              <w:ind w:left="0" w:leftChars="0" w:firstLine="0" w:firstLineChars="0"/>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-11.92%</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480" w:firstLineChars="200"/>
              <w:jc w:val="both"/>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95.29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83.93</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ind w:firstLine="480" w:firstLineChars="200"/>
              <w:jc w:val="both"/>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75.27</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65.38</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ind w:firstLine="480" w:firstLineChars="200"/>
              <w:jc w:val="both"/>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7.19</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5.34</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ind w:firstLine="480" w:firstLineChars="200"/>
              <w:jc w:val="both"/>
              <w:textAlignment w:val="center"/>
              <w:rPr>
                <w:rFonts w:hint="eastAsia" w:ascii="仿宋" w:hAnsi="仿宋" w:eastAsia="仿宋" w:cs="仿宋"/>
                <w:color w:val="auto"/>
                <w:kern w:val="0"/>
                <w:sz w:val="28"/>
                <w:szCs w:val="28"/>
              </w:rPr>
            </w:pPr>
            <w:r>
              <w:rPr>
                <w:rFonts w:hint="eastAsia" w:ascii="仿宋" w:hAnsi="仿宋" w:eastAsia="仿宋" w:cs="仿宋"/>
                <w:i w:val="0"/>
                <w:color w:val="auto"/>
                <w:kern w:val="0"/>
                <w:sz w:val="24"/>
                <w:szCs w:val="24"/>
                <w:u w:val="none"/>
                <w:lang w:val="en-US" w:eastAsia="zh-CN" w:bidi="ar"/>
              </w:rPr>
              <w:t>12.83</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13.21</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70.72</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65.38</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工资福利支出及对个人和家庭的补助支出</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5.34</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商品服务支出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13.21</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b/>
          <w:color w:val="auto"/>
          <w:szCs w:val="32"/>
        </w:rPr>
        <w:t>本</w:t>
      </w:r>
      <w:r>
        <w:rPr>
          <w:rFonts w:hint="eastAsia"/>
          <w:b/>
          <w:color w:val="auto"/>
          <w:szCs w:val="32"/>
          <w:lang w:val="en-US" w:eastAsia="zh-CN"/>
        </w:rPr>
        <w:t>单位本年</w:t>
      </w:r>
      <w:r>
        <w:rPr>
          <w:rFonts w:hint="eastAsia"/>
          <w:b/>
          <w:color w:val="auto"/>
          <w:szCs w:val="32"/>
        </w:rPr>
        <w:t>无三公经费</w:t>
      </w:r>
      <w:r>
        <w:rPr>
          <w:rFonts w:hint="eastAsia"/>
          <w:b/>
          <w:color w:val="auto"/>
          <w:szCs w:val="32"/>
          <w:lang w:val="en-US" w:eastAsia="zh-CN"/>
        </w:rPr>
        <w:t>预算收入及支出</w:t>
      </w:r>
      <w:r>
        <w:rPr>
          <w:rFonts w:hint="eastAsia"/>
          <w:b/>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5.34</w:t>
      </w:r>
      <w:r>
        <w:rPr>
          <w:rFonts w:hint="eastAsia" w:ascii="仿宋_GB2312" w:hAnsi="宋体"/>
          <w:color w:val="auto"/>
          <w:szCs w:val="32"/>
        </w:rPr>
        <w:t>万元</w:t>
      </w:r>
      <w:r>
        <w:rPr>
          <w:rFonts w:hint="eastAsia" w:ascii="仿宋_GB2312" w:hAnsi="宋体"/>
          <w:color w:val="auto"/>
          <w:szCs w:val="32"/>
          <w:lang w:eastAsia="zh-CN"/>
        </w:rPr>
        <w:t>，</w:t>
      </w:r>
      <w:r>
        <w:rPr>
          <w:rFonts w:hint="eastAsia" w:ascii="仿宋_GB2312" w:hAnsi="宋体"/>
          <w:color w:val="auto"/>
          <w:szCs w:val="32"/>
        </w:rPr>
        <w:t>比20</w:t>
      </w:r>
      <w:r>
        <w:rPr>
          <w:rFonts w:hint="eastAsia" w:ascii="仿宋_GB2312" w:hAnsi="宋体"/>
          <w:color w:val="auto"/>
          <w:szCs w:val="32"/>
          <w:lang w:val="en-US" w:eastAsia="zh-CN"/>
        </w:rPr>
        <w:t>21</w:t>
      </w:r>
      <w:r>
        <w:rPr>
          <w:rFonts w:hint="eastAsia" w:ascii="仿宋_GB2312" w:hAnsi="宋体"/>
          <w:color w:val="auto"/>
          <w:szCs w:val="32"/>
        </w:rPr>
        <w:t>年减少</w:t>
      </w:r>
      <w:r>
        <w:rPr>
          <w:rFonts w:hint="eastAsia" w:ascii="仿宋_GB2312" w:hAnsi="宋体"/>
          <w:color w:val="auto"/>
          <w:szCs w:val="32"/>
          <w:lang w:val="en-US" w:eastAsia="zh-CN"/>
        </w:rPr>
        <w:t>1.85</w:t>
      </w:r>
      <w:r>
        <w:rPr>
          <w:rFonts w:hint="eastAsia" w:ascii="仿宋_GB2312" w:hAnsi="宋体"/>
          <w:color w:val="auto"/>
          <w:szCs w:val="32"/>
        </w:rPr>
        <w:t>万元，增长（降低）</w:t>
      </w:r>
      <w:r>
        <w:rPr>
          <w:rFonts w:hint="eastAsia" w:ascii="仿宋_GB2312" w:hAnsi="宋体"/>
          <w:color w:val="auto"/>
          <w:szCs w:val="32"/>
          <w:lang w:val="en-US" w:eastAsia="zh-CN"/>
        </w:rPr>
        <w:t>25.73</w:t>
      </w:r>
      <w:r>
        <w:rPr>
          <w:rFonts w:hint="eastAsia" w:ascii="仿宋_GB2312" w:hAnsi="宋体"/>
          <w:color w:val="auto"/>
          <w:szCs w:val="32"/>
        </w:rPr>
        <w:t>%。主要原因是：</w:t>
      </w:r>
      <w:r>
        <w:rPr>
          <w:rFonts w:hint="eastAsia" w:ascii="仿宋_GB2312" w:hAnsi="宋体"/>
          <w:color w:val="auto"/>
          <w:szCs w:val="32"/>
          <w:lang w:val="en-US" w:eastAsia="zh-CN"/>
        </w:rPr>
        <w:t>本年退休2人，人头经费预算减少。</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1.29</w:t>
      </w:r>
      <w:r>
        <w:rPr>
          <w:rFonts w:hint="eastAsia" w:ascii="仿宋_GB2312"/>
          <w:color w:val="auto"/>
          <w:szCs w:val="32"/>
        </w:rPr>
        <w:t>万元，其中：政府采购货物支出</w:t>
      </w:r>
      <w:r>
        <w:rPr>
          <w:rFonts w:hint="eastAsia" w:ascii="仿宋_GB2312"/>
          <w:color w:val="auto"/>
          <w:szCs w:val="32"/>
          <w:lang w:val="en-US" w:eastAsia="zh-CN"/>
        </w:rPr>
        <w:t>0</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1.29</w:t>
      </w:r>
      <w:r>
        <w:rPr>
          <w:rFonts w:hint="eastAsia" w:ascii="仿宋_GB2312"/>
          <w:color w:val="auto"/>
          <w:szCs w:val="32"/>
        </w:rPr>
        <w:t>万元。政府采购授予中小企业合同金额</w:t>
      </w:r>
      <w:r>
        <w:rPr>
          <w:rFonts w:hint="eastAsia" w:ascii="仿宋_GB2312"/>
          <w:color w:val="auto"/>
          <w:szCs w:val="32"/>
          <w:lang w:val="en-US" w:eastAsia="zh-CN"/>
        </w:rPr>
        <w:t>1.29</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1.29</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w:t>
      </w:r>
      <w:r>
        <w:rPr>
          <w:rFonts w:hint="eastAsia" w:ascii="仿宋_GB2312"/>
          <w:color w:val="auto"/>
          <w:szCs w:val="32"/>
          <w:lang w:val="en-US" w:eastAsia="zh-CN"/>
        </w:rPr>
        <w:t>2020年12月31日止，我单位无重要资产占有情况。我单位办公用房产权属机关事务管理局。</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0" w:firstLineChars="200"/>
        <w:rPr>
          <w:rFonts w:hint="eastAsia" w:ascii="仿宋_GB2312" w:hAnsi="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根据预算绩效管理要求，我</w:t>
      </w:r>
      <w:r>
        <w:rPr>
          <w:rFonts w:hint="eastAsia" w:ascii="仿宋_GB2312" w:hAnsi="仿宋_GB2312" w:cs="仿宋_GB2312"/>
          <w:color w:val="auto"/>
          <w:sz w:val="32"/>
          <w:szCs w:val="32"/>
          <w:lang w:val="en-US" w:eastAsia="zh-CN"/>
        </w:rPr>
        <w:t>单位无</w:t>
      </w:r>
      <w:r>
        <w:rPr>
          <w:rFonts w:hint="eastAsia" w:ascii="仿宋_GB2312" w:hAnsi="仿宋_GB2312" w:eastAsia="仿宋_GB2312" w:cs="仿宋_GB2312"/>
          <w:color w:val="auto"/>
          <w:sz w:val="32"/>
          <w:szCs w:val="32"/>
          <w:lang w:val="en-US" w:eastAsia="zh-CN"/>
        </w:rPr>
        <w:t>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00万元以上的经费补助类项目支出</w:t>
      </w:r>
      <w:r>
        <w:rPr>
          <w:rFonts w:hint="eastAsia" w:ascii="仿宋_GB2312" w:hAnsi="仿宋_GB2312" w:cs="仿宋_GB2312"/>
          <w:color w:val="auto"/>
          <w:sz w:val="32"/>
          <w:szCs w:val="32"/>
          <w:lang w:val="en-US" w:eastAsia="zh-CN"/>
        </w:rPr>
        <w:t>。</w:t>
      </w:r>
    </w:p>
    <w:p>
      <w:pPr>
        <w:numPr>
          <w:numId w:val="0"/>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bookmarkStart w:id="33" w:name="_GoBack"/>
      <w:bookmarkEnd w:id="33"/>
      <w:r>
        <w:rPr>
          <w:rFonts w:hint="eastAsia" w:ascii="仿宋_GB2312"/>
          <w:b/>
          <w:color w:val="auto"/>
          <w:szCs w:val="32"/>
          <w:lang w:eastAsia="zh-CN"/>
        </w:rPr>
        <w:t>（</w:t>
      </w:r>
      <w:r>
        <w:rPr>
          <w:rFonts w:hint="eastAsia" w:ascii="仿宋_GB2312"/>
          <w:b/>
          <w:color w:val="auto"/>
          <w:szCs w:val="32"/>
          <w:lang w:val="en-US" w:eastAsia="zh-CN"/>
        </w:rPr>
        <w:t>五）</w:t>
      </w:r>
      <w:r>
        <w:rPr>
          <w:rFonts w:hint="eastAsia" w:ascii="仿宋_GB2312"/>
          <w:b/>
          <w:color w:val="auto"/>
          <w:szCs w:val="32"/>
        </w:rPr>
        <w:t>其他需要说明的事项</w:t>
      </w:r>
      <w:bookmarkEnd w:id="30"/>
      <w:bookmarkEnd w:id="31"/>
    </w:p>
    <w:p>
      <w:pPr>
        <w:numPr>
          <w:ilvl w:val="0"/>
          <w:numId w:val="0"/>
        </w:numPr>
        <w:spacing w:line="580" w:lineRule="exact"/>
        <w:ind w:firstLine="964" w:firstLineChars="300"/>
        <w:outlineLvl w:val="0"/>
        <w:rPr>
          <w:rFonts w:hint="default" w:ascii="仿宋_GB2312" w:eastAsia="仿宋_GB2312"/>
          <w:b/>
          <w:color w:val="auto"/>
          <w:szCs w:val="32"/>
          <w:lang w:val="en-US" w:eastAsia="zh-CN"/>
        </w:rPr>
      </w:pPr>
      <w:r>
        <w:rPr>
          <w:rFonts w:hint="eastAsia" w:ascii="仿宋_GB2312"/>
          <w:b/>
          <w:color w:val="auto"/>
          <w:szCs w:val="32"/>
          <w:lang w:val="en-US" w:eastAsia="zh-CN"/>
        </w:rPr>
        <w:t>本单位无其他需要说明的事项</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单位名称：静乐县城镇集体工业联合社</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2AC64FD"/>
    <w:multiLevelType w:val="singleLevel"/>
    <w:tmpl w:val="62AC64FD"/>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16654CDD"/>
    <w:rsid w:val="17C05014"/>
    <w:rsid w:val="1A074D68"/>
    <w:rsid w:val="1A4A5C33"/>
    <w:rsid w:val="2701594C"/>
    <w:rsid w:val="27426717"/>
    <w:rsid w:val="36662925"/>
    <w:rsid w:val="37943B50"/>
    <w:rsid w:val="3821117E"/>
    <w:rsid w:val="42C12CEC"/>
    <w:rsid w:val="44401A62"/>
    <w:rsid w:val="495520D0"/>
    <w:rsid w:val="4A012068"/>
    <w:rsid w:val="53A30631"/>
    <w:rsid w:val="57DA2ED9"/>
    <w:rsid w:val="58C300B4"/>
    <w:rsid w:val="5EC01F6A"/>
    <w:rsid w:val="63AB51DF"/>
    <w:rsid w:val="649C6DC9"/>
    <w:rsid w:val="6ADA6A33"/>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2543</Words>
  <Characters>2925</Characters>
  <Lines>0</Lines>
  <Paragraphs>0</Paragraphs>
  <TotalTime>3</TotalTime>
  <ScaleCrop>false</ScaleCrop>
  <LinksUpToDate>false</LinksUpToDate>
  <CharactersWithSpaces>2984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2022-07-25T10:19:25Z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2BB346BC447541D8A8C6778A42608080</vt:lpwstr>
  </property>
</Properties>
</file>