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2202" w:firstLineChars="500"/>
        <w:jc w:val="both"/>
        <w:rPr>
          <w:rFonts w:hint="eastAsia" w:ascii="华文中宋" w:hAnsi="华文中宋" w:eastAsia="华文中宋"/>
          <w:color w:val="auto"/>
          <w:sz w:val="44"/>
          <w:szCs w:val="44"/>
          <w:lang w:val="en-US" w:eastAsia="zh-CN"/>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静乐县国库集中支付中心</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一、本部门职责</w:t>
      </w:r>
      <w:bookmarkEnd w:id="5"/>
      <w:bookmarkEnd w:id="6"/>
    </w:p>
    <w:p>
      <w:pPr>
        <w:rPr>
          <w:rFonts w:hint="eastAsia"/>
          <w:color w:val="auto"/>
        </w:rPr>
      </w:pPr>
      <w:r>
        <w:rPr>
          <w:rFonts w:hint="eastAsia"/>
          <w:color w:val="auto"/>
        </w:rPr>
        <w:t>在不改变单位资金所有权，使用权和审批权的前提下，对县直行政事业单位实行集中管理，统一支付，分户核算。业务范围：县委、县政府组成部门及所属事业单位、县人大、县政协机关、县法院、检察院、社会团体、民主党派及政府授权收费和罚没职能的其他单位。</w:t>
      </w:r>
    </w:p>
    <w:p>
      <w:pPr>
        <w:rPr>
          <w:rFonts w:hint="eastAsia"/>
          <w:color w:val="auto"/>
        </w:rPr>
      </w:pPr>
    </w:p>
    <w:p>
      <w:pPr>
        <w:pStyle w:val="3"/>
        <w:numPr>
          <w:ilvl w:val="0"/>
          <w:numId w:val="1"/>
        </w:numPr>
        <w:rPr>
          <w:rFonts w:asciiTheme="minorEastAsia" w:hAnsiTheme="minorEastAsia" w:eastAsiaTheme="minorEastAsia" w:cstheme="minorEastAsia"/>
          <w:color w:val="auto"/>
          <w:sz w:val="32"/>
          <w:szCs w:val="32"/>
        </w:rPr>
      </w:pPr>
      <w:bookmarkStart w:id="7" w:name="_Toc275"/>
      <w:bookmarkStart w:id="8" w:name="_Toc9155"/>
      <w:r>
        <w:rPr>
          <w:rFonts w:hint="eastAsia" w:ascii="仿宋" w:hAnsi="仿宋" w:eastAsia="仿宋" w:cs="仿宋"/>
          <w:b w:val="0"/>
          <w:bCs/>
          <w:color w:val="auto"/>
        </w:rPr>
        <w:t>机构设置情况</w:t>
      </w:r>
      <w:bookmarkEnd w:id="7"/>
      <w:bookmarkEnd w:id="8"/>
    </w:p>
    <w:p>
      <w:pPr>
        <w:pStyle w:val="3"/>
        <w:numPr>
          <w:ilvl w:val="0"/>
          <w:numId w:val="0"/>
        </w:numPr>
        <w:ind w:firstLine="643" w:firstLineChars="200"/>
        <w:rPr>
          <w:rFonts w:hint="eastAsia" w:ascii="Times New Roman" w:hAnsi="Times New Roman" w:eastAsia="仿宋_GB2312" w:cstheme="minorBidi"/>
          <w:b w:val="0"/>
          <w:color w:val="auto"/>
          <w:kern w:val="2"/>
          <w:sz w:val="32"/>
          <w:szCs w:val="22"/>
          <w:lang w:val="en-US" w:eastAsia="zh-CN" w:bidi="ar-SA"/>
        </w:rPr>
      </w:pPr>
      <w:r>
        <w:rPr>
          <w:rFonts w:hint="eastAsia"/>
          <w:color w:val="auto"/>
          <w:lang w:val="en-US" w:eastAsia="zh-CN"/>
        </w:rPr>
        <w:t xml:space="preserve"> </w:t>
      </w:r>
      <w:r>
        <w:rPr>
          <w:rFonts w:hint="eastAsia" w:ascii="Times New Roman" w:hAnsi="Times New Roman" w:eastAsia="仿宋_GB2312" w:cstheme="minorBidi"/>
          <w:b w:val="0"/>
          <w:color w:val="auto"/>
          <w:kern w:val="2"/>
          <w:sz w:val="32"/>
          <w:szCs w:val="22"/>
          <w:lang w:val="en-US" w:eastAsia="zh-CN" w:bidi="ar-SA"/>
        </w:rPr>
        <w:t>静乐县国库集中支付中心共有干部职工11人，内设机构有办公室、六个组。</w:t>
      </w:r>
    </w:p>
    <w:p>
      <w:pPr>
        <w:numPr>
          <w:ilvl w:val="0"/>
          <w:numId w:val="0"/>
        </w:numPr>
        <w:rPr>
          <w:rFonts w:hint="default" w:eastAsia="仿宋_GB2312"/>
          <w:color w:val="auto"/>
          <w:lang w:val="en-US" w:eastAsia="zh-CN"/>
        </w:rPr>
      </w:pP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118.7024</w:t>
      </w:r>
      <w:r>
        <w:rPr>
          <w:rFonts w:hint="eastAsia" w:ascii="仿宋_GB2312"/>
          <w:color w:val="auto"/>
          <w:szCs w:val="32"/>
        </w:rPr>
        <w:t>万元、支出总计</w:t>
      </w:r>
      <w:r>
        <w:rPr>
          <w:rFonts w:hint="eastAsia" w:ascii="仿宋_GB2312"/>
          <w:color w:val="auto"/>
          <w:szCs w:val="32"/>
          <w:lang w:val="en-US" w:eastAsia="zh-CN"/>
        </w:rPr>
        <w:t>118.7024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增长10.3365</w:t>
      </w:r>
      <w:r>
        <w:rPr>
          <w:rFonts w:hint="eastAsia" w:ascii="仿宋_GB2312"/>
          <w:color w:val="auto"/>
          <w:szCs w:val="32"/>
        </w:rPr>
        <w:t>万元，</w:t>
      </w:r>
      <w:r>
        <w:rPr>
          <w:rFonts w:hint="eastAsia" w:ascii="仿宋_GB2312"/>
          <w:color w:val="auto"/>
          <w:szCs w:val="32"/>
          <w:lang w:val="en-US" w:eastAsia="zh-CN"/>
        </w:rPr>
        <w:t>增长9.54</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增长10.3365</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增长9.54</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本年经费增加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118.7024</w:t>
      </w:r>
      <w:r>
        <w:rPr>
          <w:rFonts w:hint="eastAsia" w:ascii="仿宋_GB2312"/>
          <w:color w:val="auto"/>
          <w:szCs w:val="32"/>
        </w:rPr>
        <w:t>万元，其中：财政拨款收入</w:t>
      </w:r>
      <w:r>
        <w:rPr>
          <w:rFonts w:hint="eastAsia" w:ascii="仿宋_GB2312"/>
          <w:color w:val="auto"/>
          <w:szCs w:val="32"/>
          <w:lang w:val="en-US" w:eastAsia="zh-CN"/>
        </w:rPr>
        <w:t>118.7024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118.7024</w:t>
      </w:r>
      <w:r>
        <w:rPr>
          <w:rFonts w:hint="eastAsia" w:ascii="仿宋_GB2312"/>
          <w:color w:val="auto"/>
          <w:szCs w:val="32"/>
        </w:rPr>
        <w:t>万元，其中：基本支出</w:t>
      </w:r>
      <w:r>
        <w:rPr>
          <w:rFonts w:hint="eastAsia" w:ascii="仿宋_GB2312"/>
          <w:color w:val="auto"/>
          <w:szCs w:val="32"/>
          <w:lang w:val="en-US" w:eastAsia="zh-CN"/>
        </w:rPr>
        <w:t>112.7083</w:t>
      </w:r>
      <w:r>
        <w:rPr>
          <w:rFonts w:hint="eastAsia" w:ascii="仿宋_GB2312"/>
          <w:color w:val="auto"/>
          <w:szCs w:val="32"/>
        </w:rPr>
        <w:t>万元，占比</w:t>
      </w:r>
      <w:r>
        <w:rPr>
          <w:rFonts w:hint="eastAsia" w:ascii="仿宋_GB2312"/>
          <w:color w:val="auto"/>
          <w:szCs w:val="32"/>
          <w:lang w:val="en-US" w:eastAsia="zh-CN"/>
        </w:rPr>
        <w:t>94.95</w:t>
      </w:r>
      <w:r>
        <w:rPr>
          <w:rFonts w:hint="eastAsia" w:ascii="仿宋_GB2312"/>
          <w:color w:val="auto"/>
          <w:szCs w:val="32"/>
        </w:rPr>
        <w:t>%；项目支出</w:t>
      </w:r>
      <w:r>
        <w:rPr>
          <w:rFonts w:hint="eastAsia" w:ascii="仿宋_GB2312"/>
          <w:color w:val="auto"/>
          <w:szCs w:val="32"/>
          <w:lang w:val="en-US" w:eastAsia="zh-CN"/>
        </w:rPr>
        <w:t>6.594</w:t>
      </w:r>
      <w:r>
        <w:rPr>
          <w:rFonts w:hint="eastAsia" w:ascii="仿宋_GB2312"/>
          <w:color w:val="auto"/>
          <w:szCs w:val="32"/>
        </w:rPr>
        <w:t>万元，占比</w:t>
      </w:r>
      <w:r>
        <w:rPr>
          <w:rFonts w:hint="eastAsia" w:ascii="仿宋_GB2312"/>
          <w:color w:val="auto"/>
          <w:szCs w:val="32"/>
          <w:lang w:val="en-US" w:eastAsia="zh-CN"/>
        </w:rPr>
        <w:t>5.05</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118.7024</w:t>
      </w:r>
      <w:r>
        <w:rPr>
          <w:rFonts w:hint="eastAsia" w:ascii="仿宋_GB2312"/>
          <w:color w:val="auto"/>
          <w:szCs w:val="32"/>
        </w:rPr>
        <w:t>万元、支出总计</w:t>
      </w:r>
      <w:r>
        <w:rPr>
          <w:rFonts w:hint="eastAsia" w:ascii="仿宋_GB2312"/>
          <w:color w:val="auto"/>
          <w:szCs w:val="32"/>
          <w:lang w:val="en-US" w:eastAsia="zh-CN"/>
        </w:rPr>
        <w:t>118.7024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增长10.3365</w:t>
      </w:r>
      <w:r>
        <w:rPr>
          <w:rFonts w:hint="eastAsia" w:ascii="仿宋_GB2312"/>
          <w:color w:val="auto"/>
          <w:szCs w:val="32"/>
        </w:rPr>
        <w:t>万元，</w:t>
      </w:r>
      <w:r>
        <w:rPr>
          <w:rFonts w:hint="eastAsia" w:ascii="仿宋_GB2312"/>
          <w:color w:val="auto"/>
          <w:szCs w:val="32"/>
          <w:lang w:val="en-US" w:eastAsia="zh-CN"/>
        </w:rPr>
        <w:t>增长9.54</w:t>
      </w:r>
      <w:r>
        <w:rPr>
          <w:rFonts w:hint="eastAsia" w:ascii="仿宋_GB2312"/>
          <w:color w:val="auto"/>
          <w:szCs w:val="32"/>
        </w:rPr>
        <w:t>%，财政拨款支出总计</w:t>
      </w:r>
      <w:r>
        <w:rPr>
          <w:rFonts w:hint="eastAsia" w:ascii="仿宋_GB2312"/>
          <w:color w:val="auto"/>
          <w:szCs w:val="32"/>
          <w:lang w:val="en-US" w:eastAsia="zh-CN"/>
        </w:rPr>
        <w:t>增长10.3365</w:t>
      </w:r>
      <w:r>
        <w:rPr>
          <w:rFonts w:hint="eastAsia" w:ascii="仿宋_GB2312"/>
          <w:color w:val="auto"/>
          <w:szCs w:val="32"/>
        </w:rPr>
        <w:t>万元，</w:t>
      </w:r>
      <w:r>
        <w:rPr>
          <w:rFonts w:hint="eastAsia" w:ascii="仿宋_GB2312"/>
          <w:color w:val="auto"/>
          <w:szCs w:val="32"/>
          <w:lang w:val="en-US" w:eastAsia="zh-CN"/>
        </w:rPr>
        <w:t>增长9.54</w:t>
      </w:r>
      <w:r>
        <w:rPr>
          <w:rFonts w:hint="eastAsia" w:ascii="仿宋_GB2312"/>
          <w:color w:val="auto"/>
          <w:szCs w:val="32"/>
        </w:rPr>
        <w:t>%%。主要原因是</w:t>
      </w:r>
      <w:r>
        <w:rPr>
          <w:rFonts w:hint="eastAsia" w:ascii="仿宋_GB2312"/>
          <w:color w:val="auto"/>
          <w:szCs w:val="32"/>
          <w:lang w:val="en-US" w:eastAsia="zh-CN"/>
        </w:rPr>
        <w:t>本年经费增加和工资增加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118.7024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增加10.3365</w:t>
      </w:r>
      <w:r>
        <w:rPr>
          <w:rFonts w:hint="eastAsia" w:ascii="仿宋_GB2312"/>
          <w:color w:val="auto"/>
          <w:szCs w:val="32"/>
        </w:rPr>
        <w:t>万元，</w:t>
      </w:r>
      <w:r>
        <w:rPr>
          <w:rFonts w:hint="eastAsia" w:ascii="仿宋_GB2312"/>
          <w:color w:val="auto"/>
          <w:szCs w:val="32"/>
          <w:lang w:val="en-US" w:eastAsia="zh-CN"/>
        </w:rPr>
        <w:t>增长9.54</w:t>
      </w:r>
      <w:r>
        <w:rPr>
          <w:rFonts w:hint="eastAsia" w:ascii="仿宋_GB2312"/>
          <w:color w:val="auto"/>
          <w:szCs w:val="32"/>
        </w:rPr>
        <w:t>%。主要原因是</w:t>
      </w:r>
      <w:r>
        <w:rPr>
          <w:rFonts w:hint="eastAsia" w:ascii="仿宋_GB2312"/>
          <w:color w:val="auto"/>
          <w:szCs w:val="32"/>
          <w:lang w:val="en-US" w:eastAsia="zh-CN"/>
        </w:rPr>
        <w:t>经费增加工资增加</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118.7024</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118.7024</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111.66</w:t>
      </w:r>
      <w:r>
        <w:rPr>
          <w:rFonts w:hint="eastAsia"/>
          <w:color w:val="auto"/>
          <w:szCs w:val="32"/>
        </w:rPr>
        <w:t>万元，</w:t>
      </w:r>
      <w:r>
        <w:rPr>
          <w:rFonts w:hint="eastAsia"/>
          <w:color w:val="auto"/>
          <w:szCs w:val="32"/>
          <w:lang w:val="en-US" w:eastAsia="zh-CN"/>
        </w:rPr>
        <w:t>本年调整预算118.70万元。</w:t>
      </w:r>
      <w:r>
        <w:rPr>
          <w:rFonts w:hint="eastAsia"/>
          <w:color w:val="auto"/>
          <w:szCs w:val="32"/>
        </w:rPr>
        <w:t>支出决算</w:t>
      </w:r>
      <w:r>
        <w:rPr>
          <w:rFonts w:hint="eastAsia" w:ascii="仿宋_GB2312"/>
          <w:color w:val="auto"/>
          <w:szCs w:val="32"/>
          <w:lang w:val="en-US" w:eastAsia="zh-CN"/>
        </w:rPr>
        <w:t>118.7024</w:t>
      </w:r>
      <w:r>
        <w:rPr>
          <w:rFonts w:hint="eastAsia"/>
          <w:color w:val="auto"/>
          <w:szCs w:val="32"/>
        </w:rPr>
        <w:t>万元，完成</w:t>
      </w:r>
      <w:r>
        <w:rPr>
          <w:rFonts w:hint="eastAsia"/>
          <w:color w:val="auto"/>
          <w:szCs w:val="32"/>
          <w:lang w:val="en-US" w:eastAsia="zh-CN"/>
        </w:rPr>
        <w:t>本年调整</w:t>
      </w:r>
      <w:r>
        <w:rPr>
          <w:rFonts w:hint="eastAsia"/>
          <w:color w:val="auto"/>
          <w:szCs w:val="32"/>
        </w:rPr>
        <w:t>预算的</w:t>
      </w:r>
      <w:r>
        <w:rPr>
          <w:rFonts w:hint="eastAsia"/>
          <w:color w:val="auto"/>
          <w:szCs w:val="32"/>
          <w:lang w:val="en-US" w:eastAsia="zh-CN"/>
        </w:rPr>
        <w:t>100</w:t>
      </w:r>
      <w:bookmarkStart w:id="33" w:name="_GoBack"/>
      <w:bookmarkEnd w:id="33"/>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266"/>
        <w:gridCol w:w="1773"/>
        <w:gridCol w:w="1759"/>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266"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773"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759"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634"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r>
              <w:rPr>
                <w:rFonts w:hint="eastAsia" w:ascii="宋体" w:hAnsi="宋体" w:cs="Arial"/>
                <w:b/>
                <w:color w:val="auto"/>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266"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773"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108.3659</w:t>
            </w:r>
          </w:p>
        </w:tc>
        <w:tc>
          <w:tcPr>
            <w:tcW w:w="1759"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118.7024</w:t>
            </w:r>
          </w:p>
        </w:tc>
        <w:tc>
          <w:tcPr>
            <w:tcW w:w="1634" w:type="dxa"/>
            <w:vAlign w:val="top"/>
          </w:tcPr>
          <w:p>
            <w:pPr>
              <w:ind w:firstLine="480" w:firstLineChars="20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p>
        </w:tc>
        <w:tc>
          <w:tcPr>
            <w:tcW w:w="2266" w:type="dxa"/>
            <w:vAlign w:val="top"/>
          </w:tcPr>
          <w:p>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财政事务</w:t>
            </w:r>
          </w:p>
        </w:tc>
        <w:tc>
          <w:tcPr>
            <w:tcW w:w="1773"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108.3659</w:t>
            </w:r>
          </w:p>
        </w:tc>
        <w:tc>
          <w:tcPr>
            <w:tcW w:w="1759"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118.7024</w:t>
            </w:r>
          </w:p>
        </w:tc>
        <w:tc>
          <w:tcPr>
            <w:tcW w:w="1634" w:type="dxa"/>
            <w:vAlign w:val="top"/>
          </w:tcPr>
          <w:p>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2010601</w:t>
            </w:r>
          </w:p>
        </w:tc>
        <w:tc>
          <w:tcPr>
            <w:tcW w:w="2266"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行政运行</w:t>
            </w:r>
          </w:p>
        </w:tc>
        <w:tc>
          <w:tcPr>
            <w:tcW w:w="1773"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108.3659</w:t>
            </w:r>
          </w:p>
        </w:tc>
        <w:tc>
          <w:tcPr>
            <w:tcW w:w="1759"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118.7024</w:t>
            </w:r>
          </w:p>
        </w:tc>
        <w:tc>
          <w:tcPr>
            <w:tcW w:w="163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合计</w:t>
            </w:r>
          </w:p>
        </w:tc>
        <w:tc>
          <w:tcPr>
            <w:tcW w:w="2266" w:type="dxa"/>
            <w:vAlign w:val="top"/>
          </w:tcPr>
          <w:p>
            <w:pPr>
              <w:jc w:val="left"/>
              <w:rPr>
                <w:rFonts w:hint="eastAsia" w:ascii="仿宋" w:hAnsi="仿宋" w:eastAsia="仿宋" w:cs="仿宋"/>
                <w:color w:val="auto"/>
                <w:sz w:val="24"/>
                <w:szCs w:val="24"/>
              </w:rPr>
            </w:pPr>
          </w:p>
        </w:tc>
        <w:tc>
          <w:tcPr>
            <w:tcW w:w="177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108.3659</w:t>
            </w:r>
          </w:p>
        </w:tc>
        <w:tc>
          <w:tcPr>
            <w:tcW w:w="1759"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118.7024</w:t>
            </w:r>
          </w:p>
        </w:tc>
        <w:tc>
          <w:tcPr>
            <w:tcW w:w="163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9.54</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2015"/>
        <w:gridCol w:w="2045"/>
        <w:gridCol w:w="1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2015"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45"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804"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201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108.3659</w:t>
            </w:r>
          </w:p>
        </w:tc>
        <w:tc>
          <w:tcPr>
            <w:tcW w:w="204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118.7024</w:t>
            </w:r>
          </w:p>
        </w:tc>
        <w:tc>
          <w:tcPr>
            <w:tcW w:w="1804"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201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89.3927</w:t>
            </w:r>
          </w:p>
        </w:tc>
        <w:tc>
          <w:tcPr>
            <w:tcW w:w="204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97.0182</w:t>
            </w:r>
          </w:p>
        </w:tc>
        <w:tc>
          <w:tcPr>
            <w:tcW w:w="1804"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201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12.1152</w:t>
            </w:r>
          </w:p>
        </w:tc>
        <w:tc>
          <w:tcPr>
            <w:tcW w:w="204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20.9642</w:t>
            </w:r>
          </w:p>
        </w:tc>
        <w:tc>
          <w:tcPr>
            <w:tcW w:w="1804"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201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0.12</w:t>
            </w:r>
          </w:p>
        </w:tc>
        <w:tc>
          <w:tcPr>
            <w:tcW w:w="204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0.12</w:t>
            </w:r>
          </w:p>
        </w:tc>
        <w:tc>
          <w:tcPr>
            <w:tcW w:w="1804"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201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6.738</w:t>
            </w:r>
          </w:p>
        </w:tc>
        <w:tc>
          <w:tcPr>
            <w:tcW w:w="2045"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0.5999</w:t>
            </w:r>
          </w:p>
        </w:tc>
        <w:tc>
          <w:tcPr>
            <w:tcW w:w="1804"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-91.1</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118.7024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97.0182</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基本工资40.05万元，津贴补贴31.6652万元，奖金3.4844万元，养老保险11.4782万元，医疗保险2.96万元，其他社会保险缴费2万元，住房公积金5.3805万元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15.57</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办公费3.37万元，劳务费1.6万元，工会经费0.92万元，福利费2.69万元，交通补贴6.99万元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6.594</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val="en-US" w:eastAsia="zh-CN"/>
        </w:rPr>
        <w:t>本单位无</w:t>
      </w:r>
      <w:r>
        <w:rPr>
          <w:rFonts w:hint="eastAsia"/>
          <w:b/>
          <w:color w:val="auto"/>
          <w:szCs w:val="32"/>
        </w:rPr>
        <w:t>三公经费的</w:t>
      </w:r>
      <w:r>
        <w:rPr>
          <w:rFonts w:hint="eastAsia"/>
          <w:b/>
          <w:color w:val="auto"/>
          <w:szCs w:val="32"/>
          <w:lang w:val="en-US" w:eastAsia="zh-CN"/>
        </w:rPr>
        <w:t>支出</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color w:val="auto"/>
                <w:sz w:val="28"/>
                <w:szCs w:val="28"/>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color w:val="auto"/>
                <w:sz w:val="28"/>
                <w:szCs w:val="28"/>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default" w:eastAsia="仿宋_GB2312"/>
          <w:b/>
          <w:color w:val="auto"/>
          <w:szCs w:val="32"/>
          <w:lang w:val="en-US" w:eastAsia="zh-CN"/>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15.57</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年增加</w:t>
      </w:r>
      <w:r>
        <w:rPr>
          <w:rFonts w:hint="eastAsia" w:ascii="仿宋_GB2312" w:hAnsi="宋体"/>
          <w:color w:val="auto"/>
          <w:szCs w:val="32"/>
          <w:lang w:val="en-US" w:eastAsia="zh-CN"/>
        </w:rPr>
        <w:t>3.4548</w:t>
      </w:r>
      <w:r>
        <w:rPr>
          <w:rFonts w:hint="eastAsia" w:ascii="仿宋_GB2312" w:hAnsi="宋体"/>
          <w:color w:val="auto"/>
          <w:szCs w:val="32"/>
        </w:rPr>
        <w:t>万元，增长</w:t>
      </w:r>
      <w:r>
        <w:rPr>
          <w:rFonts w:hint="eastAsia" w:ascii="仿宋_GB2312" w:hAnsi="宋体"/>
          <w:color w:val="auto"/>
          <w:szCs w:val="32"/>
          <w:lang w:val="en-US" w:eastAsia="zh-CN"/>
        </w:rPr>
        <w:t>28.52</w:t>
      </w:r>
      <w:r>
        <w:rPr>
          <w:rFonts w:hint="eastAsia" w:ascii="仿宋_GB2312" w:hAnsi="宋体"/>
          <w:color w:val="auto"/>
          <w:szCs w:val="32"/>
        </w:rPr>
        <w:t>%。主要原因是：</w:t>
      </w:r>
      <w:r>
        <w:rPr>
          <w:rFonts w:hint="eastAsia" w:ascii="仿宋_GB2312" w:hAnsi="宋体"/>
          <w:color w:val="auto"/>
          <w:szCs w:val="32"/>
          <w:lang w:val="en-US" w:eastAsia="zh-CN"/>
        </w:rPr>
        <w:t>本年经费增加。</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1.0984</w:t>
      </w:r>
      <w:r>
        <w:rPr>
          <w:rFonts w:hint="eastAsia" w:ascii="仿宋_GB2312"/>
          <w:color w:val="auto"/>
          <w:szCs w:val="32"/>
        </w:rPr>
        <w:t>万元，其中：政府采购货物支出</w:t>
      </w:r>
      <w:r>
        <w:rPr>
          <w:rFonts w:hint="eastAsia" w:ascii="仿宋_GB2312"/>
          <w:color w:val="auto"/>
          <w:szCs w:val="32"/>
          <w:lang w:val="en-US" w:eastAsia="zh-CN"/>
        </w:rPr>
        <w:t>1.0984</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1.0984</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1.0984</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w:t>
      </w:r>
      <w:r>
        <w:rPr>
          <w:rFonts w:hint="eastAsia" w:ascii="仿宋_GB2312"/>
          <w:color w:val="auto"/>
          <w:szCs w:val="32"/>
          <w:lang w:val="en-US" w:eastAsia="zh-CN"/>
        </w:rPr>
        <w:t>无</w:t>
      </w:r>
      <w:r>
        <w:rPr>
          <w:rFonts w:hint="eastAsia" w:ascii="仿宋_GB2312"/>
          <w:color w:val="auto"/>
          <w:szCs w:val="32"/>
        </w:rPr>
        <w:t>车辆</w:t>
      </w:r>
      <w:r>
        <w:rPr>
          <w:rFonts w:hint="eastAsia" w:ascii="仿宋_GB2312"/>
          <w:color w:val="auto"/>
          <w:szCs w:val="32"/>
          <w:lang w:eastAsia="zh-CN"/>
        </w:rPr>
        <w:t>，</w:t>
      </w:r>
      <w:r>
        <w:rPr>
          <w:rFonts w:hint="eastAsia" w:ascii="仿宋_GB2312"/>
          <w:color w:val="auto"/>
          <w:szCs w:val="32"/>
          <w:lang w:val="en-US" w:eastAsia="zh-CN"/>
        </w:rPr>
        <w:t>无</w:t>
      </w:r>
      <w:r>
        <w:rPr>
          <w:rFonts w:hint="eastAsia" w:ascii="仿宋_GB2312"/>
          <w:color w:val="auto"/>
          <w:szCs w:val="32"/>
        </w:rPr>
        <w:t>单价50万元（含）以上的通用设备</w:t>
      </w:r>
      <w:r>
        <w:rPr>
          <w:rFonts w:hint="eastAsia" w:ascii="仿宋_GB2312"/>
          <w:color w:val="auto"/>
          <w:szCs w:val="32"/>
          <w:lang w:val="en-US" w:eastAsia="zh-CN"/>
        </w:rPr>
        <w:t>和</w:t>
      </w:r>
      <w:r>
        <w:rPr>
          <w:rFonts w:hint="eastAsia" w:ascii="仿宋_GB2312"/>
          <w:color w:val="auto"/>
          <w:szCs w:val="32"/>
        </w:rPr>
        <w:t>单价100万元（含）以上专用设备。</w:t>
      </w:r>
    </w:p>
    <w:p>
      <w:pPr>
        <w:numPr>
          <w:ilvl w:val="0"/>
          <w:numId w:val="3"/>
        </w:numPr>
        <w:rPr>
          <w:rFonts w:hint="eastAsia"/>
          <w:b/>
          <w:bCs/>
          <w:color w:val="auto"/>
        </w:rPr>
      </w:pPr>
      <w:r>
        <w:rPr>
          <w:rFonts w:hint="eastAsia"/>
          <w:b/>
          <w:bCs/>
          <w:color w:val="auto"/>
        </w:rPr>
        <w:t>重点项目预算的绩效目标情况说明：</w:t>
      </w:r>
      <w:bookmarkStart w:id="30" w:name="_Toc28108"/>
      <w:bookmarkStart w:id="31" w:name="_Toc8450"/>
    </w:p>
    <w:p>
      <w:pPr>
        <w:spacing w:line="580" w:lineRule="exact"/>
        <w:ind w:firstLine="640"/>
        <w:rPr>
          <w:rFonts w:hint="default" w:eastAsia="仿宋_GB2312"/>
          <w:b/>
          <w:bCs/>
          <w:color w:val="auto"/>
          <w:lang w:val="en-US" w:eastAsia="zh-CN"/>
        </w:rPr>
      </w:pPr>
      <w:r>
        <w:rPr>
          <w:rFonts w:hint="eastAsia" w:ascii="仿宋_GB2312"/>
          <w:color w:val="auto"/>
          <w:szCs w:val="32"/>
          <w:lang w:val="en-US" w:eastAsia="zh-CN"/>
        </w:rPr>
        <w:t xml:space="preserve"> 2021年本单位无专项资金类和200万以上经费补助类项目。</w:t>
      </w:r>
    </w:p>
    <w:p>
      <w:pPr>
        <w:numPr>
          <w:ilvl w:val="0"/>
          <w:numId w:val="3"/>
        </w:numPr>
        <w:rPr>
          <w:rFonts w:hint="eastAsia" w:ascii="仿宋_GB2312" w:eastAsia="仿宋_GB2312"/>
          <w:b/>
          <w:color w:val="auto"/>
          <w:szCs w:val="32"/>
          <w:lang w:val="en-US" w:eastAsia="zh-CN"/>
        </w:rPr>
      </w:pPr>
      <w:r>
        <w:rPr>
          <w:rFonts w:hint="eastAsia" w:ascii="仿宋_GB2312"/>
          <w:b/>
          <w:color w:val="auto"/>
          <w:szCs w:val="32"/>
        </w:rPr>
        <w:t>其他需要说明的事项</w:t>
      </w:r>
      <w:bookmarkEnd w:id="30"/>
      <w:bookmarkEnd w:id="31"/>
    </w:p>
    <w:p>
      <w:pPr>
        <w:numPr>
          <w:ilvl w:val="0"/>
          <w:numId w:val="0"/>
        </w:numPr>
        <w:spacing w:line="580" w:lineRule="exact"/>
        <w:outlineLvl w:val="0"/>
        <w:rPr>
          <w:rFonts w:hint="default" w:ascii="仿宋_GB2312" w:eastAsia="仿宋_GB2312"/>
          <w:b w:val="0"/>
          <w:bCs/>
          <w:color w:val="auto"/>
          <w:szCs w:val="32"/>
          <w:lang w:val="en-US" w:eastAsia="zh-CN"/>
        </w:rPr>
      </w:pPr>
      <w:r>
        <w:rPr>
          <w:rFonts w:hint="eastAsia" w:ascii="仿宋_GB2312"/>
          <w:b w:val="0"/>
          <w:bCs/>
          <w:color w:val="auto"/>
          <w:szCs w:val="32"/>
          <w:lang w:val="en-US" w:eastAsia="zh-CN"/>
        </w:rPr>
        <w:t xml:space="preserve">      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lang w:val="en-US" w:eastAsia="zh-CN"/>
        </w:rPr>
        <w:t xml:space="preserve">               单位名称：静乐县国库集中支付中心</w:t>
      </w:r>
    </w:p>
    <w:p>
      <w:pPr>
        <w:ind w:firstLine="3840" w:firstLineChars="12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F1A3E"/>
    <w:multiLevelType w:val="singleLevel"/>
    <w:tmpl w:val="0CFF1A3E"/>
    <w:lvl w:ilvl="0" w:tentative="0">
      <w:start w:val="4"/>
      <w:numFmt w:val="chineseCounting"/>
      <w:suff w:val="nothing"/>
      <w:lvlText w:val="（%1）"/>
      <w:lvlJc w:val="left"/>
      <w:rPr>
        <w:rFonts w:hint="eastAsia"/>
      </w:rPr>
    </w:lvl>
  </w:abstractNum>
  <w:abstractNum w:abstractNumId="1">
    <w:nsid w:val="18417708"/>
    <w:multiLevelType w:val="singleLevel"/>
    <w:tmpl w:val="18417708"/>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0A2416BF"/>
    <w:rsid w:val="16654CDD"/>
    <w:rsid w:val="1A4A5C33"/>
    <w:rsid w:val="1A986C6F"/>
    <w:rsid w:val="2701594C"/>
    <w:rsid w:val="27426717"/>
    <w:rsid w:val="37943B50"/>
    <w:rsid w:val="3821117E"/>
    <w:rsid w:val="38555511"/>
    <w:rsid w:val="3CE92652"/>
    <w:rsid w:val="42C12CEC"/>
    <w:rsid w:val="44401A62"/>
    <w:rsid w:val="46B440C9"/>
    <w:rsid w:val="48984195"/>
    <w:rsid w:val="495520D0"/>
    <w:rsid w:val="4A012068"/>
    <w:rsid w:val="4CA40487"/>
    <w:rsid w:val="53A30631"/>
    <w:rsid w:val="5EC01F6A"/>
    <w:rsid w:val="63AB51DF"/>
    <w:rsid w:val="649C6DC9"/>
    <w:rsid w:val="659B7251"/>
    <w:rsid w:val="704A1EC4"/>
    <w:rsid w:val="715A78E4"/>
    <w:rsid w:val="7761744D"/>
    <w:rsid w:val="79475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2568</Words>
  <Characters>3098</Characters>
  <Lines>0</Lines>
  <Paragraphs>0</Paragraphs>
  <TotalTime>2</TotalTime>
  <ScaleCrop>false</ScaleCrop>
  <LinksUpToDate>false</LinksUpToDate>
  <CharactersWithSpaces>3168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2022-08-03T03:36:05Z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6DA5C35BFC644FBE8C25A73D313875B5</vt:lpwstr>
  </property>
</Properties>
</file>