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left="0" w:leftChars="0" w:firstLine="0" w:firstLineChars="0"/>
        <w:jc w:val="center"/>
        <w:rPr>
          <w:rFonts w:hint="eastAsia" w:ascii="华文中宋" w:hAnsi="华文中宋" w:eastAsia="华文中宋"/>
          <w:color w:val="auto"/>
          <w:sz w:val="44"/>
          <w:szCs w:val="44"/>
          <w:lang w:val="en-US" w:eastAsia="zh-CN"/>
        </w:rPr>
      </w:pPr>
      <w:bookmarkStart w:id="0" w:name="_Toc32048"/>
      <w:bookmarkStart w:id="1" w:name="_Toc31071"/>
      <w:bookmarkStart w:id="2" w:name="_Toc21118"/>
      <w:r>
        <w:rPr>
          <w:rFonts w:hint="eastAsia" w:ascii="华文中宋" w:hAnsi="华文中宋" w:eastAsia="华文中宋"/>
          <w:color w:val="auto"/>
          <w:sz w:val="44"/>
          <w:szCs w:val="44"/>
          <w:lang w:val="en-US" w:eastAsia="zh-CN"/>
        </w:rPr>
        <w:t>静乐县乡村振兴局</w:t>
      </w:r>
    </w:p>
    <w:p>
      <w:pPr>
        <w:pStyle w:val="4"/>
        <w:ind w:firstLine="1321" w:firstLineChars="300"/>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8"/>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4"/>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5"/>
        <w:rPr>
          <w:rFonts w:hint="eastAsia"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贯彻落实中央、</w:t>
      </w:r>
      <w:r>
        <w:rPr>
          <w:rFonts w:hint="eastAsia" w:ascii="仿宋_GB2312" w:hAnsi="仿宋_GB2312" w:eastAsia="仿宋_GB2312" w:cs="仿宋_GB2312"/>
          <w:sz w:val="32"/>
          <w:szCs w:val="32"/>
          <w:lang w:val="en-US" w:eastAsia="zh-CN"/>
        </w:rPr>
        <w:t>省</w:t>
      </w:r>
      <w:r>
        <w:rPr>
          <w:rFonts w:hint="eastAsia" w:ascii="仿宋_GB2312" w:hAnsi="仿宋_GB2312" w:eastAsia="仿宋_GB2312" w:cs="仿宋_GB2312"/>
          <w:sz w:val="32"/>
          <w:szCs w:val="32"/>
        </w:rPr>
        <w:t>、市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rPr>
        <w:t>有关乡村振兴战略实施。</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（二）围绕“产业兴旺、生态宜居、乡风文明、治理有效、生活富裕”的总要求，分析研判全县实施乡村振兴战略的形式，提出建议措施，推进各阶段工作。</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（三）贯彻落实县委</w:t>
      </w:r>
      <w:r>
        <w:rPr>
          <w:rFonts w:hint="eastAsia" w:ascii="仿宋_GB2312" w:hAnsi="仿宋_GB2312" w:eastAsia="仿宋_GB2312" w:cs="仿宋_GB2312"/>
          <w:sz w:val="32"/>
          <w:szCs w:val="32"/>
          <w:lang w:val="en-US" w:eastAsia="zh-CN"/>
        </w:rPr>
        <w:t>关于乡村振兴有关规定</w:t>
      </w:r>
      <w:r>
        <w:rPr>
          <w:rFonts w:hint="eastAsia" w:ascii="仿宋_GB2312" w:hAnsi="仿宋_GB2312" w:eastAsia="仿宋_GB2312" w:cs="仿宋_GB2312"/>
          <w:sz w:val="32"/>
          <w:szCs w:val="32"/>
        </w:rPr>
        <w:t>，会同有关部门制定全县产业振兴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生态振兴、文化振兴、人才振兴、组织振兴的发展规划，对乡村振兴发展中的重大问题和热点、难点问题进行调查研究，并提出对策建议。</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）负责做好乡村振兴与脱贫攻坚、美丽乡村建设的有效衔接，搭建数据对接平台，总结借鉴经验做法，助推乡村振兴战略实施。</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640" w:firstLineChars="200"/>
        <w:jc w:val="both"/>
        <w:textAlignment w:val="auto"/>
        <w:outlineLvl w:val="9"/>
        <w:rPr>
          <w:rFonts w:hint="eastAsia" w:eastAsia="黑体"/>
          <w:sz w:val="32"/>
          <w:szCs w:val="32"/>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）承办县</w:t>
      </w:r>
      <w:r>
        <w:rPr>
          <w:rFonts w:hint="eastAsia" w:ascii="仿宋_GB2312" w:hAnsi="仿宋_GB2312" w:eastAsia="仿宋_GB2312" w:cs="仿宋_GB2312"/>
          <w:sz w:val="32"/>
          <w:szCs w:val="32"/>
          <w:lang w:val="en-US" w:eastAsia="zh-CN"/>
        </w:rPr>
        <w:t>乡村振兴局</w:t>
      </w:r>
      <w:r>
        <w:rPr>
          <w:rFonts w:hint="eastAsia" w:ascii="仿宋_GB2312" w:hAnsi="仿宋_GB2312" w:eastAsia="仿宋_GB2312" w:cs="仿宋_GB2312"/>
          <w:sz w:val="32"/>
          <w:szCs w:val="32"/>
        </w:rPr>
        <w:t>交办的其他</w:t>
      </w:r>
      <w:r>
        <w:rPr>
          <w:rFonts w:hint="eastAsia" w:ascii="仿宋_GB2312" w:hAnsi="仿宋_GB2312" w:eastAsia="仿宋_GB2312" w:cs="仿宋_GB2312"/>
          <w:sz w:val="32"/>
          <w:szCs w:val="32"/>
          <w:lang w:eastAsia="zh-CN"/>
        </w:rPr>
        <w:t>事项</w:t>
      </w:r>
      <w:r>
        <w:rPr>
          <w:rFonts w:hint="eastAsia" w:ascii="仿宋_GB2312" w:hAnsi="仿宋_GB2312" w:eastAsia="仿宋_GB2312" w:cs="仿宋_GB2312"/>
          <w:sz w:val="32"/>
          <w:szCs w:val="32"/>
        </w:rPr>
        <w:t>。</w:t>
      </w:r>
    </w:p>
    <w:p>
      <w:pPr>
        <w:pStyle w:val="5"/>
        <w:numPr>
          <w:ilvl w:val="0"/>
          <w:numId w:val="2"/>
        </w:numPr>
        <w:rPr>
          <w:rFonts w:hint="eastAsia" w:ascii="仿宋" w:hAnsi="仿宋" w:eastAsia="仿宋" w:cs="仿宋"/>
          <w:b w:val="0"/>
          <w:bCs/>
        </w:rPr>
      </w:pPr>
      <w:bookmarkStart w:id="7" w:name="_Toc9155"/>
      <w:bookmarkStart w:id="8" w:name="_Toc275"/>
      <w:r>
        <w:rPr>
          <w:rFonts w:hint="eastAsia" w:ascii="仿宋" w:hAnsi="仿宋" w:eastAsia="仿宋" w:cs="仿宋"/>
          <w:b w:val="0"/>
          <w:bCs/>
        </w:rPr>
        <w:t>机构设置情况</w:t>
      </w:r>
      <w:bookmarkEnd w:id="7"/>
      <w:bookmarkEnd w:id="8"/>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val="0"/>
          <w:sz w:val="32"/>
          <w:szCs w:val="32"/>
          <w:lang w:eastAsia="zh-CN"/>
        </w:rPr>
        <w:t>综合股：</w:t>
      </w:r>
      <w:r>
        <w:rPr>
          <w:rFonts w:hint="eastAsia" w:ascii="仿宋_GB2312" w:hAnsi="仿宋_GB2312" w:eastAsia="仿宋_GB2312" w:cs="仿宋_GB2312"/>
          <w:sz w:val="32"/>
          <w:szCs w:val="32"/>
          <w:lang w:eastAsia="zh-CN"/>
        </w:rPr>
        <w:t>编制</w:t>
      </w:r>
      <w:r>
        <w:rPr>
          <w:rFonts w:hint="eastAsia" w:ascii="仿宋_GB2312" w:hAnsi="仿宋_GB2312" w:eastAsia="仿宋_GB2312" w:cs="仿宋_GB2312"/>
          <w:sz w:val="32"/>
          <w:szCs w:val="32"/>
          <w:lang w:val="en-US" w:eastAsia="zh-CN"/>
        </w:rPr>
        <w:t>4名。</w:t>
      </w:r>
      <w:r>
        <w:rPr>
          <w:rFonts w:hint="eastAsia" w:ascii="仿宋_GB2312" w:hAnsi="仿宋_GB2312" w:eastAsia="仿宋_GB2312" w:cs="仿宋_GB2312"/>
          <w:b w:val="0"/>
          <w:bCs/>
          <w:sz w:val="32"/>
          <w:szCs w:val="32"/>
        </w:rPr>
        <w:t>负责</w:t>
      </w:r>
      <w:r>
        <w:rPr>
          <w:rFonts w:hint="eastAsia" w:ascii="仿宋_GB2312" w:hAnsi="仿宋_GB2312" w:eastAsia="仿宋_GB2312" w:cs="仿宋_GB2312"/>
          <w:b w:val="0"/>
          <w:bCs/>
          <w:sz w:val="32"/>
          <w:szCs w:val="32"/>
          <w:lang w:eastAsia="zh-CN"/>
        </w:rPr>
        <w:t>单位日常工作。</w:t>
      </w:r>
      <w:r>
        <w:rPr>
          <w:rFonts w:hint="eastAsia" w:ascii="仿宋_GB2312" w:hAnsi="仿宋_GB2312" w:eastAsia="仿宋_GB2312" w:cs="仿宋_GB2312"/>
          <w:b w:val="0"/>
          <w:bCs/>
          <w:sz w:val="32"/>
          <w:szCs w:val="32"/>
        </w:rPr>
        <w:t>贯彻落实中央、</w:t>
      </w:r>
      <w:r>
        <w:rPr>
          <w:rFonts w:hint="eastAsia" w:ascii="仿宋_GB2312" w:hAnsi="仿宋_GB2312" w:eastAsia="仿宋_GB2312" w:cs="仿宋_GB2312"/>
          <w:b w:val="0"/>
          <w:bCs/>
          <w:sz w:val="32"/>
          <w:szCs w:val="32"/>
          <w:lang w:val="en-US" w:eastAsia="zh-CN"/>
        </w:rPr>
        <w:t>省</w:t>
      </w:r>
      <w:r>
        <w:rPr>
          <w:rFonts w:hint="eastAsia" w:ascii="仿宋_GB2312" w:hAnsi="仿宋_GB2312" w:eastAsia="仿宋_GB2312" w:cs="仿宋_GB2312"/>
          <w:b w:val="0"/>
          <w:bCs/>
          <w:sz w:val="32"/>
          <w:szCs w:val="32"/>
        </w:rPr>
        <w:t>、市</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县</w:t>
      </w:r>
      <w:r>
        <w:rPr>
          <w:rFonts w:hint="eastAsia" w:ascii="仿宋_GB2312" w:hAnsi="仿宋_GB2312" w:eastAsia="仿宋_GB2312" w:cs="仿宋_GB2312"/>
          <w:b w:val="0"/>
          <w:bCs/>
          <w:sz w:val="32"/>
          <w:szCs w:val="32"/>
        </w:rPr>
        <w:t>有关乡村振兴战略实施，分析研判全县实施乡村振兴战略的形式，提出建议措施，推进各阶段工作</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负责做好乡村振兴与脱贫攻坚、美丽乡村建设的有效衔接，搭建数据对接平台，助推乡村振兴战略实施。贯彻落实县委</w:t>
      </w:r>
      <w:r>
        <w:rPr>
          <w:rFonts w:hint="eastAsia" w:ascii="仿宋_GB2312" w:hAnsi="仿宋_GB2312" w:eastAsia="仿宋_GB2312" w:cs="仿宋_GB2312"/>
          <w:b w:val="0"/>
          <w:bCs/>
          <w:sz w:val="32"/>
          <w:szCs w:val="32"/>
          <w:lang w:val="en-US" w:eastAsia="zh-CN"/>
        </w:rPr>
        <w:t>关于乡村振兴有关规定</w:t>
      </w:r>
      <w:r>
        <w:rPr>
          <w:rFonts w:hint="eastAsia" w:ascii="仿宋_GB2312" w:hAnsi="仿宋_GB2312" w:eastAsia="仿宋_GB2312" w:cs="仿宋_GB2312"/>
          <w:b w:val="0"/>
          <w:bCs/>
          <w:sz w:val="32"/>
          <w:szCs w:val="32"/>
        </w:rPr>
        <w:t>，会同有关部门制定全县发展规划，对乡村振兴发展中的</w:t>
      </w:r>
      <w:r>
        <w:rPr>
          <w:rFonts w:hint="eastAsia" w:ascii="仿宋_GB2312" w:hAnsi="仿宋_GB2312" w:eastAsia="仿宋_GB2312" w:cs="仿宋_GB2312"/>
          <w:b w:val="0"/>
          <w:bCs/>
          <w:sz w:val="32"/>
          <w:szCs w:val="32"/>
          <w:lang w:val="en-US" w:eastAsia="zh-CN"/>
        </w:rPr>
        <w:t>项目等内容</w:t>
      </w:r>
      <w:r>
        <w:rPr>
          <w:rFonts w:hint="eastAsia" w:ascii="仿宋_GB2312" w:hAnsi="仿宋_GB2312" w:eastAsia="仿宋_GB2312" w:cs="仿宋_GB2312"/>
          <w:b w:val="0"/>
          <w:bCs/>
          <w:sz w:val="32"/>
          <w:szCs w:val="32"/>
        </w:rPr>
        <w:t>进行</w:t>
      </w:r>
      <w:r>
        <w:rPr>
          <w:rFonts w:hint="eastAsia" w:ascii="仿宋_GB2312" w:hAnsi="仿宋_GB2312" w:eastAsia="仿宋_GB2312" w:cs="仿宋_GB2312"/>
          <w:b w:val="0"/>
          <w:bCs/>
          <w:sz w:val="32"/>
          <w:szCs w:val="32"/>
          <w:lang w:val="en-US" w:eastAsia="zh-CN"/>
        </w:rPr>
        <w:t>指导实施</w:t>
      </w:r>
      <w:r>
        <w:rPr>
          <w:rFonts w:hint="eastAsia" w:ascii="仿宋_GB2312" w:hAnsi="仿宋_GB2312" w:eastAsia="仿宋_GB2312" w:cs="仿宋_GB2312"/>
          <w:b w:val="0"/>
          <w:bCs/>
          <w:sz w:val="32"/>
          <w:szCs w:val="32"/>
        </w:rPr>
        <w:t>，并提出对策建议。</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 w:eastAsia="仿宋_GB2312" w:cs="仿宋"/>
          <w:kern w:val="2"/>
          <w:sz w:val="32"/>
          <w:szCs w:val="32"/>
          <w:lang w:val="en-US" w:eastAsia="zh-CN" w:bidi="ar-SA"/>
        </w:rPr>
        <w:t>县乡村振兴发展中心</w:t>
      </w:r>
      <w:r>
        <w:rPr>
          <w:rFonts w:hint="eastAsia" w:ascii="仿宋_GB2312" w:hAnsi="仿宋_GB2312" w:eastAsia="仿宋_GB2312" w:cs="仿宋_GB2312"/>
          <w:sz w:val="32"/>
          <w:szCs w:val="32"/>
          <w:lang w:eastAsia="zh-CN"/>
        </w:rPr>
        <w:t>财政拨款事业</w:t>
      </w:r>
      <w:r>
        <w:rPr>
          <w:rFonts w:hint="eastAsia" w:ascii="仿宋_GB2312" w:hAnsi="仿宋_GB2312" w:eastAsia="仿宋_GB2312" w:cs="仿宋_GB2312"/>
          <w:sz w:val="32"/>
          <w:szCs w:val="32"/>
        </w:rPr>
        <w:t>编制</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名。设主任1名。</w:t>
      </w:r>
    </w:p>
    <w:p>
      <w:pPr>
        <w:numPr>
          <w:ilvl w:val="0"/>
          <w:numId w:val="0"/>
        </w:numPr>
        <w:rPr>
          <w:rFonts w:hint="eastAsia"/>
          <w:lang w:val="en-US" w:eastAsia="zh-CN"/>
        </w:rPr>
      </w:pPr>
      <w:r>
        <w:rPr>
          <w:rFonts w:hint="eastAsia"/>
          <w:lang w:val="en-US" w:eastAsia="zh-CN"/>
        </w:rPr>
        <w:t xml:space="preserve"> </w:t>
      </w:r>
      <w:bookmarkStart w:id="9" w:name="_Toc12749"/>
    </w:p>
    <w:p>
      <w:pPr>
        <w:numPr>
          <w:ilvl w:val="0"/>
          <w:numId w:val="0"/>
        </w:numPr>
        <w:ind w:firstLine="723" w:firstLineChars="200"/>
        <w:rPr>
          <w:rFonts w:hint="eastAsia"/>
          <w:b/>
          <w:bCs w:val="0"/>
          <w:sz w:val="36"/>
          <w:szCs w:val="36"/>
          <w:lang w:val="en-US" w:eastAsia="zh-CN"/>
        </w:rPr>
      </w:pPr>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4"/>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5"/>
        <w:rPr>
          <w:rFonts w:hint="eastAsia" w:ascii="仿宋" w:hAnsi="仿宋" w:eastAsia="仿宋" w:cs="仿宋"/>
          <w:b/>
          <w:bCs w:val="0"/>
          <w:lang w:val="en-US" w:eastAsia="zh-CN"/>
        </w:rPr>
      </w:pPr>
      <w:bookmarkStart w:id="11" w:name="_Toc437"/>
      <w:bookmarkStart w:id="12" w:name="_Toc871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2754.43</w:t>
      </w:r>
      <w:r>
        <w:rPr>
          <w:rFonts w:hint="eastAsia" w:ascii="仿宋_GB2312"/>
          <w:color w:val="auto"/>
          <w:szCs w:val="32"/>
        </w:rPr>
        <w:t>万元、支出总计</w:t>
      </w:r>
      <w:r>
        <w:rPr>
          <w:rFonts w:hint="eastAsia" w:ascii="仿宋_GB2312"/>
          <w:color w:val="auto"/>
          <w:szCs w:val="32"/>
          <w:lang w:val="en-US" w:eastAsia="zh-CN"/>
        </w:rPr>
        <w:t>2754.43</w:t>
      </w:r>
      <w:r>
        <w:rPr>
          <w:rFonts w:hint="eastAsia" w:ascii="仿宋_GB2312"/>
          <w:color w:val="auto"/>
          <w:szCs w:val="32"/>
        </w:rPr>
        <w:t>万元</w:t>
      </w:r>
      <w:r>
        <w:rPr>
          <w:rFonts w:hint="eastAsia" w:ascii="仿宋_GB2312"/>
          <w:color w:val="auto"/>
          <w:szCs w:val="32"/>
          <w:lang w:eastAsia="zh-CN"/>
        </w:rPr>
        <w:t>，</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年相比，收入总计减少</w:t>
      </w:r>
      <w:r>
        <w:rPr>
          <w:rFonts w:hint="eastAsia" w:ascii="仿宋_GB2312"/>
          <w:color w:val="auto"/>
          <w:szCs w:val="32"/>
          <w:lang w:val="en-US" w:eastAsia="zh-CN"/>
        </w:rPr>
        <w:t>6023.03</w:t>
      </w:r>
      <w:r>
        <w:rPr>
          <w:rFonts w:hint="eastAsia" w:ascii="仿宋_GB2312"/>
          <w:color w:val="auto"/>
          <w:szCs w:val="32"/>
        </w:rPr>
        <w:t>万元，下降</w:t>
      </w:r>
      <w:r>
        <w:rPr>
          <w:rFonts w:hint="eastAsia" w:ascii="仿宋_GB2312"/>
          <w:color w:val="auto"/>
          <w:szCs w:val="32"/>
          <w:lang w:val="en-US" w:eastAsia="zh-CN"/>
        </w:rPr>
        <w:t>68.62</w:t>
      </w:r>
      <w:r>
        <w:rPr>
          <w:rFonts w:hint="eastAsia" w:ascii="仿宋_GB2312"/>
          <w:color w:val="auto"/>
          <w:szCs w:val="32"/>
        </w:rPr>
        <w:t>%，</w:t>
      </w:r>
      <w:r>
        <w:rPr>
          <w:rFonts w:ascii="仿宋_GB2312"/>
          <w:color w:val="auto"/>
          <w:szCs w:val="32"/>
        </w:rPr>
        <w:t>支出总计减少</w:t>
      </w:r>
      <w:r>
        <w:rPr>
          <w:rFonts w:hint="eastAsia" w:ascii="仿宋_GB2312"/>
          <w:color w:val="auto"/>
          <w:szCs w:val="32"/>
          <w:lang w:val="en-US" w:eastAsia="zh-CN"/>
        </w:rPr>
        <w:t>6023.03</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68.62</w:t>
      </w:r>
      <w:r>
        <w:rPr>
          <w:rFonts w:ascii="仿宋_GB2312"/>
          <w:color w:val="auto"/>
          <w:szCs w:val="32"/>
        </w:rPr>
        <w:t>%</w:t>
      </w:r>
      <w:r>
        <w:rPr>
          <w:rFonts w:hint="eastAsia" w:ascii="仿宋_GB2312"/>
          <w:color w:val="auto"/>
          <w:szCs w:val="32"/>
        </w:rPr>
        <w:t>。主要原因是</w:t>
      </w:r>
      <w:r>
        <w:rPr>
          <w:rFonts w:hint="eastAsia" w:ascii="仿宋_GB2312"/>
          <w:color w:val="auto"/>
          <w:szCs w:val="32"/>
          <w:lang w:eastAsia="zh-CN"/>
        </w:rPr>
        <w:t>本年度易地扶贫搬迁项目拆除复垦贷款资金减少导致</w:t>
      </w:r>
      <w:r>
        <w:rPr>
          <w:rFonts w:hint="eastAsia" w:ascii="仿宋_GB2312"/>
          <w:color w:val="auto"/>
          <w:szCs w:val="32"/>
        </w:rPr>
        <w:t>。</w:t>
      </w:r>
    </w:p>
    <w:p>
      <w:pPr>
        <w:pStyle w:val="5"/>
        <w:rPr>
          <w:rFonts w:hint="eastAsia" w:ascii="仿宋" w:hAnsi="仿宋" w:eastAsia="仿宋" w:cs="仿宋"/>
          <w:b/>
          <w:bCs w:val="0"/>
          <w:color w:val="auto"/>
          <w:lang w:val="en-US" w:eastAsia="zh-CN"/>
        </w:rPr>
      </w:pPr>
      <w:bookmarkStart w:id="13" w:name="_Toc17404"/>
      <w:bookmarkStart w:id="14" w:name="_Toc1675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本年收入合计</w:t>
      </w:r>
      <w:r>
        <w:rPr>
          <w:rFonts w:hint="eastAsia" w:ascii="仿宋_GB2312"/>
          <w:color w:val="auto"/>
          <w:szCs w:val="32"/>
          <w:lang w:val="en-US" w:eastAsia="zh-CN"/>
        </w:rPr>
        <w:t>2754.43</w:t>
      </w:r>
      <w:r>
        <w:rPr>
          <w:rFonts w:hint="eastAsia" w:ascii="仿宋_GB2312"/>
          <w:color w:val="auto"/>
          <w:szCs w:val="32"/>
        </w:rPr>
        <w:t>万元，其中：财政拨款收入</w:t>
      </w:r>
      <w:r>
        <w:rPr>
          <w:rFonts w:hint="eastAsia" w:ascii="仿宋_GB2312"/>
          <w:color w:val="auto"/>
          <w:szCs w:val="32"/>
          <w:lang w:val="en-US" w:eastAsia="zh-CN"/>
        </w:rPr>
        <w:t>2754.43</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r>
        <w:rPr>
          <w:rFonts w:hint="eastAsia" w:ascii="仿宋_GB2312"/>
          <w:color w:val="auto"/>
          <w:szCs w:val="32"/>
          <w:lang w:eastAsia="zh-CN"/>
        </w:rPr>
        <w:t>。</w:t>
      </w:r>
    </w:p>
    <w:p>
      <w:pPr>
        <w:pStyle w:val="5"/>
        <w:rPr>
          <w:rFonts w:hint="eastAsia" w:ascii="仿宋" w:hAnsi="仿宋" w:eastAsia="仿宋" w:cs="仿宋"/>
          <w:b/>
          <w:bCs w:val="0"/>
          <w:color w:val="auto"/>
          <w:lang w:val="en-US" w:eastAsia="zh-CN"/>
        </w:rPr>
      </w:pPr>
      <w:bookmarkStart w:id="15" w:name="_Toc9596"/>
      <w:bookmarkStart w:id="16" w:name="_Toc22098"/>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本年支出合计</w:t>
      </w:r>
      <w:r>
        <w:rPr>
          <w:rFonts w:hint="eastAsia" w:ascii="仿宋_GB2312"/>
          <w:color w:val="auto"/>
          <w:szCs w:val="32"/>
          <w:lang w:val="en-US" w:eastAsia="zh-CN"/>
        </w:rPr>
        <w:t>2754.43</w:t>
      </w:r>
      <w:r>
        <w:rPr>
          <w:rFonts w:hint="eastAsia" w:ascii="仿宋_GB2312"/>
          <w:color w:val="auto"/>
          <w:szCs w:val="32"/>
        </w:rPr>
        <w:t>万元，其中：基本支出</w:t>
      </w:r>
      <w:r>
        <w:rPr>
          <w:rFonts w:hint="eastAsia" w:ascii="仿宋_GB2312"/>
          <w:color w:val="auto"/>
          <w:szCs w:val="32"/>
          <w:lang w:val="en-US" w:eastAsia="zh-CN"/>
        </w:rPr>
        <w:t>76.72</w:t>
      </w:r>
      <w:r>
        <w:rPr>
          <w:rFonts w:hint="eastAsia" w:ascii="仿宋_GB2312"/>
          <w:color w:val="auto"/>
          <w:szCs w:val="32"/>
        </w:rPr>
        <w:t>万元，占比</w:t>
      </w:r>
      <w:r>
        <w:rPr>
          <w:rFonts w:hint="eastAsia" w:ascii="仿宋_GB2312"/>
          <w:color w:val="auto"/>
          <w:szCs w:val="32"/>
          <w:lang w:val="en-US" w:eastAsia="zh-CN"/>
        </w:rPr>
        <w:t>2.78</w:t>
      </w:r>
      <w:r>
        <w:rPr>
          <w:rFonts w:hint="eastAsia" w:ascii="仿宋_GB2312"/>
          <w:color w:val="auto"/>
          <w:szCs w:val="32"/>
        </w:rPr>
        <w:t>%；项目支出</w:t>
      </w:r>
      <w:r>
        <w:rPr>
          <w:rFonts w:hint="eastAsia" w:ascii="仿宋_GB2312"/>
          <w:color w:val="auto"/>
          <w:szCs w:val="32"/>
          <w:lang w:val="en-US" w:eastAsia="zh-CN"/>
        </w:rPr>
        <w:t>2677.71</w:t>
      </w:r>
      <w:r>
        <w:rPr>
          <w:rFonts w:hint="eastAsia" w:ascii="仿宋_GB2312"/>
          <w:color w:val="auto"/>
          <w:szCs w:val="32"/>
        </w:rPr>
        <w:t>万元，占比</w:t>
      </w:r>
      <w:r>
        <w:rPr>
          <w:rFonts w:hint="eastAsia" w:ascii="仿宋_GB2312"/>
          <w:color w:val="auto"/>
          <w:szCs w:val="32"/>
          <w:lang w:val="en-US" w:eastAsia="zh-CN"/>
        </w:rPr>
        <w:t>97.22</w:t>
      </w:r>
      <w:r>
        <w:rPr>
          <w:rFonts w:hint="eastAsia" w:ascii="仿宋_GB2312"/>
          <w:color w:val="auto"/>
          <w:szCs w:val="32"/>
        </w:rPr>
        <w:t>%</w:t>
      </w:r>
      <w:r>
        <w:rPr>
          <w:rFonts w:hint="eastAsia" w:ascii="仿宋_GB2312"/>
          <w:color w:val="auto"/>
          <w:szCs w:val="32"/>
          <w:lang w:eastAsia="zh-CN"/>
        </w:rPr>
        <w:t>。</w:t>
      </w:r>
    </w:p>
    <w:p>
      <w:pPr>
        <w:pStyle w:val="5"/>
        <w:rPr>
          <w:rFonts w:hint="eastAsia" w:ascii="仿宋" w:hAnsi="仿宋" w:eastAsia="仿宋" w:cs="仿宋"/>
          <w:b/>
          <w:bCs w:val="0"/>
          <w:color w:val="auto"/>
          <w:lang w:val="en-US" w:eastAsia="zh-CN"/>
        </w:rPr>
      </w:pPr>
      <w:bookmarkStart w:id="17" w:name="_Toc2142"/>
      <w:bookmarkStart w:id="18" w:name="_Toc4614"/>
      <w:r>
        <w:rPr>
          <w:rFonts w:hint="eastAsia" w:ascii="仿宋" w:hAnsi="仿宋" w:eastAsia="仿宋" w:cs="仿宋"/>
          <w:b/>
          <w:bCs w:val="0"/>
          <w:color w:val="auto"/>
          <w:lang w:val="en-US" w:eastAsia="zh-CN"/>
        </w:rPr>
        <w:t>四、财政拨款收入支出决算总体情况说明</w:t>
      </w:r>
      <w:bookmarkEnd w:id="17"/>
      <w:bookmarkEnd w:id="18"/>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2754.43</w:t>
      </w:r>
      <w:r>
        <w:rPr>
          <w:rFonts w:hint="eastAsia" w:ascii="仿宋_GB2312"/>
          <w:color w:val="auto"/>
          <w:szCs w:val="32"/>
        </w:rPr>
        <w:t>万元、支出总计</w:t>
      </w:r>
      <w:r>
        <w:rPr>
          <w:rFonts w:hint="eastAsia" w:ascii="仿宋_GB2312"/>
          <w:color w:val="auto"/>
          <w:szCs w:val="32"/>
          <w:lang w:val="en-US" w:eastAsia="zh-CN"/>
        </w:rPr>
        <w:t>2754.43</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年相比，财政拨款收入总计减少</w:t>
      </w:r>
      <w:r>
        <w:rPr>
          <w:rFonts w:hint="eastAsia" w:ascii="仿宋_GB2312"/>
          <w:color w:val="auto"/>
          <w:szCs w:val="32"/>
          <w:lang w:val="en-US" w:eastAsia="zh-CN"/>
        </w:rPr>
        <w:t>6023.03</w:t>
      </w:r>
      <w:r>
        <w:rPr>
          <w:rFonts w:hint="eastAsia" w:ascii="仿宋_GB2312"/>
          <w:color w:val="auto"/>
          <w:szCs w:val="32"/>
        </w:rPr>
        <w:t>万元，下降</w:t>
      </w:r>
      <w:r>
        <w:rPr>
          <w:rFonts w:hint="eastAsia" w:ascii="仿宋_GB2312"/>
          <w:color w:val="auto"/>
          <w:szCs w:val="32"/>
          <w:lang w:val="en-US" w:eastAsia="zh-CN"/>
        </w:rPr>
        <w:t>68.62</w:t>
      </w:r>
      <w:r>
        <w:rPr>
          <w:rFonts w:hint="eastAsia" w:ascii="仿宋_GB2312"/>
          <w:color w:val="auto"/>
          <w:szCs w:val="32"/>
        </w:rPr>
        <w:t>%，财政拨款支出总计减少</w:t>
      </w:r>
      <w:r>
        <w:rPr>
          <w:rFonts w:hint="eastAsia" w:ascii="仿宋_GB2312"/>
          <w:color w:val="auto"/>
          <w:szCs w:val="32"/>
          <w:lang w:val="en-US" w:eastAsia="zh-CN"/>
        </w:rPr>
        <w:t>6023.03</w:t>
      </w:r>
      <w:r>
        <w:rPr>
          <w:rFonts w:hint="eastAsia" w:ascii="仿宋_GB2312"/>
          <w:color w:val="auto"/>
          <w:szCs w:val="32"/>
        </w:rPr>
        <w:t>万元，下降</w:t>
      </w:r>
      <w:r>
        <w:rPr>
          <w:rFonts w:hint="eastAsia" w:ascii="仿宋_GB2312"/>
          <w:color w:val="auto"/>
          <w:szCs w:val="32"/>
          <w:lang w:val="en-US" w:eastAsia="zh-CN"/>
        </w:rPr>
        <w:t>68.62</w:t>
      </w:r>
      <w:r>
        <w:rPr>
          <w:rFonts w:hint="eastAsia" w:ascii="仿宋_GB2312"/>
          <w:color w:val="auto"/>
          <w:szCs w:val="32"/>
        </w:rPr>
        <w:t>%。主要原因是</w:t>
      </w:r>
      <w:r>
        <w:rPr>
          <w:rFonts w:hint="eastAsia" w:ascii="仿宋_GB2312"/>
          <w:color w:val="auto"/>
          <w:szCs w:val="32"/>
          <w:lang w:eastAsia="zh-CN"/>
        </w:rPr>
        <w:t>本年度项目易地扶贫搬迁拆除复垦贷款资金减少导致</w:t>
      </w:r>
      <w:r>
        <w:rPr>
          <w:rFonts w:hint="eastAsia" w:ascii="仿宋_GB2312"/>
          <w:color w:val="auto"/>
          <w:szCs w:val="32"/>
        </w:rPr>
        <w:t>。</w:t>
      </w:r>
    </w:p>
    <w:p>
      <w:pPr>
        <w:pStyle w:val="5"/>
        <w:rPr>
          <w:rFonts w:hint="eastAsia" w:ascii="仿宋" w:hAnsi="仿宋" w:eastAsia="仿宋" w:cs="仿宋"/>
          <w:b/>
          <w:bCs w:val="0"/>
          <w:color w:val="auto"/>
          <w:lang w:val="en-US" w:eastAsia="zh-CN"/>
        </w:rPr>
      </w:pPr>
      <w:bookmarkStart w:id="19" w:name="_Toc9341"/>
      <w:bookmarkStart w:id="20" w:name="_Toc650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2754.43</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年相比，财政拨款支出减少</w:t>
      </w:r>
      <w:r>
        <w:rPr>
          <w:rFonts w:hint="eastAsia" w:ascii="仿宋_GB2312"/>
          <w:color w:val="auto"/>
          <w:szCs w:val="32"/>
          <w:lang w:val="en-US" w:eastAsia="zh-CN"/>
        </w:rPr>
        <w:t>6023.03</w:t>
      </w:r>
      <w:r>
        <w:rPr>
          <w:rFonts w:hint="eastAsia" w:ascii="仿宋_GB2312"/>
          <w:color w:val="auto"/>
          <w:szCs w:val="32"/>
        </w:rPr>
        <w:t>万元，下降</w:t>
      </w:r>
      <w:r>
        <w:rPr>
          <w:rFonts w:hint="eastAsia" w:ascii="仿宋_GB2312"/>
          <w:color w:val="auto"/>
          <w:szCs w:val="32"/>
          <w:lang w:val="en-US" w:eastAsia="zh-CN"/>
        </w:rPr>
        <w:t>68.62</w:t>
      </w:r>
      <w:r>
        <w:rPr>
          <w:rFonts w:hint="eastAsia" w:ascii="仿宋_GB2312"/>
          <w:color w:val="auto"/>
          <w:szCs w:val="32"/>
        </w:rPr>
        <w:t>%。主要原因是</w:t>
      </w:r>
      <w:r>
        <w:rPr>
          <w:rFonts w:hint="eastAsia" w:ascii="仿宋_GB2312"/>
          <w:color w:val="auto"/>
          <w:szCs w:val="32"/>
          <w:lang w:eastAsia="zh-CN"/>
        </w:rPr>
        <w:t>本年度项目易地扶贫搬迁拆除复垦贷款资金减少导致</w:t>
      </w:r>
      <w:r>
        <w:rPr>
          <w:rFonts w:hint="eastAsia" w:ascii="仿宋_GB2312"/>
          <w:color w:val="auto"/>
          <w:szCs w:val="32"/>
        </w:rPr>
        <w:t>。其中，</w:t>
      </w:r>
      <w:r>
        <w:rPr>
          <w:rFonts w:hint="eastAsia" w:ascii="仿宋_GB2312"/>
          <w:color w:val="auto"/>
          <w:szCs w:val="32"/>
          <w:lang w:val="en-US" w:eastAsia="zh-CN"/>
        </w:rPr>
        <w:t>政府性基金预算支出0</w:t>
      </w:r>
      <w:r>
        <w:rPr>
          <w:rFonts w:hint="eastAsia" w:ascii="仿宋_GB2312"/>
          <w:color w:val="auto"/>
          <w:szCs w:val="32"/>
        </w:rPr>
        <w:t>万元。</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2754.43</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农林水</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2754.43</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821.16</w:t>
      </w:r>
      <w:r>
        <w:rPr>
          <w:rFonts w:hint="eastAsia"/>
          <w:color w:val="auto"/>
          <w:szCs w:val="32"/>
        </w:rPr>
        <w:t>万元，调整预算数</w:t>
      </w:r>
      <w:r>
        <w:rPr>
          <w:rFonts w:hint="eastAsia"/>
          <w:color w:val="auto"/>
          <w:szCs w:val="32"/>
          <w:lang w:val="en-US" w:eastAsia="zh-CN"/>
        </w:rPr>
        <w:t>2754.43</w:t>
      </w:r>
      <w:r>
        <w:rPr>
          <w:rFonts w:hint="eastAsia"/>
          <w:color w:val="auto"/>
          <w:szCs w:val="32"/>
        </w:rPr>
        <w:t>万元</w:t>
      </w:r>
      <w:r>
        <w:rPr>
          <w:rFonts w:hint="eastAsia"/>
          <w:color w:val="auto"/>
          <w:szCs w:val="32"/>
          <w:lang w:eastAsia="zh-CN"/>
        </w:rPr>
        <w:t>，</w:t>
      </w:r>
      <w:r>
        <w:rPr>
          <w:rFonts w:hint="eastAsia"/>
          <w:color w:val="auto"/>
          <w:szCs w:val="32"/>
        </w:rPr>
        <w:t>支出决算</w:t>
      </w:r>
      <w:r>
        <w:rPr>
          <w:rFonts w:hint="eastAsia"/>
          <w:color w:val="auto"/>
          <w:szCs w:val="32"/>
          <w:lang w:val="en-US" w:eastAsia="zh-CN"/>
        </w:rPr>
        <w:t>2754.43</w:t>
      </w:r>
      <w:r>
        <w:rPr>
          <w:rFonts w:hint="eastAsia"/>
          <w:color w:val="auto"/>
          <w:szCs w:val="32"/>
        </w:rPr>
        <w:t>万元，完成</w:t>
      </w:r>
      <w:r>
        <w:rPr>
          <w:rFonts w:hint="eastAsia"/>
          <w:color w:val="auto"/>
          <w:szCs w:val="32"/>
          <w:lang w:val="en-US" w:eastAsia="zh-CN"/>
        </w:rPr>
        <w:t>年度</w:t>
      </w:r>
      <w:r>
        <w:rPr>
          <w:rFonts w:hint="eastAsia"/>
          <w:color w:val="auto"/>
          <w:szCs w:val="32"/>
        </w:rPr>
        <w:t>预算的</w:t>
      </w:r>
      <w:r>
        <w:rPr>
          <w:rFonts w:hint="eastAsia"/>
          <w:color w:val="auto"/>
          <w:szCs w:val="32"/>
          <w:lang w:val="en-US" w:eastAsia="zh-CN"/>
        </w:rPr>
        <w:t>100</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2"/>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1588" w:type="dxa"/>
            <w:vAlign w:val="top"/>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10</w:t>
            </w:r>
          </w:p>
        </w:tc>
        <w:tc>
          <w:tcPr>
            <w:tcW w:w="2479" w:type="dxa"/>
            <w:vAlign w:val="top"/>
          </w:tcPr>
          <w:p>
            <w:pPr>
              <w:ind w:left="0" w:leftChars="0" w:firstLine="0" w:firstLineChars="0"/>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卫生健康支出</w:t>
            </w:r>
          </w:p>
        </w:tc>
        <w:tc>
          <w:tcPr>
            <w:tcW w:w="1876" w:type="dxa"/>
            <w:vAlign w:val="center"/>
          </w:tcPr>
          <w:p>
            <w:pPr>
              <w:keepNext w:val="0"/>
              <w:keepLines w:val="0"/>
              <w:widowControl/>
              <w:suppressLineNumbers w:val="0"/>
              <w:jc w:val="lef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p>
        </w:tc>
        <w:tc>
          <w:tcPr>
            <w:tcW w:w="1684" w:type="dxa"/>
            <w:vAlign w:val="center"/>
          </w:tcPr>
          <w:p>
            <w:pPr>
              <w:keepNext w:val="0"/>
              <w:keepLines w:val="0"/>
              <w:widowControl/>
              <w:suppressLineNumbers w:val="0"/>
              <w:jc w:val="left"/>
              <w:textAlignment w:val="center"/>
              <w:rPr>
                <w:rFonts w:hint="eastAsia" w:ascii="仿宋" w:hAnsi="仿宋" w:eastAsia="仿宋" w:cs="仿宋"/>
                <w:color w:val="auto"/>
                <w:sz w:val="24"/>
                <w:szCs w:val="24"/>
              </w:rPr>
            </w:pPr>
          </w:p>
        </w:tc>
        <w:tc>
          <w:tcPr>
            <w:tcW w:w="1393" w:type="dxa"/>
            <w:vAlign w:val="top"/>
          </w:tcPr>
          <w:p>
            <w:pPr>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1004</w:t>
            </w:r>
          </w:p>
        </w:tc>
        <w:tc>
          <w:tcPr>
            <w:tcW w:w="2479" w:type="dxa"/>
            <w:vAlign w:val="top"/>
          </w:tcPr>
          <w:p>
            <w:pPr>
              <w:ind w:firstLine="480" w:firstLineChars="200"/>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公共卫生</w:t>
            </w:r>
          </w:p>
        </w:tc>
        <w:tc>
          <w:tcPr>
            <w:tcW w:w="1876" w:type="dxa"/>
            <w:vAlign w:val="center"/>
          </w:tcPr>
          <w:p>
            <w:pPr>
              <w:keepNext w:val="0"/>
              <w:keepLines w:val="0"/>
              <w:widowControl/>
              <w:suppressLineNumbers w:val="0"/>
              <w:jc w:val="lef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p>
        </w:tc>
        <w:tc>
          <w:tcPr>
            <w:tcW w:w="1684" w:type="dxa"/>
            <w:vAlign w:val="center"/>
          </w:tcPr>
          <w:p>
            <w:pPr>
              <w:keepNext w:val="0"/>
              <w:keepLines w:val="0"/>
              <w:widowControl/>
              <w:suppressLineNumbers w:val="0"/>
              <w:jc w:val="left"/>
              <w:textAlignment w:val="center"/>
              <w:rPr>
                <w:rFonts w:hint="eastAsia" w:ascii="仿宋" w:hAnsi="仿宋" w:eastAsia="仿宋" w:cs="仿宋"/>
                <w:color w:val="auto"/>
                <w:sz w:val="24"/>
                <w:szCs w:val="24"/>
                <w:lang w:val="en-US" w:eastAsia="zh-CN"/>
              </w:rPr>
            </w:pPr>
          </w:p>
        </w:tc>
        <w:tc>
          <w:tcPr>
            <w:tcW w:w="1393" w:type="dxa"/>
            <w:vAlign w:val="top"/>
          </w:tcPr>
          <w:p>
            <w:pPr>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100410</w:t>
            </w:r>
          </w:p>
        </w:tc>
        <w:tc>
          <w:tcPr>
            <w:tcW w:w="2479" w:type="dxa"/>
            <w:vAlign w:val="top"/>
          </w:tcPr>
          <w:p>
            <w:pPr>
              <w:jc w:val="left"/>
              <w:rPr>
                <w:rFonts w:hint="eastAsia" w:ascii="仿宋" w:hAnsi="仿宋" w:eastAsia="仿宋" w:cs="仿宋"/>
                <w:color w:val="auto"/>
                <w:sz w:val="24"/>
                <w:szCs w:val="24"/>
              </w:rPr>
            </w:pPr>
            <w:r>
              <w:rPr>
                <w:rFonts w:hint="eastAsia" w:ascii="宋体" w:hAnsi="宋体" w:eastAsia="宋体" w:cs="宋体"/>
                <w:i w:val="0"/>
                <w:color w:val="auto"/>
                <w:kern w:val="0"/>
                <w:sz w:val="15"/>
                <w:szCs w:val="15"/>
                <w:u w:val="none"/>
                <w:lang w:val="en-US" w:eastAsia="zh-CN" w:bidi="ar"/>
              </w:rPr>
              <w:t xml:space="preserve"> 突发公共卫生事件应急处理</w:t>
            </w:r>
          </w:p>
        </w:tc>
        <w:tc>
          <w:tcPr>
            <w:tcW w:w="1876" w:type="dxa"/>
            <w:vAlign w:val="center"/>
          </w:tcPr>
          <w:p>
            <w:pPr>
              <w:keepNext w:val="0"/>
              <w:keepLines w:val="0"/>
              <w:widowControl/>
              <w:suppressLineNumbers w:val="0"/>
              <w:jc w:val="lef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p>
        </w:tc>
        <w:tc>
          <w:tcPr>
            <w:tcW w:w="1684" w:type="dxa"/>
            <w:vAlign w:val="center"/>
          </w:tcPr>
          <w:p>
            <w:pPr>
              <w:keepNext w:val="0"/>
              <w:keepLines w:val="0"/>
              <w:widowControl/>
              <w:suppressLineNumbers w:val="0"/>
              <w:jc w:val="left"/>
              <w:textAlignment w:val="center"/>
              <w:rPr>
                <w:rFonts w:hint="eastAsia" w:ascii="仿宋" w:hAnsi="仿宋" w:eastAsia="仿宋" w:cs="仿宋"/>
                <w:color w:val="auto"/>
                <w:sz w:val="24"/>
                <w:szCs w:val="24"/>
                <w:lang w:val="en-US" w:eastAsia="zh-CN"/>
              </w:rPr>
            </w:pPr>
          </w:p>
        </w:tc>
        <w:tc>
          <w:tcPr>
            <w:tcW w:w="1393" w:type="dxa"/>
            <w:vAlign w:val="top"/>
          </w:tcPr>
          <w:p>
            <w:pPr>
              <w:ind w:left="0" w:leftChars="0" w:firstLine="480" w:firstLineChars="200"/>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1588" w:type="dxa"/>
            <w:vAlign w:val="top"/>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w:t>
            </w:r>
          </w:p>
        </w:tc>
        <w:tc>
          <w:tcPr>
            <w:tcW w:w="2479" w:type="dxa"/>
            <w:vAlign w:val="top"/>
          </w:tcPr>
          <w:p>
            <w:pPr>
              <w:ind w:left="0" w:leftChars="0" w:firstLine="0" w:firstLineChars="0"/>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农林水支出</w:t>
            </w:r>
          </w:p>
        </w:tc>
        <w:tc>
          <w:tcPr>
            <w:tcW w:w="1876"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8772.46</w:t>
            </w:r>
          </w:p>
        </w:tc>
        <w:tc>
          <w:tcPr>
            <w:tcW w:w="1684"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2754.43</w:t>
            </w:r>
          </w:p>
        </w:tc>
        <w:tc>
          <w:tcPr>
            <w:tcW w:w="1393" w:type="dxa"/>
            <w:vAlign w:val="top"/>
          </w:tcPr>
          <w:p>
            <w:pPr>
              <w:ind w:left="0" w:leftChars="0" w:firstLine="240" w:firstLineChars="100"/>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-68.62%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1305</w:t>
            </w:r>
          </w:p>
        </w:tc>
        <w:tc>
          <w:tcPr>
            <w:tcW w:w="2479"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扶贫</w:t>
            </w:r>
          </w:p>
        </w:tc>
        <w:tc>
          <w:tcPr>
            <w:tcW w:w="1876" w:type="dxa"/>
            <w:vAlign w:val="center"/>
          </w:tcPr>
          <w:p>
            <w:pPr>
              <w:keepNext w:val="0"/>
              <w:keepLines w:val="0"/>
              <w:widowControl/>
              <w:suppressLineNumbers w:val="0"/>
              <w:jc w:val="left"/>
              <w:textAlignment w:val="center"/>
              <w:rPr>
                <w:rFonts w:hint="default"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1883.32</w:t>
            </w:r>
          </w:p>
        </w:tc>
        <w:tc>
          <w:tcPr>
            <w:tcW w:w="1684" w:type="dxa"/>
            <w:vAlign w:val="center"/>
          </w:tcPr>
          <w:p>
            <w:pPr>
              <w:keepNext w:val="0"/>
              <w:keepLines w:val="0"/>
              <w:widowControl/>
              <w:suppressLineNumbers w:val="0"/>
              <w:jc w:val="lef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2754.43</w:t>
            </w:r>
          </w:p>
        </w:tc>
        <w:tc>
          <w:tcPr>
            <w:tcW w:w="1393" w:type="dxa"/>
            <w:vAlign w:val="top"/>
          </w:tcPr>
          <w:p>
            <w:pPr>
              <w:ind w:left="0" w:leftChars="0" w:firstLine="240" w:firstLineChars="100"/>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130501</w:t>
            </w:r>
          </w:p>
        </w:tc>
        <w:tc>
          <w:tcPr>
            <w:tcW w:w="2479"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行政运行</w:t>
            </w:r>
          </w:p>
        </w:tc>
        <w:tc>
          <w:tcPr>
            <w:tcW w:w="1876" w:type="dxa"/>
            <w:vAlign w:val="center"/>
          </w:tcPr>
          <w:p>
            <w:pPr>
              <w:keepNext w:val="0"/>
              <w:keepLines w:val="0"/>
              <w:widowControl/>
              <w:suppressLineNumbers w:val="0"/>
              <w:jc w:val="left"/>
              <w:textAlignment w:val="center"/>
              <w:rPr>
                <w:rFonts w:hint="default"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355.95</w:t>
            </w:r>
          </w:p>
        </w:tc>
        <w:tc>
          <w:tcPr>
            <w:tcW w:w="1684" w:type="dxa"/>
            <w:vAlign w:val="center"/>
          </w:tcPr>
          <w:p>
            <w:pPr>
              <w:keepNext w:val="0"/>
              <w:keepLines w:val="0"/>
              <w:widowControl/>
              <w:suppressLineNumbers w:val="0"/>
              <w:jc w:val="lef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212.11</w:t>
            </w:r>
          </w:p>
        </w:tc>
        <w:tc>
          <w:tcPr>
            <w:tcW w:w="1393" w:type="dxa"/>
            <w:vAlign w:val="top"/>
          </w:tcPr>
          <w:p>
            <w:pPr>
              <w:ind w:left="0" w:leftChars="0" w:firstLine="240" w:firstLineChars="100"/>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-40.41%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2130502</w:t>
            </w:r>
          </w:p>
        </w:tc>
        <w:tc>
          <w:tcPr>
            <w:tcW w:w="2479"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18"/>
                <w:szCs w:val="18"/>
                <w:lang w:val="en-US" w:eastAsia="zh-CN"/>
              </w:rPr>
              <w:t>一般行政管理事务</w:t>
            </w:r>
          </w:p>
        </w:tc>
        <w:tc>
          <w:tcPr>
            <w:tcW w:w="1876" w:type="dxa"/>
            <w:vAlign w:val="center"/>
          </w:tcPr>
          <w:p>
            <w:pPr>
              <w:keepNext w:val="0"/>
              <w:keepLines w:val="0"/>
              <w:widowControl/>
              <w:suppressLineNumbers w:val="0"/>
              <w:jc w:val="left"/>
              <w:textAlignment w:val="center"/>
              <w:rPr>
                <w:rFonts w:hint="eastAsia" w:ascii="仿宋" w:hAnsi="仿宋" w:eastAsia="仿宋" w:cs="仿宋"/>
                <w:i w:val="0"/>
                <w:color w:val="auto"/>
                <w:kern w:val="0"/>
                <w:sz w:val="22"/>
                <w:szCs w:val="22"/>
                <w:u w:val="none"/>
                <w:lang w:val="en-US" w:eastAsia="zh-CN" w:bidi="ar"/>
              </w:rPr>
            </w:pPr>
          </w:p>
        </w:tc>
        <w:tc>
          <w:tcPr>
            <w:tcW w:w="1684" w:type="dxa"/>
            <w:vAlign w:val="center"/>
          </w:tcPr>
          <w:p>
            <w:pPr>
              <w:keepNext w:val="0"/>
              <w:keepLines w:val="0"/>
              <w:widowControl/>
              <w:suppressLineNumbers w:val="0"/>
              <w:jc w:val="lef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378.36</w:t>
            </w:r>
          </w:p>
        </w:tc>
        <w:tc>
          <w:tcPr>
            <w:tcW w:w="1393" w:type="dxa"/>
            <w:vAlign w:val="top"/>
          </w:tcPr>
          <w:p>
            <w:pPr>
              <w:ind w:left="0" w:leftChars="0" w:firstLine="240" w:firstLineChars="100"/>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130507</w:t>
            </w:r>
          </w:p>
        </w:tc>
        <w:tc>
          <w:tcPr>
            <w:tcW w:w="2479" w:type="dxa"/>
            <w:vAlign w:val="top"/>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扶贫贷款奖补和贴息</w:t>
            </w:r>
          </w:p>
        </w:tc>
        <w:tc>
          <w:tcPr>
            <w:tcW w:w="1876" w:type="dxa"/>
            <w:vAlign w:val="center"/>
          </w:tcPr>
          <w:p>
            <w:pPr>
              <w:keepNext w:val="0"/>
              <w:keepLines w:val="0"/>
              <w:widowControl/>
              <w:suppressLineNumbers w:val="0"/>
              <w:jc w:val="left"/>
              <w:textAlignment w:val="center"/>
              <w:rPr>
                <w:rFonts w:hint="default"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22.38</w:t>
            </w:r>
          </w:p>
        </w:tc>
        <w:tc>
          <w:tcPr>
            <w:tcW w:w="1684" w:type="dxa"/>
            <w:vAlign w:val="center"/>
          </w:tcPr>
          <w:p>
            <w:pPr>
              <w:keepNext w:val="0"/>
              <w:keepLines w:val="0"/>
              <w:widowControl/>
              <w:suppressLineNumbers w:val="0"/>
              <w:jc w:val="left"/>
              <w:textAlignment w:val="center"/>
              <w:rPr>
                <w:rFonts w:hint="eastAsia" w:ascii="仿宋" w:hAnsi="仿宋" w:eastAsia="仿宋" w:cs="仿宋"/>
                <w:color w:val="auto"/>
                <w:sz w:val="24"/>
                <w:szCs w:val="24"/>
                <w:lang w:val="en-US" w:eastAsia="zh-CN"/>
              </w:rPr>
            </w:pPr>
          </w:p>
        </w:tc>
        <w:tc>
          <w:tcPr>
            <w:tcW w:w="1393" w:type="dxa"/>
            <w:vAlign w:val="top"/>
          </w:tcPr>
          <w:p>
            <w:pPr>
              <w:ind w:left="0" w:leftChars="0" w:firstLine="240" w:firstLineChars="100"/>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130599</w:t>
            </w:r>
          </w:p>
        </w:tc>
        <w:tc>
          <w:tcPr>
            <w:tcW w:w="2479"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其他扶贫支出</w:t>
            </w:r>
          </w:p>
        </w:tc>
        <w:tc>
          <w:tcPr>
            <w:tcW w:w="1876" w:type="dxa"/>
            <w:vAlign w:val="center"/>
          </w:tcPr>
          <w:p>
            <w:pPr>
              <w:keepNext w:val="0"/>
              <w:keepLines w:val="0"/>
              <w:widowControl/>
              <w:suppressLineNumbers w:val="0"/>
              <w:jc w:val="lef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1504.99</w:t>
            </w:r>
          </w:p>
        </w:tc>
        <w:tc>
          <w:tcPr>
            <w:tcW w:w="1684" w:type="dxa"/>
            <w:vAlign w:val="center"/>
          </w:tcPr>
          <w:p>
            <w:pPr>
              <w:keepNext w:val="0"/>
              <w:keepLines w:val="0"/>
              <w:widowControl/>
              <w:suppressLineNumbers w:val="0"/>
              <w:jc w:val="lef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2163.96</w:t>
            </w:r>
          </w:p>
        </w:tc>
        <w:tc>
          <w:tcPr>
            <w:tcW w:w="1393" w:type="dxa"/>
            <w:vAlign w:val="top"/>
          </w:tcPr>
          <w:p>
            <w:pPr>
              <w:ind w:left="0" w:leftChars="0" w:firstLine="240" w:firstLineChars="100"/>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+43.78%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1399</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其他农林水</w:t>
            </w:r>
            <w:r>
              <w:rPr>
                <w:rFonts w:hint="eastAsia" w:ascii="仿宋" w:hAnsi="仿宋" w:eastAsia="仿宋" w:cs="仿宋"/>
                <w:color w:val="auto"/>
                <w:sz w:val="24"/>
                <w:szCs w:val="24"/>
              </w:rPr>
              <w:t>支出</w:t>
            </w:r>
          </w:p>
        </w:tc>
        <w:tc>
          <w:tcPr>
            <w:tcW w:w="1876" w:type="dxa"/>
            <w:vAlign w:val="center"/>
          </w:tcPr>
          <w:p>
            <w:pPr>
              <w:keepNext w:val="0"/>
              <w:keepLines w:val="0"/>
              <w:widowControl/>
              <w:suppressLineNumbers w:val="0"/>
              <w:jc w:val="lef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6889.14</w:t>
            </w:r>
          </w:p>
        </w:tc>
        <w:tc>
          <w:tcPr>
            <w:tcW w:w="1684" w:type="dxa"/>
            <w:vAlign w:val="center"/>
          </w:tcPr>
          <w:p>
            <w:pPr>
              <w:keepNext w:val="0"/>
              <w:keepLines w:val="0"/>
              <w:widowControl/>
              <w:suppressLineNumbers w:val="0"/>
              <w:jc w:val="left"/>
              <w:textAlignment w:val="center"/>
              <w:rPr>
                <w:rFonts w:hint="eastAsia" w:ascii="仿宋" w:hAnsi="仿宋" w:eastAsia="仿宋" w:cs="仿宋"/>
                <w:color w:val="auto"/>
                <w:sz w:val="24"/>
                <w:szCs w:val="24"/>
              </w:rPr>
            </w:pPr>
          </w:p>
        </w:tc>
        <w:tc>
          <w:tcPr>
            <w:tcW w:w="1393" w:type="dxa"/>
            <w:vAlign w:val="top"/>
          </w:tcPr>
          <w:p>
            <w:pPr>
              <w:ind w:left="0" w:leftChars="0" w:firstLine="240" w:firstLineChars="100"/>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2139999</w:t>
            </w:r>
          </w:p>
        </w:tc>
        <w:tc>
          <w:tcPr>
            <w:tcW w:w="2479" w:type="dxa"/>
            <w:vAlign w:val="top"/>
          </w:tcPr>
          <w:p>
            <w:pPr>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其他农林水支出</w:t>
            </w:r>
          </w:p>
        </w:tc>
        <w:tc>
          <w:tcPr>
            <w:tcW w:w="1876"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6889.14</w:t>
            </w:r>
          </w:p>
        </w:tc>
        <w:tc>
          <w:tcPr>
            <w:tcW w:w="1684" w:type="dxa"/>
            <w:vAlign w:val="top"/>
          </w:tcPr>
          <w:p>
            <w:pPr>
              <w:jc w:val="left"/>
              <w:rPr>
                <w:rFonts w:hint="eastAsia" w:ascii="仿宋" w:hAnsi="仿宋" w:eastAsia="仿宋" w:cs="仿宋"/>
                <w:color w:val="auto"/>
                <w:sz w:val="24"/>
                <w:szCs w:val="24"/>
              </w:rPr>
            </w:pPr>
          </w:p>
        </w:tc>
        <w:tc>
          <w:tcPr>
            <w:tcW w:w="1393" w:type="dxa"/>
            <w:vAlign w:val="top"/>
          </w:tcPr>
          <w:p>
            <w:pPr>
              <w:ind w:left="0" w:leftChars="0" w:firstLine="240" w:firstLineChars="100"/>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合计</w:t>
            </w:r>
          </w:p>
        </w:tc>
        <w:tc>
          <w:tcPr>
            <w:tcW w:w="2479" w:type="dxa"/>
            <w:vAlign w:val="top"/>
          </w:tcPr>
          <w:p>
            <w:pPr>
              <w:jc w:val="left"/>
              <w:rPr>
                <w:rFonts w:hint="eastAsia" w:ascii="仿宋" w:hAnsi="仿宋" w:eastAsia="仿宋" w:cs="仿宋"/>
                <w:color w:val="auto"/>
                <w:sz w:val="24"/>
                <w:szCs w:val="24"/>
                <w:lang w:eastAsia="zh-CN"/>
              </w:rPr>
            </w:pPr>
          </w:p>
        </w:tc>
        <w:tc>
          <w:tcPr>
            <w:tcW w:w="1876"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8777.46</w:t>
            </w:r>
          </w:p>
        </w:tc>
        <w:tc>
          <w:tcPr>
            <w:tcW w:w="1684"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2754.43</w:t>
            </w:r>
          </w:p>
        </w:tc>
        <w:tc>
          <w:tcPr>
            <w:tcW w:w="1393" w:type="dxa"/>
            <w:vAlign w:val="top"/>
          </w:tcPr>
          <w:p>
            <w:pPr>
              <w:ind w:left="0" w:leftChars="0" w:firstLine="240" w:firstLineChars="100"/>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-68.62%</w:t>
            </w:r>
          </w:p>
        </w:tc>
      </w:tr>
    </w:tbl>
    <w:p>
      <w:pPr>
        <w:numPr>
          <w:ilvl w:val="0"/>
          <w:numId w:val="3"/>
        </w:numPr>
        <w:ind w:firstLine="640" w:firstLineChars="200"/>
        <w:jc w:val="left"/>
        <w:rPr>
          <w:rFonts w:hint="eastAsia" w:ascii="仿宋" w:hAnsi="仿宋" w:eastAsia="仿宋" w:cs="仿宋"/>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2"/>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trPr>
        <w:tc>
          <w:tcPr>
            <w:tcW w:w="2876" w:type="dxa"/>
            <w:vAlign w:val="center"/>
          </w:tcPr>
          <w:p>
            <w:pPr>
              <w:widowControl/>
              <w:jc w:val="both"/>
              <w:rPr>
                <w:rFonts w:hint="eastAsia"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合  计</w:t>
            </w:r>
          </w:p>
        </w:tc>
        <w:tc>
          <w:tcPr>
            <w:tcW w:w="1837" w:type="dxa"/>
            <w:vAlign w:val="center"/>
          </w:tcPr>
          <w:p>
            <w:pPr>
              <w:widowControl/>
              <w:jc w:val="right"/>
              <w:rPr>
                <w:rFonts w:hint="default"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8777.46</w:t>
            </w:r>
          </w:p>
        </w:tc>
        <w:tc>
          <w:tcPr>
            <w:tcW w:w="2071" w:type="dxa"/>
            <w:vAlign w:val="center"/>
          </w:tcPr>
          <w:p>
            <w:pPr>
              <w:keepNext w:val="0"/>
              <w:keepLines w:val="0"/>
              <w:widowControl/>
              <w:suppressLineNumbers w:val="0"/>
              <w:jc w:val="right"/>
              <w:textAlignment w:val="center"/>
              <w:rPr>
                <w:rFonts w:hint="default"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2754.43</w:t>
            </w:r>
          </w:p>
        </w:tc>
        <w:tc>
          <w:tcPr>
            <w:tcW w:w="1956" w:type="dxa"/>
            <w:vAlign w:val="center"/>
          </w:tcPr>
          <w:p>
            <w:pPr>
              <w:widowControl/>
              <w:jc w:val="right"/>
              <w:rPr>
                <w:rFonts w:hint="default"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-68.62%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b/>
                <w:bCs/>
                <w:color w:val="auto"/>
                <w:kern w:val="0"/>
                <w:sz w:val="28"/>
                <w:szCs w:val="28"/>
                <w:lang w:val="en-US" w:eastAsia="zh-CN"/>
              </w:rPr>
              <w:t>基本支出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274.49</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76.72</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right"/>
              <w:rPr>
                <w:rFonts w:hint="eastAsia" w:ascii="仿宋" w:hAnsi="仿宋" w:eastAsia="仿宋" w:cs="仿宋"/>
                <w:color w:val="auto"/>
                <w:kern w:val="0"/>
                <w:sz w:val="28"/>
                <w:szCs w:val="28"/>
              </w:rPr>
            </w:pPr>
            <w:r>
              <w:rPr>
                <w:rFonts w:hint="eastAsia" w:ascii="仿宋" w:hAnsi="仿宋" w:eastAsia="仿宋" w:cs="仿宋"/>
                <w:color w:val="auto"/>
                <w:kern w:val="0"/>
                <w:sz w:val="24"/>
                <w:szCs w:val="24"/>
                <w:lang w:val="en-US" w:eastAsia="zh-CN"/>
              </w:rPr>
              <w:t>65.62</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63.44</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right"/>
              <w:rPr>
                <w:rFonts w:hint="eastAsia" w:ascii="仿宋" w:hAnsi="仿宋" w:eastAsia="仿宋" w:cs="仿宋"/>
                <w:color w:val="auto"/>
                <w:kern w:val="0"/>
                <w:sz w:val="28"/>
                <w:szCs w:val="28"/>
              </w:rPr>
            </w:pPr>
            <w:r>
              <w:rPr>
                <w:rFonts w:hint="eastAsia" w:ascii="仿宋" w:hAnsi="仿宋" w:eastAsia="仿宋" w:cs="仿宋"/>
                <w:color w:val="auto"/>
                <w:kern w:val="0"/>
                <w:sz w:val="24"/>
                <w:szCs w:val="24"/>
                <w:lang w:val="en-US" w:eastAsia="zh-CN"/>
              </w:rPr>
              <w:t>206.57</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13.25</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-93.58%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right"/>
              <w:rPr>
                <w:rFonts w:hint="eastAsia" w:ascii="仿宋" w:hAnsi="仿宋" w:eastAsia="仿宋" w:cs="仿宋"/>
                <w:color w:val="auto"/>
                <w:kern w:val="0"/>
                <w:sz w:val="28"/>
                <w:szCs w:val="28"/>
              </w:rPr>
            </w:pPr>
            <w:r>
              <w:rPr>
                <w:rFonts w:hint="eastAsia" w:ascii="仿宋" w:hAnsi="仿宋" w:eastAsia="仿宋" w:cs="仿宋"/>
                <w:color w:val="auto"/>
                <w:kern w:val="0"/>
                <w:sz w:val="24"/>
                <w:szCs w:val="24"/>
                <w:lang w:val="en-US" w:eastAsia="zh-CN"/>
              </w:rPr>
              <w:t>0.06</w:t>
            </w:r>
          </w:p>
        </w:tc>
        <w:tc>
          <w:tcPr>
            <w:tcW w:w="2071"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0.03</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2876" w:type="dxa"/>
            <w:vAlign w:val="center"/>
          </w:tcPr>
          <w:p>
            <w:pPr>
              <w:widowControl/>
              <w:ind w:left="0" w:leftChars="0" w:firstLine="0" w:firstLineChars="0"/>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eastAsia" w:ascii="仿宋" w:hAnsi="仿宋" w:eastAsia="仿宋" w:cs="仿宋"/>
                <w:color w:val="auto"/>
                <w:kern w:val="0"/>
                <w:sz w:val="28"/>
                <w:szCs w:val="28"/>
              </w:rPr>
            </w:pPr>
            <w:r>
              <w:rPr>
                <w:rFonts w:hint="eastAsia" w:ascii="仿宋" w:hAnsi="仿宋" w:eastAsia="仿宋" w:cs="仿宋"/>
                <w:color w:val="auto"/>
                <w:sz w:val="24"/>
                <w:szCs w:val="24"/>
                <w:lang w:val="en-US" w:eastAsia="zh-CN"/>
              </w:rPr>
              <w:t>2.24</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rPr>
            </w:pP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项目支出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8502.97</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2677.71</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-68.51%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2876" w:type="dxa"/>
            <w:vAlign w:val="center"/>
          </w:tcPr>
          <w:p>
            <w:pPr>
              <w:widowControl/>
              <w:ind w:left="0" w:leftChars="0" w:firstLine="0" w:firstLineChars="0"/>
              <w:jc w:val="left"/>
              <w:rPr>
                <w:rFonts w:hint="eastAsia" w:ascii="仿宋" w:hAnsi="仿宋" w:eastAsia="仿宋" w:cs="仿宋"/>
                <w:b/>
                <w:bCs/>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right"/>
              <w:rPr>
                <w:rFonts w:hint="eastAsia" w:ascii="仿宋" w:hAnsi="仿宋" w:eastAsia="仿宋" w:cs="仿宋"/>
                <w:color w:val="auto"/>
                <w:kern w:val="0"/>
                <w:sz w:val="28"/>
                <w:szCs w:val="28"/>
              </w:rPr>
            </w:pPr>
            <w:r>
              <w:rPr>
                <w:rFonts w:hint="eastAsia" w:ascii="仿宋" w:hAnsi="仿宋" w:eastAsia="仿宋" w:cs="仿宋"/>
                <w:color w:val="auto"/>
                <w:sz w:val="24"/>
                <w:szCs w:val="24"/>
                <w:lang w:val="en-US" w:eastAsia="zh-CN"/>
              </w:rPr>
              <w:t>65.10</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312.72</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+380.37%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2876" w:type="dxa"/>
            <w:vAlign w:val="center"/>
          </w:tcPr>
          <w:p>
            <w:pPr>
              <w:widowControl/>
              <w:ind w:left="0" w:leftChars="0" w:firstLine="0" w:firstLineChars="0"/>
              <w:jc w:val="left"/>
              <w:rPr>
                <w:rFonts w:hint="eastAsia" w:ascii="仿宋" w:hAnsi="仿宋" w:eastAsia="仿宋" w:cs="仿宋"/>
                <w:b/>
                <w:bCs/>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right"/>
              <w:rPr>
                <w:rFonts w:hint="eastAsia" w:ascii="仿宋" w:hAnsi="仿宋" w:eastAsia="仿宋" w:cs="仿宋"/>
                <w:color w:val="auto"/>
                <w:kern w:val="0"/>
                <w:sz w:val="28"/>
                <w:szCs w:val="28"/>
              </w:rPr>
            </w:pPr>
            <w:r>
              <w:rPr>
                <w:rFonts w:hint="eastAsia" w:ascii="仿宋" w:hAnsi="仿宋" w:eastAsia="仿宋" w:cs="仿宋"/>
                <w:color w:val="auto"/>
                <w:sz w:val="24"/>
                <w:szCs w:val="24"/>
                <w:lang w:val="en-US" w:eastAsia="zh-CN"/>
              </w:rPr>
              <w:t>672.6</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956.97</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2876" w:type="dxa"/>
            <w:vAlign w:val="center"/>
          </w:tcPr>
          <w:p>
            <w:pPr>
              <w:widowControl/>
              <w:ind w:left="0" w:leftChars="0" w:firstLine="0" w:firstLineChars="0"/>
              <w:jc w:val="left"/>
              <w:rPr>
                <w:rFonts w:hint="eastAsia" w:ascii="仿宋" w:hAnsi="仿宋" w:eastAsia="仿宋" w:cs="仿宋"/>
                <w:b/>
                <w:bCs/>
                <w:color w:val="auto"/>
                <w:kern w:val="0"/>
                <w:sz w:val="28"/>
                <w:szCs w:val="28"/>
                <w:lang w:val="en-US"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eastAsia" w:ascii="仿宋" w:hAnsi="仿宋" w:eastAsia="仿宋" w:cs="仿宋"/>
                <w:color w:val="auto"/>
                <w:kern w:val="0"/>
                <w:sz w:val="28"/>
                <w:szCs w:val="28"/>
              </w:rPr>
            </w:pPr>
            <w:r>
              <w:rPr>
                <w:rFonts w:hint="eastAsia" w:ascii="仿宋" w:hAnsi="仿宋" w:eastAsia="仿宋" w:cs="仿宋"/>
                <w:color w:val="auto"/>
                <w:sz w:val="24"/>
                <w:szCs w:val="24"/>
                <w:lang w:val="en-US" w:eastAsia="zh-CN"/>
              </w:rPr>
              <w:t>129.46</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1075.01</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730.38%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876" w:type="dxa"/>
            <w:vAlign w:val="center"/>
          </w:tcPr>
          <w:p>
            <w:pPr>
              <w:widowControl/>
              <w:ind w:left="0" w:leftChars="0" w:firstLine="0" w:firstLineChars="0"/>
              <w:jc w:val="left"/>
              <w:rPr>
                <w:rFonts w:hint="eastAsia" w:ascii="仿宋" w:hAnsi="仿宋" w:eastAsia="仿宋" w:cs="仿宋"/>
                <w:b/>
                <w:bCs/>
                <w:color w:val="auto"/>
                <w:kern w:val="0"/>
                <w:sz w:val="28"/>
                <w:szCs w:val="28"/>
                <w:lang w:val="en-US" w:eastAsia="zh-CN"/>
              </w:rPr>
            </w:pPr>
            <w:r>
              <w:rPr>
                <w:rFonts w:hint="eastAsia" w:ascii="仿宋" w:hAnsi="仿宋" w:eastAsia="仿宋" w:cs="仿宋"/>
                <w:color w:val="auto"/>
                <w:kern w:val="0"/>
                <w:sz w:val="28"/>
                <w:szCs w:val="28"/>
                <w:lang w:val="en-US" w:eastAsia="zh-CN"/>
              </w:rPr>
              <w:t>对企业的补助支出</w:t>
            </w:r>
          </w:p>
        </w:tc>
        <w:tc>
          <w:tcPr>
            <w:tcW w:w="1837" w:type="dxa"/>
            <w:vAlign w:val="center"/>
          </w:tcPr>
          <w:p>
            <w:pPr>
              <w:widowControl/>
              <w:jc w:val="right"/>
              <w:rPr>
                <w:rFonts w:hint="eastAsia" w:ascii="仿宋" w:hAnsi="仿宋" w:eastAsia="仿宋" w:cs="仿宋"/>
                <w:color w:val="auto"/>
                <w:kern w:val="0"/>
                <w:sz w:val="28"/>
                <w:szCs w:val="28"/>
              </w:rPr>
            </w:pPr>
            <w:r>
              <w:rPr>
                <w:rFonts w:hint="eastAsia" w:ascii="仿宋" w:hAnsi="仿宋" w:eastAsia="仿宋" w:cs="仿宋"/>
                <w:color w:val="auto"/>
                <w:sz w:val="24"/>
                <w:szCs w:val="24"/>
                <w:lang w:val="en-US" w:eastAsia="zh-CN"/>
              </w:rPr>
              <w:t>7635.81</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333.01</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-95.64%</w:t>
            </w:r>
          </w:p>
        </w:tc>
      </w:tr>
    </w:tbl>
    <w:p>
      <w:pPr>
        <w:spacing w:line="580" w:lineRule="exact"/>
        <w:ind w:left="0" w:leftChars="0" w:firstLine="0" w:firstLineChars="0"/>
        <w:rPr>
          <w:rFonts w:hint="default" w:eastAsia="仿宋_GB2312"/>
          <w:color w:val="auto"/>
          <w:szCs w:val="32"/>
          <w:lang w:val="en-US" w:eastAsia="zh-CN"/>
        </w:rPr>
      </w:pPr>
      <w:r>
        <w:rPr>
          <w:rFonts w:hint="eastAsia"/>
          <w:color w:val="auto"/>
          <w:szCs w:val="32"/>
          <w:lang w:eastAsia="zh-CN"/>
        </w:rPr>
        <w:t xml:space="preserve"> </w:t>
      </w:r>
      <w:r>
        <w:rPr>
          <w:rFonts w:hint="eastAsia"/>
          <w:color w:val="auto"/>
          <w:szCs w:val="32"/>
          <w:lang w:val="en-US" w:eastAsia="zh-CN"/>
        </w:rPr>
        <w:t xml:space="preserve">  </w:t>
      </w:r>
    </w:p>
    <w:p>
      <w:pPr>
        <w:pStyle w:val="5"/>
        <w:rPr>
          <w:rFonts w:hint="eastAsia" w:ascii="仿宋" w:hAnsi="仿宋" w:eastAsia="仿宋" w:cs="仿宋"/>
          <w:b/>
          <w:bCs w:val="0"/>
          <w:color w:val="auto"/>
          <w:lang w:val="en-US" w:eastAsia="zh-CN"/>
        </w:rPr>
      </w:pPr>
      <w:bookmarkStart w:id="21" w:name="_Toc17728"/>
      <w:bookmarkStart w:id="22" w:name="_Toc841"/>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76.72</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63.47</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 w:hAnsi="仿宋" w:eastAsia="仿宋" w:cs="仿宋"/>
          <w:color w:val="auto"/>
          <w:sz w:val="30"/>
          <w:szCs w:val="30"/>
        </w:rPr>
        <w:t>基本工资、津贴补贴、社保缴费、采暖补贴</w:t>
      </w:r>
      <w:r>
        <w:rPr>
          <w:rFonts w:hint="eastAsia" w:ascii="仿宋" w:hAnsi="仿宋" w:eastAsia="仿宋" w:cs="仿宋"/>
          <w:color w:val="auto"/>
          <w:sz w:val="30"/>
          <w:szCs w:val="30"/>
          <w:lang w:eastAsia="zh-CN"/>
        </w:rPr>
        <w:t>以及奖励金</w:t>
      </w:r>
      <w:r>
        <w:rPr>
          <w:rFonts w:hint="eastAsia" w:ascii="仿宋" w:hAnsi="仿宋" w:eastAsia="仿宋" w:cs="仿宋"/>
          <w:color w:val="auto"/>
          <w:sz w:val="30"/>
          <w:szCs w:val="30"/>
        </w:rPr>
        <w:t>等</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13.25</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eastAsia="zh-CN"/>
        </w:rPr>
        <w:t>公务员</w:t>
      </w:r>
      <w:r>
        <w:rPr>
          <w:rFonts w:hint="eastAsia" w:ascii="仿宋" w:hAnsi="仿宋" w:eastAsia="仿宋" w:cs="仿宋"/>
          <w:color w:val="auto"/>
          <w:sz w:val="30"/>
          <w:szCs w:val="30"/>
        </w:rPr>
        <w:t>交通补贴，工会经费，福利费</w:t>
      </w:r>
      <w:r>
        <w:rPr>
          <w:rFonts w:hint="eastAsia" w:ascii="仿宋" w:hAnsi="仿宋" w:eastAsia="仿宋" w:cs="仿宋"/>
          <w:color w:val="auto"/>
          <w:sz w:val="30"/>
          <w:szCs w:val="30"/>
          <w:lang w:eastAsia="zh-CN"/>
        </w:rPr>
        <w:t>及公用经费</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2677.71</w:t>
      </w:r>
      <w:r>
        <w:rPr>
          <w:rFonts w:hint="eastAsia" w:ascii="仿宋_GB2312"/>
          <w:color w:val="auto"/>
          <w:szCs w:val="32"/>
        </w:rPr>
        <w:t>万元</w:t>
      </w:r>
      <w:r>
        <w:rPr>
          <w:rFonts w:hint="eastAsia" w:ascii="仿宋_GB2312"/>
          <w:color w:val="auto"/>
          <w:szCs w:val="32"/>
          <w:lang w:eastAsia="zh-CN"/>
        </w:rPr>
        <w:t>。</w:t>
      </w:r>
    </w:p>
    <w:p>
      <w:pPr>
        <w:pStyle w:val="5"/>
        <w:rPr>
          <w:rFonts w:hint="eastAsia" w:ascii="仿宋" w:hAnsi="仿宋" w:eastAsia="仿宋" w:cs="仿宋"/>
          <w:b/>
          <w:bCs w:val="0"/>
          <w:color w:val="auto"/>
          <w:lang w:val="en-US" w:eastAsia="zh-CN"/>
        </w:rPr>
      </w:pPr>
      <w:bookmarkStart w:id="23" w:name="_Toc2304"/>
      <w:bookmarkStart w:id="24" w:name="_Toc26508"/>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2</w:t>
      </w:r>
      <w:r>
        <w:rPr>
          <w:rFonts w:hint="eastAsia" w:ascii="仿宋_GB2312"/>
          <w:color w:val="auto"/>
          <w:szCs w:val="32"/>
        </w:rPr>
        <w:t>万元，，比上年减少</w:t>
      </w:r>
      <w:r>
        <w:rPr>
          <w:rFonts w:hint="eastAsia" w:ascii="仿宋_GB2312"/>
          <w:color w:val="auto"/>
          <w:szCs w:val="32"/>
          <w:lang w:val="en-US" w:eastAsia="zh-CN"/>
        </w:rPr>
        <w:t>0.03</w:t>
      </w:r>
      <w:r>
        <w:rPr>
          <w:rFonts w:hint="eastAsia" w:ascii="仿宋_GB2312"/>
          <w:color w:val="auto"/>
          <w:szCs w:val="32"/>
        </w:rPr>
        <w:t>万元，下降</w:t>
      </w:r>
      <w:r>
        <w:rPr>
          <w:rFonts w:hint="eastAsia" w:ascii="仿宋_GB2312"/>
          <w:color w:val="auto"/>
          <w:szCs w:val="32"/>
          <w:lang w:val="en-US" w:eastAsia="zh-CN"/>
        </w:rPr>
        <w:t>1.5</w:t>
      </w:r>
      <w:r>
        <w:rPr>
          <w:rFonts w:hint="eastAsia" w:ascii="仿宋_GB2312"/>
          <w:color w:val="auto"/>
          <w:szCs w:val="32"/>
        </w:rPr>
        <w:t>%，原因是：</w:t>
      </w:r>
      <w:r>
        <w:rPr>
          <w:rFonts w:hint="eastAsia" w:ascii="仿宋_GB2312"/>
          <w:color w:val="auto"/>
          <w:szCs w:val="32"/>
          <w:lang w:eastAsia="zh-CN"/>
        </w:rPr>
        <w:t>本单位厉行节约</w:t>
      </w:r>
      <w:r>
        <w:rPr>
          <w:rFonts w:hint="eastAsia" w:ascii="仿宋_GB2312"/>
          <w:color w:val="auto"/>
          <w:szCs w:val="32"/>
        </w:rPr>
        <w:t>。其中：因公出国（境）费支出决算</w:t>
      </w:r>
      <w:r>
        <w:rPr>
          <w:rFonts w:hint="eastAsia" w:ascii="仿宋_GB2312"/>
          <w:color w:val="auto"/>
          <w:szCs w:val="32"/>
          <w:lang w:val="en-US" w:eastAsia="zh-CN"/>
        </w:rPr>
        <w:t>0</w:t>
      </w:r>
      <w:r>
        <w:rPr>
          <w:rFonts w:hint="eastAsia" w:ascii="仿宋_GB2312"/>
          <w:color w:val="auto"/>
          <w:szCs w:val="32"/>
        </w:rPr>
        <w:t>万元；公务用车购置及运行费支出决算</w:t>
      </w:r>
      <w:r>
        <w:rPr>
          <w:rFonts w:hint="eastAsia" w:ascii="仿宋_GB2312"/>
          <w:color w:val="auto"/>
          <w:szCs w:val="32"/>
          <w:lang w:val="en-US" w:eastAsia="zh-CN"/>
        </w:rPr>
        <w:t>2</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%，比上年减少</w:t>
      </w:r>
      <w:r>
        <w:rPr>
          <w:rFonts w:hint="eastAsia" w:ascii="仿宋_GB2312"/>
          <w:color w:val="auto"/>
          <w:szCs w:val="32"/>
          <w:lang w:val="en-US" w:eastAsia="zh-CN"/>
        </w:rPr>
        <w:t>0.03</w:t>
      </w:r>
      <w:r>
        <w:rPr>
          <w:rFonts w:hint="eastAsia" w:ascii="仿宋_GB2312"/>
          <w:color w:val="auto"/>
          <w:szCs w:val="32"/>
        </w:rPr>
        <w:t>万元，减少</w:t>
      </w:r>
      <w:r>
        <w:rPr>
          <w:rFonts w:hint="eastAsia" w:ascii="仿宋_GB2312"/>
          <w:color w:val="auto"/>
          <w:szCs w:val="32"/>
          <w:lang w:val="en-US" w:eastAsia="zh-CN"/>
        </w:rPr>
        <w:t>1.5</w:t>
      </w:r>
      <w:r>
        <w:rPr>
          <w:rFonts w:hint="eastAsia" w:ascii="仿宋_GB2312"/>
          <w:color w:val="auto"/>
          <w:szCs w:val="32"/>
        </w:rPr>
        <w:t>%；公务接待费支出决算</w:t>
      </w:r>
      <w:r>
        <w:rPr>
          <w:rFonts w:hint="eastAsia" w:ascii="仿宋_GB2312"/>
          <w:color w:val="auto"/>
          <w:szCs w:val="32"/>
          <w:lang w:val="en-US" w:eastAsia="zh-CN"/>
        </w:rPr>
        <w:t>0</w:t>
      </w:r>
      <w:r>
        <w:rPr>
          <w:rFonts w:hint="eastAsia" w:ascii="仿宋_GB2312"/>
          <w:color w:val="auto"/>
          <w:szCs w:val="32"/>
        </w:rPr>
        <w:t>万元。具体情况如下：</w:t>
      </w:r>
    </w:p>
    <w:p>
      <w:pPr>
        <w:pStyle w:val="10"/>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1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10"/>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10"/>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10"/>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10"/>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10"/>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10"/>
              <w:rPr>
                <w:rFonts w:hint="eastAsia"/>
                <w:color w:val="auto"/>
                <w:sz w:val="28"/>
                <w:szCs w:val="28"/>
              </w:rPr>
            </w:pPr>
            <w:r>
              <w:rPr>
                <w:rFonts w:hint="eastAsia"/>
                <w:color w:val="auto"/>
                <w:sz w:val="28"/>
                <w:szCs w:val="28"/>
              </w:rPr>
              <w:t>因公出国（境）费</w:t>
            </w:r>
          </w:p>
        </w:tc>
        <w:tc>
          <w:tcPr>
            <w:tcW w:w="1701" w:type="dxa"/>
            <w:vAlign w:val="top"/>
          </w:tcPr>
          <w:p>
            <w:pPr>
              <w:pStyle w:val="10"/>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10"/>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10"/>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10"/>
              <w:rPr>
                <w:rFonts w:hint="eastAsia"/>
                <w:color w:val="auto"/>
                <w:sz w:val="28"/>
                <w:szCs w:val="28"/>
              </w:rPr>
            </w:pPr>
            <w:r>
              <w:rPr>
                <w:rFonts w:hint="eastAsia"/>
                <w:color w:val="auto"/>
                <w:sz w:val="28"/>
                <w:szCs w:val="28"/>
              </w:rPr>
              <w:t>公务接待费</w:t>
            </w:r>
          </w:p>
        </w:tc>
        <w:tc>
          <w:tcPr>
            <w:tcW w:w="1701" w:type="dxa"/>
            <w:vAlign w:val="top"/>
          </w:tcPr>
          <w:p>
            <w:pPr>
              <w:pStyle w:val="10"/>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10"/>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10"/>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10"/>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10"/>
              <w:jc w:val="right"/>
              <w:rPr>
                <w:rFonts w:hint="default" w:eastAsia="宋体"/>
                <w:color w:val="auto"/>
                <w:sz w:val="28"/>
                <w:szCs w:val="28"/>
                <w:lang w:val="en-US" w:eastAsia="zh-CN"/>
              </w:rPr>
            </w:pPr>
            <w:r>
              <w:rPr>
                <w:rFonts w:hint="eastAsia" w:eastAsia="宋体"/>
                <w:color w:val="auto"/>
                <w:sz w:val="28"/>
                <w:szCs w:val="28"/>
                <w:lang w:val="en-US" w:eastAsia="zh-CN"/>
              </w:rPr>
              <w:t>2.03</w:t>
            </w:r>
          </w:p>
        </w:tc>
        <w:tc>
          <w:tcPr>
            <w:tcW w:w="1701" w:type="dxa"/>
            <w:vAlign w:val="top"/>
          </w:tcPr>
          <w:p>
            <w:pPr>
              <w:pStyle w:val="10"/>
              <w:jc w:val="right"/>
              <w:rPr>
                <w:rFonts w:hint="eastAsia" w:eastAsia="仿宋_GB2312"/>
                <w:color w:val="auto"/>
                <w:sz w:val="28"/>
                <w:szCs w:val="28"/>
                <w:lang w:val="en-US" w:eastAsia="zh-CN"/>
              </w:rPr>
            </w:pPr>
            <w:r>
              <w:rPr>
                <w:rFonts w:hint="eastAsia"/>
                <w:color w:val="auto"/>
                <w:sz w:val="28"/>
                <w:szCs w:val="28"/>
                <w:lang w:val="en-US" w:eastAsia="zh-CN"/>
              </w:rPr>
              <w:t>2</w:t>
            </w:r>
          </w:p>
        </w:tc>
        <w:tc>
          <w:tcPr>
            <w:tcW w:w="1418" w:type="dxa"/>
            <w:vAlign w:val="top"/>
          </w:tcPr>
          <w:p>
            <w:pPr>
              <w:pStyle w:val="10"/>
              <w:ind w:left="0" w:leftChars="0" w:firstLine="280" w:firstLineChars="100"/>
              <w:jc w:val="left"/>
              <w:rPr>
                <w:rFonts w:hint="default" w:eastAsia="宋体"/>
                <w:color w:val="auto"/>
                <w:sz w:val="28"/>
                <w:szCs w:val="28"/>
                <w:lang w:val="en-US" w:eastAsia="zh-CN"/>
              </w:rPr>
            </w:pPr>
            <w:r>
              <w:rPr>
                <w:rFonts w:hint="eastAsia" w:eastAsia="宋体"/>
                <w:color w:val="auto"/>
                <w:sz w:val="28"/>
                <w:szCs w:val="28"/>
                <w:lang w:val="en-US" w:eastAsia="zh-CN"/>
              </w:rPr>
              <w:t>-1.5%</w:t>
            </w:r>
          </w:p>
        </w:tc>
      </w:tr>
    </w:tbl>
    <w:p>
      <w:pPr>
        <w:pStyle w:val="10"/>
        <w:spacing w:before="0" w:beforeAutospacing="0" w:after="0" w:afterAutospacing="0"/>
        <w:rPr>
          <w:rFonts w:hint="eastAsia"/>
          <w:b/>
          <w:color w:val="auto"/>
          <w:szCs w:val="32"/>
        </w:rPr>
      </w:pPr>
    </w:p>
    <w:p>
      <w:pPr>
        <w:pStyle w:val="5"/>
        <w:rPr>
          <w:rFonts w:hint="eastAsia" w:ascii="仿宋" w:hAnsi="仿宋" w:eastAsia="仿宋" w:cs="仿宋"/>
          <w:b/>
          <w:bCs w:val="0"/>
          <w:color w:val="auto"/>
          <w:lang w:val="en-US" w:eastAsia="zh-CN"/>
        </w:rPr>
      </w:pPr>
      <w:bookmarkStart w:id="25" w:name="_Toc9078"/>
      <w:bookmarkStart w:id="26" w:name="_Toc1792"/>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ascii="仿宋_GB2312" w:hAnsi="宋体"/>
          <w:szCs w:val="32"/>
          <w:lang w:eastAsia="zh-CN"/>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13.25</w:t>
      </w:r>
      <w:r>
        <w:rPr>
          <w:rFonts w:hint="eastAsia" w:ascii="仿宋_GB2312" w:hAnsi="宋体"/>
          <w:color w:val="auto"/>
          <w:szCs w:val="32"/>
        </w:rPr>
        <w:t>万元，比20</w:t>
      </w:r>
      <w:r>
        <w:rPr>
          <w:rFonts w:hint="eastAsia" w:ascii="仿宋_GB2312" w:hAnsi="宋体"/>
          <w:color w:val="auto"/>
          <w:szCs w:val="32"/>
          <w:lang w:val="en-US" w:eastAsia="zh-CN"/>
        </w:rPr>
        <w:t>20</w:t>
      </w:r>
      <w:r>
        <w:rPr>
          <w:rFonts w:hint="eastAsia" w:ascii="仿宋_GB2312" w:hAnsi="宋体"/>
          <w:color w:val="auto"/>
          <w:szCs w:val="32"/>
        </w:rPr>
        <w:t>年</w:t>
      </w:r>
      <w:r>
        <w:rPr>
          <w:rFonts w:hint="eastAsia" w:ascii="仿宋_GB2312" w:hAnsi="宋体"/>
          <w:szCs w:val="32"/>
          <w:lang w:val="en-US" w:eastAsia="zh-CN"/>
        </w:rPr>
        <w:t>20.88万元</w:t>
      </w:r>
      <w:r>
        <w:rPr>
          <w:rFonts w:hint="eastAsia" w:ascii="仿宋_GB2312" w:hAnsi="宋体"/>
          <w:szCs w:val="32"/>
        </w:rPr>
        <w:t>减少</w:t>
      </w:r>
      <w:r>
        <w:rPr>
          <w:rFonts w:hint="eastAsia" w:ascii="仿宋_GB2312" w:hAnsi="宋体"/>
          <w:szCs w:val="32"/>
          <w:lang w:val="en-US" w:eastAsia="zh-CN"/>
        </w:rPr>
        <w:t>7.63</w:t>
      </w:r>
      <w:r>
        <w:rPr>
          <w:rFonts w:hint="eastAsia" w:ascii="仿宋_GB2312" w:hAnsi="宋体"/>
          <w:szCs w:val="32"/>
        </w:rPr>
        <w:t>万元，降低</w:t>
      </w:r>
      <w:r>
        <w:rPr>
          <w:rFonts w:hint="eastAsia" w:ascii="仿宋_GB2312" w:hAnsi="宋体"/>
          <w:szCs w:val="32"/>
          <w:lang w:val="en-US" w:eastAsia="zh-CN"/>
        </w:rPr>
        <w:t>36.54</w:t>
      </w:r>
      <w:r>
        <w:rPr>
          <w:rFonts w:hint="eastAsia" w:ascii="仿宋_GB2312" w:hAnsi="宋体"/>
          <w:szCs w:val="32"/>
        </w:rPr>
        <w:t>%。主要原因是：</w:t>
      </w:r>
      <w:r>
        <w:rPr>
          <w:rFonts w:hint="eastAsia" w:ascii="仿宋_GB2312" w:hAnsi="宋体"/>
          <w:szCs w:val="32"/>
          <w:lang w:eastAsia="zh-CN"/>
        </w:rPr>
        <w:t>本年度项目减少财政配套的公用经费减少</w:t>
      </w:r>
      <w:bookmarkStart w:id="28" w:name="_Toc16103"/>
      <w:r>
        <w:rPr>
          <w:rFonts w:hint="eastAsia" w:ascii="仿宋_GB2312" w:hAnsi="宋体"/>
          <w:szCs w:val="32"/>
          <w:lang w:eastAsia="zh-CN"/>
        </w:rPr>
        <w:t>。</w:t>
      </w:r>
    </w:p>
    <w:p>
      <w:pPr>
        <w:spacing w:line="580" w:lineRule="exact"/>
        <w:ind w:firstLine="640"/>
        <w:rPr>
          <w:rFonts w:hint="eastAsia"/>
          <w:b/>
          <w:bCs/>
        </w:rPr>
      </w:pPr>
      <w:r>
        <w:rPr>
          <w:rFonts w:hint="eastAsia"/>
          <w:b/>
          <w:bCs/>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13.75</w:t>
      </w:r>
      <w:r>
        <w:rPr>
          <w:rFonts w:hint="eastAsia" w:ascii="仿宋_GB2312"/>
          <w:color w:val="auto"/>
          <w:szCs w:val="32"/>
        </w:rPr>
        <w:t>万元，其中：政府采购货物支出</w:t>
      </w:r>
      <w:r>
        <w:rPr>
          <w:rFonts w:hint="eastAsia" w:ascii="仿宋_GB2312"/>
          <w:color w:val="auto"/>
          <w:szCs w:val="32"/>
          <w:lang w:val="en-US" w:eastAsia="zh-CN"/>
        </w:rPr>
        <w:t>1.65</w:t>
      </w:r>
      <w:r>
        <w:rPr>
          <w:rFonts w:hint="eastAsia" w:ascii="仿宋_GB2312"/>
          <w:color w:val="auto"/>
          <w:szCs w:val="32"/>
        </w:rPr>
        <w:t>万元、政府采购工程支出</w:t>
      </w:r>
      <w:r>
        <w:rPr>
          <w:rFonts w:hint="eastAsia" w:ascii="仿宋_GB2312"/>
          <w:color w:val="auto"/>
          <w:szCs w:val="32"/>
          <w:lang w:val="en-US" w:eastAsia="zh-CN"/>
        </w:rPr>
        <w:t>0</w:t>
      </w:r>
      <w:r>
        <w:rPr>
          <w:rFonts w:hint="eastAsia" w:ascii="仿宋_GB2312"/>
          <w:color w:val="auto"/>
          <w:szCs w:val="32"/>
        </w:rPr>
        <w:t>万元、政府采购服务支出</w:t>
      </w:r>
      <w:r>
        <w:rPr>
          <w:rFonts w:hint="eastAsia" w:ascii="仿宋_GB2312"/>
          <w:color w:val="auto"/>
          <w:szCs w:val="32"/>
          <w:lang w:val="en-US" w:eastAsia="zh-CN"/>
        </w:rPr>
        <w:t>12.1</w:t>
      </w:r>
      <w:r>
        <w:rPr>
          <w:rFonts w:hint="eastAsia" w:ascii="仿宋_GB2312"/>
          <w:color w:val="auto"/>
          <w:szCs w:val="32"/>
        </w:rPr>
        <w:t>万元。政府采购授予中小企业合同金额</w:t>
      </w:r>
      <w:r>
        <w:rPr>
          <w:rFonts w:hint="eastAsia" w:ascii="仿宋_GB2312"/>
          <w:color w:val="auto"/>
          <w:szCs w:val="32"/>
          <w:lang w:val="en-US" w:eastAsia="zh-CN"/>
        </w:rPr>
        <w:t>0</w:t>
      </w:r>
      <w:r>
        <w:rPr>
          <w:rFonts w:hint="eastAsia" w:ascii="仿宋_GB2312"/>
          <w:color w:val="auto"/>
          <w:szCs w:val="32"/>
        </w:rPr>
        <w:t>万元。</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szCs w:val="32"/>
        </w:rPr>
      </w:pPr>
      <w:r>
        <w:rPr>
          <w:rFonts w:hint="eastAsia" w:ascii="仿宋_GB2312"/>
          <w:szCs w:val="32"/>
        </w:rPr>
        <w:t>截至20</w:t>
      </w:r>
      <w:r>
        <w:rPr>
          <w:rFonts w:hint="eastAsia" w:ascii="仿宋_GB2312"/>
          <w:szCs w:val="32"/>
          <w:lang w:val="en-US" w:eastAsia="zh-CN"/>
        </w:rPr>
        <w:t>21</w:t>
      </w:r>
      <w:r>
        <w:rPr>
          <w:rFonts w:hint="eastAsia" w:ascii="仿宋_GB2312"/>
          <w:szCs w:val="32"/>
        </w:rPr>
        <w:t>年12月31日，本部门</w:t>
      </w:r>
      <w:r>
        <w:rPr>
          <w:rFonts w:hint="eastAsia" w:ascii="仿宋_GB2312"/>
          <w:szCs w:val="32"/>
          <w:lang w:val="en-US" w:eastAsia="zh-CN"/>
        </w:rPr>
        <w:t>拥有公务</w:t>
      </w:r>
      <w:r>
        <w:rPr>
          <w:rFonts w:hint="eastAsia" w:ascii="仿宋_GB2312"/>
          <w:szCs w:val="32"/>
        </w:rPr>
        <w:t>用车</w:t>
      </w:r>
      <w:r>
        <w:rPr>
          <w:rFonts w:hint="eastAsia" w:ascii="仿宋_GB2312"/>
          <w:szCs w:val="32"/>
          <w:lang w:val="en-US" w:eastAsia="zh-CN"/>
        </w:rPr>
        <w:t>1</w:t>
      </w:r>
      <w:r>
        <w:rPr>
          <w:rFonts w:hint="eastAsia" w:ascii="仿宋_GB2312"/>
          <w:szCs w:val="32"/>
        </w:rPr>
        <w:t>辆</w:t>
      </w:r>
      <w:r>
        <w:rPr>
          <w:rFonts w:hint="eastAsia" w:ascii="仿宋_GB2312"/>
          <w:szCs w:val="32"/>
          <w:lang w:eastAsia="zh-CN"/>
        </w:rPr>
        <w:t>，</w:t>
      </w:r>
      <w:r>
        <w:rPr>
          <w:rFonts w:hint="eastAsia" w:ascii="仿宋_GB2312"/>
          <w:szCs w:val="32"/>
          <w:lang w:val="en-US" w:eastAsia="zh-CN"/>
        </w:rPr>
        <w:t>所有权属于静乐县直属机关事务服务中心，本单位仅有使用权</w:t>
      </w:r>
      <w:r>
        <w:rPr>
          <w:rFonts w:hint="eastAsia" w:ascii="仿宋_GB2312"/>
          <w:szCs w:val="32"/>
        </w:rPr>
        <w:t>；</w:t>
      </w:r>
      <w:r>
        <w:rPr>
          <w:rFonts w:hint="eastAsia" w:ascii="仿宋_GB2312"/>
          <w:szCs w:val="32"/>
          <w:lang w:eastAsia="zh-CN"/>
        </w:rPr>
        <w:t>本单位</w:t>
      </w:r>
      <w:r>
        <w:rPr>
          <w:rFonts w:hint="eastAsia" w:ascii="仿宋_GB2312"/>
          <w:szCs w:val="32"/>
          <w:lang w:val="en-US" w:eastAsia="zh-CN"/>
        </w:rPr>
        <w:t>无</w:t>
      </w:r>
      <w:r>
        <w:rPr>
          <w:rFonts w:hint="eastAsia" w:ascii="仿宋_GB2312"/>
          <w:szCs w:val="32"/>
        </w:rPr>
        <w:t>单价50万元（含）以上的通用设备</w:t>
      </w:r>
      <w:r>
        <w:rPr>
          <w:rFonts w:hint="eastAsia" w:ascii="仿宋_GB2312"/>
          <w:szCs w:val="32"/>
          <w:lang w:eastAsia="zh-CN"/>
        </w:rPr>
        <w:t>和</w:t>
      </w:r>
      <w:r>
        <w:rPr>
          <w:rFonts w:hint="eastAsia" w:ascii="仿宋_GB2312"/>
          <w:szCs w:val="32"/>
        </w:rPr>
        <w:t>单价100万元（含）以上专用设备。</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numPr>
          <w:numId w:val="0"/>
        </w:num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cs="仿宋_GB2312"/>
          <w:b/>
          <w:bCs/>
          <w:sz w:val="32"/>
          <w:szCs w:val="32"/>
          <w:lang w:val="en-US" w:eastAsia="zh-CN"/>
        </w:rPr>
        <w:t>1、</w:t>
      </w:r>
      <w:r>
        <w:rPr>
          <w:rFonts w:hint="eastAsia" w:ascii="仿宋_GB2312" w:hAnsi="仿宋_GB2312" w:eastAsia="仿宋_GB2312" w:cs="仿宋_GB2312"/>
          <w:b/>
          <w:bCs/>
          <w:sz w:val="32"/>
          <w:szCs w:val="32"/>
          <w:lang w:val="en-US" w:eastAsia="zh-CN"/>
        </w:rPr>
        <w:t>预算绩效管理工作开展情况。</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根据预算绩效管理要求，我</w:t>
      </w:r>
      <w:r>
        <w:rPr>
          <w:rFonts w:hint="eastAsia" w:ascii="仿宋_GB2312" w:hAnsi="仿宋_GB2312" w:cs="仿宋_GB2312"/>
          <w:sz w:val="32"/>
          <w:szCs w:val="32"/>
          <w:lang w:val="en-US" w:eastAsia="zh-CN"/>
        </w:rPr>
        <w:t>单位</w:t>
      </w:r>
      <w:r>
        <w:rPr>
          <w:rFonts w:hint="eastAsia" w:ascii="仿宋_GB2312" w:hAnsi="仿宋_GB2312" w:eastAsia="仿宋_GB2312" w:cs="仿宋_GB2312"/>
          <w:sz w:val="32"/>
          <w:szCs w:val="32"/>
          <w:lang w:val="en-US" w:eastAsia="zh-CN"/>
        </w:rPr>
        <w:t>组织对202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w:t>
      </w:r>
      <w:r>
        <w:rPr>
          <w:rFonts w:hint="eastAsia" w:ascii="仿宋_GB2312" w:hAnsi="仿宋_GB2312" w:cs="仿宋_GB2312"/>
          <w:sz w:val="32"/>
          <w:szCs w:val="32"/>
          <w:lang w:val="en-US" w:eastAsia="zh-CN"/>
        </w:rPr>
        <w:t>县</w:t>
      </w:r>
      <w:r>
        <w:rPr>
          <w:rFonts w:hint="eastAsia" w:ascii="仿宋_GB2312" w:hAnsi="仿宋_GB2312" w:eastAsia="仿宋_GB2312" w:cs="仿宋_GB2312"/>
          <w:sz w:val="32"/>
          <w:szCs w:val="32"/>
          <w:lang w:val="en-US" w:eastAsia="zh-CN"/>
        </w:rPr>
        <w:t>级财政预算安排的</w:t>
      </w:r>
      <w:r>
        <w:rPr>
          <w:rFonts w:hint="eastAsia" w:ascii="仿宋_GB2312" w:hAnsi="仿宋_GB2312" w:eastAsia="仿宋_GB2312" w:cs="仿宋_GB2312"/>
          <w:sz w:val="32"/>
          <w:szCs w:val="32"/>
          <w:highlight w:val="none"/>
          <w:lang w:val="en-US" w:eastAsia="zh-CN"/>
        </w:rPr>
        <w:t>专项资金类</w:t>
      </w:r>
      <w:r>
        <w:rPr>
          <w:rFonts w:hint="eastAsia" w:ascii="仿宋_GB2312" w:hAnsi="仿宋_GB2312" w:cs="仿宋_GB2312"/>
          <w:sz w:val="32"/>
          <w:szCs w:val="32"/>
          <w:highlight w:val="none"/>
          <w:lang w:val="en-US" w:eastAsia="zh-CN"/>
        </w:rPr>
        <w:t>16个项目</w:t>
      </w:r>
      <w:r>
        <w:rPr>
          <w:rFonts w:hint="eastAsia" w:ascii="仿宋_GB2312" w:hAnsi="仿宋_GB2312" w:eastAsia="仿宋_GB2312" w:cs="仿宋_GB2312"/>
          <w:sz w:val="32"/>
          <w:szCs w:val="32"/>
          <w:lang w:val="en-US" w:eastAsia="zh-CN"/>
        </w:rPr>
        <w:t>开展绩效自评，涉及预算资金</w:t>
      </w:r>
      <w:r>
        <w:rPr>
          <w:rFonts w:hint="eastAsia" w:ascii="仿宋_GB2312" w:hAnsi="仿宋_GB2312" w:cs="仿宋_GB2312"/>
          <w:sz w:val="32"/>
          <w:szCs w:val="32"/>
          <w:lang w:val="en-US" w:eastAsia="zh-CN"/>
        </w:rPr>
        <w:t>1204.39</w:t>
      </w:r>
      <w:r>
        <w:rPr>
          <w:rFonts w:hint="eastAsia" w:ascii="仿宋_GB2312" w:hAnsi="仿宋_GB2312" w:eastAsia="仿宋_GB2312" w:cs="仿宋_GB2312"/>
          <w:sz w:val="32"/>
          <w:szCs w:val="32"/>
          <w:lang w:val="en-US" w:eastAsia="zh-CN"/>
        </w:rPr>
        <w:t>万元，占一般公共预算项目支出总额的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cs="仿宋_GB2312"/>
          <w:b/>
          <w:bCs/>
          <w:sz w:val="32"/>
          <w:szCs w:val="32"/>
          <w:lang w:val="en-US" w:eastAsia="zh-CN"/>
        </w:rPr>
        <w:t>2、</w:t>
      </w:r>
      <w:r>
        <w:rPr>
          <w:rFonts w:hint="eastAsia" w:ascii="仿宋_GB2312" w:hAnsi="仿宋_GB2312" w:eastAsia="仿宋_GB2312" w:cs="仿宋_GB2312"/>
          <w:b/>
          <w:bCs/>
          <w:sz w:val="32"/>
          <w:szCs w:val="32"/>
          <w:lang w:val="en-US" w:eastAsia="zh-CN"/>
        </w:rPr>
        <w:t>部门决算中项目绩效自评结果。</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16个</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99.47</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1204.39</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 xml:space="preserve"> 1174.86 </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99.47</w:t>
      </w:r>
      <w:r>
        <w:rPr>
          <w:rFonts w:hint="eastAsia" w:ascii="仿宋_GB2312" w:hAnsi="仿宋_GB2312" w:eastAsia="仿宋_GB2312" w:cs="仿宋_GB2312"/>
          <w:sz w:val="32"/>
          <w:szCs w:val="32"/>
          <w:lang w:val="en-US" w:eastAsia="zh-CN"/>
        </w:rPr>
        <w:t>%。项目绩效目标完成情况：</w:t>
      </w:r>
      <w:r>
        <w:rPr>
          <w:rFonts w:hint="eastAsia" w:ascii="仿宋_GB2312" w:hAnsi="仿宋_GB2312" w:cs="仿宋_GB2312"/>
          <w:sz w:val="32"/>
          <w:szCs w:val="32"/>
          <w:lang w:val="en-US" w:eastAsia="zh-CN"/>
        </w:rPr>
        <w:t>1、扶贫办2021年第一书记驻村工作队体检和保险费17.806万元，已足额支付完成绩效目标；2、扶贫办2021年驻村工作队工作经费10万元，已足额支付完成绩效目标；3、2021年扶贫办全民小额普惠意外伤害保险费221.12万元，已足额支付完成绩效目标；4、扶贫办2021年工作经费20万元，已足额支付完成绩效目标；5、2021年扶贫办易地搬迁项目审核评估费6万元，已足额支付完成绩效目标；6、扶贫办2021年扶贫档案整理和数字化费用406.9万元，完成支付378.36 万元，完成绩效目标的92.25万元，主要是因为整理档案数量减少，没有按预算完成 ；7、2021年大学新生资助金66万元，已支付65万元，完成绩效目标99.61%，是因为大学生已经全覆盖，没有需要支付的人员；8、2021年扶贫办“晋忻保”农业风险保障金227.5万元，已足额支付完成绩效目标；9、扶贫办2021 年全市脱贫攻坚先进个人奖励金37万元，已足额支付完成绩效目标；10、扶贫办2021年脱贫攻坚中心取暖费1.57万元，已足额支付完成绩效目标；11、扶贫办2021年工作经费50万元，已足额支付完成绩效目标；12、扶贫办2021年工作经费15万元，已足额支付完成绩效目标；13、扶贫办2021年“晋忻保”农业风险保障金97.5万元，已足额支付完成绩效目标；14、扶贫办2021年培训费8万元，已足额支付完成绩效目标的99.33%，；15、2021年扶贫办工作经费10万元，已足额支付完成绩效目标；16、扶贫办2021年工作经费10万元，已足额支付完成绩效目标。对于没有完成绩效目标的项目，</w:t>
      </w:r>
      <w:r>
        <w:rPr>
          <w:rFonts w:hint="eastAsia" w:ascii="仿宋_GB2312" w:hAnsi="仿宋_GB2312" w:eastAsia="仿宋_GB2312" w:cs="仿宋_GB2312"/>
          <w:sz w:val="32"/>
          <w:szCs w:val="32"/>
          <w:lang w:val="en-US" w:eastAsia="zh-CN"/>
        </w:rPr>
        <w:t>下一步改进措施：一是</w:t>
      </w:r>
      <w:r>
        <w:rPr>
          <w:rFonts w:hint="eastAsia" w:ascii="仿宋_GB2312" w:hAnsi="仿宋_GB2312" w:cs="仿宋_GB2312"/>
          <w:sz w:val="32"/>
          <w:szCs w:val="32"/>
          <w:lang w:val="en-US" w:eastAsia="zh-CN"/>
        </w:rPr>
        <w:t>进一步细化资金用途做到预算准确</w:t>
      </w:r>
      <w:r>
        <w:rPr>
          <w:rFonts w:hint="eastAsia" w:ascii="仿宋_GB2312" w:hAnsi="仿宋_GB2312" w:eastAsia="仿宋_GB2312" w:cs="仿宋_GB2312"/>
          <w:sz w:val="32"/>
          <w:szCs w:val="32"/>
          <w:lang w:val="en-US" w:eastAsia="zh-CN"/>
        </w:rPr>
        <w:t>；二是</w:t>
      </w:r>
      <w:r>
        <w:rPr>
          <w:rFonts w:hint="eastAsia" w:ascii="仿宋_GB2312" w:hAnsi="仿宋_GB2312" w:cs="仿宋_GB2312"/>
          <w:sz w:val="32"/>
          <w:szCs w:val="32"/>
          <w:lang w:val="en-US" w:eastAsia="zh-CN"/>
        </w:rPr>
        <w:t>及时整理需要资助的大学生，做到应补尽补</w:t>
      </w:r>
      <w:r>
        <w:rPr>
          <w:rFonts w:hint="eastAsia" w:ascii="仿宋_GB2312" w:hAnsi="仿宋_GB2312" w:eastAsia="仿宋_GB2312" w:cs="仿宋_GB2312"/>
          <w:sz w:val="32"/>
          <w:szCs w:val="32"/>
          <w:lang w:val="en-US" w:eastAsia="zh-CN"/>
        </w:rPr>
        <w:t>。</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附：16个项目</w:t>
      </w:r>
      <w:r>
        <w:rPr>
          <w:rFonts w:hint="eastAsia" w:ascii="仿宋_GB2312" w:hAnsi="仿宋_GB2312" w:eastAsia="仿宋_GB2312" w:cs="仿宋_GB2312"/>
          <w:sz w:val="32"/>
          <w:szCs w:val="32"/>
          <w:lang w:val="en-US" w:eastAsia="zh-CN"/>
        </w:rPr>
        <w:t>项目绩效自评综述</w:t>
      </w:r>
      <w:r>
        <w:rPr>
          <w:rFonts w:hint="eastAsia" w:ascii="仿宋_GB2312" w:hAnsi="仿宋_GB2312" w:cs="仿宋_GB2312"/>
          <w:sz w:val="32"/>
          <w:szCs w:val="32"/>
          <w:lang w:val="en-US" w:eastAsia="zh-CN"/>
        </w:rPr>
        <w:t>表</w:t>
      </w:r>
    </w:p>
    <w:p>
      <w:pPr>
        <w:pStyle w:val="2"/>
        <w:rPr>
          <w:rFonts w:hint="eastAsia"/>
          <w:lang w:val="en-US" w:eastAsia="zh-CN"/>
        </w:rPr>
      </w:pPr>
    </w:p>
    <w:p>
      <w:pPr>
        <w:numPr>
          <w:ilvl w:val="0"/>
          <w:numId w:val="4"/>
        </w:numPr>
        <w:ind w:left="0" w:leftChars="0"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部门评价项目绩效评价结果。</w:t>
      </w:r>
    </w:p>
    <w:p>
      <w:pPr>
        <w:numPr>
          <w:ilvl w:val="0"/>
          <w:numId w:val="0"/>
        </w:numPr>
        <w:ind w:leftChars="200"/>
        <w:rPr>
          <w:rFonts w:hint="eastAsia" w:ascii="仿宋_GB2312" w:hAnsi="仿宋_GB2312" w:eastAsia="仿宋_GB2312" w:cs="仿宋_GB2312"/>
          <w:sz w:val="32"/>
          <w:szCs w:val="32"/>
          <w:lang w:val="en-US" w:eastAsia="zh-CN"/>
        </w:rPr>
      </w:pPr>
      <w:r>
        <w:rPr>
          <w:rFonts w:hint="eastAsia" w:ascii="仿宋_GB2312" w:hAnsi="仿宋_GB2312" w:cs="仿宋_GB2312"/>
          <w:b w:val="0"/>
          <w:bCs w:val="0"/>
          <w:sz w:val="32"/>
          <w:szCs w:val="32"/>
          <w:lang w:val="en-US" w:eastAsia="zh-CN"/>
        </w:rPr>
        <w:t>本单位无重点项目</w:t>
      </w:r>
      <w:r>
        <w:rPr>
          <w:rFonts w:hint="eastAsia" w:ascii="仿宋_GB2312" w:hAnsi="仿宋_GB2312" w:eastAsia="仿宋_GB2312" w:cs="仿宋_GB2312"/>
          <w:sz w:val="32"/>
          <w:szCs w:val="32"/>
          <w:lang w:val="en-US" w:eastAsia="zh-CN"/>
        </w:rPr>
        <w:t>评价报告向社会公开。</w:t>
      </w:r>
    </w:p>
    <w:p>
      <w:pPr>
        <w:numPr>
          <w:ilvl w:val="0"/>
          <w:numId w:val="5"/>
        </w:numPr>
        <w:spacing w:line="580" w:lineRule="exact"/>
        <w:ind w:firstLine="643" w:firstLineChars="200"/>
        <w:outlineLvl w:val="0"/>
        <w:rPr>
          <w:rFonts w:hint="eastAsia" w:ascii="仿宋_GB2312" w:eastAsia="仿宋_GB2312"/>
          <w:b/>
          <w:szCs w:val="32"/>
          <w:lang w:val="en-US" w:eastAsia="zh-CN"/>
        </w:rPr>
      </w:pPr>
      <w:bookmarkStart w:id="30" w:name="_Toc8450"/>
      <w:bookmarkStart w:id="31" w:name="_Toc28108"/>
      <w:r>
        <w:rPr>
          <w:rFonts w:hint="eastAsia" w:ascii="仿宋_GB2312"/>
          <w:b/>
          <w:szCs w:val="32"/>
        </w:rPr>
        <w:t>其他需要说明的事项</w:t>
      </w:r>
      <w:bookmarkEnd w:id="30"/>
      <w:bookmarkEnd w:id="31"/>
    </w:p>
    <w:p>
      <w:pPr>
        <w:pStyle w:val="4"/>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bookmarkStart w:id="33" w:name="_GoBack"/>
      <w:bookmarkEnd w:id="33"/>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left="0" w:leftChars="0" w:firstLine="2560" w:firstLineChars="800"/>
        <w:rPr>
          <w:rFonts w:hint="eastAsia" w:ascii="仿宋_GB2312" w:eastAsia="仿宋_GB2312"/>
          <w:szCs w:val="32"/>
          <w:lang w:val="en-US" w:eastAsia="zh-CN"/>
        </w:rPr>
      </w:pPr>
      <w:r>
        <w:rPr>
          <w:rFonts w:hint="eastAsia" w:ascii="仿宋_GB2312"/>
          <w:szCs w:val="32"/>
          <w:lang w:val="en-US" w:eastAsia="zh-CN"/>
        </w:rPr>
        <w:t xml:space="preserve">      单位名称：静乐县乡村振兴局</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lvl w:ilvl="0" w:tentative="0">
      <w:start w:val="1"/>
      <w:numFmt w:val="chineseCounting"/>
      <w:suff w:val="nothing"/>
      <w:lvlText w:val="（%1）"/>
      <w:lvlJc w:val="left"/>
      <w:rPr>
        <w:rFonts w:hint="eastAsia"/>
      </w:rPr>
    </w:lvl>
  </w:abstractNum>
  <w:abstractNum w:abstractNumId="1">
    <w:nsid w:val="45A5F805"/>
    <w:multiLevelType w:val="singleLevel"/>
    <w:tmpl w:val="45A5F805"/>
    <w:lvl w:ilvl="0" w:tentative="0">
      <w:start w:val="1"/>
      <w:numFmt w:val="decimal"/>
      <w:suff w:val="nothing"/>
      <w:lvlText w:val="（%1）"/>
      <w:lvlJc w:val="left"/>
    </w:lvl>
  </w:abstractNum>
  <w:abstractNum w:abstractNumId="2">
    <w:nsid w:val="536E7699"/>
    <w:multiLevelType w:val="singleLevel"/>
    <w:tmpl w:val="536E7699"/>
    <w:lvl w:ilvl="0" w:tentative="0">
      <w:start w:val="2"/>
      <w:numFmt w:val="chineseCounting"/>
      <w:suff w:val="nothing"/>
      <w:lvlText w:val="%1、"/>
      <w:lvlJc w:val="left"/>
      <w:rPr>
        <w:rFonts w:hint="eastAsia"/>
      </w:rPr>
    </w:lvl>
  </w:abstractNum>
  <w:abstractNum w:abstractNumId="3">
    <w:nsid w:val="60A4CC00"/>
    <w:multiLevelType w:val="singleLevel"/>
    <w:tmpl w:val="60A4CC00"/>
    <w:lvl w:ilvl="0" w:tentative="0">
      <w:start w:val="2"/>
      <w:numFmt w:val="decimal"/>
      <w:suff w:val="nothing"/>
      <w:lvlText w:val="（%1）"/>
      <w:lvlJc w:val="left"/>
    </w:lvl>
  </w:abstractNum>
  <w:abstractNum w:abstractNumId="4">
    <w:nsid w:val="60A4DC26"/>
    <w:multiLevelType w:val="singleLevel"/>
    <w:tmpl w:val="60A4DC26"/>
    <w:lvl w:ilvl="0" w:tentative="0">
      <w:start w:val="4"/>
      <w:numFmt w:val="chineseCounting"/>
      <w:suff w:val="nothing"/>
      <w:lvlText w:val="（%1）"/>
      <w:lvlJc w:val="left"/>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kZTZkOWRiNDk2ODc4MWM0YTRhMjBjMDAxNzQ1MGEifQ=="/>
  </w:docVars>
  <w:rsids>
    <w:rsidRoot w:val="495520D0"/>
    <w:rsid w:val="03696819"/>
    <w:rsid w:val="09BE4364"/>
    <w:rsid w:val="0DEB7452"/>
    <w:rsid w:val="16654CDD"/>
    <w:rsid w:val="1A4A5C33"/>
    <w:rsid w:val="1E067C70"/>
    <w:rsid w:val="20E11943"/>
    <w:rsid w:val="20F33C48"/>
    <w:rsid w:val="248B44C6"/>
    <w:rsid w:val="2701594C"/>
    <w:rsid w:val="27426717"/>
    <w:rsid w:val="277C7F57"/>
    <w:rsid w:val="37943B50"/>
    <w:rsid w:val="3821117E"/>
    <w:rsid w:val="42C12CEC"/>
    <w:rsid w:val="44401A62"/>
    <w:rsid w:val="495520D0"/>
    <w:rsid w:val="49E0434C"/>
    <w:rsid w:val="4A012068"/>
    <w:rsid w:val="4EB66366"/>
    <w:rsid w:val="53A30631"/>
    <w:rsid w:val="5EC01F6A"/>
    <w:rsid w:val="63AB51DF"/>
    <w:rsid w:val="646256C3"/>
    <w:rsid w:val="649C6DC9"/>
    <w:rsid w:val="6701633B"/>
    <w:rsid w:val="6E37351B"/>
    <w:rsid w:val="6F810602"/>
    <w:rsid w:val="715A78E4"/>
    <w:rsid w:val="75846522"/>
    <w:rsid w:val="7761744D"/>
    <w:rsid w:val="77C35C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1">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left="420" w:leftChars="200"/>
    </w:pPr>
  </w:style>
  <w:style w:type="paragraph" w:styleId="6">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7">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3840</Words>
  <Characters>4659</Characters>
  <Lines>0</Lines>
  <Paragraphs>0</Paragraphs>
  <ScaleCrop>false</ScaleCrop>
  <LinksUpToDate>false</LinksUpToDate>
  <CharactersWithSpaces>4905</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wrf12</cp:lastModifiedBy>
  <dcterms:modified xsi:type="dcterms:W3CDTF">2022-07-28T09:54:09Z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697DC2EEC0124D11B968D041C30EB94C</vt:lpwstr>
  </property>
</Properties>
</file>