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城乡居民补充养老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静乐县城乡居民养老保险服务中心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静乐县城乡居民养老保险服务中心-207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县级财政对参保人的缴费补贴、困难群众代缴保费。目的是为了发挥社会保险对保障人民基本生活、促进城乡经济协调发展的重要作用。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《山西省人民政府关于建立城乡居民补充养老保险制度的实施意见》（晋政发【2020】11号）文件精神。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缓解不断加剧的养老压力，创新养老保险体系，进一步完善基本养老保险社会制度，促进制度公平。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城乡居保基金设有基金收入户、支出户，由县社保局城乡居保中心管理，接受县财政监督指导。县财政设有城乡居保基金财政专户，接收各级财政补助资金及城乡居保收入户划入的个人缴费，城乡居保支出户用于城乡居保待遇支出，所需资金由城乡居保中心按月向县财政申请，经县财政审批后划入城乡居保基金支出户，再由待遇支付业务从系统导出发放数据，加密发送银行，由银行进行社会化发放，资金管理封闭运行，所有收支均通过银行划转，基金安全得以保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个人缴费补助通过业务系统税务回盘成功后，自动生成市、县级补助进入其个人账户，代缴资金于当年12月前全部导入，资金支出程序、范围、标准、进度均按照上级文件规定严格执行。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433.83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提高城乡居民养老保障水平，巩固脱贫攻坚成果，切实改善民生。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提高城乡居民养老保障水平，巩固脱贫攻坚成果，切实改善民生。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城乡居民补充养老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16520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16520人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老有所养、老有所依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县级财政对参保人的缴费补贴、困难群众代缴保费。发挥l了社会保险对保障人民基本生活、促进城乡经济协调发展的重要作用。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县级财政对参保人缴费补贴和为困难群众代缴保费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老有所依、老有所养。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相当满意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16520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16520人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老有所养、老有所依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实际执行过程中有偏差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