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居民供暖补贴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静乐县住房和城乡建设管理局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静乐县住房和城乡建设管理局-018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对2019-2020年采暖季居民供热单位成本与价格倒挂亏损，供热系统节能和环保改造，既有建筑供热经营设施改造，既有住宅供热经营设施改造、可再生能源、清洁能源供热运行等进行补贴。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根据县市物价及政府核定的取暖费收费标准实行。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保障冬季居民取暖，确保采暖期连续稳定供热，弥补因供热成本和价格倒挂引起的亏损。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资金及时到位，并随时监管抽查。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严格按照相关规定及财务制度执行。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对2019-2020采暖季居民供热单位成本与价格倒挂亏损、供热系统节能和环保改造、既有住宅供热经营设施改造、可再生能源、清洁能源供热运行等进行补贴，以保障我县城市供热平稳运行，居民供热热源良好运转。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对2019-2020采暖季居民供热单位成本与价格倒挂亏损、供热系统节能和环保改造、既有住宅供热经营设施改造、可再生能源、清洁能源供热运行等进行补贴，以保障我县城市供热平稳运行，居民供热热源良好运转。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居民供暖补贴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供暖面积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210万平方米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210万平方米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供热温度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16度-20度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16度-20度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供暖期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7050万元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7050万元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弥补亏损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弥补亏损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保障居民冬季供暖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保障居民冬季供暖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减轻污染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减轻污染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节能减排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节能减排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居民满意度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98%以上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98%以上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供暖面积：210万平方米；居民满意度：98%以上；节能减排：节能减排；减轻污染：减轻污染；供热温度：16度-20度；供暖期：5个月；供热成本：7050万元；弥补亏损：弥补亏损；保障居民冬季供暖：保障居民冬季供暖；预算执行率：100%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供暖面积：210万平方米；居民满意度：98%以上；节能减排：节能减排；减轻污染：减轻污染；供热温度：16度-20度；供暖期：5个月；供热成本：7050万元；弥补亏损：弥补亏损；保障居民冬季供暖：保障居民冬季供暖；预算执行率：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供暖面积：210万平方米；居民满意度：98%以上；节能减排：节能减排；减轻污染：减轻污染；供热温度：16度-20度；供暖期：5个月；供热成本：7050万元；弥补亏损：弥补亏损；保障居民冬季供暖：保障居民冬季供暖；预算执行率：100%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供暖面积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210万平方米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210万平方米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供热温度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16度-20度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16度-20度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供暖期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7050万元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7050万元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弥补亏损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弥补亏损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保障居民冬季供暖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保障居民冬季供暖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减轻污染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减轻污染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节能减排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节能减排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居民满意度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98%以上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98%以上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