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民政局2021年鹅城敬老院改扩建前期费用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静乐县民政局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静乐县民政局-202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随着兜底脱贫和易地搬迁，特困供养对象集中供养意愿上升趋势明显，为进一步保障好老人的生活，急需对鹅城敬老院进行改扩建。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静乐县第十七届人民代表大会2021年财政预算审议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鹅城敬老院改扩建，为更多特困供养对象集中供养提供食宿，进一步保障老人生活条件。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《养老机构管理办法》（中华人民共和国民政部令第66号） 《中华人民共和国老年人权益保障法》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按鹅城敬老院改扩建工作进展需要，分批次及时拨付，专款专用。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0.5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0.5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0.5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29.5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29.5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29.5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1.67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1.67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1.67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1.规范鹅城敬老院管理；</w:t>
        <w:br/>
        <w:t>2.促进养老服务健康发展；</w:t>
        <w:br/>
        <w:t>3.为入院老人提供生活照料、精神慰藉、文化娱乐等服务；</w:t>
        <w:br/>
        <w:t>4.为在院老人建立健康档案，做好疾病预防工作。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1.规范鹅城敬老院管理；2.促进养老服务健康发展；3.为入院老人提供生活照料、精神慰藉、文化娱乐等服务；4.为在院老人建立健康档案，做好疾病预防工作。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民政局2021年鹅城敬老院改扩建前期费用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71.06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合格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1.66%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0.16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招标费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勘测测算项目数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3项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6.96项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设计费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土地手续费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养老机构服务质量达标率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养老机构设备设施维修合格率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补贴发放及时性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鹅城敬老院绿化覆盖率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前期勘察费成本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0.5万元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受补贴老人满意度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本籍地老人入住率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≥30%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0.48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长效管理制度健全性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档案管理机制健全性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鹅城敬老院改扩建前期费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及时支付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前期费未全部支付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满意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1.66%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1.66%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0.16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招标费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8万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勘测测算项目数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6.96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3项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6.96项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232.00%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6.96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设计费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10万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55.56%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土地手续费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4万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养老机构服务质量达标率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养老机构设备设施维修合格率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补贴发放及时性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前期勘察费成本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0.5万元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前期费用未全部支付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鹅城敬老院绿化覆盖率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9.89%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0.68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受补贴老人满意度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7.28%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本籍地老人入住率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≥30%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0.48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长效管理制度健全性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档案管理机制健全性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