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1071"/>
      <w:bookmarkStart w:id="1" w:name="_Toc32048"/>
      <w:bookmarkStart w:id="2" w:name="_Toc21118"/>
      <w:r>
        <w:rPr>
          <w:rFonts w:hint="eastAsia" w:ascii="华文中宋" w:hAnsi="华文中宋" w:eastAsia="华文中宋"/>
          <w:color w:val="auto"/>
          <w:sz w:val="44"/>
          <w:szCs w:val="44"/>
          <w:lang w:val="en-US" w:eastAsia="zh-CN"/>
        </w:rPr>
        <w:t>静乐县供销合作社联合社</w:t>
      </w:r>
    </w:p>
    <w:p>
      <w:pPr>
        <w:pStyle w:val="2"/>
        <w:jc w:val="center"/>
        <w:rPr>
          <w:rFonts w:hint="eastAsia" w:ascii="华文中宋" w:hAnsi="华文中宋" w:eastAsia="华文中宋"/>
          <w:color w:val="FF0000"/>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shd w:val="clear" w:color="auto" w:fill="FFFFFF"/>
        <w:spacing w:before="0" w:beforeAutospacing="0" w:after="0" w:afterAutospacing="0" w:line="360" w:lineRule="atLeast"/>
        <w:ind w:firstLine="480"/>
        <w:jc w:val="both"/>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1、宣传贯彻党中央、国务院和省、市、县人民政府有关农村经济工作的方针、政策，研究制订全县供销合作社和发展规划，指导全县供销合作社的发展和改革。</w:t>
      </w:r>
    </w:p>
    <w:p>
      <w:pPr>
        <w:pStyle w:val="8"/>
        <w:shd w:val="clear" w:color="auto" w:fill="FFFFFF"/>
        <w:spacing w:before="0" w:beforeAutospacing="0" w:after="0" w:afterAutospacing="0" w:line="360" w:lineRule="atLeast"/>
        <w:ind w:firstLine="480"/>
        <w:jc w:val="both"/>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 xml:space="preserve"> 2、加强基层组织建设，发展社有企业，推进联合和合作;领办农民专业合作社，完善行业协会服务，参与农业科技服务，建设农村合作经济服务体系，搭建为农服务综合平台。对农产品、农业生产资料、再生资源及本系统烟花爆竹经营活动进行管理。</w:t>
      </w:r>
    </w:p>
    <w:p>
      <w:pPr>
        <w:pStyle w:val="8"/>
        <w:shd w:val="clear" w:color="auto" w:fill="FFFFFF"/>
        <w:spacing w:before="0" w:beforeAutospacing="0" w:after="0" w:afterAutospacing="0" w:line="360" w:lineRule="atLeast"/>
        <w:ind w:firstLine="480"/>
        <w:jc w:val="both"/>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3、依法管理运营本级社有资产，对出资企业行使出资人职责，监督社有资产保值增值;依法维护全县各级供销合作社的合法权益。</w:t>
      </w:r>
    </w:p>
    <w:p>
      <w:pPr>
        <w:pStyle w:val="8"/>
        <w:shd w:val="clear" w:color="auto" w:fill="FFFFFF"/>
        <w:spacing w:before="0" w:beforeAutospacing="0" w:after="0" w:afterAutospacing="0" w:line="360" w:lineRule="atLeast"/>
        <w:ind w:firstLine="480"/>
        <w:jc w:val="both"/>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4、协调与政府部门、社会组织的关系，开展供销合作社从业人员教育培训和农民专业合作社带头人、农产品经济人、农民技能培训。</w:t>
      </w:r>
    </w:p>
    <w:p>
      <w:pPr>
        <w:numPr>
          <w:ilvl w:val="0"/>
          <w:numId w:val="0"/>
        </w:numPr>
        <w:ind w:firstLine="960" w:firstLineChars="3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5、承担国家和政府部门委托的各项任务。</w:t>
      </w:r>
      <w:bookmarkStart w:id="7" w:name="_Toc275"/>
      <w:bookmarkStart w:id="8" w:name="_Toc9155"/>
    </w:p>
    <w:p>
      <w:pPr>
        <w:numPr>
          <w:ilvl w:val="0"/>
          <w:numId w:val="0"/>
        </w:numPr>
        <w:ind w:firstLine="960" w:firstLineChars="300"/>
        <w:rPr>
          <w:rFonts w:hint="eastAsia" w:ascii="仿宋" w:hAnsi="仿宋" w:eastAsia="仿宋" w:cs="仿宋"/>
          <w:b w:val="0"/>
          <w:bCs/>
        </w:rPr>
      </w:pPr>
      <w:r>
        <w:rPr>
          <w:rFonts w:hint="eastAsia" w:ascii="仿宋" w:hAnsi="仿宋" w:eastAsia="仿宋" w:cs="仿宋"/>
          <w:b w:val="0"/>
          <w:bCs/>
        </w:rPr>
        <w:t>二、机构设置情况</w:t>
      </w:r>
      <w:bookmarkEnd w:id="7"/>
      <w:bookmarkEnd w:id="8"/>
    </w:p>
    <w:p>
      <w:pPr>
        <w:pStyle w:val="8"/>
        <w:numPr>
          <w:ilvl w:val="0"/>
          <w:numId w:val="0"/>
        </w:numPr>
        <w:spacing w:before="0" w:beforeAutospacing="0" w:after="0" w:afterAutospacing="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我单位为参照公务员法管理的事业单位。编制20人，实有15人。</w:t>
      </w:r>
    </w:p>
    <w:p>
      <w:pPr>
        <w:pStyle w:val="8"/>
        <w:numPr>
          <w:ilvl w:val="0"/>
          <w:numId w:val="0"/>
        </w:numPr>
        <w:spacing w:before="0" w:beforeAutospacing="0" w:after="0" w:afterAutospacing="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内设股室有：（一）理事会（二）监事会</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853.68</w:t>
      </w:r>
      <w:r>
        <w:rPr>
          <w:rFonts w:hint="eastAsia" w:ascii="仿宋_GB2312"/>
          <w:color w:val="auto"/>
          <w:szCs w:val="32"/>
        </w:rPr>
        <w:t>万元、支出总计</w:t>
      </w:r>
      <w:r>
        <w:rPr>
          <w:rFonts w:hint="eastAsia" w:ascii="仿宋_GB2312"/>
          <w:color w:val="auto"/>
          <w:szCs w:val="32"/>
          <w:lang w:val="en-US" w:eastAsia="zh-CN"/>
        </w:rPr>
        <w:t>933.68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增加636.12</w:t>
      </w:r>
      <w:r>
        <w:rPr>
          <w:rFonts w:hint="eastAsia" w:ascii="仿宋_GB2312"/>
          <w:color w:val="auto"/>
          <w:szCs w:val="32"/>
        </w:rPr>
        <w:t>万元，</w:t>
      </w:r>
      <w:r>
        <w:rPr>
          <w:rFonts w:hint="eastAsia" w:ascii="仿宋_GB2312"/>
          <w:color w:val="auto"/>
          <w:szCs w:val="32"/>
          <w:lang w:val="en-US" w:eastAsia="zh-CN"/>
        </w:rPr>
        <w:t>增长292.39</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增加796.12</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增长578.74</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本年新增县、乡、村三级物流配送网络体系建设项目资金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853.68</w:t>
      </w:r>
      <w:r>
        <w:rPr>
          <w:rFonts w:hint="eastAsia" w:ascii="仿宋_GB2312"/>
          <w:color w:val="auto"/>
          <w:szCs w:val="32"/>
        </w:rPr>
        <w:t>万元，其中：财政拨款收入</w:t>
      </w:r>
      <w:r>
        <w:rPr>
          <w:rFonts w:hint="eastAsia" w:ascii="仿宋_GB2312"/>
          <w:color w:val="auto"/>
          <w:szCs w:val="32"/>
          <w:lang w:val="en-US" w:eastAsia="zh-CN"/>
        </w:rPr>
        <w:t>853.68</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933.68</w:t>
      </w:r>
      <w:r>
        <w:rPr>
          <w:rFonts w:hint="eastAsia" w:ascii="仿宋_GB2312"/>
          <w:color w:val="auto"/>
          <w:szCs w:val="32"/>
        </w:rPr>
        <w:t>万元，其中：基本支出</w:t>
      </w:r>
      <w:r>
        <w:rPr>
          <w:rFonts w:hint="eastAsia" w:ascii="仿宋_GB2312"/>
          <w:color w:val="auto"/>
          <w:szCs w:val="32"/>
          <w:lang w:val="en-US" w:eastAsia="zh-CN"/>
        </w:rPr>
        <w:t>121.52</w:t>
      </w:r>
      <w:r>
        <w:rPr>
          <w:rFonts w:hint="eastAsia" w:ascii="仿宋_GB2312"/>
          <w:color w:val="auto"/>
          <w:szCs w:val="32"/>
        </w:rPr>
        <w:t>万元，占比</w:t>
      </w:r>
      <w:r>
        <w:rPr>
          <w:rFonts w:hint="eastAsia" w:ascii="仿宋_GB2312"/>
          <w:color w:val="auto"/>
          <w:szCs w:val="32"/>
          <w:lang w:val="en-US" w:eastAsia="zh-CN"/>
        </w:rPr>
        <w:t>13.02</w:t>
      </w:r>
      <w:r>
        <w:rPr>
          <w:rFonts w:hint="eastAsia" w:ascii="仿宋_GB2312"/>
          <w:color w:val="auto"/>
          <w:szCs w:val="32"/>
        </w:rPr>
        <w:t>%；项目支出</w:t>
      </w:r>
      <w:r>
        <w:rPr>
          <w:rFonts w:hint="eastAsia" w:ascii="仿宋_GB2312"/>
          <w:color w:val="auto"/>
          <w:szCs w:val="32"/>
          <w:lang w:val="en-US" w:eastAsia="zh-CN"/>
        </w:rPr>
        <w:t>812.16</w:t>
      </w:r>
      <w:r>
        <w:rPr>
          <w:rFonts w:hint="eastAsia" w:ascii="仿宋_GB2312"/>
          <w:color w:val="auto"/>
          <w:szCs w:val="32"/>
        </w:rPr>
        <w:t>万元，占比</w:t>
      </w:r>
      <w:r>
        <w:rPr>
          <w:rFonts w:hint="eastAsia" w:ascii="仿宋_GB2312"/>
          <w:color w:val="auto"/>
          <w:szCs w:val="32"/>
          <w:lang w:val="en-US" w:eastAsia="zh-CN"/>
        </w:rPr>
        <w:t>86.98</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853.68</w:t>
      </w:r>
      <w:r>
        <w:rPr>
          <w:rFonts w:hint="eastAsia" w:ascii="仿宋_GB2312"/>
          <w:color w:val="auto"/>
          <w:szCs w:val="32"/>
        </w:rPr>
        <w:t>万元、支出总计</w:t>
      </w:r>
      <w:r>
        <w:rPr>
          <w:rFonts w:hint="eastAsia" w:ascii="仿宋_GB2312"/>
          <w:color w:val="auto"/>
          <w:szCs w:val="32"/>
          <w:lang w:val="en-US" w:eastAsia="zh-CN"/>
        </w:rPr>
        <w:t>933.68</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增加636.12</w:t>
      </w:r>
      <w:r>
        <w:rPr>
          <w:rFonts w:hint="eastAsia" w:ascii="仿宋_GB2312"/>
          <w:color w:val="auto"/>
          <w:szCs w:val="32"/>
        </w:rPr>
        <w:t>万元，</w:t>
      </w:r>
      <w:r>
        <w:rPr>
          <w:rFonts w:hint="eastAsia" w:ascii="仿宋_GB2312"/>
          <w:color w:val="auto"/>
          <w:szCs w:val="32"/>
          <w:lang w:val="en-US" w:eastAsia="zh-CN"/>
        </w:rPr>
        <w:t>增长292.39</w:t>
      </w:r>
      <w:r>
        <w:rPr>
          <w:rFonts w:hint="eastAsia" w:ascii="仿宋_GB2312"/>
          <w:color w:val="auto"/>
          <w:szCs w:val="32"/>
        </w:rPr>
        <w:t>%，财政拨款支出总计</w:t>
      </w:r>
      <w:r>
        <w:rPr>
          <w:rFonts w:hint="eastAsia" w:ascii="仿宋_GB2312"/>
          <w:color w:val="auto"/>
          <w:szCs w:val="32"/>
          <w:lang w:val="en-US" w:eastAsia="zh-CN"/>
        </w:rPr>
        <w:t>增加796.12</w:t>
      </w:r>
      <w:r>
        <w:rPr>
          <w:rFonts w:hint="eastAsia" w:ascii="仿宋_GB2312"/>
          <w:color w:val="auto"/>
          <w:szCs w:val="32"/>
        </w:rPr>
        <w:t>万元，</w:t>
      </w:r>
      <w:r>
        <w:rPr>
          <w:rFonts w:hint="eastAsia" w:ascii="仿宋_GB2312"/>
          <w:color w:val="auto"/>
          <w:szCs w:val="32"/>
          <w:lang w:val="en-US" w:eastAsia="zh-CN"/>
        </w:rPr>
        <w:t>增长578.74</w:t>
      </w:r>
      <w:r>
        <w:rPr>
          <w:rFonts w:hint="eastAsia" w:ascii="仿宋_GB2312"/>
          <w:color w:val="auto"/>
          <w:szCs w:val="32"/>
        </w:rPr>
        <w:t>%。主要原因是</w:t>
      </w:r>
      <w:r>
        <w:rPr>
          <w:rFonts w:hint="eastAsia" w:ascii="仿宋_GB2312"/>
          <w:color w:val="auto"/>
          <w:szCs w:val="32"/>
          <w:lang w:eastAsia="zh-CN"/>
        </w:rPr>
        <w:t>本年新增县、乡、村三级物流配送网络体系建设项目资金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933.68</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增加796.12</w:t>
      </w:r>
      <w:r>
        <w:rPr>
          <w:rFonts w:hint="eastAsia" w:ascii="仿宋_GB2312"/>
          <w:color w:val="auto"/>
          <w:szCs w:val="32"/>
        </w:rPr>
        <w:t>万元，</w:t>
      </w:r>
      <w:r>
        <w:rPr>
          <w:rFonts w:hint="eastAsia" w:ascii="仿宋_GB2312"/>
          <w:color w:val="auto"/>
          <w:szCs w:val="32"/>
          <w:lang w:val="en-US" w:eastAsia="zh-CN"/>
        </w:rPr>
        <w:t>增长578.74</w:t>
      </w:r>
      <w:r>
        <w:rPr>
          <w:rFonts w:hint="eastAsia" w:ascii="仿宋_GB2312"/>
          <w:color w:val="auto"/>
          <w:szCs w:val="32"/>
        </w:rPr>
        <w:t>%。主要原因是</w:t>
      </w:r>
      <w:r>
        <w:rPr>
          <w:rFonts w:hint="eastAsia" w:ascii="仿宋_GB2312"/>
          <w:color w:val="auto"/>
          <w:szCs w:val="32"/>
          <w:lang w:eastAsia="zh-CN"/>
        </w:rPr>
        <w:t>本年新增县、乡、村三级物流配送网络体系建设项目资金</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933.68</w:t>
      </w:r>
      <w:r>
        <w:rPr>
          <w:rFonts w:hint="eastAsia" w:ascii="仿宋_GB2312"/>
          <w:color w:val="auto"/>
          <w:szCs w:val="32"/>
        </w:rPr>
        <w:t>万元</w:t>
      </w:r>
      <w:r>
        <w:rPr>
          <w:rFonts w:ascii="仿宋_GB2312"/>
          <w:color w:val="auto"/>
          <w:szCs w:val="32"/>
        </w:rPr>
        <w:t>，主要用于以下方面：</w:t>
      </w:r>
      <w:r>
        <w:rPr>
          <w:rFonts w:hint="eastAsia" w:ascii="仿宋_GB2312"/>
          <w:b w:val="0"/>
          <w:bCs/>
          <w:color w:val="auto"/>
          <w:szCs w:val="32"/>
          <w:lang w:eastAsia="zh-CN"/>
        </w:rPr>
        <w:t>农林水支出（类）支出</w:t>
      </w:r>
      <w:r>
        <w:rPr>
          <w:rFonts w:hint="eastAsia" w:ascii="仿宋_GB2312"/>
          <w:b w:val="0"/>
          <w:bCs/>
          <w:color w:val="auto"/>
          <w:szCs w:val="32"/>
          <w:lang w:val="en-US" w:eastAsia="zh-CN"/>
        </w:rPr>
        <w:t>610万元，占65.33%；</w:t>
      </w:r>
      <w:r>
        <w:rPr>
          <w:rFonts w:hint="eastAsia" w:ascii="仿宋_GB2312"/>
          <w:b w:val="0"/>
          <w:bCs/>
          <w:color w:val="auto"/>
          <w:szCs w:val="32"/>
        </w:rPr>
        <w:t>商业服务业</w:t>
      </w:r>
      <w:r>
        <w:rPr>
          <w:rFonts w:ascii="仿宋_GB2312"/>
          <w:b w:val="0"/>
          <w:bCs/>
          <w:color w:val="auto"/>
          <w:szCs w:val="32"/>
        </w:rPr>
        <w:t>等（</w:t>
      </w:r>
      <w:r>
        <w:rPr>
          <w:rFonts w:hint="eastAsia" w:ascii="仿宋_GB2312"/>
          <w:b w:val="0"/>
          <w:bCs/>
          <w:color w:val="auto"/>
          <w:szCs w:val="32"/>
        </w:rPr>
        <w:t>类</w:t>
      </w:r>
      <w:r>
        <w:rPr>
          <w:rFonts w:ascii="仿宋_GB2312"/>
          <w:b w:val="0"/>
          <w:bCs/>
          <w:color w:val="auto"/>
          <w:szCs w:val="32"/>
        </w:rPr>
        <w:t>）</w:t>
      </w:r>
      <w:r>
        <w:rPr>
          <w:rFonts w:hint="eastAsia" w:ascii="仿宋_GB2312"/>
          <w:color w:val="auto"/>
          <w:szCs w:val="32"/>
        </w:rPr>
        <w:t>支出</w:t>
      </w:r>
      <w:r>
        <w:rPr>
          <w:rFonts w:hint="eastAsia" w:ascii="仿宋_GB2312"/>
          <w:color w:val="auto"/>
          <w:szCs w:val="32"/>
          <w:lang w:val="en-US" w:eastAsia="zh-CN"/>
        </w:rPr>
        <w:t>323.68</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34.67</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877.67</w:t>
      </w:r>
      <w:r>
        <w:rPr>
          <w:rFonts w:hint="eastAsia"/>
          <w:color w:val="auto"/>
          <w:szCs w:val="32"/>
        </w:rPr>
        <w:t>万元，</w:t>
      </w:r>
      <w:r>
        <w:rPr>
          <w:rFonts w:hint="eastAsia"/>
          <w:szCs w:val="32"/>
          <w:lang w:eastAsia="zh-CN"/>
        </w:rPr>
        <w:t>本年度财政拨款支出预算调整数</w:t>
      </w:r>
      <w:r>
        <w:rPr>
          <w:rFonts w:hint="eastAsia"/>
          <w:szCs w:val="32"/>
          <w:lang w:val="en-US" w:eastAsia="zh-CN"/>
        </w:rPr>
        <w:t>933.68万元，</w:t>
      </w:r>
      <w:r>
        <w:rPr>
          <w:rFonts w:hint="eastAsia"/>
          <w:color w:val="auto"/>
          <w:szCs w:val="32"/>
        </w:rPr>
        <w:t>支出决算</w:t>
      </w:r>
      <w:r>
        <w:rPr>
          <w:rFonts w:hint="eastAsia"/>
          <w:color w:val="auto"/>
          <w:szCs w:val="32"/>
          <w:lang w:val="en-US" w:eastAsia="zh-CN"/>
        </w:rPr>
        <w:t>933.68</w:t>
      </w:r>
      <w:r>
        <w:rPr>
          <w:rFonts w:hint="eastAsia"/>
          <w:color w:val="auto"/>
          <w:szCs w:val="32"/>
        </w:rPr>
        <w:t>万元，</w:t>
      </w:r>
      <w:r>
        <w:rPr>
          <w:rFonts w:hint="eastAsia"/>
          <w:szCs w:val="32"/>
          <w:lang w:eastAsia="zh-CN"/>
        </w:rPr>
        <w:t>占调整预算数的</w:t>
      </w:r>
      <w:r>
        <w:rPr>
          <w:rFonts w:hint="eastAsia"/>
          <w:szCs w:val="32"/>
          <w:lang w:val="en-US" w:eastAsia="zh-CN"/>
        </w:rPr>
        <w:t>100</w:t>
      </w:r>
      <w:bookmarkStart w:id="33" w:name="_GoBack"/>
      <w:bookmarkEnd w:id="33"/>
      <w:r>
        <w:rPr>
          <w:rFonts w:hint="eastAsia"/>
          <w:szCs w:val="32"/>
          <w:lang w:val="en-US" w:eastAsia="zh-CN"/>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11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491"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农林水支出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610.00</w:t>
            </w:r>
          </w:p>
        </w:tc>
        <w:tc>
          <w:tcPr>
            <w:tcW w:w="1491"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21305</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扶贫</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610.00</w:t>
            </w:r>
          </w:p>
        </w:tc>
        <w:tc>
          <w:tcPr>
            <w:tcW w:w="1491" w:type="dxa"/>
            <w:vAlign w:val="top"/>
          </w:tcPr>
          <w:p>
            <w:pPr>
              <w:jc w:val="left"/>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2130599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 xml:space="preserve">  其他扶贫支出</w:t>
            </w:r>
          </w:p>
        </w:tc>
        <w:tc>
          <w:tcPr>
            <w:tcW w:w="1876"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610.00</w:t>
            </w:r>
          </w:p>
        </w:tc>
        <w:tc>
          <w:tcPr>
            <w:tcW w:w="1491"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216</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商业服务业等支出</w:t>
            </w: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ind w:firstLine="720" w:firstLineChars="30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323.68</w:t>
            </w:r>
          </w:p>
        </w:tc>
        <w:tc>
          <w:tcPr>
            <w:tcW w:w="1491"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21602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商业流通事务</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137.56</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323.68</w:t>
            </w:r>
          </w:p>
        </w:tc>
        <w:tc>
          <w:tcPr>
            <w:tcW w:w="1491"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2160201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auto"/>
                <w:kern w:val="0"/>
                <w:sz w:val="22"/>
                <w:szCs w:val="22"/>
                <w:u w:val="none"/>
                <w:lang w:val="en-US" w:eastAsia="zh-CN" w:bidi="ar"/>
              </w:rPr>
            </w:pPr>
            <w:r>
              <w:rPr>
                <w:rFonts w:hint="eastAsia" w:ascii="仿宋" w:hAnsi="仿宋" w:eastAsia="仿宋" w:cs="仿宋"/>
                <w:i w:val="0"/>
                <w:color w:val="auto"/>
                <w:kern w:val="0"/>
                <w:sz w:val="22"/>
                <w:szCs w:val="22"/>
                <w:u w:val="none"/>
                <w:lang w:val="en-US" w:eastAsia="zh-CN" w:bidi="ar"/>
              </w:rPr>
              <w:t>137.56</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125.50</w:t>
            </w:r>
          </w:p>
        </w:tc>
        <w:tc>
          <w:tcPr>
            <w:tcW w:w="1491"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iCs w:val="0"/>
                <w:color w:val="auto"/>
                <w:kern w:val="0"/>
                <w:sz w:val="22"/>
                <w:szCs w:val="22"/>
                <w:u w:val="none"/>
                <w:lang w:val="en-US" w:eastAsia="zh-CN" w:bidi="ar"/>
              </w:rPr>
              <w:t>2160299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lang w:val="en-US" w:eastAsia="zh-CN"/>
              </w:rPr>
            </w:pPr>
            <w:r>
              <w:rPr>
                <w:rFonts w:hint="eastAsia" w:ascii="宋体" w:hAnsi="宋体" w:eastAsia="宋体" w:cs="宋体"/>
                <w:i w:val="0"/>
                <w:iCs w:val="0"/>
                <w:color w:val="auto"/>
                <w:kern w:val="0"/>
                <w:sz w:val="22"/>
                <w:szCs w:val="22"/>
                <w:u w:val="none"/>
                <w:lang w:val="en-US" w:eastAsia="zh-CN" w:bidi="ar"/>
              </w:rPr>
              <w:t xml:space="preserve">  其他商业流通事务支出</w:t>
            </w:r>
          </w:p>
        </w:tc>
        <w:tc>
          <w:tcPr>
            <w:tcW w:w="1876" w:type="dxa"/>
            <w:vAlign w:val="center"/>
          </w:tcPr>
          <w:p>
            <w:pPr>
              <w:keepNext w:val="0"/>
              <w:keepLines w:val="0"/>
              <w:widowControl/>
              <w:suppressLineNumbers w:val="0"/>
              <w:jc w:val="right"/>
              <w:textAlignment w:val="center"/>
              <w:rPr>
                <w:rFonts w:hint="eastAsia" w:ascii="仿宋" w:hAnsi="仿宋" w:eastAsia="仿宋" w:cs="仿宋"/>
                <w:i w:val="0"/>
                <w:color w:val="auto"/>
                <w:kern w:val="0"/>
                <w:sz w:val="22"/>
                <w:szCs w:val="22"/>
                <w:u w:val="none"/>
                <w:lang w:val="en-US" w:eastAsia="zh-CN" w:bidi="ar"/>
              </w:rPr>
            </w:pPr>
          </w:p>
        </w:tc>
        <w:tc>
          <w:tcPr>
            <w:tcW w:w="1684"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198.17</w:t>
            </w:r>
          </w:p>
        </w:tc>
        <w:tc>
          <w:tcPr>
            <w:tcW w:w="1491"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合</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lang w:eastAsia="zh-CN"/>
              </w:rPr>
              <w:t>计</w:t>
            </w: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jc w:val="left"/>
              <w:rPr>
                <w:rFonts w:hint="eastAsia" w:ascii="仿宋" w:hAnsi="仿宋" w:eastAsia="仿宋" w:cs="仿宋"/>
                <w:color w:val="auto"/>
                <w:sz w:val="24"/>
                <w:szCs w:val="24"/>
              </w:rPr>
            </w:pPr>
          </w:p>
        </w:tc>
        <w:tc>
          <w:tcPr>
            <w:tcW w:w="1684" w:type="dxa"/>
            <w:vAlign w:val="top"/>
          </w:tcPr>
          <w:p>
            <w:pPr>
              <w:jc w:val="righ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933.68</w:t>
            </w:r>
          </w:p>
        </w:tc>
        <w:tc>
          <w:tcPr>
            <w:tcW w:w="1491" w:type="dxa"/>
            <w:vAlign w:val="top"/>
          </w:tcPr>
          <w:p>
            <w:pPr>
              <w:jc w:val="left"/>
              <w:rPr>
                <w:rFonts w:hint="eastAsia" w:ascii="仿宋" w:hAnsi="仿宋" w:eastAsia="仿宋" w:cs="仿宋"/>
                <w:color w:val="auto"/>
                <w:sz w:val="24"/>
                <w:szCs w:val="24"/>
              </w:rPr>
            </w:pPr>
          </w:p>
        </w:tc>
      </w:tr>
    </w:tbl>
    <w:p>
      <w:pPr>
        <w:numPr>
          <w:ilvl w:val="0"/>
          <w:numId w:val="1"/>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137.56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933.68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578.75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118.56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183.29</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15.59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129.65</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731.43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1.85</w:t>
            </w:r>
          </w:p>
        </w:tc>
        <w:tc>
          <w:tcPr>
            <w:tcW w:w="2071"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101.00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5359.46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1.56</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519.74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33216.67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121.52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105.54</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基本工资、津贴补贴、奖金、机关事业单位基本养老保险缴费、职工基本医疗保险缴费、住房公积金等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15.98</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办公费、印刷费、水费、电费、取暖费等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821.16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numPr>
          <w:ilvl w:val="0"/>
          <w:numId w:val="0"/>
        </w:numPr>
        <w:ind w:firstLine="960" w:firstLineChars="300"/>
        <w:rPr>
          <w:rFonts w:hint="eastAsia" w:ascii="仿宋_GB2312" w:hAnsi="宋体" w:eastAsia="仿宋_GB2312" w:cs="宋体"/>
          <w:color w:val="auto"/>
          <w:kern w:val="0"/>
          <w:sz w:val="32"/>
          <w:szCs w:val="32"/>
          <w:lang w:val="en-US" w:eastAsia="zh-CN" w:bidi="ar-SA"/>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ascii="仿宋_GB2312"/>
          <w:color w:val="auto"/>
          <w:szCs w:val="32"/>
          <w:lang w:eastAsia="zh-CN"/>
        </w:rPr>
        <w:t>我单位无</w:t>
      </w:r>
      <w:r>
        <w:rPr>
          <w:rFonts w:hint="eastAsia" w:ascii="仿宋_GB2312"/>
          <w:color w:val="auto"/>
          <w:szCs w:val="32"/>
        </w:rPr>
        <w:t>“三公”经费</w:t>
      </w:r>
      <w:r>
        <w:rPr>
          <w:rFonts w:hint="eastAsia" w:ascii="仿宋_GB2312" w:hAnsi="仿宋_GB2312" w:eastAsia="仿宋_GB2312" w:cs="仿宋_GB2312"/>
          <w:color w:val="auto"/>
          <w:kern w:val="0"/>
          <w:sz w:val="32"/>
          <w:szCs w:val="32"/>
          <w:lang w:val="en-US" w:eastAsia="zh-CN" w:bidi="ar-SA"/>
        </w:rPr>
        <w:t>支出，单位因公出国（境）费0元，、公务用车购置及运行费0元，公务接待费0元。</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eastAsia="仿宋_GB2312"/>
          <w:b/>
          <w:color w:val="auto"/>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15.98</w:t>
      </w:r>
      <w:r>
        <w:rPr>
          <w:rFonts w:hint="eastAsia" w:ascii="仿宋_GB2312" w:hAnsi="宋体"/>
          <w:color w:val="auto"/>
          <w:szCs w:val="32"/>
        </w:rPr>
        <w:t>万元，比20</w:t>
      </w:r>
      <w:r>
        <w:rPr>
          <w:rFonts w:hint="eastAsia" w:ascii="仿宋_GB2312" w:hAnsi="宋体"/>
          <w:color w:val="auto"/>
          <w:szCs w:val="32"/>
          <w:lang w:val="en-US" w:eastAsia="zh-CN"/>
        </w:rPr>
        <w:t>20</w:t>
      </w:r>
      <w:r>
        <w:rPr>
          <w:rFonts w:hint="eastAsia" w:ascii="仿宋_GB2312" w:hAnsi="宋体"/>
          <w:color w:val="auto"/>
          <w:szCs w:val="32"/>
        </w:rPr>
        <w:t>年减少</w:t>
      </w:r>
      <w:r>
        <w:rPr>
          <w:rFonts w:hint="eastAsia" w:ascii="仿宋_GB2312" w:hAnsi="宋体"/>
          <w:color w:val="auto"/>
          <w:szCs w:val="32"/>
          <w:lang w:val="en-US" w:eastAsia="zh-CN"/>
        </w:rPr>
        <w:t>1.17</w:t>
      </w:r>
      <w:r>
        <w:rPr>
          <w:rFonts w:hint="eastAsia" w:ascii="仿宋_GB2312" w:hAnsi="宋体"/>
          <w:color w:val="auto"/>
          <w:szCs w:val="32"/>
        </w:rPr>
        <w:t>万元，降低</w:t>
      </w:r>
      <w:r>
        <w:rPr>
          <w:rFonts w:hint="eastAsia" w:ascii="仿宋_GB2312" w:hAnsi="宋体"/>
          <w:color w:val="auto"/>
          <w:szCs w:val="32"/>
          <w:lang w:val="en-US" w:eastAsia="zh-CN"/>
        </w:rPr>
        <w:t>6.83</w:t>
      </w:r>
      <w:r>
        <w:rPr>
          <w:rFonts w:hint="eastAsia" w:ascii="仿宋_GB2312" w:hAnsi="宋体"/>
          <w:color w:val="auto"/>
          <w:szCs w:val="32"/>
        </w:rPr>
        <w:t>%。主要原因是：</w:t>
      </w:r>
      <w:r>
        <w:rPr>
          <w:rFonts w:hint="eastAsia" w:ascii="仿宋_GB2312" w:hAnsi="宋体"/>
          <w:color w:val="auto"/>
          <w:szCs w:val="32"/>
          <w:lang w:eastAsia="zh-CN"/>
        </w:rPr>
        <w:t>本单位厉行节约。</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54.63</w:t>
      </w:r>
      <w:r>
        <w:rPr>
          <w:rFonts w:hint="eastAsia" w:ascii="仿宋_GB2312"/>
          <w:color w:val="auto"/>
          <w:szCs w:val="32"/>
        </w:rPr>
        <w:t>万元，其中：政府采购货物支出</w:t>
      </w:r>
      <w:r>
        <w:rPr>
          <w:rFonts w:hint="eastAsia" w:ascii="仿宋_GB2312"/>
          <w:color w:val="auto"/>
          <w:szCs w:val="32"/>
          <w:lang w:val="en-US" w:eastAsia="zh-CN"/>
        </w:rPr>
        <w:t>54.63</w:t>
      </w:r>
      <w:r>
        <w:rPr>
          <w:rFonts w:hint="eastAsia" w:ascii="仿宋_GB2312"/>
          <w:color w:val="auto"/>
          <w:szCs w:val="32"/>
        </w:rPr>
        <w:t>万元。政府采购授予中小企业合同金额</w:t>
      </w:r>
      <w:r>
        <w:rPr>
          <w:rFonts w:hint="eastAsia" w:ascii="仿宋_GB2312"/>
          <w:color w:val="auto"/>
          <w:szCs w:val="32"/>
          <w:lang w:val="en-US" w:eastAsia="zh-CN"/>
        </w:rPr>
        <w:t>54.63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54.63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w:t>
      </w:r>
      <w:r>
        <w:rPr>
          <w:rFonts w:hint="eastAsia" w:ascii="仿宋_GB2312"/>
          <w:color w:val="auto"/>
          <w:szCs w:val="32"/>
          <w:lang w:eastAsia="zh-CN"/>
        </w:rPr>
        <w:t>单位账面无</w:t>
      </w:r>
      <w:r>
        <w:rPr>
          <w:rFonts w:hint="eastAsia" w:ascii="仿宋_GB2312"/>
          <w:color w:val="auto"/>
          <w:szCs w:val="32"/>
        </w:rPr>
        <w:t>车辆；</w:t>
      </w:r>
      <w:r>
        <w:rPr>
          <w:rFonts w:hint="eastAsia" w:ascii="仿宋_GB2312" w:hAnsi="仿宋" w:eastAsia="仿宋_GB2312"/>
          <w:color w:val="auto"/>
          <w:sz w:val="32"/>
          <w:szCs w:val="32"/>
          <w:lang w:eastAsia="zh-CN"/>
        </w:rPr>
        <w:t>账面有</w:t>
      </w:r>
      <w:r>
        <w:rPr>
          <w:rFonts w:hint="eastAsia" w:ascii="仿宋_GB2312" w:hAnsi="仿宋" w:eastAsia="仿宋_GB2312"/>
          <w:color w:val="auto"/>
          <w:sz w:val="32"/>
          <w:szCs w:val="32"/>
          <w:lang w:val="en-US" w:eastAsia="zh-CN"/>
        </w:rPr>
        <w:t>180平米平房，但早已破旧，多年未使用</w:t>
      </w:r>
      <w:r>
        <w:rPr>
          <w:rFonts w:hint="eastAsia" w:ascii="仿宋_GB2312" w:hAnsi="仿宋"/>
          <w:color w:val="auto"/>
          <w:sz w:val="32"/>
          <w:szCs w:val="32"/>
          <w:lang w:val="en-US" w:eastAsia="zh-CN"/>
        </w:rPr>
        <w:t>；无</w:t>
      </w:r>
      <w:r>
        <w:rPr>
          <w:rFonts w:hint="eastAsia" w:ascii="仿宋_GB2312"/>
          <w:color w:val="auto"/>
          <w:szCs w:val="32"/>
        </w:rPr>
        <w:t>单价50万元（含）以上的通用设备</w:t>
      </w:r>
      <w:r>
        <w:rPr>
          <w:rFonts w:hint="eastAsia" w:ascii="仿宋_GB2312"/>
          <w:color w:val="auto"/>
          <w:szCs w:val="32"/>
          <w:lang w:eastAsia="zh-CN"/>
        </w:rPr>
        <w:t>和</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应当按照如下格式说明：根据预算绩效管理要求，我部门组织对202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00万元以上的经费补助类XX个项目支出全面开展绩效自评，涉及预算资金XX万元，占一般公共预算项目支出总额的XX%。组织对202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年度XXX、XXX等XX个政府性基金预算项目支出开展绩效自评，共涉及预算资金XX万元，占政府性基金预算项目支出总额的XX%。</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r>
        <w:rPr>
          <w:rFonts w:hint="eastAsia" w:ascii="仿宋_GB2312" w:hAnsi="仿宋_GB2312" w:eastAsia="仿宋_GB2312" w:cs="仿宋_GB2312"/>
          <w:color w:val="auto"/>
          <w:sz w:val="32"/>
          <w:szCs w:val="32"/>
          <w:lang w:val="en-US" w:eastAsia="zh-CN"/>
        </w:rPr>
        <w:t>部门</w:t>
      </w:r>
      <w:r>
        <w:rPr>
          <w:rFonts w:hint="eastAsia" w:ascii="仿宋_GB2312" w:hAnsi="仿宋_GB2312" w:cs="仿宋_GB2312"/>
          <w:color w:val="auto"/>
          <w:sz w:val="32"/>
          <w:szCs w:val="32"/>
          <w:lang w:val="en-US" w:eastAsia="zh-CN"/>
        </w:rPr>
        <w:t>本单位重点</w:t>
      </w:r>
      <w:r>
        <w:rPr>
          <w:rFonts w:hint="eastAsia" w:ascii="仿宋_GB2312" w:hAnsi="仿宋_GB2312" w:eastAsia="仿宋_GB2312" w:cs="仿宋_GB2312"/>
          <w:color w:val="auto"/>
          <w:sz w:val="32"/>
          <w:szCs w:val="32"/>
          <w:lang w:val="en-US" w:eastAsia="zh-CN"/>
        </w:rPr>
        <w:t>项目向社会公开，按照如下格式进行说明。</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XXX项目绩效自评综述：根据年初设定的绩效目标，项目自评得分为XX分。全年预算数为XX万元，执行数为XX万元，完成预算的XX%。项目绩效目标完成情况：一是······；二是······。发现的主要问题及原因：一是······；二是······。下一步改进措施：一是······；二是······。</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XXX项目绩效自评综述：·····。</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（公开项目对应的绩效自评价评分表以附件形式公开，自评价评分表从预算绩效管理信息系统中自评模块下载）</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eastAsia="仿宋_GB2312" w:cs="仿宋_GB2312"/>
          <w:color w:val="auto"/>
          <w:sz w:val="32"/>
          <w:szCs w:val="32"/>
          <w:lang w:val="en-US" w:eastAsia="zh-CN"/>
        </w:rPr>
        <w:t>（绩效评价报告以附件形式公开）</w:t>
      </w:r>
    </w:p>
    <w:p>
      <w:pPr>
        <w:numPr>
          <w:ilvl w:val="0"/>
          <w:numId w:val="2"/>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default" w:ascii="仿宋_GB2312" w:eastAsia="仿宋_GB2312"/>
          <w:b/>
          <w:color w:val="auto"/>
          <w:szCs w:val="32"/>
          <w:lang w:val="en-US" w:eastAsia="zh-CN"/>
        </w:rPr>
      </w:pPr>
      <w:r>
        <w:rPr>
          <w:rFonts w:hint="eastAsia" w:ascii="仿宋_GB2312"/>
          <w:b/>
          <w:color w:val="auto"/>
          <w:szCs w:val="32"/>
          <w:lang w:val="en-US" w:eastAsia="zh-CN"/>
        </w:rPr>
        <w:t xml:space="preserve">     </w:t>
      </w:r>
      <w:r>
        <w:rPr>
          <w:rFonts w:hint="eastAsia" w:ascii="仿宋_GB2312" w:hAnsi="仿宋_GB2312" w:eastAsia="仿宋_GB2312" w:cs="仿宋_GB2312"/>
          <w:color w:val="auto"/>
          <w:sz w:val="32"/>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MzRkZmEzN2U0Y2I0NzI4MWRkZTU4OWIyZmI2NjQifQ=="/>
  </w:docVars>
  <w:rsids>
    <w:rsidRoot w:val="495520D0"/>
    <w:rsid w:val="03696819"/>
    <w:rsid w:val="05A111EC"/>
    <w:rsid w:val="0623750A"/>
    <w:rsid w:val="0C360E8F"/>
    <w:rsid w:val="139C5619"/>
    <w:rsid w:val="14C2719A"/>
    <w:rsid w:val="16654CDD"/>
    <w:rsid w:val="179953DA"/>
    <w:rsid w:val="19A46E48"/>
    <w:rsid w:val="1A4A5C33"/>
    <w:rsid w:val="2701594C"/>
    <w:rsid w:val="27426717"/>
    <w:rsid w:val="2A363EF7"/>
    <w:rsid w:val="34E67DE1"/>
    <w:rsid w:val="35D57F9D"/>
    <w:rsid w:val="36167838"/>
    <w:rsid w:val="366B2598"/>
    <w:rsid w:val="37943B50"/>
    <w:rsid w:val="3821117E"/>
    <w:rsid w:val="3F8C5325"/>
    <w:rsid w:val="42C12CEC"/>
    <w:rsid w:val="44401A62"/>
    <w:rsid w:val="495520D0"/>
    <w:rsid w:val="4A012068"/>
    <w:rsid w:val="53A30631"/>
    <w:rsid w:val="5EC01F6A"/>
    <w:rsid w:val="5FB76CA5"/>
    <w:rsid w:val="63AB51DF"/>
    <w:rsid w:val="649C6DC9"/>
    <w:rsid w:val="668E4696"/>
    <w:rsid w:val="6DDD52FA"/>
    <w:rsid w:val="715A78E4"/>
    <w:rsid w:val="72552B3F"/>
    <w:rsid w:val="74130081"/>
    <w:rsid w:val="7761744D"/>
    <w:rsid w:val="77F44C6D"/>
    <w:rsid w:val="78E15662"/>
    <w:rsid w:val="7C11577B"/>
    <w:rsid w:val="7DA26897"/>
    <w:rsid w:val="7FC17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4125</Words>
  <Characters>4499</Characters>
  <Lines>0</Lines>
  <Paragraphs>0</Paragraphs>
  <ScaleCrop>false</ScaleCrop>
  <LinksUpToDate>false</LinksUpToDate>
  <CharactersWithSpaces>4650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2022-07-28T01:41:18Z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1B70FB0A336043BFBBB8498D0E2015BD</vt:lpwstr>
  </property>
</Properties>
</file>