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bookmarkStart w:id="17" w:name="_GoBack"/>
      <w:bookmarkEnd w:id="17"/>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000000"/>
          <w:sz w:val="32"/>
          <w:u w:val="none"/>
        </w:rPr>
        <w:t>静乐县怡汾农业投资开发有限公司运营和项目合作资金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000000"/>
          <w:sz w:val="32"/>
          <w:u w:val="none"/>
        </w:rPr>
        <w:t>静乐现代农业产业示范区管理委员会</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000000"/>
          <w:sz w:val="32"/>
          <w:u w:val="none"/>
        </w:rPr>
        <w:t>静乐现代农业产业示范区管理委员会-601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9"/>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9"/>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2"/>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9"/>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1、用于静乐县怡汾农业投资开发有限公司运营投资，支持怡汾农业开发有限公司用于摘牌东大树安华园区南区宗号为JL2021016的土地；顺利推进山西安华生物科技有限公司“静乐县年产10万吨全生物降解膜项目”。</w:t>
      </w:r>
    </w:p>
    <w:p>
      <w:pPr>
        <w:pStyle w:val="44"/>
        <w:ind w:left="280" w:firstLine="562"/>
        <w:rPr>
          <w:lang w:eastAsia="zh-CN"/>
        </w:rPr>
      </w:pPr>
      <w:r>
        <w:rPr>
          <w:rFonts w:hint="eastAsia"/>
          <w:b/>
          <w:bCs/>
          <w:lang w:val="en-US" w:eastAsia="zh-CN"/>
        </w:rPr>
        <w:t>立项依据：</w:t>
      </w:r>
      <w:r>
        <w:rPr>
          <w:rFonts w:hint="eastAsia"/>
          <w:lang w:eastAsia="zh-CN"/>
        </w:rPr>
        <w:t>静乐县人民政府2021年第四次常务会议纪要、静政发【2020】年23号，静乐县年产10万吨全生物降解PAV膜科技项目股权投资合作协议.</w:t>
      </w:r>
    </w:p>
    <w:p>
      <w:pPr>
        <w:pStyle w:val="44"/>
        <w:ind w:left="280" w:firstLine="562"/>
        <w:rPr>
          <w:lang w:eastAsia="zh-CN"/>
        </w:rPr>
      </w:pPr>
      <w:r>
        <w:rPr>
          <w:rFonts w:hint="eastAsia"/>
          <w:b/>
          <w:bCs/>
          <w:lang w:val="en-US" w:eastAsia="zh-CN"/>
        </w:rPr>
        <w:t>设立的必要性：</w:t>
      </w:r>
      <w:r>
        <w:rPr>
          <w:rFonts w:hint="eastAsia"/>
          <w:lang w:eastAsia="zh-CN"/>
        </w:rPr>
        <w:t>静乐县人民政府2021年第四次常务会议纪要、原则同意由县财政向静乐县现代农业产业示范区管委会注入资金，用于静乐县怡汾农业投资开发有限公司启动运营及项目投资。</w:t>
      </w:r>
    </w:p>
    <w:p>
      <w:pPr>
        <w:pStyle w:val="44"/>
        <w:ind w:left="280" w:firstLine="562"/>
        <w:rPr>
          <w:lang w:eastAsia="zh-CN"/>
        </w:rPr>
      </w:pPr>
      <w:r>
        <w:rPr>
          <w:rFonts w:hint="eastAsia"/>
          <w:b/>
          <w:bCs/>
          <w:lang w:val="en-US" w:eastAsia="zh-CN"/>
        </w:rPr>
        <w:t>保证项目实施的措施与制度：</w:t>
      </w:r>
      <w:r>
        <w:rPr>
          <w:rFonts w:hint="eastAsia"/>
          <w:lang w:eastAsia="zh-CN"/>
        </w:rPr>
        <w:t>《静乐县怡汾农业投资开发有限公司财务运营制度》、《静乐县年产10万吨全生物降解PAV膜科技项目实施办法》</w:t>
      </w:r>
    </w:p>
    <w:p>
      <w:pPr>
        <w:pStyle w:val="44"/>
        <w:ind w:left="280" w:firstLine="562"/>
        <w:rPr>
          <w:lang w:eastAsia="zh-CN"/>
        </w:rPr>
      </w:pPr>
      <w:r>
        <w:rPr>
          <w:rFonts w:hint="eastAsia"/>
          <w:b/>
          <w:bCs/>
          <w:lang w:val="en-US" w:eastAsia="zh-CN"/>
        </w:rPr>
        <w:t>项目实施计划：</w:t>
      </w:r>
      <w:r>
        <w:rPr>
          <w:rFonts w:hint="eastAsia"/>
          <w:lang w:eastAsia="zh-CN"/>
        </w:rPr>
        <w:t>计划于9月上旬摘牌东大树安华园区南区宗号为JL2021016地块，支持安华公司同步摘牌JL2021015地块；计划9-10月份启动附属设施建设和定制生产设备。</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7"/>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Layout w:type="fixed"/>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Layout w:type="fixed"/>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1200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1200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Layout w:type="fixed"/>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1、用于静乐县怡汾农业投资开发有限公司运营投资，支持怡汾农业开发有限公司用于摘牌东大树安华园区南区宗号为JL2021016的土地；顺利推进山西安华生物科技有限公司“静乐县年产10万吨全生物降解膜项目”取得阶段性进展、部分试生产。</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1、摘得宗号为JL2021016的土地；2、支持 安华公司同步摘得JL2021015地块；3、支持安华公司“静乐县年产10万吨全生物降解膜项目”取得阶段性进展，部分试生产。</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000000"/>
          <w:u w:val="none"/>
        </w:rPr>
        <w:t>静乐县怡汾农业投资开发有限公司运营和项目合作资金</w:t>
      </w:r>
      <w:r>
        <w:rPr>
          <w:rFonts w:hint="eastAsia"/>
          <w:lang w:eastAsia="zh-CN"/>
        </w:rPr>
        <w:t>项目绩效自评价结果为:总得分</w:t>
      </w:r>
      <w:r>
        <w:rPr>
          <w:color w:val="000000"/>
          <w:u w:val="none"/>
        </w:rPr>
        <w:t>90</w:t>
      </w:r>
      <w:r>
        <w:rPr>
          <w:rFonts w:hint="eastAsia"/>
          <w:lang w:eastAsia="zh-CN"/>
        </w:rPr>
        <w:t>分，属于"</w:t>
      </w:r>
      <w:r>
        <w:rPr>
          <w:color w:val="000000"/>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7"/>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投资企业数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股权占比例</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选择项目成功率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注资及时性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政府扶持产业投资比重</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带动就业人数（人）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静乐县年产10吨降解膜项目正常进行</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7"/>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受资助企业满意度（%）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充分发挥示范区积聚、辐射、带动作用，推动静乐经济发展，推动示范区管委会机制体制改革，平台公司运行以自身市场化经营实现管委会的规划和目标。注入资本金，启动运行怡汾农业公司。</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怡汾农业投资开发有限公司启动运营，余安华生物科技有限公司开展项目合作。</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入股安华生物科技有限公司，占股10%.</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怡汾农业投资开发有限公司启动运营，实现示范区平台公司运行以自身市场化经营实现管委会的规划和目标。</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管委会平台公司启动运营，坚持底线不添乱，坚持示范区开发建设。</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监督管理制度不完善。</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加强项目实施过程中监督管理。</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7"/>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Layout w:type="fixed"/>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Layout w:type="fixed"/>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Layout w:type="fixed"/>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股权占比例</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投资企业数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选择项目成功率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注资及时性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政府扶持产业投资比重</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静乐县年产10吨降解膜项目正常进行</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带动就业人数（人）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200人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受资助企业满意度（%）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实际完成值</w:t>
            </w:r>
          </w:p>
        </w:tc>
      </w:tr>
      <w:tr>
        <w:tblPrEx>
          <w:tblLayout w:type="fixed"/>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Layout w:type="fixed"/>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7"/>
        <w:tblW w:w="12100" w:type="dxa"/>
        <w:jc w:val="center"/>
        <w:tblInd w:w="0" w:type="dxa"/>
        <w:tblLayout w:type="fixed"/>
        <w:tblCellMar>
          <w:top w:w="0" w:type="dxa"/>
          <w:left w:w="0" w:type="dxa"/>
          <w:bottom w:w="0" w:type="dxa"/>
          <w:right w:w="0" w:type="dxa"/>
        </w:tblCellMar>
      </w:tblPr>
      <w:tblGrid>
        <w:gridCol w:w="12100"/>
      </w:tblGrid>
      <w:tr>
        <w:tblPrEx>
          <w:tblLayout w:type="fixed"/>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Layout w:type="fixed"/>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17"/>
          <w:ind w:firstLine="360"/>
          <w:jc w:val="center"/>
        </w:pPr>
        <w:r>
          <w:fldChar w:fldCharType="begin"/>
        </w:r>
        <w:r>
          <w:instrText xml:space="preserve">PAGE   \* MERGEFORMAT</w:instrText>
        </w:r>
        <w:r>
          <w:fldChar w:fldCharType="separate"/>
        </w:r>
        <w:r>
          <w:rPr>
            <w:lang w:val="zh-CN"/>
          </w:rPr>
          <w:t>7</w:t>
        </w:r>
        <w:r>
          <w:fldChar w:fldCharType="end"/>
        </w:r>
      </w:p>
    </w:sdtContent>
  </w:sdt>
  <w:p>
    <w:pPr>
      <w:pStyle w:val="17"/>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p>
  <w:p>
    <w:pPr>
      <w:pStyle w:val="17"/>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6FC43012"/>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unhideWhenUsed/>
    <w:uiPriority w:val="99"/>
    <w:pPr>
      <w:spacing w:after="120"/>
      <w:ind w:left="420" w:leftChars="200"/>
    </w:pPr>
    <w:rPr>
      <w:rFonts w:cs="Times New Roman"/>
      <w:kern w:val="0"/>
      <w:szCs w:val="20"/>
      <w:lang w:val="zh-CN" w:eastAsia="zh-CN"/>
    </w:rPr>
  </w:style>
  <w:style w:type="paragraph" w:customStyle="1"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annotation subject"/>
    <w:basedOn w:val="10"/>
    <w:next w:val="10"/>
    <w:link w:val="41"/>
    <w:unhideWhenUsed/>
    <w:uiPriority w:val="99"/>
    <w:rPr>
      <w:b/>
      <w:bCs/>
    </w:rPr>
  </w:style>
  <w:style w:type="paragraph" w:styleId="10">
    <w:name w:val="annotation text"/>
    <w:basedOn w:val="1"/>
    <w:link w:val="40"/>
    <w:unhideWhenUsed/>
    <w:qFormat/>
    <w:uiPriority w:val="99"/>
    <w:rPr>
      <w:rFonts w:cs="Times New Roman"/>
      <w:kern w:val="0"/>
      <w:sz w:val="20"/>
      <w:szCs w:val="20"/>
      <w:lang w:val="zh-CN" w:eastAsia="zh-CN"/>
    </w:rPr>
  </w:style>
  <w:style w:type="paragraph" w:styleId="11">
    <w:name w:val="toc 7"/>
    <w:basedOn w:val="1"/>
    <w:next w:val="1"/>
    <w:unhideWhenUsed/>
    <w:uiPriority w:val="39"/>
    <w:pPr>
      <w:ind w:left="1680"/>
      <w:jc w:val="left"/>
    </w:pPr>
    <w:rPr>
      <w:rFonts w:cs="Calibri"/>
      <w:sz w:val="18"/>
      <w:szCs w:val="18"/>
    </w:rPr>
  </w:style>
  <w:style w:type="paragraph" w:styleId="12">
    <w:name w:val="Document Map"/>
    <w:basedOn w:val="1"/>
    <w:link w:val="42"/>
    <w:unhideWhenUsed/>
    <w:uiPriority w:val="99"/>
    <w:rPr>
      <w:rFonts w:ascii="宋体" w:eastAsia="宋体" w:cs="Times New Roman"/>
      <w:kern w:val="0"/>
      <w:sz w:val="18"/>
      <w:szCs w:val="18"/>
      <w:lang w:val="zh-CN" w:eastAsia="zh-CN"/>
    </w:rPr>
  </w:style>
  <w:style w:type="paragraph" w:styleId="13">
    <w:name w:val="toc 5"/>
    <w:basedOn w:val="1"/>
    <w:next w:val="1"/>
    <w:unhideWhenUsed/>
    <w:uiPriority w:val="39"/>
    <w:pPr>
      <w:ind w:left="1120"/>
      <w:jc w:val="left"/>
    </w:pPr>
    <w:rPr>
      <w:rFonts w:cs="Calibri"/>
      <w:sz w:val="18"/>
      <w:szCs w:val="18"/>
    </w:rPr>
  </w:style>
  <w:style w:type="paragraph" w:styleId="14">
    <w:name w:val="toc 3"/>
    <w:basedOn w:val="1"/>
    <w:next w:val="1"/>
    <w:unhideWhenUsed/>
    <w:uiPriority w:val="39"/>
    <w:pPr>
      <w:ind w:left="560"/>
      <w:jc w:val="left"/>
    </w:pPr>
    <w:rPr>
      <w:rFonts w:cs="Calibri"/>
      <w:i/>
      <w:iCs/>
      <w:sz w:val="20"/>
      <w:szCs w:val="20"/>
    </w:rPr>
  </w:style>
  <w:style w:type="paragraph" w:styleId="15">
    <w:name w:val="toc 8"/>
    <w:basedOn w:val="1"/>
    <w:next w:val="1"/>
    <w:unhideWhenUsed/>
    <w:uiPriority w:val="39"/>
    <w:pPr>
      <w:ind w:left="1960"/>
      <w:jc w:val="left"/>
    </w:pPr>
    <w:rPr>
      <w:rFonts w:cs="Calibri"/>
      <w:sz w:val="18"/>
      <w:szCs w:val="18"/>
    </w:rPr>
  </w:style>
  <w:style w:type="paragraph" w:styleId="16">
    <w:name w:val="Balloon Text"/>
    <w:basedOn w:val="1"/>
    <w:link w:val="38"/>
    <w:unhideWhenUsed/>
    <w:qFormat/>
    <w:uiPriority w:val="99"/>
    <w:rPr>
      <w:rFonts w:cs="Times New Roman"/>
      <w:kern w:val="0"/>
      <w:sz w:val="18"/>
      <w:szCs w:val="18"/>
      <w:lang w:val="zh-CN" w:eastAsia="zh-CN"/>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Calibri"/>
      <w:b/>
      <w:bCs/>
      <w:caps/>
      <w:sz w:val="20"/>
      <w:szCs w:val="20"/>
    </w:rPr>
  </w:style>
  <w:style w:type="paragraph" w:styleId="20">
    <w:name w:val="toc 4"/>
    <w:basedOn w:val="1"/>
    <w:next w:val="1"/>
    <w:unhideWhenUsed/>
    <w:uiPriority w:val="39"/>
    <w:pPr>
      <w:ind w:left="840"/>
      <w:jc w:val="left"/>
    </w:pPr>
    <w:rPr>
      <w:rFonts w:cs="Calibri"/>
      <w:sz w:val="18"/>
      <w:szCs w:val="18"/>
    </w:rPr>
  </w:style>
  <w:style w:type="paragraph" w:styleId="21">
    <w:name w:val="toc 6"/>
    <w:basedOn w:val="1"/>
    <w:next w:val="1"/>
    <w:unhideWhenUsed/>
    <w:uiPriority w:val="39"/>
    <w:pPr>
      <w:ind w:left="1400"/>
      <w:jc w:val="left"/>
    </w:pPr>
    <w:rPr>
      <w:rFonts w:cs="Calibri"/>
      <w:sz w:val="18"/>
      <w:szCs w:val="18"/>
    </w:rPr>
  </w:style>
  <w:style w:type="paragraph" w:styleId="22">
    <w:name w:val="toc 2"/>
    <w:basedOn w:val="1"/>
    <w:next w:val="1"/>
    <w:unhideWhenUsed/>
    <w:uiPriority w:val="39"/>
    <w:pPr>
      <w:ind w:left="280"/>
      <w:jc w:val="left"/>
    </w:pPr>
    <w:rPr>
      <w:rFonts w:cs="Calibri"/>
      <w:smallCaps/>
      <w:sz w:val="20"/>
      <w:szCs w:val="20"/>
    </w:rPr>
  </w:style>
  <w:style w:type="paragraph" w:styleId="23">
    <w:name w:val="toc 9"/>
    <w:basedOn w:val="1"/>
    <w:next w:val="1"/>
    <w:unhideWhenUsed/>
    <w:uiPriority w:val="39"/>
    <w:pPr>
      <w:ind w:left="2240"/>
      <w:jc w:val="left"/>
    </w:pPr>
    <w:rPr>
      <w:rFonts w:cs="Calibri"/>
      <w:sz w:val="18"/>
      <w:szCs w:val="18"/>
    </w:rPr>
  </w:style>
  <w:style w:type="character" w:styleId="25">
    <w:name w:val="Hyperlink"/>
    <w:unhideWhenUsed/>
    <w:uiPriority w:val="99"/>
    <w:rPr>
      <w:color w:val="0000FF"/>
      <w:u w:val="single"/>
    </w:rPr>
  </w:style>
  <w:style w:type="character" w:styleId="26">
    <w:name w:val="annotation reference"/>
    <w:unhideWhenUsed/>
    <w:uiPriority w:val="99"/>
    <w:rPr>
      <w:sz w:val="16"/>
      <w:szCs w:val="16"/>
    </w:rPr>
  </w:style>
  <w:style w:type="table" w:styleId="28">
    <w:name w:val="Table Grid"/>
    <w:basedOn w:val="27"/>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29">
    <w:name w:val="页眉 Char"/>
    <w:basedOn w:val="24"/>
    <w:link w:val="18"/>
    <w:uiPriority w:val="99"/>
    <w:rPr>
      <w:sz w:val="18"/>
      <w:szCs w:val="18"/>
    </w:rPr>
  </w:style>
  <w:style w:type="character" w:customStyle="1" w:styleId="30">
    <w:name w:val="页脚 Char"/>
    <w:basedOn w:val="24"/>
    <w:link w:val="17"/>
    <w:uiPriority w:val="99"/>
    <w:rPr>
      <w:sz w:val="18"/>
      <w:szCs w:val="18"/>
    </w:rPr>
  </w:style>
  <w:style w:type="character" w:customStyle="1" w:styleId="31">
    <w:name w:val="标题 1 Char"/>
    <w:basedOn w:val="24"/>
    <w:link w:val="2"/>
    <w:qFormat/>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4"/>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4"/>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4"/>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4"/>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4"/>
    <w:link w:val="16"/>
    <w:semiHidden/>
    <w:qFormat/>
    <w:uiPriority w:val="99"/>
    <w:rPr>
      <w:rFonts w:ascii="Calibri" w:hAnsi="Calibri" w:eastAsia="仿宋_GB2312" w:cs="Times New Roman"/>
      <w:kern w:val="0"/>
      <w:sz w:val="18"/>
      <w:szCs w:val="18"/>
      <w:lang w:val="zh-CN" w:eastAsia="zh-CN"/>
    </w:rPr>
  </w:style>
  <w:style w:type="paragraph" w:customStyle="1" w:styleId="39">
    <w:name w:val="List Paragraph"/>
    <w:basedOn w:val="1"/>
    <w:qFormat/>
    <w:uiPriority w:val="34"/>
    <w:pPr>
      <w:ind w:firstLine="420"/>
    </w:pPr>
  </w:style>
  <w:style w:type="character" w:customStyle="1" w:styleId="40">
    <w:name w:val="批注文字 Char"/>
    <w:basedOn w:val="24"/>
    <w:link w:val="10"/>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9"/>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4"/>
    <w:link w:val="12"/>
    <w:semiHidden/>
    <w:qFormat/>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0</TotalTime>
  <ScaleCrop>false</ScaleCrop>
  <LinksUpToDate>false</LinksUpToDate>
  <CharactersWithSpaces>2973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Administrator</cp:lastModifiedBy>
  <dcterms:modified xsi:type="dcterms:W3CDTF">2022-08-15T01:56:51Z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