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883"/>
        <w:jc w:val="center"/>
      </w:pPr>
      <w:bookmarkStart w:id="0" w:name="_Toc31071"/>
      <w:bookmarkStart w:id="1" w:name="_Toc21118"/>
      <w:bookmarkStart w:id="2" w:name="_Toc32048"/>
      <w:r>
        <w:rPr>
          <w:rFonts w:hint="eastAsia"/>
        </w:rPr>
        <w:t>静乐县城建监察大队2021年度部门决算公开说明</w:t>
      </w:r>
      <w:bookmarkEnd w:id="0"/>
      <w:bookmarkEnd w:id="1"/>
      <w:bookmarkEnd w:id="2"/>
    </w:p>
    <w:p>
      <w:pPr>
        <w:pStyle w:val="6"/>
        <w:tabs>
          <w:tab w:val="right" w:leader="dot" w:pos="8306"/>
        </w:tabs>
        <w:ind w:firstLine="640"/>
      </w:pPr>
      <w:r>
        <w:rPr>
          <w:rFonts w:hint="eastAsia" w:ascii="仿宋" w:hAnsi="仿宋" w:eastAsia="仿宋" w:cs="仿宋"/>
          <w:color w:val="000000"/>
          <w:szCs w:val="32"/>
        </w:rPr>
        <w:fldChar w:fldCharType="begin"/>
      </w:r>
      <w:r>
        <w:rPr>
          <w:rFonts w:hint="eastAsia" w:ascii="仿宋" w:hAnsi="仿宋" w:eastAsia="仿宋" w:cs="仿宋"/>
          <w:color w:val="000000"/>
          <w:szCs w:val="32"/>
        </w:rPr>
        <w:instrText xml:space="preserve">TOC \o "1-3" \h \u </w:instrText>
      </w:r>
      <w:r>
        <w:rPr>
          <w:rFonts w:hint="eastAsia" w:ascii="仿宋" w:hAnsi="仿宋" w:eastAsia="仿宋" w:cs="仿宋"/>
          <w:color w:val="000000"/>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begin"/>
      </w:r>
      <w:r>
        <w:instrText xml:space="preserve"> PAGEREF _Toc12749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begin"/>
      </w:r>
      <w:r>
        <w:instrText xml:space="preserve"> PAGEREF _Toc29325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begin"/>
      </w:r>
      <w:r>
        <w:instrText xml:space="preserve"> PAGEREF _Toc437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begin"/>
      </w:r>
      <w:r>
        <w:instrText xml:space="preserve"> PAGEREF _Toc16754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r>
        <w:tab/>
      </w:r>
      <w:r>
        <w:fldChar w:fldCharType="begin"/>
      </w:r>
      <w:r>
        <w:instrText xml:space="preserve"> PAGEREF _Toc22098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begin"/>
      </w:r>
      <w:r>
        <w:instrText xml:space="preserve"> PAGEREF _Toc2142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fldChar w:fldCharType="begin"/>
      </w:r>
      <w:r>
        <w:instrText xml:space="preserve"> PAGEREF _Toc6501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fldChar w:fldCharType="begin"/>
      </w:r>
      <w:r>
        <w:instrText xml:space="preserve"> PAGEREF _Toc17728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fldChar w:fldCharType="begin"/>
      </w:r>
      <w:r>
        <w:instrText xml:space="preserve"> PAGEREF _Toc26508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fldChar w:fldCharType="begin"/>
      </w:r>
      <w:r>
        <w:instrText xml:space="preserve"> PAGEREF _Toc1792 </w:instrText>
      </w:r>
      <w:r>
        <w:fldChar w:fldCharType="separate"/>
      </w:r>
      <w:r>
        <w:t>7</w:t>
      </w:r>
      <w:r>
        <w:fldChar w:fldCharType="end"/>
      </w:r>
      <w:r>
        <w:fldChar w:fldCharType="end"/>
      </w:r>
    </w:p>
    <w:p>
      <w:pPr>
        <w:pStyle w:val="6"/>
        <w:tabs>
          <w:tab w:val="right" w:leader="dot" w:pos="8306"/>
        </w:tabs>
        <w:ind w:firstLine="640"/>
      </w:pPr>
      <w:r>
        <w:fldChar w:fldCharType="begin"/>
      </w:r>
      <w:r>
        <w:instrText xml:space="preserve"> HYPERLINK \l "_Toc28108" </w:instrText>
      </w:r>
      <w:r>
        <w:fldChar w:fldCharType="separate"/>
      </w:r>
      <w:r>
        <w:rPr>
          <w:rFonts w:hint="eastAsia" w:ascii="仿宋_GB2312"/>
          <w:szCs w:val="32"/>
        </w:rPr>
        <w:t>（四） 其他需要说明的事项</w:t>
      </w:r>
      <w:r>
        <w:tab/>
      </w:r>
      <w:r>
        <w:fldChar w:fldCharType="begin"/>
      </w:r>
      <w:r>
        <w:instrText xml:space="preserve"> PAGEREF _Toc28108 </w:instrText>
      </w:r>
      <w:r>
        <w:fldChar w:fldCharType="separate"/>
      </w:r>
      <w:r>
        <w:t>9</w:t>
      </w:r>
      <w:r>
        <w:fldChar w:fldCharType="end"/>
      </w:r>
      <w:r>
        <w:fldChar w:fldCharType="end"/>
      </w:r>
    </w:p>
    <w:p>
      <w:pPr>
        <w:pStyle w:val="6"/>
        <w:tabs>
          <w:tab w:val="right" w:leader="dot" w:pos="8306"/>
        </w:tabs>
        <w:ind w:firstLine="640"/>
      </w:pPr>
      <w:r>
        <w:fldChar w:fldCharType="begin"/>
      </w:r>
      <w:r>
        <w:instrText xml:space="preserve"> HYPERLINK \l "_Toc8545" </w:instrText>
      </w:r>
      <w:r>
        <w:fldChar w:fldCharType="separate"/>
      </w:r>
      <w:r>
        <w:rPr>
          <w:rFonts w:hint="eastAsia"/>
          <w:szCs w:val="36"/>
        </w:rPr>
        <w:t>第四部分  名词解释</w:t>
      </w:r>
      <w:r>
        <w:tab/>
      </w:r>
      <w:r>
        <w:fldChar w:fldCharType="begin"/>
      </w:r>
      <w:r>
        <w:instrText xml:space="preserve"> PAGEREF _Toc8545 </w:instrText>
      </w:r>
      <w:r>
        <w:fldChar w:fldCharType="separate"/>
      </w:r>
      <w:r>
        <w:t>9</w:t>
      </w:r>
      <w:r>
        <w:fldChar w:fldCharType="end"/>
      </w:r>
      <w:r>
        <w:fldChar w:fldCharType="end"/>
      </w:r>
    </w:p>
    <w:p>
      <w:pPr>
        <w:ind w:firstLine="640"/>
        <w:jc w:val="center"/>
        <w:rPr>
          <w:rFonts w:ascii="仿宋" w:hAnsi="仿宋" w:eastAsia="仿宋" w:cs="仿宋"/>
          <w:color w:val="000000"/>
          <w:szCs w:val="32"/>
        </w:rPr>
      </w:pPr>
      <w:r>
        <w:rPr>
          <w:rFonts w:hint="eastAsia" w:ascii="仿宋" w:hAnsi="仿宋" w:eastAsia="仿宋" w:cs="仿宋"/>
          <w:color w:val="000000"/>
          <w:szCs w:val="32"/>
        </w:rPr>
        <w:fldChar w:fldCharType="end"/>
      </w:r>
    </w:p>
    <w:p>
      <w:pPr>
        <w:pStyle w:val="2"/>
        <w:ind w:firstLine="0" w:firstLineChars="0"/>
        <w:jc w:val="center"/>
        <w:rPr>
          <w:szCs w:val="36"/>
        </w:rPr>
      </w:pPr>
      <w:bookmarkStart w:id="3" w:name="_Toc23288"/>
      <w:bookmarkStart w:id="4" w:name="_Toc31140"/>
      <w:r>
        <w:rPr>
          <w:rFonts w:hint="eastAsia"/>
          <w:sz w:val="36"/>
          <w:szCs w:val="36"/>
        </w:rPr>
        <w:t>第一部分  概况</w:t>
      </w:r>
      <w:bookmarkEnd w:id="3"/>
      <w:bookmarkEnd w:id="4"/>
    </w:p>
    <w:p>
      <w:pPr>
        <w:pStyle w:val="3"/>
        <w:numPr>
          <w:ilvl w:val="0"/>
          <w:numId w:val="1"/>
        </w:numPr>
        <w:ind w:firstLineChars="0"/>
        <w:rPr>
          <w:rFonts w:hint="eastAsia" w:ascii="仿宋" w:hAnsi="仿宋" w:eastAsia="仿宋" w:cs="仿宋"/>
          <w:b w:val="0"/>
          <w:bCs/>
        </w:rPr>
      </w:pPr>
      <w:bookmarkStart w:id="5" w:name="_Toc24066"/>
      <w:bookmarkStart w:id="6" w:name="_Toc4461"/>
      <w:r>
        <w:rPr>
          <w:rFonts w:hint="eastAsia" w:ascii="仿宋" w:hAnsi="仿宋" w:eastAsia="仿宋" w:cs="仿宋"/>
          <w:b w:val="0"/>
          <w:bCs/>
        </w:rPr>
        <w:t>本部门职责</w:t>
      </w:r>
      <w:bookmarkEnd w:id="5"/>
      <w:bookmarkEnd w:id="6"/>
    </w:p>
    <w:p>
      <w:pPr>
        <w:ind w:firstLine="640" w:firstLineChars="0"/>
        <w:rPr>
          <w:rFonts w:ascii="仿宋_GB2312" w:hAnsi="宋体" w:cs="宋体"/>
          <w:color w:val="000000"/>
          <w:kern w:val="0"/>
          <w:szCs w:val="32"/>
        </w:rPr>
      </w:pPr>
      <w:r>
        <w:rPr>
          <w:rFonts w:hint="eastAsia" w:ascii="仿宋_GB2312" w:hAnsi="宋体" w:cs="宋体"/>
          <w:color w:val="000000"/>
          <w:kern w:val="0"/>
          <w:szCs w:val="32"/>
        </w:rPr>
        <w:t>1</w:t>
      </w:r>
      <w:r>
        <w:rPr>
          <w:rFonts w:hint="eastAsia" w:ascii="仿宋_GB2312" w:hAnsi="宋体" w:cs="宋体"/>
          <w:color w:val="000000"/>
          <w:kern w:val="0"/>
          <w:szCs w:val="32"/>
          <w:lang w:val="en-US" w:eastAsia="zh-CN"/>
        </w:rPr>
        <w:t>.</w:t>
      </w:r>
      <w:bookmarkStart w:id="33" w:name="_GoBack"/>
      <w:bookmarkEnd w:id="33"/>
      <w:r>
        <w:rPr>
          <w:rFonts w:hint="eastAsia" w:ascii="仿宋_GB2312" w:hAnsi="宋体" w:cs="宋体"/>
          <w:color w:val="000000"/>
          <w:kern w:val="0"/>
          <w:szCs w:val="32"/>
        </w:rPr>
        <w:t>县城区市容市貌和环境卫生综合整治；2.县城街道流动摊点、占道经营、店外经营、非机动车乱停乱放管理；3.违法违章建筑和工地管理；4.户外广告管理；5.综合农贸市场管理；6.限高架的管理。</w:t>
      </w:r>
    </w:p>
    <w:p>
      <w:pPr>
        <w:pStyle w:val="3"/>
        <w:tabs>
          <w:tab w:val="left" w:pos="2998"/>
        </w:tabs>
        <w:ind w:firstLine="0" w:firstLineChars="0"/>
        <w:rPr>
          <w:rFonts w:hint="eastAsia" w:ascii="仿宋" w:hAnsi="仿宋" w:eastAsia="仿宋" w:cs="仿宋"/>
          <w:b w:val="0"/>
          <w:bCs/>
        </w:rPr>
      </w:pPr>
      <w:bookmarkStart w:id="7" w:name="_Toc275"/>
      <w:bookmarkStart w:id="8" w:name="_Toc9155"/>
      <w:r>
        <w:rPr>
          <w:rFonts w:hint="eastAsia" w:ascii="仿宋" w:hAnsi="仿宋" w:eastAsia="仿宋" w:cs="仿宋"/>
          <w:b w:val="0"/>
          <w:bCs/>
        </w:rPr>
        <w:t>二、机构设置情况</w:t>
      </w:r>
      <w:bookmarkEnd w:id="7"/>
      <w:bookmarkEnd w:id="8"/>
      <w:r>
        <w:rPr>
          <w:rFonts w:ascii="仿宋" w:hAnsi="仿宋" w:eastAsia="仿宋" w:cs="仿宋"/>
          <w:b w:val="0"/>
          <w:bCs/>
        </w:rPr>
        <w:tab/>
      </w:r>
      <w:bookmarkStart w:id="9" w:name="_Toc12749"/>
    </w:p>
    <w:p>
      <w:pPr>
        <w:pStyle w:val="3"/>
        <w:tabs>
          <w:tab w:val="left" w:pos="2998"/>
        </w:tabs>
        <w:ind w:firstLine="480" w:firstLineChars="150"/>
        <w:rPr>
          <w:rFonts w:ascii="仿宋_GB2312" w:hAnsi="宋体" w:eastAsia="仿宋_GB2312" w:cs="宋体"/>
          <w:b w:val="0"/>
          <w:color w:val="000000"/>
          <w:kern w:val="0"/>
          <w:szCs w:val="32"/>
        </w:rPr>
      </w:pPr>
      <w:r>
        <w:rPr>
          <w:rFonts w:hint="eastAsia" w:ascii="仿宋_GB2312" w:hAnsi="宋体" w:eastAsia="仿宋_GB2312" w:cs="宋体"/>
          <w:b w:val="0"/>
          <w:color w:val="000000"/>
          <w:kern w:val="0"/>
          <w:szCs w:val="32"/>
        </w:rPr>
        <w:t>静乐县城建监察大队成立于1989年，隶属于静乐县住建局，股级建制，编制人数22人，现有在职人员85人，其中差补财政人员85人。下设办公室、财务室、农贸市场管理中队、机动中队和执法执勤中队。</w:t>
      </w:r>
    </w:p>
    <w:p>
      <w:pPr>
        <w:pStyle w:val="2"/>
        <w:ind w:firstLine="723"/>
        <w:rPr>
          <w:sz w:val="36"/>
          <w:szCs w:val="36"/>
        </w:rPr>
      </w:pPr>
      <w:r>
        <w:rPr>
          <w:rFonts w:hint="eastAsia"/>
          <w:sz w:val="36"/>
          <w:szCs w:val="36"/>
        </w:rPr>
        <w:t>第二部分  2021年度部门决算报表（附表）</w:t>
      </w:r>
      <w:bookmarkEnd w:id="9"/>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40"/>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仿宋_GB2312" w:hAnsi="楷体"/>
          <w:szCs w:val="32"/>
        </w:rPr>
      </w:pPr>
      <w:r>
        <w:rPr>
          <w:rFonts w:hint="eastAsia" w:ascii="仿宋_GB2312" w:hAnsi="楷体"/>
          <w:szCs w:val="32"/>
        </w:rPr>
        <w:t>六、一般公共预算财政拨款支出决算表（二）</w:t>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pStyle w:val="2"/>
        <w:ind w:firstLine="0" w:firstLineChars="0"/>
        <w:jc w:val="center"/>
        <w:rPr>
          <w:sz w:val="36"/>
          <w:szCs w:val="36"/>
        </w:rPr>
      </w:pPr>
      <w:bookmarkStart w:id="10" w:name="_Toc29325"/>
      <w:r>
        <w:rPr>
          <w:rFonts w:hint="eastAsia"/>
          <w:sz w:val="36"/>
          <w:szCs w:val="36"/>
        </w:rPr>
        <w:t>第三部分  2021年度部门决算情况说明</w:t>
      </w:r>
      <w:bookmarkEnd w:id="10"/>
    </w:p>
    <w:p>
      <w:pPr>
        <w:pStyle w:val="3"/>
        <w:ind w:firstLine="643"/>
        <w:rPr>
          <w:rFonts w:ascii="仿宋" w:hAnsi="仿宋" w:eastAsia="仿宋" w:cs="仿宋"/>
        </w:rPr>
      </w:pPr>
      <w:bookmarkStart w:id="11" w:name="_Toc437"/>
      <w:bookmarkStart w:id="12" w:name="_Toc8717"/>
      <w:r>
        <w:rPr>
          <w:rFonts w:hint="eastAsia" w:ascii="仿宋" w:hAnsi="仿宋" w:eastAsia="仿宋" w:cs="仿宋"/>
        </w:rPr>
        <w:t>一、收入支出决算总体情况说明</w:t>
      </w:r>
      <w:bookmarkEnd w:id="11"/>
      <w:bookmarkEnd w:id="12"/>
    </w:p>
    <w:p>
      <w:pPr>
        <w:ind w:firstLine="640"/>
        <w:rPr>
          <w:rFonts w:ascii="仿宋_GB2312"/>
          <w:color w:val="auto"/>
          <w:szCs w:val="32"/>
        </w:rPr>
      </w:pPr>
      <w:r>
        <w:rPr>
          <w:rFonts w:hint="eastAsia" w:ascii="仿宋_GB2312"/>
          <w:szCs w:val="32"/>
        </w:rPr>
        <w:t>2021年</w:t>
      </w:r>
      <w:r>
        <w:rPr>
          <w:rFonts w:hint="eastAsia" w:ascii="仿宋_GB2312"/>
          <w:color w:val="auto"/>
          <w:szCs w:val="32"/>
        </w:rPr>
        <w:t>度收入</w:t>
      </w:r>
      <w:r>
        <w:rPr>
          <w:rFonts w:ascii="仿宋_GB2312"/>
          <w:color w:val="auto"/>
          <w:szCs w:val="32"/>
        </w:rPr>
        <w:t>总计</w:t>
      </w:r>
      <w:r>
        <w:rPr>
          <w:rFonts w:hint="eastAsia" w:ascii="仿宋_GB2312"/>
          <w:color w:val="auto"/>
          <w:szCs w:val="32"/>
        </w:rPr>
        <w:t>739.42万元、支出总计766.72万元。与2020年相比，收入总计减少204.41万元，下降21.66%，</w:t>
      </w:r>
      <w:r>
        <w:rPr>
          <w:rFonts w:ascii="仿宋_GB2312"/>
          <w:color w:val="auto"/>
          <w:szCs w:val="32"/>
        </w:rPr>
        <w:t>支出总计减少</w:t>
      </w:r>
      <w:r>
        <w:rPr>
          <w:rFonts w:hint="eastAsia" w:ascii="仿宋_GB2312"/>
          <w:color w:val="auto"/>
          <w:szCs w:val="32"/>
        </w:rPr>
        <w:t>190.31万元</w:t>
      </w:r>
      <w:r>
        <w:rPr>
          <w:rFonts w:ascii="仿宋_GB2312"/>
          <w:color w:val="auto"/>
          <w:szCs w:val="32"/>
        </w:rPr>
        <w:t>，下降</w:t>
      </w:r>
      <w:r>
        <w:rPr>
          <w:rFonts w:hint="eastAsia" w:ascii="仿宋_GB2312"/>
          <w:color w:val="auto"/>
          <w:szCs w:val="32"/>
        </w:rPr>
        <w:t>19.88</w:t>
      </w:r>
      <w:r>
        <w:rPr>
          <w:rFonts w:ascii="仿宋_GB2312"/>
          <w:color w:val="auto"/>
          <w:szCs w:val="32"/>
        </w:rPr>
        <w:t>%</w:t>
      </w:r>
      <w:r>
        <w:rPr>
          <w:rFonts w:hint="eastAsia" w:ascii="仿宋_GB2312"/>
          <w:color w:val="auto"/>
          <w:szCs w:val="32"/>
        </w:rPr>
        <w:t>。主要原因是2020年有意外事故发生。</w:t>
      </w:r>
    </w:p>
    <w:p>
      <w:pPr>
        <w:pStyle w:val="3"/>
        <w:ind w:firstLine="643"/>
        <w:rPr>
          <w:rFonts w:ascii="仿宋" w:hAnsi="仿宋" w:eastAsia="仿宋" w:cs="仿宋"/>
        </w:rPr>
      </w:pPr>
      <w:bookmarkStart w:id="13" w:name="_Toc17404"/>
      <w:bookmarkStart w:id="14" w:name="_Toc16754"/>
      <w:r>
        <w:rPr>
          <w:rFonts w:hint="eastAsia" w:ascii="仿宋" w:hAnsi="仿宋" w:eastAsia="仿宋" w:cs="仿宋"/>
        </w:rPr>
        <w:t>二、收入决算情况说明</w:t>
      </w:r>
      <w:bookmarkEnd w:id="13"/>
      <w:bookmarkEnd w:id="14"/>
    </w:p>
    <w:p>
      <w:pPr>
        <w:spacing w:line="580" w:lineRule="exact"/>
        <w:ind w:firstLine="640"/>
        <w:rPr>
          <w:rFonts w:ascii="仿宋_GB2312"/>
          <w:color w:val="auto"/>
          <w:szCs w:val="32"/>
        </w:rPr>
      </w:pPr>
      <w:r>
        <w:rPr>
          <w:rFonts w:hint="eastAsia" w:ascii="仿宋_GB2312"/>
          <w:color w:val="auto"/>
          <w:szCs w:val="32"/>
        </w:rPr>
        <w:t>本年收入合计739.42万元，其中：财政拨款收入739.42万元，占比100%。</w:t>
      </w:r>
      <w:r>
        <w:rPr>
          <w:rFonts w:ascii="仿宋_GB2312"/>
          <w:color w:val="auto"/>
          <w:szCs w:val="32"/>
        </w:rPr>
        <w:t xml:space="preserve"> </w:t>
      </w:r>
    </w:p>
    <w:p>
      <w:pPr>
        <w:pStyle w:val="3"/>
        <w:ind w:firstLine="643"/>
        <w:rPr>
          <w:rFonts w:ascii="仿宋" w:hAnsi="仿宋" w:eastAsia="仿宋" w:cs="仿宋"/>
        </w:rPr>
      </w:pPr>
      <w:bookmarkStart w:id="15" w:name="_Toc22098"/>
      <w:bookmarkStart w:id="16" w:name="_Toc9596"/>
      <w:r>
        <w:rPr>
          <w:rFonts w:hint="eastAsia" w:ascii="仿宋" w:hAnsi="仿宋" w:eastAsia="仿宋" w:cs="仿宋"/>
        </w:rPr>
        <w:t>三、支出决算情况说明</w:t>
      </w:r>
      <w:bookmarkEnd w:id="15"/>
      <w:bookmarkEnd w:id="16"/>
    </w:p>
    <w:p>
      <w:pPr>
        <w:spacing w:line="580" w:lineRule="exact"/>
        <w:ind w:firstLine="640"/>
        <w:rPr>
          <w:rFonts w:ascii="仿宋_GB2312"/>
          <w:szCs w:val="32"/>
        </w:rPr>
      </w:pPr>
      <w:r>
        <w:rPr>
          <w:rFonts w:hint="eastAsia" w:ascii="仿宋_GB2312"/>
          <w:color w:val="auto"/>
          <w:szCs w:val="32"/>
        </w:rPr>
        <w:t>本年支出合计766.72万元，其中：基本支出463.54万元，占比60.46%；项目支出303.18万元，占比39.54%。</w:t>
      </w:r>
      <w:r>
        <w:rPr>
          <w:rFonts w:ascii="仿宋_GB2312"/>
          <w:szCs w:val="32"/>
        </w:rPr>
        <w:t xml:space="preserve"> </w:t>
      </w:r>
    </w:p>
    <w:p>
      <w:pPr>
        <w:pStyle w:val="3"/>
        <w:ind w:firstLine="643"/>
        <w:rPr>
          <w:rFonts w:ascii="仿宋" w:hAnsi="仿宋" w:eastAsia="仿宋" w:cs="仿宋"/>
        </w:rPr>
      </w:pPr>
      <w:bookmarkStart w:id="17" w:name="_Toc4614"/>
      <w:bookmarkStart w:id="18" w:name="_Toc2142"/>
      <w:r>
        <w:rPr>
          <w:rFonts w:hint="eastAsia" w:ascii="仿宋" w:hAnsi="仿宋" w:eastAsia="仿宋" w:cs="仿宋"/>
        </w:rPr>
        <w:t>四、财政拨款收入支出决算总体情况说明</w:t>
      </w:r>
      <w:bookmarkEnd w:id="17"/>
      <w:bookmarkEnd w:id="18"/>
    </w:p>
    <w:p>
      <w:pPr>
        <w:spacing w:line="580" w:lineRule="exact"/>
        <w:ind w:firstLine="640"/>
        <w:rPr>
          <w:rFonts w:ascii="仿宋_GB2312"/>
          <w:szCs w:val="32"/>
        </w:rPr>
      </w:pPr>
      <w:r>
        <w:rPr>
          <w:rFonts w:hint="eastAsia" w:ascii="仿宋_GB2312"/>
          <w:szCs w:val="32"/>
        </w:rPr>
        <w:t>2</w:t>
      </w:r>
      <w:r>
        <w:rPr>
          <w:rFonts w:hint="eastAsia" w:ascii="仿宋_GB2312"/>
          <w:color w:val="auto"/>
          <w:szCs w:val="32"/>
        </w:rPr>
        <w:t>021年度财政拨款收入</w:t>
      </w:r>
      <w:r>
        <w:rPr>
          <w:rFonts w:ascii="仿宋_GB2312"/>
          <w:color w:val="auto"/>
          <w:szCs w:val="32"/>
        </w:rPr>
        <w:t>总计</w:t>
      </w:r>
      <w:r>
        <w:rPr>
          <w:rFonts w:hint="eastAsia" w:ascii="仿宋_GB2312"/>
          <w:color w:val="auto"/>
          <w:szCs w:val="32"/>
        </w:rPr>
        <w:t>739.42万元、支出总计766.72万元。与2020年相比，财政拨款收入总计减少204.41</w:t>
      </w:r>
      <w:r>
        <w:rPr>
          <w:rFonts w:hint="eastAsia" w:ascii="仿宋_GB2312"/>
          <w:szCs w:val="32"/>
        </w:rPr>
        <w:t>万</w:t>
      </w:r>
      <w:r>
        <w:rPr>
          <w:rFonts w:hint="eastAsia" w:ascii="仿宋_GB2312"/>
          <w:color w:val="auto"/>
          <w:szCs w:val="32"/>
        </w:rPr>
        <w:t>元，下降21.66%，财政拨款支出总计减少190.31万元，下降19.89%。主要原因是2020年有意外事故发生</w:t>
      </w:r>
      <w:r>
        <w:rPr>
          <w:rFonts w:hint="eastAsia" w:ascii="仿宋_GB2312"/>
          <w:szCs w:val="32"/>
        </w:rPr>
        <w:t>。</w:t>
      </w:r>
    </w:p>
    <w:p>
      <w:pPr>
        <w:pStyle w:val="3"/>
        <w:ind w:firstLine="643"/>
        <w:rPr>
          <w:rFonts w:ascii="仿宋" w:hAnsi="仿宋" w:eastAsia="仿宋" w:cs="仿宋"/>
        </w:rPr>
      </w:pPr>
      <w:bookmarkStart w:id="19" w:name="_Toc9341"/>
      <w:bookmarkStart w:id="20" w:name="_Toc6501"/>
      <w:r>
        <w:rPr>
          <w:rFonts w:hint="eastAsia" w:ascii="仿宋" w:hAnsi="仿宋" w:eastAsia="仿宋" w:cs="仿宋"/>
        </w:rPr>
        <w:t>五、一般公共预算财政拨款支出决算情况说明</w:t>
      </w:r>
      <w:bookmarkEnd w:id="19"/>
      <w:bookmarkEnd w:id="20"/>
    </w:p>
    <w:p>
      <w:pPr>
        <w:spacing w:line="580" w:lineRule="exact"/>
        <w:ind w:firstLine="643"/>
        <w:rPr>
          <w:rFonts w:ascii="仿宋_GB2312"/>
          <w:b/>
          <w:szCs w:val="32"/>
        </w:rPr>
      </w:pPr>
      <w:r>
        <w:rPr>
          <w:rFonts w:hint="eastAsia" w:ascii="仿宋_GB2312"/>
          <w:b/>
          <w:szCs w:val="32"/>
        </w:rPr>
        <w:t>（一）财政拨款支出决算总体情况</w:t>
      </w:r>
    </w:p>
    <w:p>
      <w:pPr>
        <w:spacing w:line="580" w:lineRule="exact"/>
        <w:ind w:firstLine="640"/>
        <w:rPr>
          <w:rFonts w:ascii="仿宋_GB2312"/>
          <w:color w:val="auto"/>
          <w:szCs w:val="32"/>
        </w:rPr>
      </w:pPr>
      <w:r>
        <w:rPr>
          <w:rFonts w:hint="eastAsia" w:ascii="仿宋_GB2312"/>
          <w:color w:val="auto"/>
          <w:szCs w:val="32"/>
        </w:rPr>
        <w:t>2021年度财政拨款支出766.72万元，占本年支出合计的100%。与2020年相比，财政拨款支出减少190.31万元，下降19.89%。主要原因是2020年有意外事故发生。无政府性基金预算支出。</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ascii="仿宋_GB2312"/>
          <w:color w:val="auto"/>
          <w:szCs w:val="32"/>
        </w:rPr>
      </w:pPr>
      <w:r>
        <w:rPr>
          <w:rFonts w:hint="eastAsia" w:ascii="仿宋_GB2312"/>
          <w:color w:val="auto"/>
          <w:szCs w:val="32"/>
        </w:rPr>
        <w:t>2021年度</w:t>
      </w:r>
      <w:r>
        <w:rPr>
          <w:rFonts w:ascii="仿宋_GB2312"/>
          <w:color w:val="auto"/>
          <w:szCs w:val="32"/>
        </w:rPr>
        <w:t>财政拨款支出</w:t>
      </w:r>
      <w:r>
        <w:rPr>
          <w:rFonts w:hint="eastAsia" w:ascii="仿宋_GB2312"/>
          <w:color w:val="auto"/>
          <w:szCs w:val="32"/>
        </w:rPr>
        <w:t>766.72万元</w:t>
      </w:r>
      <w:r>
        <w:rPr>
          <w:rFonts w:ascii="仿宋_GB2312"/>
          <w:color w:val="auto"/>
          <w:szCs w:val="32"/>
        </w:rPr>
        <w:t>，主要用于以下方面：</w:t>
      </w:r>
      <w:r>
        <w:rPr>
          <w:rFonts w:hint="eastAsia" w:ascii="仿宋_GB2312"/>
          <w:b/>
          <w:color w:val="auto"/>
          <w:szCs w:val="32"/>
        </w:rPr>
        <w:t>城乡社区</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支出766.72万元</w:t>
      </w:r>
      <w:r>
        <w:rPr>
          <w:rFonts w:ascii="仿宋_GB2312"/>
          <w:color w:val="auto"/>
          <w:szCs w:val="32"/>
        </w:rPr>
        <w:t>，占</w:t>
      </w:r>
      <w:r>
        <w:rPr>
          <w:rFonts w:hint="eastAsia" w:ascii="仿宋_GB2312"/>
          <w:color w:val="auto"/>
          <w:szCs w:val="32"/>
        </w:rPr>
        <w:t>100</w:t>
      </w:r>
      <w:r>
        <w:rPr>
          <w:rFonts w:ascii="仿宋_GB2312"/>
          <w:color w:val="auto"/>
          <w:szCs w:val="32"/>
        </w:rPr>
        <w:t>%</w:t>
      </w:r>
      <w:r>
        <w:rPr>
          <w:rFonts w:hint="eastAsia" w:ascii="仿宋_GB2312"/>
          <w:color w:val="auto"/>
          <w:szCs w:val="32"/>
        </w:rPr>
        <w:t>。</w:t>
      </w:r>
      <w:r>
        <w:rPr>
          <w:rFonts w:ascii="仿宋_GB2312"/>
          <w:color w:val="auto"/>
          <w:szCs w:val="32"/>
        </w:rPr>
        <w:t xml:space="preserve"> </w:t>
      </w:r>
    </w:p>
    <w:p>
      <w:pPr>
        <w:spacing w:line="580" w:lineRule="exact"/>
        <w:ind w:firstLine="643"/>
        <w:rPr>
          <w:rFonts w:ascii="仿宋_GB2312"/>
          <w:b/>
          <w:szCs w:val="32"/>
        </w:rPr>
      </w:pPr>
      <w:r>
        <w:rPr>
          <w:rFonts w:hint="eastAsia" w:ascii="仿宋_GB2312"/>
          <w:b/>
          <w:szCs w:val="32"/>
        </w:rPr>
        <w:t>（三）财政拨款支出决算具体情况</w:t>
      </w:r>
    </w:p>
    <w:p>
      <w:pPr>
        <w:spacing w:line="580" w:lineRule="exact"/>
        <w:ind w:firstLine="640"/>
        <w:rPr>
          <w:rFonts w:ascii="仿宋" w:hAnsi="仿宋" w:eastAsia="仿宋" w:cs="仿宋"/>
          <w:color w:val="auto"/>
          <w:szCs w:val="32"/>
        </w:rPr>
      </w:pPr>
      <w:r>
        <w:rPr>
          <w:rFonts w:hint="eastAsia"/>
          <w:color w:val="auto"/>
          <w:szCs w:val="32"/>
        </w:rPr>
        <w:t>2</w:t>
      </w:r>
      <w:r>
        <w:rPr>
          <w:color w:val="auto"/>
          <w:szCs w:val="32"/>
        </w:rPr>
        <w:t>02</w:t>
      </w:r>
      <w:r>
        <w:rPr>
          <w:rFonts w:hint="eastAsia"/>
          <w:color w:val="auto"/>
          <w:szCs w:val="32"/>
        </w:rPr>
        <w:t>1年度财政拨款支出年初预算766.72万元，支出决算766.72万元，完成年初预算的100</w:t>
      </w:r>
      <w:r>
        <w:rPr>
          <w:color w:val="auto"/>
          <w:szCs w:val="32"/>
        </w:rPr>
        <w:t>%</w:t>
      </w:r>
      <w:r>
        <w:rPr>
          <w:rFonts w:hint="eastAsia"/>
          <w:color w:val="auto"/>
          <w:szCs w:val="32"/>
        </w:rPr>
        <w:t>。其中：</w:t>
      </w:r>
    </w:p>
    <w:p>
      <w:pPr>
        <w:ind w:firstLine="640"/>
        <w:jc w:val="left"/>
        <w:rPr>
          <w:rFonts w:ascii="仿宋" w:hAnsi="仿宋" w:eastAsia="仿宋" w:cs="仿宋"/>
          <w:szCs w:val="32"/>
        </w:rPr>
      </w:pPr>
      <w:r>
        <w:rPr>
          <w:rFonts w:hint="eastAsia" w:ascii="仿宋" w:hAnsi="仿宋" w:eastAsia="仿宋" w:cs="仿宋"/>
          <w:szCs w:val="32"/>
        </w:rPr>
        <w:t>（1）按功能科目分类对比如下：</w:t>
      </w:r>
    </w:p>
    <w:p>
      <w:pPr>
        <w:ind w:firstLine="640"/>
        <w:jc w:val="left"/>
        <w:rPr>
          <w:rFonts w:ascii="宋体" w:hAnsi="宋体" w:cs="Arial"/>
          <w:b/>
          <w:color w:val="000000"/>
          <w:kern w:val="0"/>
          <w:sz w:val="30"/>
          <w:szCs w:val="30"/>
        </w:rPr>
      </w:pPr>
      <w:r>
        <w:rPr>
          <w:rFonts w:hint="eastAsia" w:ascii="仿宋_GB231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021年度支出功能科目分类对比表    单位：万元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5"/>
        <w:gridCol w:w="2693"/>
        <w:gridCol w:w="1675"/>
        <w:gridCol w:w="1443"/>
        <w:gridCol w:w="1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6" w:hRule="atLeast"/>
        </w:trPr>
        <w:tc>
          <w:tcPr>
            <w:tcW w:w="1575" w:type="dxa"/>
          </w:tcPr>
          <w:p>
            <w:pPr>
              <w:widowControl/>
              <w:ind w:firstLine="0" w:firstLineChars="0"/>
              <w:rPr>
                <w:rFonts w:ascii="宋体" w:hAnsi="宋体" w:cs="Arial"/>
                <w:b/>
                <w:color w:val="000000"/>
                <w:kern w:val="0"/>
                <w:sz w:val="24"/>
                <w:szCs w:val="24"/>
              </w:rPr>
            </w:pPr>
            <w:r>
              <w:rPr>
                <w:rFonts w:hint="eastAsia" w:ascii="宋体" w:hAnsi="宋体" w:cs="Arial"/>
                <w:b/>
                <w:color w:val="000000"/>
                <w:kern w:val="0"/>
                <w:sz w:val="24"/>
                <w:szCs w:val="24"/>
              </w:rPr>
              <w:t>科目代码</w:t>
            </w:r>
          </w:p>
        </w:tc>
        <w:tc>
          <w:tcPr>
            <w:tcW w:w="2693" w:type="dxa"/>
          </w:tcPr>
          <w:p>
            <w:pPr>
              <w:widowControl/>
              <w:ind w:firstLine="482"/>
              <w:rPr>
                <w:rFonts w:ascii="宋体" w:hAnsi="宋体" w:cs="Arial"/>
                <w:b/>
                <w:color w:val="000000"/>
                <w:kern w:val="0"/>
                <w:sz w:val="24"/>
                <w:szCs w:val="24"/>
              </w:rPr>
            </w:pPr>
            <w:r>
              <w:rPr>
                <w:rFonts w:hint="eastAsia" w:ascii="宋体" w:hAnsi="宋体" w:cs="Arial"/>
                <w:b/>
                <w:color w:val="000000"/>
                <w:kern w:val="0"/>
                <w:sz w:val="24"/>
                <w:szCs w:val="24"/>
              </w:rPr>
              <w:t>科目名称</w:t>
            </w:r>
          </w:p>
        </w:tc>
        <w:tc>
          <w:tcPr>
            <w:tcW w:w="1675" w:type="dxa"/>
          </w:tcPr>
          <w:p>
            <w:pPr>
              <w:widowControl/>
              <w:ind w:firstLine="482"/>
              <w:jc w:val="left"/>
              <w:rPr>
                <w:rFonts w:ascii="宋体" w:hAnsi="宋体" w:eastAsia="宋体" w:cs="Arial"/>
                <w:b/>
                <w:color w:val="000000"/>
                <w:kern w:val="0"/>
                <w:sz w:val="24"/>
                <w:szCs w:val="24"/>
              </w:rPr>
            </w:pPr>
            <w:r>
              <w:rPr>
                <w:rFonts w:hint="eastAsia" w:ascii="宋体" w:hAnsi="宋体" w:cs="Arial"/>
                <w:b/>
                <w:color w:val="000000"/>
                <w:kern w:val="0"/>
                <w:sz w:val="24"/>
                <w:szCs w:val="24"/>
              </w:rPr>
              <w:t>2020年</w:t>
            </w:r>
          </w:p>
        </w:tc>
        <w:tc>
          <w:tcPr>
            <w:tcW w:w="1443" w:type="dxa"/>
          </w:tcPr>
          <w:p>
            <w:pPr>
              <w:widowControl/>
              <w:ind w:firstLine="482"/>
              <w:jc w:val="left"/>
              <w:rPr>
                <w:rFonts w:ascii="宋体" w:hAnsi="宋体" w:eastAsia="宋体" w:cs="Arial"/>
                <w:b/>
                <w:color w:val="000000"/>
                <w:kern w:val="0"/>
                <w:sz w:val="24"/>
                <w:szCs w:val="24"/>
              </w:rPr>
            </w:pPr>
            <w:r>
              <w:rPr>
                <w:rFonts w:hint="eastAsia" w:ascii="宋体" w:hAnsi="宋体" w:eastAsia="宋体" w:cs="Arial"/>
                <w:b/>
                <w:color w:val="000000"/>
                <w:kern w:val="0"/>
                <w:sz w:val="24"/>
                <w:szCs w:val="24"/>
              </w:rPr>
              <w:t>2021年</w:t>
            </w:r>
          </w:p>
        </w:tc>
        <w:tc>
          <w:tcPr>
            <w:tcW w:w="1634" w:type="dxa"/>
          </w:tcPr>
          <w:p>
            <w:pPr>
              <w:widowControl/>
              <w:ind w:firstLine="0" w:firstLineChars="0"/>
              <w:jc w:val="left"/>
              <w:rPr>
                <w:rFonts w:ascii="宋体" w:hAnsi="宋体" w:eastAsia="宋体" w:cs="Arial"/>
                <w:b/>
                <w:color w:val="000000"/>
                <w:kern w:val="0"/>
                <w:sz w:val="24"/>
                <w:szCs w:val="24"/>
              </w:rPr>
            </w:pPr>
            <w:r>
              <w:rPr>
                <w:rFonts w:hint="eastAsia" w:ascii="宋体" w:hAnsi="宋体" w:cs="Arial"/>
                <w:b/>
                <w:color w:val="000000"/>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trPr>
        <w:tc>
          <w:tcPr>
            <w:tcW w:w="1575" w:type="dxa"/>
          </w:tcPr>
          <w:p>
            <w:pPr>
              <w:ind w:firstLine="480"/>
              <w:jc w:val="left"/>
              <w:rPr>
                <w:rFonts w:ascii="仿宋" w:hAnsi="仿宋" w:eastAsia="仿宋" w:cs="仿宋"/>
                <w:color w:val="auto"/>
                <w:sz w:val="24"/>
                <w:szCs w:val="24"/>
              </w:rPr>
            </w:pPr>
            <w:r>
              <w:rPr>
                <w:rFonts w:hint="eastAsia" w:ascii="仿宋" w:hAnsi="仿宋" w:eastAsia="仿宋" w:cs="仿宋"/>
                <w:color w:val="auto"/>
                <w:sz w:val="24"/>
                <w:szCs w:val="24"/>
              </w:rPr>
              <w:t>212</w:t>
            </w:r>
          </w:p>
        </w:tc>
        <w:tc>
          <w:tcPr>
            <w:tcW w:w="2693" w:type="dxa"/>
          </w:tcPr>
          <w:p>
            <w:pPr>
              <w:ind w:firstLine="0" w:firstLineChars="0"/>
              <w:jc w:val="left"/>
              <w:rPr>
                <w:rFonts w:ascii="仿宋" w:hAnsi="仿宋" w:eastAsia="仿宋" w:cs="仿宋"/>
                <w:color w:val="auto"/>
                <w:sz w:val="24"/>
                <w:szCs w:val="24"/>
              </w:rPr>
            </w:pPr>
            <w:r>
              <w:rPr>
                <w:rFonts w:hint="eastAsia" w:ascii="仿宋" w:hAnsi="仿宋" w:eastAsia="仿宋" w:cs="仿宋"/>
                <w:color w:val="auto"/>
                <w:sz w:val="24"/>
                <w:szCs w:val="24"/>
              </w:rPr>
              <w:t>城乡社区支出</w:t>
            </w:r>
          </w:p>
        </w:tc>
        <w:tc>
          <w:tcPr>
            <w:tcW w:w="1675" w:type="dxa"/>
            <w:vAlign w:val="center"/>
          </w:tcPr>
          <w:p>
            <w:pPr>
              <w:widowControl/>
              <w:ind w:firstLine="480"/>
              <w:jc w:val="right"/>
              <w:textAlignment w:val="center"/>
              <w:rPr>
                <w:rFonts w:ascii="仿宋" w:hAnsi="仿宋" w:eastAsia="仿宋" w:cs="仿宋"/>
                <w:color w:val="auto"/>
                <w:sz w:val="24"/>
                <w:szCs w:val="24"/>
              </w:rPr>
            </w:pPr>
            <w:r>
              <w:rPr>
                <w:rFonts w:hint="eastAsia" w:ascii="仿宋" w:hAnsi="仿宋" w:eastAsia="仿宋" w:cs="仿宋"/>
                <w:color w:val="auto"/>
                <w:sz w:val="24"/>
                <w:szCs w:val="24"/>
              </w:rPr>
              <w:t>957.03</w:t>
            </w:r>
          </w:p>
        </w:tc>
        <w:tc>
          <w:tcPr>
            <w:tcW w:w="1443" w:type="dxa"/>
            <w:vAlign w:val="center"/>
          </w:tcPr>
          <w:p>
            <w:pPr>
              <w:widowControl/>
              <w:ind w:firstLine="480"/>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rPr>
              <w:t>766.72</w:t>
            </w:r>
          </w:p>
        </w:tc>
        <w:tc>
          <w:tcPr>
            <w:tcW w:w="1634" w:type="dxa"/>
          </w:tcPr>
          <w:p>
            <w:pPr>
              <w:ind w:firstLine="480"/>
              <w:jc w:val="left"/>
              <w:rPr>
                <w:rFonts w:ascii="仿宋" w:hAnsi="仿宋" w:eastAsia="仿宋" w:cs="仿宋"/>
                <w:color w:val="000000"/>
                <w:sz w:val="24"/>
                <w:szCs w:val="24"/>
              </w:rPr>
            </w:pPr>
            <w:r>
              <w:rPr>
                <w:rFonts w:hint="eastAsia" w:ascii="仿宋" w:hAnsi="仿宋" w:eastAsia="仿宋" w:cs="仿宋"/>
                <w:color w:val="000000"/>
                <w:sz w:val="24"/>
                <w:szCs w:val="24"/>
              </w:rPr>
              <w:t>-190.31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75" w:type="dxa"/>
          </w:tcPr>
          <w:p>
            <w:pPr>
              <w:ind w:firstLine="480"/>
              <w:jc w:val="left"/>
              <w:rPr>
                <w:rFonts w:ascii="仿宋" w:hAnsi="仿宋" w:eastAsia="仿宋" w:cs="仿宋"/>
                <w:color w:val="auto"/>
                <w:sz w:val="24"/>
                <w:szCs w:val="24"/>
              </w:rPr>
            </w:pPr>
            <w:r>
              <w:rPr>
                <w:rFonts w:hint="eastAsia" w:ascii="仿宋" w:hAnsi="仿宋" w:eastAsia="仿宋" w:cs="仿宋"/>
                <w:color w:val="auto"/>
                <w:sz w:val="24"/>
                <w:szCs w:val="24"/>
              </w:rPr>
              <w:t>21201</w:t>
            </w:r>
          </w:p>
        </w:tc>
        <w:tc>
          <w:tcPr>
            <w:tcW w:w="2693" w:type="dxa"/>
          </w:tcPr>
          <w:p>
            <w:pPr>
              <w:ind w:firstLine="480"/>
              <w:jc w:val="left"/>
              <w:rPr>
                <w:rFonts w:ascii="仿宋" w:hAnsi="仿宋" w:eastAsia="仿宋" w:cs="仿宋"/>
                <w:color w:val="auto"/>
                <w:sz w:val="24"/>
                <w:szCs w:val="24"/>
              </w:rPr>
            </w:pPr>
            <w:r>
              <w:rPr>
                <w:rFonts w:hint="eastAsia" w:ascii="仿宋" w:hAnsi="仿宋" w:eastAsia="仿宋" w:cs="仿宋"/>
                <w:color w:val="auto"/>
                <w:sz w:val="24"/>
                <w:szCs w:val="24"/>
              </w:rPr>
              <w:t>城乡社区管理事务</w:t>
            </w:r>
          </w:p>
        </w:tc>
        <w:tc>
          <w:tcPr>
            <w:tcW w:w="1675" w:type="dxa"/>
            <w:vAlign w:val="center"/>
          </w:tcPr>
          <w:p>
            <w:pPr>
              <w:widowControl/>
              <w:ind w:firstLine="480"/>
              <w:jc w:val="right"/>
              <w:textAlignment w:val="center"/>
              <w:rPr>
                <w:rFonts w:ascii="仿宋" w:hAnsi="仿宋" w:eastAsia="仿宋" w:cs="仿宋"/>
                <w:color w:val="auto"/>
                <w:sz w:val="24"/>
                <w:szCs w:val="24"/>
              </w:rPr>
            </w:pPr>
            <w:r>
              <w:rPr>
                <w:rFonts w:hint="eastAsia" w:ascii="仿宋" w:hAnsi="仿宋" w:eastAsia="仿宋" w:cs="仿宋"/>
                <w:color w:val="auto"/>
                <w:sz w:val="24"/>
                <w:szCs w:val="24"/>
              </w:rPr>
              <w:t>957.03</w:t>
            </w:r>
          </w:p>
        </w:tc>
        <w:tc>
          <w:tcPr>
            <w:tcW w:w="1443" w:type="dxa"/>
            <w:vAlign w:val="center"/>
          </w:tcPr>
          <w:p>
            <w:pPr>
              <w:widowControl/>
              <w:ind w:firstLine="480"/>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rPr>
              <w:t>766.72</w:t>
            </w:r>
          </w:p>
        </w:tc>
        <w:tc>
          <w:tcPr>
            <w:tcW w:w="1634" w:type="dxa"/>
          </w:tcPr>
          <w:p>
            <w:pPr>
              <w:ind w:firstLine="48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75" w:type="dxa"/>
          </w:tcPr>
          <w:p>
            <w:pPr>
              <w:ind w:firstLine="480"/>
              <w:jc w:val="left"/>
              <w:rPr>
                <w:rFonts w:ascii="仿宋" w:hAnsi="仿宋" w:eastAsia="仿宋" w:cs="仿宋"/>
                <w:color w:val="auto"/>
                <w:sz w:val="24"/>
                <w:szCs w:val="24"/>
              </w:rPr>
            </w:pPr>
            <w:r>
              <w:rPr>
                <w:rFonts w:hint="eastAsia" w:ascii="仿宋" w:hAnsi="仿宋" w:eastAsia="仿宋" w:cs="仿宋"/>
                <w:color w:val="auto"/>
                <w:sz w:val="24"/>
                <w:szCs w:val="24"/>
              </w:rPr>
              <w:t>2120104</w:t>
            </w:r>
          </w:p>
        </w:tc>
        <w:tc>
          <w:tcPr>
            <w:tcW w:w="2693" w:type="dxa"/>
          </w:tcPr>
          <w:p>
            <w:pPr>
              <w:ind w:firstLine="480"/>
              <w:jc w:val="left"/>
              <w:rPr>
                <w:rFonts w:ascii="仿宋" w:hAnsi="仿宋" w:eastAsia="仿宋" w:cs="仿宋"/>
                <w:color w:val="auto"/>
                <w:sz w:val="24"/>
                <w:szCs w:val="24"/>
              </w:rPr>
            </w:pPr>
            <w:r>
              <w:rPr>
                <w:rFonts w:hint="eastAsia" w:ascii="仿宋" w:hAnsi="仿宋" w:eastAsia="仿宋" w:cs="仿宋"/>
                <w:color w:val="auto"/>
                <w:sz w:val="24"/>
                <w:szCs w:val="24"/>
              </w:rPr>
              <w:t xml:space="preserve">  城管执法</w:t>
            </w:r>
          </w:p>
        </w:tc>
        <w:tc>
          <w:tcPr>
            <w:tcW w:w="1675" w:type="dxa"/>
            <w:vAlign w:val="center"/>
          </w:tcPr>
          <w:p>
            <w:pPr>
              <w:widowControl/>
              <w:ind w:firstLine="480"/>
              <w:jc w:val="right"/>
              <w:textAlignment w:val="center"/>
              <w:rPr>
                <w:rFonts w:ascii="仿宋" w:hAnsi="仿宋" w:eastAsia="仿宋" w:cs="仿宋"/>
                <w:color w:val="auto"/>
                <w:sz w:val="24"/>
                <w:szCs w:val="24"/>
              </w:rPr>
            </w:pPr>
            <w:r>
              <w:rPr>
                <w:rFonts w:hint="eastAsia" w:ascii="仿宋" w:hAnsi="仿宋" w:eastAsia="仿宋" w:cs="仿宋"/>
                <w:color w:val="auto"/>
                <w:sz w:val="24"/>
                <w:szCs w:val="24"/>
              </w:rPr>
              <w:t>957.03</w:t>
            </w:r>
          </w:p>
        </w:tc>
        <w:tc>
          <w:tcPr>
            <w:tcW w:w="1443" w:type="dxa"/>
            <w:vAlign w:val="center"/>
          </w:tcPr>
          <w:p>
            <w:pPr>
              <w:widowControl/>
              <w:ind w:firstLine="480"/>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rPr>
              <w:t>766.72</w:t>
            </w:r>
          </w:p>
        </w:tc>
        <w:tc>
          <w:tcPr>
            <w:tcW w:w="1634" w:type="dxa"/>
          </w:tcPr>
          <w:p>
            <w:pPr>
              <w:ind w:firstLine="48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-190.31</w:t>
            </w:r>
          </w:p>
        </w:tc>
      </w:tr>
    </w:tbl>
    <w:p>
      <w:pPr>
        <w:numPr>
          <w:ilvl w:val="0"/>
          <w:numId w:val="2"/>
        </w:numPr>
        <w:ind w:firstLine="640"/>
        <w:jc w:val="left"/>
        <w:rPr>
          <w:rFonts w:ascii="仿宋" w:hAnsi="仿宋" w:eastAsia="仿宋" w:cs="仿宋"/>
          <w:szCs w:val="32"/>
        </w:rPr>
      </w:pPr>
      <w:r>
        <w:rPr>
          <w:rFonts w:hint="eastAsia" w:ascii="仿宋" w:hAnsi="仿宋" w:eastAsia="仿宋" w:cs="仿宋"/>
          <w:szCs w:val="32"/>
        </w:rPr>
        <w:t>按经济科目分类对比如下：</w:t>
      </w:r>
    </w:p>
    <w:p>
      <w:pPr>
        <w:ind w:firstLine="602"/>
        <w:jc w:val="left"/>
        <w:rPr>
          <w:rFonts w:ascii="仿宋" w:hAnsi="仿宋" w:eastAsia="仿宋" w:cs="仿宋"/>
          <w:sz w:val="30"/>
          <w:szCs w:val="30"/>
        </w:rPr>
      </w:pPr>
      <w:r>
        <w:rPr>
          <w:rFonts w:hint="eastAsia" w:ascii="仿宋" w:hAnsi="仿宋" w:eastAsia="仿宋" w:cs="Arial"/>
          <w:b/>
          <w:color w:val="000000"/>
          <w:kern w:val="0"/>
          <w:sz w:val="30"/>
          <w:szCs w:val="30"/>
        </w:rPr>
        <w:t>2020年度支出经济科目分类决算对比表      单位：万元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2"/>
              <w:rPr>
                <w:rFonts w:ascii="仿宋" w:hAnsi="仿宋" w:eastAsia="仿宋" w:cs="仿宋"/>
                <w:b/>
                <w:color w:val="000000"/>
                <w:kern w:val="0"/>
                <w:sz w:val="28"/>
                <w:szCs w:val="28"/>
              </w:rPr>
            </w:pPr>
            <w:r>
              <w:rPr>
                <w:rFonts w:hint="eastAsia" w:ascii="仿宋" w:hAnsi="仿宋" w:eastAsia="仿宋" w:cs="仿宋"/>
                <w:b/>
                <w:color w:val="000000"/>
                <w:kern w:val="0"/>
                <w:sz w:val="28"/>
                <w:szCs w:val="28"/>
              </w:rPr>
              <w:t>科目名称</w:t>
            </w:r>
          </w:p>
        </w:tc>
        <w:tc>
          <w:tcPr>
            <w:tcW w:w="1837"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2020年</w:t>
            </w:r>
          </w:p>
        </w:tc>
        <w:tc>
          <w:tcPr>
            <w:tcW w:w="2071"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2021年</w:t>
            </w:r>
          </w:p>
        </w:tc>
        <w:tc>
          <w:tcPr>
            <w:tcW w:w="1956"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ind w:firstLine="560"/>
              <w:rPr>
                <w:rFonts w:ascii="仿宋" w:hAnsi="仿宋" w:eastAsia="仿宋" w:cs="仿宋"/>
                <w:color w:val="auto"/>
                <w:kern w:val="0"/>
                <w:sz w:val="28"/>
                <w:szCs w:val="28"/>
              </w:rPr>
            </w:pPr>
            <w:r>
              <w:rPr>
                <w:rFonts w:hint="eastAsia" w:ascii="仿宋" w:hAnsi="仿宋" w:eastAsia="仿宋" w:cs="仿宋"/>
                <w:color w:val="auto"/>
                <w:kern w:val="0"/>
                <w:sz w:val="28"/>
                <w:szCs w:val="28"/>
              </w:rPr>
              <w:t>合  计</w:t>
            </w:r>
          </w:p>
        </w:tc>
        <w:tc>
          <w:tcPr>
            <w:tcW w:w="1837" w:type="dxa"/>
            <w:vAlign w:val="center"/>
          </w:tcPr>
          <w:p>
            <w:pPr>
              <w:widowControl/>
              <w:ind w:firstLine="560"/>
              <w:jc w:val="right"/>
              <w:rPr>
                <w:rFonts w:ascii="仿宋" w:hAnsi="仿宋" w:eastAsia="仿宋" w:cs="仿宋"/>
                <w:color w:val="auto"/>
                <w:kern w:val="0"/>
                <w:sz w:val="28"/>
                <w:szCs w:val="28"/>
              </w:rPr>
            </w:pPr>
            <w:r>
              <w:rPr>
                <w:rFonts w:hint="eastAsia" w:ascii="仿宋" w:hAnsi="仿宋" w:eastAsia="仿宋" w:cs="仿宋"/>
                <w:color w:val="auto"/>
                <w:kern w:val="0"/>
                <w:sz w:val="28"/>
                <w:szCs w:val="28"/>
              </w:rPr>
              <w:t>957.03</w:t>
            </w:r>
          </w:p>
        </w:tc>
        <w:tc>
          <w:tcPr>
            <w:tcW w:w="2071" w:type="dxa"/>
            <w:vAlign w:val="center"/>
          </w:tcPr>
          <w:p>
            <w:pPr>
              <w:widowControl/>
              <w:ind w:firstLine="560"/>
              <w:jc w:val="right"/>
              <w:textAlignment w:val="center"/>
              <w:rPr>
                <w:rFonts w:ascii="仿宋" w:hAnsi="仿宋" w:eastAsia="仿宋" w:cs="仿宋"/>
                <w:color w:val="auto"/>
                <w:kern w:val="0"/>
                <w:sz w:val="28"/>
                <w:szCs w:val="28"/>
              </w:rPr>
            </w:pPr>
            <w:r>
              <w:rPr>
                <w:rFonts w:hint="eastAsia" w:ascii="仿宋" w:hAnsi="仿宋" w:eastAsia="仿宋" w:cs="仿宋"/>
                <w:color w:val="auto"/>
                <w:kern w:val="0"/>
                <w:sz w:val="28"/>
                <w:szCs w:val="28"/>
              </w:rPr>
              <w:t>766.72</w:t>
            </w:r>
          </w:p>
        </w:tc>
        <w:tc>
          <w:tcPr>
            <w:tcW w:w="1956" w:type="dxa"/>
            <w:vAlign w:val="center"/>
          </w:tcPr>
          <w:p>
            <w:pPr>
              <w:widowControl/>
              <w:ind w:firstLine="560"/>
              <w:jc w:val="right"/>
              <w:rPr>
                <w:rFonts w:ascii="仿宋" w:hAnsi="仿宋" w:eastAsia="仿宋" w:cs="仿宋"/>
                <w:color w:val="auto"/>
                <w:kern w:val="0"/>
                <w:sz w:val="28"/>
                <w:szCs w:val="28"/>
              </w:rPr>
            </w:pPr>
            <w:r>
              <w:rPr>
                <w:rFonts w:hint="eastAsia" w:ascii="仿宋" w:hAnsi="仿宋" w:eastAsia="仿宋" w:cs="仿宋"/>
                <w:color w:val="auto"/>
                <w:kern w:val="0"/>
                <w:sz w:val="28"/>
                <w:szCs w:val="28"/>
              </w:rPr>
              <w:t>-19.89%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工资福利支出</w:t>
            </w:r>
          </w:p>
        </w:tc>
        <w:tc>
          <w:tcPr>
            <w:tcW w:w="1837" w:type="dxa"/>
            <w:vAlign w:val="center"/>
          </w:tcPr>
          <w:p>
            <w:pPr>
              <w:widowControl/>
              <w:ind w:firstLine="560"/>
              <w:jc w:val="right"/>
              <w:rPr>
                <w:rFonts w:ascii="仿宋" w:hAnsi="仿宋" w:eastAsia="仿宋" w:cs="仿宋"/>
                <w:color w:val="auto"/>
                <w:kern w:val="0"/>
                <w:sz w:val="28"/>
                <w:szCs w:val="28"/>
              </w:rPr>
            </w:pPr>
            <w:r>
              <w:rPr>
                <w:rFonts w:hint="eastAsia" w:ascii="仿宋" w:hAnsi="仿宋" w:eastAsia="仿宋" w:cs="仿宋"/>
                <w:color w:val="auto"/>
                <w:kern w:val="0"/>
                <w:sz w:val="28"/>
                <w:szCs w:val="28"/>
              </w:rPr>
              <w:t>372.17</w:t>
            </w:r>
          </w:p>
        </w:tc>
        <w:tc>
          <w:tcPr>
            <w:tcW w:w="2071" w:type="dxa"/>
            <w:vAlign w:val="center"/>
          </w:tcPr>
          <w:p>
            <w:pPr>
              <w:widowControl/>
              <w:ind w:firstLine="560"/>
              <w:jc w:val="right"/>
              <w:textAlignment w:val="center"/>
              <w:rPr>
                <w:rFonts w:ascii="仿宋" w:hAnsi="仿宋" w:eastAsia="仿宋" w:cs="仿宋"/>
                <w:color w:val="auto"/>
                <w:kern w:val="0"/>
                <w:sz w:val="28"/>
                <w:szCs w:val="28"/>
              </w:rPr>
            </w:pPr>
            <w:r>
              <w:rPr>
                <w:rFonts w:hint="eastAsia" w:ascii="仿宋" w:hAnsi="仿宋" w:eastAsia="仿宋" w:cs="仿宋"/>
                <w:color w:val="auto"/>
                <w:kern w:val="0"/>
                <w:sz w:val="28"/>
                <w:szCs w:val="28"/>
              </w:rPr>
              <w:t>402.26</w:t>
            </w:r>
          </w:p>
        </w:tc>
        <w:tc>
          <w:tcPr>
            <w:tcW w:w="1956" w:type="dxa"/>
            <w:vAlign w:val="center"/>
          </w:tcPr>
          <w:p>
            <w:pPr>
              <w:widowControl/>
              <w:ind w:firstLine="560"/>
              <w:jc w:val="right"/>
              <w:rPr>
                <w:rFonts w:ascii="仿宋" w:hAnsi="仿宋" w:eastAsia="仿宋" w:cs="仿宋"/>
                <w:color w:val="auto"/>
                <w:kern w:val="0"/>
                <w:sz w:val="28"/>
                <w:szCs w:val="28"/>
              </w:rPr>
            </w:pPr>
            <w:r>
              <w:rPr>
                <w:rFonts w:hint="eastAsia" w:ascii="仿宋" w:hAnsi="仿宋" w:eastAsia="仿宋" w:cs="仿宋"/>
                <w:color w:val="auto"/>
                <w:kern w:val="0"/>
                <w:sz w:val="28"/>
                <w:szCs w:val="28"/>
              </w:rPr>
              <w:t>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商品服务支出</w:t>
            </w:r>
          </w:p>
        </w:tc>
        <w:tc>
          <w:tcPr>
            <w:tcW w:w="1837" w:type="dxa"/>
            <w:vAlign w:val="center"/>
          </w:tcPr>
          <w:p>
            <w:pPr>
              <w:widowControl/>
              <w:ind w:firstLine="560"/>
              <w:jc w:val="right"/>
              <w:rPr>
                <w:rFonts w:ascii="仿宋" w:hAnsi="仿宋" w:eastAsia="仿宋" w:cs="仿宋"/>
                <w:color w:val="auto"/>
                <w:kern w:val="0"/>
                <w:sz w:val="28"/>
                <w:szCs w:val="28"/>
              </w:rPr>
            </w:pPr>
            <w:r>
              <w:rPr>
                <w:rFonts w:hint="eastAsia" w:ascii="仿宋" w:hAnsi="仿宋" w:eastAsia="仿宋" w:cs="仿宋"/>
                <w:color w:val="auto"/>
                <w:kern w:val="0"/>
                <w:sz w:val="28"/>
                <w:szCs w:val="28"/>
              </w:rPr>
              <w:t>179.17</w:t>
            </w:r>
          </w:p>
        </w:tc>
        <w:tc>
          <w:tcPr>
            <w:tcW w:w="2071" w:type="dxa"/>
            <w:vAlign w:val="center"/>
          </w:tcPr>
          <w:p>
            <w:pPr>
              <w:widowControl/>
              <w:ind w:firstLine="560"/>
              <w:jc w:val="right"/>
              <w:textAlignment w:val="center"/>
              <w:rPr>
                <w:rFonts w:ascii="仿宋" w:hAnsi="仿宋" w:eastAsia="仿宋" w:cs="仿宋"/>
                <w:color w:val="auto"/>
                <w:kern w:val="0"/>
                <w:sz w:val="28"/>
                <w:szCs w:val="28"/>
              </w:rPr>
            </w:pPr>
            <w:r>
              <w:rPr>
                <w:rFonts w:hint="eastAsia" w:ascii="仿宋" w:hAnsi="仿宋" w:eastAsia="仿宋" w:cs="仿宋"/>
                <w:color w:val="auto"/>
                <w:kern w:val="0"/>
                <w:sz w:val="28"/>
                <w:szCs w:val="28"/>
              </w:rPr>
              <w:t>99.28</w:t>
            </w:r>
          </w:p>
        </w:tc>
        <w:tc>
          <w:tcPr>
            <w:tcW w:w="1956" w:type="dxa"/>
            <w:vAlign w:val="center"/>
          </w:tcPr>
          <w:p>
            <w:pPr>
              <w:widowControl/>
              <w:ind w:firstLine="560"/>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-44.58</w:t>
            </w:r>
            <w:r>
              <w:rPr>
                <w:rFonts w:hint="eastAsia" w:ascii="仿宋" w:hAnsi="仿宋" w:eastAsia="仿宋" w:cs="仿宋"/>
                <w:color w:val="auto"/>
                <w:kern w:val="0"/>
                <w:sz w:val="28"/>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0" w:firstLineChars="0"/>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对个人和家庭的补助</w:t>
            </w:r>
          </w:p>
        </w:tc>
        <w:tc>
          <w:tcPr>
            <w:tcW w:w="1837" w:type="dxa"/>
            <w:vAlign w:val="center"/>
          </w:tcPr>
          <w:p>
            <w:pPr>
              <w:widowControl/>
              <w:ind w:firstLine="560"/>
              <w:jc w:val="right"/>
              <w:rPr>
                <w:rFonts w:ascii="仿宋" w:hAnsi="仿宋" w:eastAsia="仿宋" w:cs="仿宋"/>
                <w:color w:val="auto"/>
                <w:kern w:val="0"/>
                <w:sz w:val="28"/>
                <w:szCs w:val="28"/>
              </w:rPr>
            </w:pPr>
            <w:r>
              <w:rPr>
                <w:rFonts w:hint="eastAsia" w:ascii="仿宋" w:hAnsi="仿宋" w:eastAsia="仿宋" w:cs="仿宋"/>
                <w:color w:val="auto"/>
                <w:kern w:val="0"/>
                <w:sz w:val="28"/>
                <w:szCs w:val="28"/>
              </w:rPr>
              <w:t>405.69</w:t>
            </w:r>
          </w:p>
        </w:tc>
        <w:tc>
          <w:tcPr>
            <w:tcW w:w="2071" w:type="dxa"/>
            <w:vAlign w:val="center"/>
          </w:tcPr>
          <w:p>
            <w:pPr>
              <w:widowControl/>
              <w:ind w:firstLine="560"/>
              <w:jc w:val="right"/>
              <w:rPr>
                <w:rFonts w:ascii="仿宋" w:hAnsi="仿宋" w:eastAsia="仿宋" w:cs="仿宋"/>
                <w:color w:val="auto"/>
                <w:kern w:val="0"/>
                <w:sz w:val="28"/>
                <w:szCs w:val="28"/>
              </w:rPr>
            </w:pPr>
            <w:r>
              <w:rPr>
                <w:rFonts w:hint="eastAsia" w:ascii="仿宋" w:hAnsi="仿宋" w:eastAsia="仿宋" w:cs="仿宋"/>
                <w:color w:val="auto"/>
                <w:kern w:val="0"/>
                <w:sz w:val="28"/>
                <w:szCs w:val="28"/>
              </w:rPr>
              <w:t>265.18</w:t>
            </w:r>
          </w:p>
        </w:tc>
        <w:tc>
          <w:tcPr>
            <w:tcW w:w="1956" w:type="dxa"/>
            <w:vAlign w:val="center"/>
          </w:tcPr>
          <w:p>
            <w:pPr>
              <w:widowControl/>
              <w:ind w:firstLine="560"/>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-34.63</w:t>
            </w:r>
            <w:r>
              <w:rPr>
                <w:rFonts w:hint="eastAsia" w:ascii="仿宋" w:hAnsi="仿宋" w:eastAsia="仿宋" w:cs="仿宋"/>
                <w:color w:val="auto"/>
                <w:kern w:val="0"/>
                <w:sz w:val="28"/>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0"/>
              <w:jc w:val="left"/>
              <w:rPr>
                <w:rFonts w:ascii="仿宋" w:hAnsi="仿宋" w:eastAsia="仿宋" w:cs="仿宋"/>
                <w:b/>
                <w:bCs/>
                <w:color w:val="auto"/>
                <w:kern w:val="0"/>
                <w:sz w:val="28"/>
                <w:szCs w:val="28"/>
              </w:rPr>
            </w:pPr>
            <w:r>
              <w:rPr>
                <w:rFonts w:hint="eastAsia" w:ascii="仿宋" w:hAnsi="仿宋" w:eastAsia="仿宋" w:cs="仿宋"/>
                <w:color w:val="auto"/>
                <w:kern w:val="0"/>
                <w:sz w:val="28"/>
                <w:szCs w:val="28"/>
              </w:rPr>
              <w:t>资本性支出</w:t>
            </w:r>
          </w:p>
        </w:tc>
        <w:tc>
          <w:tcPr>
            <w:tcW w:w="1837" w:type="dxa"/>
            <w:vAlign w:val="center"/>
          </w:tcPr>
          <w:p>
            <w:pPr>
              <w:widowControl/>
              <w:ind w:firstLine="560"/>
              <w:jc w:val="right"/>
              <w:rPr>
                <w:rFonts w:ascii="仿宋" w:hAnsi="仿宋" w:eastAsia="仿宋" w:cs="仿宋"/>
                <w:color w:val="auto"/>
                <w:kern w:val="0"/>
                <w:sz w:val="28"/>
                <w:szCs w:val="28"/>
              </w:rPr>
            </w:pPr>
          </w:p>
        </w:tc>
        <w:tc>
          <w:tcPr>
            <w:tcW w:w="2071" w:type="dxa"/>
            <w:vAlign w:val="center"/>
          </w:tcPr>
          <w:p>
            <w:pPr>
              <w:widowControl/>
              <w:ind w:firstLine="640"/>
              <w:jc w:val="right"/>
              <w:textAlignment w:val="center"/>
              <w:rPr>
                <w:rFonts w:ascii="仿宋" w:hAnsi="仿宋" w:eastAsia="仿宋" w:cs="仿宋"/>
                <w:color w:val="auto"/>
              </w:rPr>
            </w:pPr>
          </w:p>
        </w:tc>
        <w:tc>
          <w:tcPr>
            <w:tcW w:w="1956" w:type="dxa"/>
            <w:vAlign w:val="center"/>
          </w:tcPr>
          <w:p>
            <w:pPr>
              <w:widowControl/>
              <w:ind w:firstLine="560"/>
              <w:jc w:val="right"/>
              <w:rPr>
                <w:rFonts w:ascii="仿宋" w:hAnsi="仿宋" w:eastAsia="仿宋" w:cs="仿宋"/>
                <w:color w:val="auto"/>
                <w:kern w:val="0"/>
                <w:sz w:val="28"/>
                <w:szCs w:val="28"/>
              </w:rPr>
            </w:pPr>
          </w:p>
        </w:tc>
      </w:tr>
    </w:tbl>
    <w:p>
      <w:pPr>
        <w:spacing w:line="580" w:lineRule="exact"/>
        <w:ind w:firstLine="0" w:firstLineChars="0"/>
        <w:rPr>
          <w:color w:val="FF0000"/>
          <w:szCs w:val="32"/>
        </w:rPr>
      </w:pPr>
    </w:p>
    <w:p>
      <w:pPr>
        <w:pStyle w:val="3"/>
        <w:ind w:firstLine="643"/>
        <w:rPr>
          <w:rFonts w:ascii="仿宋" w:hAnsi="仿宋" w:eastAsia="仿宋" w:cs="仿宋"/>
        </w:rPr>
      </w:pPr>
      <w:bookmarkStart w:id="21" w:name="_Toc841"/>
      <w:bookmarkStart w:id="22" w:name="_Toc17728"/>
      <w:r>
        <w:rPr>
          <w:rFonts w:hint="eastAsia" w:ascii="仿宋" w:hAnsi="仿宋" w:eastAsia="仿宋" w:cs="仿宋"/>
        </w:rPr>
        <w:t>六、一般公共预算财政拨款基本支出决算情况说明</w:t>
      </w:r>
      <w:bookmarkEnd w:id="21"/>
      <w:bookmarkEnd w:id="22"/>
    </w:p>
    <w:p>
      <w:pPr>
        <w:spacing w:line="580" w:lineRule="exact"/>
        <w:ind w:firstLine="640"/>
        <w:rPr>
          <w:rFonts w:hint="eastAsia" w:ascii="仿宋_GB2312" w:hAnsi="仿宋_GB2312" w:cs="仿宋_GB2312"/>
          <w:szCs w:val="32"/>
        </w:rPr>
      </w:pPr>
      <w:r>
        <w:rPr>
          <w:rFonts w:hint="eastAsia" w:ascii="仿宋_GB2312"/>
          <w:szCs w:val="32"/>
        </w:rPr>
        <w:t>2</w:t>
      </w:r>
      <w:r>
        <w:rPr>
          <w:rFonts w:hint="eastAsia" w:ascii="仿宋_GB2312" w:hAnsi="仿宋_GB2312" w:cs="仿宋_GB2312"/>
          <w:szCs w:val="32"/>
        </w:rPr>
        <w:t>021年度财政拨款基本支出463.54万元，其中：人员经费402.26万元，主要包括工资福利支出；公用经费61.28万元，主要包括商品和服务支出。2021年度财政拨款项目支出303.18万元。</w:t>
      </w:r>
    </w:p>
    <w:p>
      <w:pPr>
        <w:pStyle w:val="3"/>
        <w:ind w:firstLine="643"/>
        <w:rPr>
          <w:rFonts w:ascii="仿宋" w:hAnsi="仿宋" w:eastAsia="仿宋" w:cs="仿宋"/>
        </w:rPr>
      </w:pPr>
      <w:bookmarkStart w:id="23" w:name="_Toc26508"/>
      <w:bookmarkStart w:id="24" w:name="_Toc2304"/>
      <w:r>
        <w:rPr>
          <w:rFonts w:hint="eastAsia" w:ascii="仿宋" w:hAnsi="仿宋" w:eastAsia="仿宋" w:cs="仿宋"/>
        </w:rPr>
        <w:t>七、一般公共预算财政拨款“三公”经费支出决算情况说明</w:t>
      </w:r>
      <w:bookmarkEnd w:id="23"/>
      <w:bookmarkEnd w:id="24"/>
    </w:p>
    <w:p>
      <w:pPr>
        <w:spacing w:line="580" w:lineRule="exact"/>
        <w:ind w:firstLine="640"/>
        <w:rPr>
          <w:rFonts w:hint="eastAsia" w:ascii="仿宋_GB2312" w:eastAsia="仿宋_GB2312"/>
          <w:color w:val="FF0000"/>
          <w:szCs w:val="32"/>
          <w:lang w:eastAsia="zh-CN"/>
        </w:rPr>
      </w:pPr>
      <w:r>
        <w:rPr>
          <w:rFonts w:hint="eastAsia" w:ascii="仿宋_GB2312" w:hAnsi="仿宋_GB2312" w:cs="仿宋_GB2312"/>
          <w:szCs w:val="32"/>
        </w:rPr>
        <w:t>2021年度，“三公”经费财政拨款支出决算为7.99万元，，比上年增加0.03万元，增长0.37%，原因是：车辆维修费增</w:t>
      </w:r>
      <w:r>
        <w:rPr>
          <w:rFonts w:hint="eastAsia" w:ascii="仿宋_GB2312"/>
          <w:szCs w:val="32"/>
        </w:rPr>
        <w:t>加。其中：无因公出国（境）费支出；</w:t>
      </w:r>
      <w:r>
        <w:rPr>
          <w:rFonts w:hint="eastAsia" w:ascii="仿宋_GB2312"/>
          <w:szCs w:val="32"/>
          <w:lang w:val="en-US" w:eastAsia="zh-CN"/>
        </w:rPr>
        <w:t>无</w:t>
      </w:r>
      <w:r>
        <w:rPr>
          <w:rFonts w:hint="eastAsia" w:ascii="仿宋_GB2312"/>
          <w:szCs w:val="32"/>
        </w:rPr>
        <w:t>公务用车购置</w:t>
      </w:r>
      <w:r>
        <w:rPr>
          <w:rFonts w:hint="eastAsia" w:ascii="仿宋_GB2312"/>
          <w:szCs w:val="32"/>
          <w:lang w:eastAsia="zh-CN"/>
        </w:rPr>
        <w:t>，</w:t>
      </w:r>
      <w:r>
        <w:rPr>
          <w:rFonts w:hint="eastAsia" w:ascii="仿宋_GB2312"/>
          <w:szCs w:val="32"/>
          <w:lang w:val="en-US" w:eastAsia="zh-CN"/>
        </w:rPr>
        <w:t>车辆</w:t>
      </w:r>
      <w:r>
        <w:rPr>
          <w:rFonts w:hint="eastAsia" w:ascii="仿宋_GB2312"/>
          <w:szCs w:val="32"/>
        </w:rPr>
        <w:t>运行费</w:t>
      </w:r>
      <w:r>
        <w:rPr>
          <w:rFonts w:hint="eastAsia" w:ascii="仿宋_GB2312" w:hAnsi="仿宋_GB2312" w:cs="仿宋_GB2312"/>
          <w:szCs w:val="32"/>
        </w:rPr>
        <w:t>支出决算7.99万元，比上年增加0.03万元，增长</w:t>
      </w:r>
      <w:r>
        <w:rPr>
          <w:rFonts w:hint="eastAsia" w:ascii="仿宋_GB2312" w:hAnsi="仿宋_GB2312" w:cs="仿宋_GB2312"/>
          <w:szCs w:val="32"/>
          <w:lang w:val="en-US" w:eastAsia="zh-CN"/>
        </w:rPr>
        <w:t>0.37</w:t>
      </w:r>
      <w:r>
        <w:rPr>
          <w:rFonts w:hint="eastAsia" w:ascii="仿宋_GB2312" w:hAnsi="仿宋_GB2312" w:cs="仿宋_GB2312"/>
          <w:szCs w:val="32"/>
        </w:rPr>
        <w:t>%；</w:t>
      </w:r>
      <w:r>
        <w:rPr>
          <w:rFonts w:hint="eastAsia" w:ascii="仿宋_GB2312"/>
          <w:szCs w:val="32"/>
          <w:lang w:val="en-US" w:eastAsia="zh-CN"/>
        </w:rPr>
        <w:t>无</w:t>
      </w:r>
      <w:r>
        <w:rPr>
          <w:rFonts w:hint="eastAsia" w:ascii="仿宋_GB2312"/>
          <w:szCs w:val="32"/>
        </w:rPr>
        <w:t>公务接待费支出决算</w:t>
      </w:r>
      <w:r>
        <w:rPr>
          <w:rFonts w:hint="eastAsia" w:ascii="仿宋_GB2312"/>
          <w:szCs w:val="32"/>
          <w:lang w:eastAsia="zh-CN"/>
        </w:rPr>
        <w:t>。</w:t>
      </w:r>
    </w:p>
    <w:p>
      <w:pPr>
        <w:pStyle w:val="8"/>
        <w:tabs>
          <w:tab w:val="left" w:pos="5760"/>
        </w:tabs>
        <w:spacing w:before="0" w:beforeAutospacing="0" w:after="0" w:afterAutospacing="0"/>
        <w:ind w:firstLine="640"/>
        <w:rPr>
          <w:rFonts w:ascii="仿宋_GB2312"/>
          <w:color w:val="000000"/>
          <w:sz w:val="32"/>
          <w:szCs w:val="32"/>
        </w:rPr>
      </w:pPr>
      <w:r>
        <w:rPr>
          <w:rFonts w:hint="eastAsia" w:ascii="仿宋_GB2312"/>
          <w:color w:val="000000"/>
          <w:sz w:val="32"/>
          <w:szCs w:val="32"/>
        </w:rPr>
        <w:t>2021年“三公”经费支出情况，分三项和2020年相比。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484"/>
        <w:gridCol w:w="1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spacing w:before="0" w:beforeAutospacing="0" w:after="0" w:afterAutospacing="0" w:line="300" w:lineRule="exact"/>
              <w:ind w:firstLine="2368" w:firstLineChars="1123"/>
              <w:rPr>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b/>
                <w:color w:val="000000"/>
                <w:sz w:val="28"/>
                <w:szCs w:val="28"/>
              </w:rPr>
            </w:pPr>
            <w:r>
              <w:rPr>
                <w:rFonts w:hint="eastAsia"/>
                <w:b/>
                <w:color w:val="000000"/>
                <w:sz w:val="21"/>
                <w:szCs w:val="21"/>
              </w:rPr>
              <w:t>项目</w:t>
            </w:r>
          </w:p>
        </w:tc>
        <w:tc>
          <w:tcPr>
            <w:tcW w:w="1701" w:type="dxa"/>
          </w:tcPr>
          <w:p>
            <w:pPr>
              <w:pStyle w:val="8"/>
              <w:ind w:firstLine="562"/>
              <w:jc w:val="center"/>
              <w:rPr>
                <w:b/>
                <w:color w:val="000000"/>
                <w:sz w:val="28"/>
                <w:szCs w:val="28"/>
              </w:rPr>
            </w:pPr>
            <w:r>
              <w:rPr>
                <w:rFonts w:hint="eastAsia"/>
                <w:b/>
                <w:color w:val="000000"/>
                <w:sz w:val="28"/>
                <w:szCs w:val="28"/>
              </w:rPr>
              <w:t>2020年</w:t>
            </w:r>
          </w:p>
        </w:tc>
        <w:tc>
          <w:tcPr>
            <w:tcW w:w="1484" w:type="dxa"/>
          </w:tcPr>
          <w:p>
            <w:pPr>
              <w:pStyle w:val="8"/>
              <w:ind w:firstLine="562"/>
              <w:jc w:val="center"/>
              <w:rPr>
                <w:b/>
                <w:color w:val="000000"/>
                <w:sz w:val="28"/>
                <w:szCs w:val="28"/>
              </w:rPr>
            </w:pPr>
            <w:r>
              <w:rPr>
                <w:rFonts w:hint="eastAsia"/>
                <w:b/>
                <w:color w:val="000000"/>
                <w:sz w:val="28"/>
                <w:szCs w:val="28"/>
              </w:rPr>
              <w:t>2021年</w:t>
            </w:r>
          </w:p>
        </w:tc>
        <w:tc>
          <w:tcPr>
            <w:tcW w:w="1635" w:type="dxa"/>
          </w:tcPr>
          <w:p>
            <w:pPr>
              <w:pStyle w:val="8"/>
              <w:ind w:firstLine="0" w:firstLineChars="0"/>
              <w:jc w:val="both"/>
              <w:rPr>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000000"/>
                <w:sz w:val="28"/>
                <w:szCs w:val="28"/>
              </w:rPr>
            </w:pPr>
            <w:r>
              <w:rPr>
                <w:rFonts w:hint="eastAsia"/>
                <w:color w:val="000000"/>
                <w:sz w:val="28"/>
                <w:szCs w:val="28"/>
              </w:rPr>
              <w:t>因公出国（境）费</w:t>
            </w:r>
          </w:p>
        </w:tc>
        <w:tc>
          <w:tcPr>
            <w:tcW w:w="1701" w:type="dxa"/>
          </w:tcPr>
          <w:p>
            <w:pPr>
              <w:pStyle w:val="8"/>
              <w:ind w:firstLine="560"/>
              <w:jc w:val="right"/>
              <w:rPr>
                <w:color w:val="000000"/>
                <w:sz w:val="28"/>
                <w:szCs w:val="28"/>
              </w:rPr>
            </w:pPr>
          </w:p>
        </w:tc>
        <w:tc>
          <w:tcPr>
            <w:tcW w:w="1484" w:type="dxa"/>
          </w:tcPr>
          <w:p>
            <w:pPr>
              <w:pStyle w:val="8"/>
              <w:ind w:firstLine="560"/>
              <w:jc w:val="right"/>
              <w:rPr>
                <w:color w:val="000000"/>
                <w:sz w:val="28"/>
                <w:szCs w:val="28"/>
              </w:rPr>
            </w:pPr>
          </w:p>
        </w:tc>
        <w:tc>
          <w:tcPr>
            <w:tcW w:w="1635" w:type="dxa"/>
          </w:tcPr>
          <w:p>
            <w:pPr>
              <w:pStyle w:val="8"/>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000000"/>
                <w:sz w:val="28"/>
                <w:szCs w:val="28"/>
              </w:rPr>
            </w:pPr>
            <w:r>
              <w:rPr>
                <w:rFonts w:hint="eastAsia"/>
                <w:color w:val="000000"/>
                <w:sz w:val="28"/>
                <w:szCs w:val="28"/>
              </w:rPr>
              <w:t>公务接待费</w:t>
            </w:r>
          </w:p>
        </w:tc>
        <w:tc>
          <w:tcPr>
            <w:tcW w:w="1701" w:type="dxa"/>
          </w:tcPr>
          <w:p>
            <w:pPr>
              <w:pStyle w:val="8"/>
              <w:ind w:firstLine="560"/>
              <w:jc w:val="right"/>
              <w:rPr>
                <w:color w:val="000000"/>
                <w:sz w:val="28"/>
                <w:szCs w:val="28"/>
              </w:rPr>
            </w:pPr>
          </w:p>
        </w:tc>
        <w:tc>
          <w:tcPr>
            <w:tcW w:w="1484" w:type="dxa"/>
          </w:tcPr>
          <w:p>
            <w:pPr>
              <w:pStyle w:val="8"/>
              <w:ind w:firstLine="560"/>
              <w:jc w:val="right"/>
              <w:rPr>
                <w:color w:val="000000"/>
                <w:sz w:val="28"/>
                <w:szCs w:val="28"/>
              </w:rPr>
            </w:pPr>
          </w:p>
        </w:tc>
        <w:tc>
          <w:tcPr>
            <w:tcW w:w="1635" w:type="dxa"/>
          </w:tcPr>
          <w:p>
            <w:pPr>
              <w:pStyle w:val="8"/>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0" w:firstLineChars="0"/>
              <w:rPr>
                <w:color w:val="000000"/>
                <w:sz w:val="28"/>
                <w:szCs w:val="28"/>
              </w:rPr>
            </w:pPr>
            <w:r>
              <w:rPr>
                <w:rFonts w:hint="eastAsia"/>
                <w:color w:val="000000"/>
                <w:sz w:val="28"/>
                <w:szCs w:val="28"/>
              </w:rPr>
              <w:t>公务用车购置及运行维护费</w:t>
            </w:r>
          </w:p>
        </w:tc>
        <w:tc>
          <w:tcPr>
            <w:tcW w:w="1701" w:type="dxa"/>
          </w:tcPr>
          <w:p>
            <w:pPr>
              <w:pStyle w:val="8"/>
              <w:ind w:firstLine="560"/>
              <w:jc w:val="right"/>
              <w:rPr>
                <w:rFonts w:hint="default" w:eastAsia="宋体"/>
                <w:color w:val="000000"/>
                <w:sz w:val="28"/>
                <w:szCs w:val="28"/>
                <w:lang w:val="en-US" w:eastAsia="zh-CN"/>
              </w:rPr>
            </w:pPr>
            <w:r>
              <w:rPr>
                <w:rFonts w:hint="eastAsia" w:eastAsia="宋体"/>
                <w:color w:val="000000"/>
                <w:sz w:val="28"/>
                <w:szCs w:val="28"/>
                <w:lang w:val="en-US" w:eastAsia="zh-CN"/>
              </w:rPr>
              <w:t>7.96</w:t>
            </w:r>
          </w:p>
        </w:tc>
        <w:tc>
          <w:tcPr>
            <w:tcW w:w="1484" w:type="dxa"/>
          </w:tcPr>
          <w:p>
            <w:pPr>
              <w:pStyle w:val="8"/>
              <w:ind w:firstLine="560"/>
              <w:jc w:val="right"/>
              <w:rPr>
                <w:rFonts w:hint="default" w:eastAsia="仿宋_GB2312"/>
                <w:color w:val="000000"/>
                <w:sz w:val="28"/>
                <w:szCs w:val="28"/>
                <w:lang w:val="en-US" w:eastAsia="zh-CN"/>
              </w:rPr>
            </w:pPr>
            <w:r>
              <w:rPr>
                <w:rFonts w:hint="eastAsia"/>
                <w:color w:val="000000"/>
                <w:sz w:val="28"/>
                <w:szCs w:val="28"/>
                <w:lang w:val="en-US" w:eastAsia="zh-CN"/>
              </w:rPr>
              <w:t>7.99</w:t>
            </w:r>
          </w:p>
        </w:tc>
        <w:tc>
          <w:tcPr>
            <w:tcW w:w="1635" w:type="dxa"/>
          </w:tcPr>
          <w:p>
            <w:pPr>
              <w:pStyle w:val="8"/>
              <w:ind w:firstLine="560"/>
              <w:jc w:val="right"/>
              <w:rPr>
                <w:rFonts w:hint="default" w:eastAsia="宋体"/>
                <w:color w:val="000000"/>
                <w:sz w:val="28"/>
                <w:szCs w:val="28"/>
                <w:lang w:val="en-US" w:eastAsia="zh-CN"/>
              </w:rPr>
            </w:pPr>
            <w:r>
              <w:rPr>
                <w:rFonts w:hint="eastAsia" w:eastAsia="宋体"/>
                <w:color w:val="000000"/>
                <w:sz w:val="28"/>
                <w:szCs w:val="28"/>
                <w:lang w:val="en-US" w:eastAsia="zh-CN"/>
              </w:rPr>
              <w:t>0.37%</w:t>
            </w:r>
          </w:p>
        </w:tc>
      </w:tr>
    </w:tbl>
    <w:p>
      <w:pPr>
        <w:pStyle w:val="8"/>
        <w:spacing w:before="0" w:beforeAutospacing="0" w:after="0" w:afterAutospacing="0"/>
        <w:ind w:firstLine="482"/>
        <w:rPr>
          <w:b/>
          <w:szCs w:val="32"/>
        </w:rPr>
      </w:pPr>
    </w:p>
    <w:p>
      <w:pPr>
        <w:pStyle w:val="3"/>
        <w:ind w:firstLine="643"/>
        <w:rPr>
          <w:rFonts w:ascii="仿宋" w:hAnsi="仿宋" w:eastAsia="仿宋" w:cs="仿宋"/>
        </w:rPr>
      </w:pPr>
      <w:bookmarkStart w:id="25" w:name="_Toc1792"/>
      <w:bookmarkStart w:id="26" w:name="_Toc9078"/>
      <w:r>
        <w:rPr>
          <w:rFonts w:hint="eastAsia" w:ascii="仿宋" w:hAnsi="仿宋" w:eastAsia="仿宋" w:cs="仿宋"/>
        </w:rPr>
        <w:t>八、其他重要事项情况说明</w:t>
      </w:r>
      <w:bookmarkEnd w:id="25"/>
      <w:bookmarkEnd w:id="26"/>
    </w:p>
    <w:p>
      <w:pPr>
        <w:ind w:firstLine="643"/>
        <w:rPr>
          <w:b/>
          <w:bCs/>
        </w:rPr>
      </w:pPr>
      <w:bookmarkStart w:id="27" w:name="_Toc23407"/>
      <w:r>
        <w:rPr>
          <w:rFonts w:hint="eastAsia"/>
          <w:b/>
          <w:bCs/>
        </w:rPr>
        <w:t>（一）机关运行经费支出情况说明</w:t>
      </w:r>
      <w:bookmarkEnd w:id="27"/>
    </w:p>
    <w:p>
      <w:pPr>
        <w:spacing w:line="580" w:lineRule="exact"/>
        <w:ind w:firstLine="640"/>
        <w:rPr>
          <w:rFonts w:hint="eastAsia" w:eastAsia="仿宋_GB2312"/>
          <w:b/>
          <w:szCs w:val="32"/>
          <w:lang w:eastAsia="zh-CN"/>
        </w:rPr>
      </w:pPr>
      <w:r>
        <w:rPr>
          <w:rFonts w:hint="eastAsia" w:ascii="仿宋_GB2312" w:hAnsi="宋体"/>
          <w:szCs w:val="32"/>
        </w:rPr>
        <w:t>2021年本单位</w:t>
      </w:r>
      <w:r>
        <w:rPr>
          <w:rFonts w:hint="eastAsia" w:ascii="仿宋_GB2312" w:hAnsi="宋体"/>
          <w:szCs w:val="32"/>
          <w:lang w:val="en-US" w:eastAsia="zh-CN"/>
        </w:rPr>
        <w:t>无</w:t>
      </w:r>
      <w:r>
        <w:rPr>
          <w:rFonts w:hint="eastAsia" w:ascii="仿宋_GB2312" w:hAnsi="宋体"/>
          <w:szCs w:val="32"/>
        </w:rPr>
        <w:t>机关运行经费支出</w:t>
      </w:r>
      <w:r>
        <w:rPr>
          <w:rFonts w:hint="eastAsia" w:ascii="仿宋_GB2312" w:hAnsi="宋体"/>
          <w:szCs w:val="32"/>
          <w:lang w:eastAsia="zh-CN"/>
        </w:rPr>
        <w:t>。</w:t>
      </w:r>
    </w:p>
    <w:p>
      <w:pPr>
        <w:ind w:firstLine="643"/>
        <w:rPr>
          <w:b/>
          <w:bCs/>
        </w:rPr>
      </w:pPr>
      <w:bookmarkStart w:id="28" w:name="_Toc16103"/>
      <w:r>
        <w:rPr>
          <w:rFonts w:hint="eastAsia"/>
          <w:b/>
          <w:bCs/>
        </w:rPr>
        <w:t>（二）政府采购情况说明</w:t>
      </w:r>
      <w:bookmarkEnd w:id="28"/>
    </w:p>
    <w:p>
      <w:pPr>
        <w:ind w:firstLine="640"/>
        <w:rPr>
          <w:rFonts w:hint="eastAsia" w:ascii="仿宋_GB2312" w:hAnsi="仿宋_GB2312" w:cs="仿宋_GB2312"/>
          <w:szCs w:val="32"/>
        </w:rPr>
      </w:pPr>
      <w:r>
        <w:rPr>
          <w:rFonts w:hint="eastAsia" w:ascii="仿宋_GB2312" w:hAnsi="仿宋_GB2312" w:cs="仿宋_GB2312"/>
          <w:szCs w:val="32"/>
        </w:rPr>
        <w:t>2021年度，政府采购支出总额</w:t>
      </w:r>
      <w:r>
        <w:rPr>
          <w:rFonts w:hint="eastAsia" w:ascii="仿宋_GB2312" w:hAnsi="仿宋_GB2312" w:cs="仿宋_GB2312"/>
          <w:szCs w:val="32"/>
          <w:lang w:val="en-US" w:eastAsia="zh-CN"/>
        </w:rPr>
        <w:t>1.03</w:t>
      </w:r>
      <w:r>
        <w:rPr>
          <w:rFonts w:hint="eastAsia" w:ascii="仿宋_GB2312" w:hAnsi="仿宋_GB2312" w:cs="仿宋_GB2312"/>
          <w:szCs w:val="32"/>
        </w:rPr>
        <w:t>万元，其中：政府采购货物支出</w:t>
      </w:r>
      <w:r>
        <w:rPr>
          <w:rFonts w:hint="eastAsia" w:ascii="仿宋_GB2312" w:hAnsi="仿宋_GB2312" w:cs="仿宋_GB2312"/>
          <w:szCs w:val="32"/>
          <w:lang w:val="en-US" w:eastAsia="zh-CN"/>
        </w:rPr>
        <w:t>1.03</w:t>
      </w:r>
      <w:r>
        <w:rPr>
          <w:rFonts w:hint="eastAsia" w:ascii="仿宋_GB2312" w:hAnsi="仿宋_GB2312" w:cs="仿宋_GB2312"/>
          <w:szCs w:val="32"/>
        </w:rPr>
        <w:t>万元、</w:t>
      </w:r>
      <w:r>
        <w:rPr>
          <w:rFonts w:hint="eastAsia" w:ascii="仿宋_GB2312" w:hAnsi="仿宋_GB2312" w:cs="仿宋_GB2312"/>
          <w:szCs w:val="32"/>
          <w:lang w:val="en-US" w:eastAsia="zh-CN"/>
        </w:rPr>
        <w:t>无</w:t>
      </w:r>
      <w:r>
        <w:rPr>
          <w:rFonts w:hint="eastAsia" w:ascii="仿宋_GB2312" w:hAnsi="仿宋_GB2312" w:cs="仿宋_GB2312"/>
          <w:szCs w:val="32"/>
        </w:rPr>
        <w:t>政府采购工程支出</w:t>
      </w:r>
      <w:r>
        <w:rPr>
          <w:rFonts w:hint="eastAsia" w:ascii="仿宋_GB2312" w:hAnsi="仿宋_GB2312" w:cs="仿宋_GB2312"/>
          <w:szCs w:val="32"/>
          <w:lang w:eastAsia="zh-CN"/>
        </w:rPr>
        <w:t>，</w:t>
      </w:r>
      <w:r>
        <w:rPr>
          <w:rFonts w:hint="eastAsia" w:ascii="仿宋_GB2312" w:hAnsi="仿宋_GB2312" w:cs="仿宋_GB2312"/>
          <w:szCs w:val="32"/>
        </w:rPr>
        <w:t>政府采购授予中小企业合同金额</w:t>
      </w:r>
      <w:r>
        <w:rPr>
          <w:rFonts w:hint="eastAsia" w:ascii="仿宋_GB2312" w:hAnsi="仿宋_GB2312" w:cs="仿宋_GB2312"/>
          <w:szCs w:val="32"/>
          <w:lang w:val="en-US" w:eastAsia="zh-CN"/>
        </w:rPr>
        <w:t>1.03</w:t>
      </w:r>
      <w:r>
        <w:rPr>
          <w:rFonts w:hint="eastAsia" w:ascii="仿宋_GB2312" w:hAnsi="仿宋_GB2312" w:cs="仿宋_GB2312"/>
          <w:szCs w:val="32"/>
        </w:rPr>
        <w:t>万元，占政府采购支出总额的</w:t>
      </w:r>
      <w:r>
        <w:rPr>
          <w:rFonts w:hint="eastAsia" w:ascii="仿宋_GB2312" w:hAnsi="仿宋_GB2312" w:cs="仿宋_GB2312"/>
          <w:szCs w:val="32"/>
          <w:lang w:val="en-US" w:eastAsia="zh-CN"/>
        </w:rPr>
        <w:t>100</w:t>
      </w:r>
      <w:r>
        <w:rPr>
          <w:rFonts w:hint="eastAsia" w:ascii="仿宋_GB2312" w:hAnsi="仿宋_GB2312" w:cs="仿宋_GB2312"/>
          <w:szCs w:val="32"/>
        </w:rPr>
        <w:t>%。其中：授予小微企业合同金额</w:t>
      </w:r>
      <w:r>
        <w:rPr>
          <w:rFonts w:hint="eastAsia" w:ascii="仿宋_GB2312" w:hAnsi="仿宋_GB2312" w:cs="仿宋_GB2312"/>
          <w:szCs w:val="32"/>
          <w:lang w:val="en-US" w:eastAsia="zh-CN"/>
        </w:rPr>
        <w:t>1.03</w:t>
      </w:r>
      <w:r>
        <w:rPr>
          <w:rFonts w:hint="eastAsia" w:ascii="仿宋_GB2312" w:hAnsi="仿宋_GB2312" w:cs="仿宋_GB2312"/>
          <w:szCs w:val="32"/>
        </w:rPr>
        <w:t>万元，占政府采购支出总额的</w:t>
      </w:r>
      <w:r>
        <w:rPr>
          <w:rFonts w:hint="eastAsia" w:ascii="仿宋_GB2312" w:hAnsi="仿宋_GB2312" w:cs="仿宋_GB2312"/>
          <w:szCs w:val="32"/>
          <w:lang w:val="en-US" w:eastAsia="zh-CN"/>
        </w:rPr>
        <w:t>100</w:t>
      </w:r>
      <w:r>
        <w:rPr>
          <w:rFonts w:hint="eastAsia" w:ascii="仿宋_GB2312" w:hAnsi="仿宋_GB2312" w:cs="仿宋_GB2312"/>
          <w:szCs w:val="32"/>
        </w:rPr>
        <w:t>%。</w:t>
      </w:r>
    </w:p>
    <w:p>
      <w:pPr>
        <w:ind w:firstLine="643"/>
        <w:rPr>
          <w:b/>
          <w:bCs/>
        </w:rPr>
      </w:pPr>
      <w:bookmarkStart w:id="29" w:name="_Toc19975"/>
      <w:r>
        <w:rPr>
          <w:rFonts w:hint="eastAsia"/>
          <w:b/>
          <w:bCs/>
        </w:rPr>
        <w:t>（三）国有资产占用情况说明</w:t>
      </w:r>
      <w:bookmarkEnd w:id="29"/>
    </w:p>
    <w:p>
      <w:pPr>
        <w:ind w:firstLine="640"/>
        <w:rPr>
          <w:rFonts w:hint="eastAsia" w:ascii="仿宋_GB2312" w:hAnsi="仿宋_GB2312" w:cs="仿宋_GB2312"/>
          <w:szCs w:val="32"/>
        </w:rPr>
      </w:pPr>
      <w:r>
        <w:rPr>
          <w:rFonts w:hint="eastAsia" w:ascii="仿宋_GB2312" w:hAnsi="仿宋_GB2312" w:cs="仿宋_GB2312"/>
          <w:szCs w:val="32"/>
        </w:rPr>
        <w:t>截至2021年12月31日，本部门共有车辆</w:t>
      </w:r>
      <w:r>
        <w:rPr>
          <w:rFonts w:hint="eastAsia" w:ascii="仿宋_GB2312" w:hAnsi="仿宋_GB2312" w:cs="仿宋_GB2312"/>
          <w:szCs w:val="32"/>
          <w:lang w:val="en-US" w:eastAsia="zh-CN"/>
        </w:rPr>
        <w:t>8</w:t>
      </w:r>
      <w:r>
        <w:rPr>
          <w:rFonts w:hint="eastAsia" w:ascii="仿宋_GB2312" w:hAnsi="仿宋_GB2312" w:cs="仿宋_GB2312"/>
          <w:szCs w:val="32"/>
        </w:rPr>
        <w:t>辆。其中，执法执勤用车</w:t>
      </w:r>
      <w:r>
        <w:rPr>
          <w:rFonts w:hint="eastAsia" w:ascii="仿宋_GB2312" w:hAnsi="仿宋_GB2312" w:cs="仿宋_GB2312"/>
          <w:szCs w:val="32"/>
          <w:lang w:val="en-US" w:eastAsia="zh-CN"/>
        </w:rPr>
        <w:t>8</w:t>
      </w:r>
      <w:r>
        <w:rPr>
          <w:rFonts w:hint="eastAsia" w:ascii="仿宋_GB2312" w:hAnsi="仿宋_GB2312" w:cs="仿宋_GB2312"/>
          <w:szCs w:val="32"/>
        </w:rPr>
        <w:t>辆</w:t>
      </w:r>
      <w:r>
        <w:rPr>
          <w:rFonts w:hint="eastAsia" w:ascii="仿宋_GB2312" w:hAnsi="仿宋_GB2312" w:cs="仿宋_GB2312"/>
          <w:szCs w:val="32"/>
          <w:lang w:val="en-US" w:eastAsia="zh-CN"/>
        </w:rPr>
        <w:t>;无</w:t>
      </w:r>
      <w:r>
        <w:rPr>
          <w:rFonts w:hint="eastAsia" w:ascii="仿宋_GB2312" w:hAnsi="仿宋_GB2312" w:cs="仿宋_GB2312"/>
          <w:szCs w:val="32"/>
        </w:rPr>
        <w:t>单价50万元（含）以上的通用设备，单价100万元（含）以上专用设备。</w:t>
      </w:r>
    </w:p>
    <w:p>
      <w:pPr>
        <w:ind w:firstLine="643"/>
        <w:rPr>
          <w:b/>
          <w:bCs/>
        </w:rPr>
      </w:pPr>
      <w:r>
        <w:rPr>
          <w:rFonts w:hint="eastAsia"/>
          <w:b/>
          <w:bCs/>
        </w:rPr>
        <w:t>（四）重点项目预算的绩效目标情况说明：</w:t>
      </w:r>
    </w:p>
    <w:p>
      <w:pPr>
        <w:ind w:firstLine="640"/>
        <w:rPr>
          <w:rFonts w:hint="eastAsia" w:ascii="仿宋_GB2312" w:hAnsi="仿宋_GB2312" w:cs="仿宋_GB2312"/>
          <w:szCs w:val="32"/>
        </w:rPr>
      </w:pPr>
      <w:r>
        <w:rPr>
          <w:rFonts w:hint="eastAsia" w:ascii="仿宋_GB2312" w:hAnsi="仿宋_GB2312" w:cs="仿宋_GB2312"/>
          <w:szCs w:val="32"/>
        </w:rPr>
        <w:t>2021年本单位重点项目绩效目标情况自评说明，涉及金额等。</w:t>
      </w:r>
    </w:p>
    <w:p>
      <w:pPr>
        <w:ind w:firstLine="643"/>
        <w:rPr>
          <w:rFonts w:ascii="仿宋_GB2312" w:hAnsi="仿宋_GB2312" w:cs="仿宋_GB2312"/>
          <w:szCs w:val="32"/>
        </w:rPr>
      </w:pPr>
      <w:r>
        <w:rPr>
          <w:rFonts w:hint="eastAsia" w:ascii="仿宋_GB2312" w:hAnsi="仿宋_GB2312" w:cs="仿宋_GB2312"/>
          <w:b/>
          <w:bCs/>
          <w:szCs w:val="32"/>
        </w:rPr>
        <w:t>（1）预算绩效管理工作开展情况。</w:t>
      </w:r>
      <w:r>
        <w:rPr>
          <w:rFonts w:hint="eastAsia" w:ascii="仿宋_GB2312" w:hAnsi="仿宋_GB2312" w:cs="仿宋_GB2312"/>
          <w:szCs w:val="32"/>
        </w:rPr>
        <w:t>我</w:t>
      </w:r>
      <w:r>
        <w:rPr>
          <w:rFonts w:hint="eastAsia" w:ascii="仿宋_GB2312" w:hAnsi="仿宋_GB2312" w:cs="仿宋_GB2312"/>
          <w:szCs w:val="32"/>
          <w:lang w:val="en-US" w:eastAsia="zh-CN"/>
        </w:rPr>
        <w:t>单位</w:t>
      </w:r>
      <w:r>
        <w:rPr>
          <w:rFonts w:hint="eastAsia" w:ascii="仿宋_GB2312" w:hAnsi="仿宋_GB2312" w:cs="仿宋_GB2312"/>
          <w:szCs w:val="32"/>
        </w:rPr>
        <w:t>2021年度</w:t>
      </w:r>
      <w:r>
        <w:rPr>
          <w:rFonts w:hint="eastAsia" w:ascii="仿宋_GB2312" w:hAnsi="仿宋_GB2312" w:cs="仿宋_GB2312"/>
          <w:szCs w:val="32"/>
          <w:lang w:val="en-US" w:eastAsia="zh-CN"/>
        </w:rPr>
        <w:t>无</w:t>
      </w:r>
      <w:r>
        <w:rPr>
          <w:rFonts w:hint="eastAsia" w:ascii="仿宋_GB2312" w:hAnsi="仿宋_GB2312" w:cs="仿宋_GB2312"/>
          <w:szCs w:val="32"/>
        </w:rPr>
        <w:t>县级财政预算安排的专项资金类和200万元以上的经费补助类项目。</w:t>
      </w:r>
    </w:p>
    <w:p>
      <w:pPr>
        <w:ind w:firstLine="0" w:firstLineChars="0"/>
        <w:rPr>
          <w:rFonts w:hint="eastAsia" w:ascii="仿宋_GB2312" w:hAnsi="仿宋_GB2312" w:eastAsia="仿宋_GB2312" w:cs="仿宋_GB2312"/>
          <w:szCs w:val="32"/>
          <w:lang w:eastAsia="zh-CN"/>
        </w:rPr>
      </w:pPr>
      <w:r>
        <w:rPr>
          <w:rFonts w:hint="eastAsia" w:ascii="仿宋_GB2312" w:hAnsi="仿宋_GB2312" w:cs="仿宋_GB2312"/>
          <w:b/>
          <w:bCs/>
          <w:szCs w:val="32"/>
        </w:rPr>
        <w:t>（2）部门决算中项目绩效自评结果。</w:t>
      </w:r>
      <w:r>
        <w:rPr>
          <w:rFonts w:hint="eastAsia" w:ascii="仿宋_GB2312" w:hAnsi="仿宋_GB2312" w:cs="仿宋_GB2312"/>
          <w:szCs w:val="32"/>
        </w:rPr>
        <w:t>本单位</w:t>
      </w:r>
      <w:r>
        <w:rPr>
          <w:rFonts w:hint="eastAsia" w:ascii="仿宋_GB2312" w:hAnsi="仿宋_GB2312" w:cs="仿宋_GB2312"/>
          <w:szCs w:val="32"/>
          <w:lang w:val="en-US" w:eastAsia="zh-CN"/>
        </w:rPr>
        <w:t>无</w:t>
      </w:r>
      <w:r>
        <w:rPr>
          <w:rFonts w:hint="eastAsia" w:ascii="仿宋_GB2312" w:hAnsi="仿宋_GB2312" w:cs="仿宋_GB2312"/>
          <w:szCs w:val="32"/>
        </w:rPr>
        <w:t>重点项目向社会公开</w:t>
      </w:r>
      <w:r>
        <w:rPr>
          <w:rFonts w:hint="eastAsia" w:ascii="仿宋_GB2312" w:hAnsi="仿宋_GB2312" w:cs="仿宋_GB2312"/>
          <w:szCs w:val="32"/>
          <w:lang w:eastAsia="zh-CN"/>
        </w:rPr>
        <w:t>。</w:t>
      </w:r>
    </w:p>
    <w:p>
      <w:pPr>
        <w:ind w:firstLine="640"/>
        <w:rPr>
          <w:rFonts w:ascii="仿宋_GB2312" w:hAnsi="仿宋_GB2312" w:cs="仿宋_GB2312"/>
          <w:szCs w:val="32"/>
        </w:rPr>
      </w:pPr>
      <w:r>
        <w:rPr>
          <w:rFonts w:hint="eastAsia" w:ascii="仿宋_GB2312" w:hAnsi="仿宋_GB2312" w:cs="仿宋_GB2312"/>
          <w:szCs w:val="32"/>
        </w:rPr>
        <w:t>（3）</w:t>
      </w:r>
      <w:r>
        <w:rPr>
          <w:rFonts w:hint="eastAsia" w:ascii="仿宋_GB2312" w:hAnsi="仿宋_GB2312" w:cs="仿宋_GB2312"/>
          <w:b/>
          <w:bCs/>
          <w:szCs w:val="32"/>
        </w:rPr>
        <w:t>部门评价项目绩效评价结果。</w:t>
      </w:r>
      <w:r>
        <w:rPr>
          <w:rFonts w:hint="eastAsia" w:ascii="仿宋_GB2312" w:hAnsi="仿宋_GB2312" w:cs="仿宋_GB2312"/>
          <w:szCs w:val="32"/>
        </w:rPr>
        <w:t>本单位</w:t>
      </w:r>
      <w:r>
        <w:rPr>
          <w:rFonts w:hint="eastAsia" w:ascii="仿宋_GB2312" w:hAnsi="仿宋_GB2312" w:cs="仿宋_GB2312"/>
          <w:szCs w:val="32"/>
          <w:lang w:val="en-US" w:eastAsia="zh-CN"/>
        </w:rPr>
        <w:t>无</w:t>
      </w:r>
      <w:r>
        <w:rPr>
          <w:rFonts w:hint="eastAsia" w:ascii="仿宋_GB2312" w:hAnsi="仿宋_GB2312" w:cs="仿宋_GB2312"/>
          <w:szCs w:val="32"/>
        </w:rPr>
        <w:t>重点项目评价报告向社会公开。</w:t>
      </w:r>
    </w:p>
    <w:p>
      <w:pPr>
        <w:numPr>
          <w:ilvl w:val="0"/>
          <w:numId w:val="3"/>
        </w:numPr>
        <w:spacing w:line="580" w:lineRule="exact"/>
        <w:ind w:firstLine="643"/>
        <w:outlineLvl w:val="0"/>
        <w:rPr>
          <w:rFonts w:ascii="仿宋_GB2312"/>
          <w:b/>
          <w:szCs w:val="32"/>
        </w:rPr>
      </w:pPr>
      <w:bookmarkStart w:id="30" w:name="_Toc28108"/>
      <w:bookmarkStart w:id="31" w:name="_Toc8450"/>
      <w:r>
        <w:rPr>
          <w:rFonts w:hint="eastAsia" w:ascii="仿宋_GB2312"/>
          <w:b/>
          <w:szCs w:val="32"/>
        </w:rPr>
        <w:t>其他需要说明的事项</w:t>
      </w:r>
      <w:bookmarkEnd w:id="30"/>
      <w:bookmarkEnd w:id="31"/>
    </w:p>
    <w:p>
      <w:pPr>
        <w:pStyle w:val="2"/>
        <w:ind w:firstLine="0" w:firstLineChars="0"/>
        <w:jc w:val="center"/>
        <w:rPr>
          <w:sz w:val="36"/>
          <w:szCs w:val="36"/>
        </w:rPr>
      </w:pPr>
      <w:bookmarkStart w:id="32" w:name="_Toc8545"/>
      <w:r>
        <w:rPr>
          <w:rFonts w:hint="eastAsia"/>
          <w:sz w:val="36"/>
          <w:szCs w:val="36"/>
        </w:rPr>
        <w:t>第四部分  名词解释</w:t>
      </w:r>
      <w:bookmarkEnd w:id="32"/>
    </w:p>
    <w:p>
      <w:pPr>
        <w:spacing w:line="580" w:lineRule="exact"/>
        <w:ind w:firstLine="640"/>
        <w:rPr>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ascii="仿宋_GB2312"/>
          <w:szCs w:val="32"/>
        </w:rPr>
      </w:pPr>
      <w:r>
        <w:rPr>
          <w:rFonts w:hint="eastAsia" w:ascii="仿宋_GB2312"/>
          <w:b/>
          <w:szCs w:val="32"/>
        </w:rPr>
        <w:t>一、财政拨款收入：</w:t>
      </w:r>
      <w:r>
        <w:rPr>
          <w:rFonts w:hint="eastAsia" w:ascii="仿宋_GB2312"/>
          <w:szCs w:val="32"/>
        </w:rPr>
        <w:t>指单位从同级财政部门取得的财政预算资金。</w:t>
      </w:r>
    </w:p>
    <w:p>
      <w:pPr>
        <w:spacing w:line="580" w:lineRule="exact"/>
        <w:ind w:firstLine="520" w:firstLineChars="162"/>
        <w:rPr>
          <w:rFonts w:ascii="仿宋_GB2312"/>
          <w:szCs w:val="32"/>
        </w:rPr>
      </w:pPr>
      <w:r>
        <w:rPr>
          <w:rFonts w:hint="eastAsia" w:ascii="仿宋_GB2312"/>
          <w:b/>
          <w:szCs w:val="32"/>
        </w:rPr>
        <w:t>二、事业收入：</w:t>
      </w:r>
      <w:r>
        <w:rPr>
          <w:rFonts w:hint="eastAsia" w:ascii="仿宋_GB2312"/>
          <w:szCs w:val="32"/>
        </w:rPr>
        <w:t>指事业单位开展专业业务活动及辅助活动取得的收入。</w:t>
      </w:r>
    </w:p>
    <w:p>
      <w:pPr>
        <w:spacing w:line="580" w:lineRule="exact"/>
        <w:ind w:firstLine="520" w:firstLineChars="162"/>
        <w:rPr>
          <w:rFonts w:ascii="仿宋_GB2312"/>
          <w:szCs w:val="32"/>
        </w:rPr>
      </w:pPr>
      <w:r>
        <w:rPr>
          <w:rFonts w:hint="eastAsia" w:ascii="仿宋_GB2312"/>
          <w:b/>
          <w:szCs w:val="32"/>
        </w:rPr>
        <w:t>三、经营收入：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ascii="仿宋_GB2312"/>
          <w:szCs w:val="32"/>
        </w:rPr>
      </w:pPr>
      <w:r>
        <w:rPr>
          <w:rFonts w:hint="eastAsia" w:ascii="仿宋_GB2312"/>
          <w:b/>
          <w:szCs w:val="32"/>
        </w:rPr>
        <w:t>四、其他收入：</w:t>
      </w:r>
      <w:r>
        <w:rPr>
          <w:rFonts w:hint="eastAsia" w:ascii="仿宋_GB2312"/>
          <w:szCs w:val="32"/>
        </w:rPr>
        <w:t>指单位取得的除上述收入以外的各项收</w:t>
      </w:r>
    </w:p>
    <w:p>
      <w:pPr>
        <w:spacing w:line="580" w:lineRule="exact"/>
        <w:ind w:firstLineChars="0"/>
        <w:rPr>
          <w:rFonts w:ascii="仿宋_GB2312"/>
          <w:szCs w:val="32"/>
        </w:rPr>
      </w:pPr>
      <w:r>
        <w:rPr>
          <w:rFonts w:hint="eastAsia" w:ascii="仿宋_GB2312"/>
          <w:szCs w:val="32"/>
        </w:rPr>
        <w:t>入。主要是按规定动用的售房收入、存款利息收入等。</w:t>
      </w:r>
    </w:p>
    <w:p>
      <w:pPr>
        <w:spacing w:line="580" w:lineRule="exact"/>
        <w:ind w:firstLine="520" w:firstLineChars="162"/>
        <w:rPr>
          <w:rFonts w:ascii="仿宋_GB2312"/>
          <w:szCs w:val="32"/>
        </w:rPr>
      </w:pPr>
      <w:r>
        <w:rPr>
          <w:rFonts w:hint="eastAsia" w:ascii="仿宋_GB2312"/>
          <w:b/>
          <w:szCs w:val="32"/>
        </w:rPr>
        <w:t>五、年初结转和结余：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rPr>
        <w:t>六、基本支出：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rPr>
        <w:t xml:space="preserve">                            </w:t>
      </w:r>
      <w:r>
        <w:rPr>
          <w:rFonts w:hint="eastAsia" w:ascii="仿宋_GB2312"/>
          <w:szCs w:val="32"/>
          <w:lang w:val="en-US" w:eastAsia="zh-CN"/>
        </w:rPr>
        <w:t>静乐县城建监察大队</w:t>
      </w:r>
    </w:p>
    <w:p>
      <w:pPr>
        <w:ind w:firstLine="5120" w:firstLineChars="1600"/>
      </w:pPr>
      <w:r>
        <w:rPr>
          <w:rFonts w:hint="eastAsia"/>
        </w:rPr>
        <w:t>二〇二二年六月</w:t>
      </w:r>
      <w:r>
        <w:rPr>
          <w:rFonts w:hint="eastAsia"/>
          <w:lang w:eastAsia="zh-CN"/>
        </w:rPr>
        <w:t>六</w:t>
      </w:r>
      <w:r>
        <w:rPr>
          <w:rFonts w:hint="eastAsia"/>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6332E"/>
    <w:multiLevelType w:val="multilevel"/>
    <w:tmpl w:val="4156332E"/>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lMTQ1MzE3Yjg3OGU2MTc3NDZiZDVlMzQ3MDIxNjUifQ=="/>
  </w:docVars>
  <w:rsids>
    <w:rsidRoot w:val="495520D0"/>
    <w:rsid w:val="0013168D"/>
    <w:rsid w:val="002A1B1D"/>
    <w:rsid w:val="004C2E06"/>
    <w:rsid w:val="005365EC"/>
    <w:rsid w:val="007E35A0"/>
    <w:rsid w:val="008412B5"/>
    <w:rsid w:val="00AC3C25"/>
    <w:rsid w:val="00B0358A"/>
    <w:rsid w:val="00B05E0D"/>
    <w:rsid w:val="00C52C3C"/>
    <w:rsid w:val="00D51438"/>
    <w:rsid w:val="03696819"/>
    <w:rsid w:val="0CD95816"/>
    <w:rsid w:val="16654CDD"/>
    <w:rsid w:val="18C001DB"/>
    <w:rsid w:val="1A4A5C33"/>
    <w:rsid w:val="2701594C"/>
    <w:rsid w:val="27426717"/>
    <w:rsid w:val="37943B50"/>
    <w:rsid w:val="3821117E"/>
    <w:rsid w:val="38A65057"/>
    <w:rsid w:val="3B945335"/>
    <w:rsid w:val="42C12CEC"/>
    <w:rsid w:val="44401A62"/>
    <w:rsid w:val="495520D0"/>
    <w:rsid w:val="4A012068"/>
    <w:rsid w:val="4C9F0D72"/>
    <w:rsid w:val="53A30631"/>
    <w:rsid w:val="5EC01F6A"/>
    <w:rsid w:val="63AB51DF"/>
    <w:rsid w:val="649C6DC9"/>
    <w:rsid w:val="715A78E4"/>
    <w:rsid w:val="76B210F1"/>
    <w:rsid w:val="7761744D"/>
    <w:rsid w:val="79AF2C65"/>
    <w:rsid w:val="7A381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rPr>
  </w:style>
  <w:style w:type="character" w:default="1" w:styleId="9">
    <w:name w:val="Default Paragraph Font"/>
    <w:unhideWhenUsed/>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qFormat/>
    <w:uiPriority w:val="0"/>
    <w:pPr>
      <w:tabs>
        <w:tab w:val="center" w:pos="4153"/>
        <w:tab w:val="right" w:pos="8306"/>
      </w:tabs>
      <w:snapToGrid w:val="0"/>
      <w:spacing w:line="240" w:lineRule="atLeast"/>
      <w:jc w:val="center"/>
    </w:pPr>
    <w:rPr>
      <w:sz w:val="18"/>
      <w:szCs w:val="18"/>
    </w:rPr>
  </w:style>
  <w:style w:type="paragraph" w:styleId="6">
    <w:name w:val="toc 1"/>
    <w:basedOn w:val="1"/>
    <w:next w:val="1"/>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List Paragraph"/>
    <w:basedOn w:val="1"/>
    <w:unhideWhenUsed/>
    <w:uiPriority w:val="99"/>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2563</Words>
  <Characters>3013</Characters>
  <Lines>12</Lines>
  <Paragraphs>9</Paragraphs>
  <ScaleCrop>false</ScaleCrop>
  <LinksUpToDate>false</LinksUpToDate>
  <CharactersWithSpaces>3094</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2022-08-22T10:32:40Z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E9B737C12F214D809CB2ABBFCA867107</vt:lpwstr>
  </property>
</Properties>
</file>