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政协会议费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中国人民政治协商会议山西省静乐县委员会办公室</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中国人民政治协商会议山西省静乐县委员会办公室-002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中国人民政治协商会议是中国共产党领导下，由中国共产党、民主党派、无党派民主人士、人民团体、个少数民族和各界代表、台湾同胞、港澳同胞和归国侨胞代表，以及特邀的人士组成，具有广泛的社会基础。</w:t>
      </w:r>
    </w:p>
    <w:p>
      <w:pPr>
        <w:pStyle w:val="44"/>
        <w:ind w:left="280" w:firstLine="562"/>
        <w:rPr>
          <w:lang w:eastAsia="zh-CN"/>
        </w:rPr>
      </w:pPr>
      <w:r>
        <w:rPr>
          <w:rFonts w:hint="eastAsia"/>
          <w:b/>
          <w:bCs/>
          <w:lang w:val="en-US" w:eastAsia="zh-CN"/>
        </w:rPr>
        <w:t>立项依据：</w:t>
      </w:r>
      <w:r>
        <w:rPr>
          <w:rFonts w:hint="eastAsia"/>
          <w:lang w:eastAsia="zh-CN"/>
        </w:rPr>
        <w:t>中国人民政治协商会议是依据中国共产党同各民主党派和无党派民主人士“长期共存，互相监督，肝胆相照，荣辱与共”的方针，对国家的大政方针和群众生活的重要问题进行政治协商，并通过建议和批评发挥民主监督作用。中国人民政治协商会议的一切活动以中国人民宪法为根本原则。</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中国人民政治协商会议是爱国统一战线组织，是中国共产党领导的多党合作和政治协商的重要机构，是中国政治生活中发扬社会主义民主的一种重要形式。</w:t>
      </w:r>
    </w:p>
    <w:p>
      <w:pPr>
        <w:pStyle w:val="44"/>
        <w:ind w:left="280" w:firstLine="562"/>
        <w:rPr>
          <w:lang w:eastAsia="zh-CN"/>
        </w:rPr>
      </w:pPr>
      <w:r>
        <w:rPr>
          <w:rFonts w:hint="eastAsia"/>
          <w:b/>
          <w:bCs/>
          <w:lang w:val="en-US" w:eastAsia="zh-CN"/>
        </w:rPr>
        <w:t>保证项目实施的措施与制度：</w:t>
      </w:r>
      <w:r>
        <w:rPr>
          <w:rFonts w:hint="eastAsia"/>
          <w:lang w:eastAsia="zh-CN"/>
        </w:rPr>
        <w:t>中国人民政治协商会议的一切活动以中国人民宪法为根本原则。中华人民共和国宪法规定：中国共产党领导的多党合作和政治协商制度将长期存在和发展。中国人民政治协商会议设全国委员会和地方委员会。</w:t>
      </w:r>
    </w:p>
    <w:p>
      <w:pPr>
        <w:pStyle w:val="44"/>
        <w:ind w:left="280" w:firstLine="562"/>
        <w:rPr>
          <w:lang w:eastAsia="zh-CN"/>
        </w:rPr>
      </w:pPr>
      <w:r>
        <w:rPr>
          <w:rFonts w:hint="eastAsia"/>
          <w:b/>
          <w:bCs/>
          <w:lang w:val="en-US" w:eastAsia="zh-CN"/>
        </w:rPr>
        <w:t>项目实施计划：</w:t>
      </w:r>
      <w:r>
        <w:rPr>
          <w:rFonts w:hint="eastAsia"/>
          <w:lang w:eastAsia="zh-CN"/>
        </w:rPr>
        <w:t>政协全委会全体会议每年举行一次。政协全委员会设常委会主持会议。常委会委员有全委员会主席、副主席、秘书长和常委会成员组成。</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以党的建设为领导，认真履行政治协商，民主监督，参政议政职能，为建设富裕美丽的静乐做贡献。</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认真履行政治协商，参政议政，民主监督的职能，团结社会各界开创政协工作新局面。</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政协会议费</w:t>
      </w:r>
      <w:r>
        <w:rPr>
          <w:rFonts w:hint="eastAsia"/>
          <w:lang w:eastAsia="zh-CN"/>
        </w:rPr>
        <w:t>项目绩效自评价结果为:总得分</w:t>
      </w:r>
      <w:r>
        <w:rPr>
          <w:color w:val=""/>
          <w:u w:val="none"/>
        </w:rPr>
        <w:t>100</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委员出勤率%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宣传完成及时率（%）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资金到位及时率（%）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成本节约率%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全面提升政协工作</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委员满意度%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中国人民政治协商会议是中国共产党领导下，由中国共产党、民主党派、无党派民主人士、人民团体、个少数民族和各界代表、台湾同胞、港澳同胞和归国侨胞代表，以及特邀的人士组成，具有广泛的社会基础。每年例行召开政协会议。</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预算执行率100%；委员出勤率100%；宣传完成及时率100%；资金到位及时率100%</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全面提升政协工作，为社会的和谐统一发展做出了贡献。</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委员满意度95%</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中国人民政治协商会议是爱国统一战线组织，是中国共产党领导的多党合作和政治协商的重要机构，是中国政治生活中发扬社会主义民主的一种重要形式。</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进一步加强对国家的大政方针和群众生活的重要问题进行政治协商，并通过建议和批评发挥民主监督作用。</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中国人民政治协商会议是依据中国共产党同各民主党派和无党派民主人士“长期共存，互相监督，肝胆相照，荣辱与共”的方针，对国家的大政方针和群众生活的重要问题进行政治协商，并通过建议和批评发挥民主监督作用。</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委员出勤率%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宣传完成及时率（%）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资金到位及时率（%）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成本节约率%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222.22%</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全面提升政协工作</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委员满意度%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