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静乐县赤泥窊乡人民政府</w:t>
      </w:r>
    </w:p>
    <w:p>
      <w:pPr>
        <w:pStyle w:val="2"/>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31140"/>
      <w:bookmarkStart w:id="4" w:name="_Toc23288"/>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24066"/>
      <w:bookmarkStart w:id="6" w:name="_Toc4461"/>
      <w:r>
        <w:rPr>
          <w:rFonts w:hint="eastAsia" w:ascii="仿宋" w:hAnsi="仿宋" w:eastAsia="仿宋" w:cs="仿宋"/>
          <w:b w:val="0"/>
          <w:bCs/>
          <w:color w:val="000000" w:themeColor="text1"/>
          <w:highlight w:val="none"/>
          <w14:textFill>
            <w14:solidFill>
              <w14:schemeClr w14:val="tx1"/>
            </w14:solidFill>
          </w14:textFill>
        </w:rPr>
        <w:t>一、本</w:t>
      </w:r>
      <w:r>
        <w:rPr>
          <w:rFonts w:hint="eastAsia" w:ascii="仿宋" w:hAnsi="仿宋" w:eastAsia="仿宋" w:cs="仿宋"/>
          <w:b w:val="0"/>
          <w:bCs/>
          <w:color w:val="000000" w:themeColor="text1"/>
          <w:highlight w:val="none"/>
          <w:lang w:val="en-US" w:eastAsia="zh-CN"/>
          <w14:textFill>
            <w14:solidFill>
              <w14:schemeClr w14:val="tx1"/>
            </w14:solidFill>
          </w14:textFill>
        </w:rPr>
        <w:t>单位</w:t>
      </w:r>
      <w:r>
        <w:rPr>
          <w:rFonts w:hint="eastAsia" w:ascii="仿宋" w:hAnsi="仿宋" w:eastAsia="仿宋" w:cs="仿宋"/>
          <w:b w:val="0"/>
          <w:bCs/>
          <w:color w:val="000000" w:themeColor="text1"/>
          <w:highlight w:val="none"/>
          <w14:textFill>
            <w14:solidFill>
              <w14:schemeClr w14:val="tx1"/>
            </w14:solidFill>
          </w14:textFill>
        </w:rPr>
        <w:t>职责</w:t>
      </w:r>
      <w:bookmarkEnd w:id="5"/>
      <w:bookmarkEnd w:id="6"/>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宣传、贯彻、执行和落实党在农村的各项方针政策，履行党的基层组织和国家基层政权的职责。指导农村村民自治，保障农民的民主政治权利，协调各方利益，解决各方矛盾，化解各方纠纷。</w:t>
      </w:r>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积极推进农村市场经济体系建设，科学制定本地产业发展规划，为推进农村产业结构调整，加快农村产业经营步伐，改善农村和农民生活条件，提供政策服务，营造发展环境。</w:t>
      </w:r>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积极推进农村社会化服务建设，大力发展农村社会公益事业，为农民提供科学技术，劳动就业、市场信息等公共服务和公共产品。</w:t>
      </w:r>
    </w:p>
    <w:p>
      <w:pPr>
        <w:pStyle w:val="8"/>
        <w:spacing w:before="0" w:beforeAutospacing="0" w:after="0" w:afterAutospacing="0"/>
        <w:ind w:firstLine="640" w:firstLineChars="200"/>
        <w:rPr>
          <w:rFonts w:hint="eastAsia" w:ascii="宋体" w:hAnsi="宋体" w:eastAsia="宋体" w:cs="宋体"/>
          <w:color w:val="000000" w:themeColor="text1"/>
          <w:sz w:val="32"/>
          <w:szCs w:val="32"/>
          <w:highlight w:val="none"/>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积极争取各项资金，加大农村道路建设、农田水利基本建设、农村饮水、光电等农村基础设施的投入，配合上级相关部门管理使用好各类专项资金。</w:t>
      </w:r>
    </w:p>
    <w:p>
      <w:pPr>
        <w:pStyle w:val="3"/>
        <w:numPr>
          <w:ilvl w:val="0"/>
          <w:numId w:val="1"/>
        </w:numPr>
        <w:rPr>
          <w:rFonts w:hint="eastAsia" w:ascii="仿宋" w:hAnsi="仿宋" w:eastAsia="仿宋" w:cs="仿宋"/>
          <w:b w:val="0"/>
          <w:bCs/>
          <w:color w:val="000000" w:themeColor="text1"/>
          <w:highlight w:val="none"/>
          <w14:textFill>
            <w14:solidFill>
              <w14:schemeClr w14:val="tx1"/>
            </w14:solidFill>
          </w14:textFill>
        </w:rPr>
      </w:pPr>
      <w:bookmarkStart w:id="7" w:name="_Toc9155"/>
      <w:bookmarkStart w:id="8" w:name="_Toc275"/>
      <w:r>
        <w:rPr>
          <w:rFonts w:hint="eastAsia" w:ascii="仿宋" w:hAnsi="仿宋" w:eastAsia="仿宋" w:cs="仿宋"/>
          <w:b w:val="0"/>
          <w:bCs/>
          <w:color w:val="000000" w:themeColor="text1"/>
          <w:highlight w:val="none"/>
          <w14:textFill>
            <w14:solidFill>
              <w14:schemeClr w14:val="tx1"/>
            </w14:solidFill>
          </w14:textFill>
        </w:rPr>
        <w:t>机构设置情况</w:t>
      </w:r>
      <w:bookmarkEnd w:id="7"/>
      <w:bookmarkEnd w:id="8"/>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2021年初赤泥窊乡人民政府人员编制47人，其中公务员编制20人，事业人员27人。单位实有人员43人，公务员18人，事业人员25人。内设机构有：</w:t>
      </w:r>
    </w:p>
    <w:p>
      <w:pPr>
        <w:pStyle w:val="8"/>
        <w:spacing w:before="0" w:beforeAutospacing="0" w:after="0" w:afterAutospacing="0"/>
        <w:ind w:firstLine="640" w:firstLineChars="200"/>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（1）政府</w:t>
      </w:r>
    </w:p>
    <w:p>
      <w:pPr>
        <w:pStyle w:val="8"/>
        <w:spacing w:before="0" w:beforeAutospacing="0" w:after="0" w:afterAutospacing="0"/>
        <w:ind w:firstLine="640" w:firstLineChars="200"/>
        <w:rPr>
          <w:rFonts w:hint="default"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hAnsi="Times New Roman" w:eastAsia="仿宋_GB2312" w:cstheme="minorBidi"/>
          <w:color w:val="000000" w:themeColor="text1"/>
          <w:kern w:val="2"/>
          <w:sz w:val="32"/>
          <w:szCs w:val="32"/>
          <w:highlight w:val="none"/>
          <w:lang w:val="en-US" w:eastAsia="zh-CN" w:bidi="ar-SA"/>
          <w14:textFill>
            <w14:solidFill>
              <w14:schemeClr w14:val="tx1"/>
            </w14:solidFill>
          </w14:textFill>
        </w:rPr>
        <w:t>（2）农业综合服务中心</w:t>
      </w: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w:t>
      </w:r>
      <w:r>
        <w:rPr>
          <w:rFonts w:hint="eastAsia" w:ascii="仿宋_GB2312"/>
          <w:color w:val="000000" w:themeColor="text1"/>
          <w:szCs w:val="32"/>
          <w:highlight w:val="none"/>
          <w:lang w:val="en-US" w:eastAsia="zh-CN"/>
          <w14:textFill>
            <w14:solidFill>
              <w14:schemeClr w14:val="tx1"/>
            </w14:solidFill>
          </w14:textFill>
        </w:rPr>
        <w:t>增加346.39</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增长20.76</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w:t>
      </w:r>
      <w:r>
        <w:rPr>
          <w:rFonts w:hint="eastAsia" w:ascii="仿宋_GB2312"/>
          <w:color w:val="000000" w:themeColor="text1"/>
          <w:szCs w:val="32"/>
          <w:highlight w:val="none"/>
          <w:lang w:val="en-US" w:eastAsia="zh-CN"/>
          <w14:textFill>
            <w14:solidFill>
              <w14:schemeClr w14:val="tx1"/>
            </w14:solidFill>
          </w14:textFill>
        </w:rPr>
        <w:t>增加346.39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增长20.76</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。主要原因是主要原因是</w:t>
      </w:r>
      <w:r>
        <w:rPr>
          <w:rFonts w:hint="eastAsia" w:ascii="仿宋_GB2312"/>
          <w:color w:val="000000" w:themeColor="text1"/>
          <w:szCs w:val="32"/>
          <w:highlight w:val="none"/>
          <w:lang w:eastAsia="zh-CN"/>
          <w14:textFill>
            <w14:solidFill>
              <w14:schemeClr w14:val="tx1"/>
            </w14:solidFill>
          </w14:textFill>
        </w:rPr>
        <w:t>本年新增人员及应急保障备用金</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594.86</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29.52</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1419.87</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70.48</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w:t>
      </w:r>
      <w:r>
        <w:rPr>
          <w:rFonts w:hint="eastAsia" w:ascii="仿宋_GB2312"/>
          <w:color w:val="000000" w:themeColor="text1"/>
          <w:szCs w:val="32"/>
          <w:highlight w:val="none"/>
          <w:lang w:val="en-US" w:eastAsia="zh-CN"/>
          <w14:textFill>
            <w14:solidFill>
              <w14:schemeClr w14:val="tx1"/>
            </w14:solidFill>
          </w14:textFill>
        </w:rPr>
        <w:t>增加346.39</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增长20.76</w:t>
      </w:r>
      <w:r>
        <w:rPr>
          <w:rFonts w:hint="eastAsia" w:ascii="仿宋_GB2312"/>
          <w:color w:val="000000" w:themeColor="text1"/>
          <w:szCs w:val="32"/>
          <w:highlight w:val="none"/>
          <w14:textFill>
            <w14:solidFill>
              <w14:schemeClr w14:val="tx1"/>
            </w14:solidFill>
          </w14:textFill>
        </w:rPr>
        <w:t>%，财政拨款支出总计</w:t>
      </w:r>
      <w:r>
        <w:rPr>
          <w:rFonts w:hint="eastAsia" w:ascii="仿宋_GB2312"/>
          <w:color w:val="000000" w:themeColor="text1"/>
          <w:szCs w:val="32"/>
          <w:highlight w:val="none"/>
          <w:lang w:val="en-US" w:eastAsia="zh-CN"/>
          <w14:textFill>
            <w14:solidFill>
              <w14:schemeClr w14:val="tx1"/>
            </w14:solidFill>
          </w14:textFill>
        </w:rPr>
        <w:t>增加346.39</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增长20.76</w:t>
      </w:r>
      <w:r>
        <w:rPr>
          <w:rFonts w:hint="eastAsia" w:ascii="仿宋_GB2312"/>
          <w:color w:val="000000" w:themeColor="text1"/>
          <w:szCs w:val="32"/>
          <w:highlight w:val="none"/>
          <w14:textFill>
            <w14:solidFill>
              <w14:schemeClr w14:val="tx1"/>
            </w14:solidFill>
          </w14:textFill>
        </w:rPr>
        <w:t>%。主要原因是</w:t>
      </w:r>
      <w:r>
        <w:rPr>
          <w:rFonts w:hint="eastAsia" w:ascii="仿宋_GB2312"/>
          <w:color w:val="000000" w:themeColor="text1"/>
          <w:szCs w:val="32"/>
          <w:highlight w:val="none"/>
          <w:lang w:eastAsia="zh-CN"/>
          <w14:textFill>
            <w14:solidFill>
              <w14:schemeClr w14:val="tx1"/>
            </w14:solidFill>
          </w14:textFill>
        </w:rPr>
        <w:t>本年新增人员及应急保障备用金</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w:t>
      </w:r>
      <w:r>
        <w:rPr>
          <w:rFonts w:hint="eastAsia" w:ascii="仿宋_GB2312"/>
          <w:color w:val="000000" w:themeColor="text1"/>
          <w:szCs w:val="32"/>
          <w:highlight w:val="none"/>
          <w:lang w:val="en-US" w:eastAsia="zh-CN"/>
          <w14:textFill>
            <w14:solidFill>
              <w14:schemeClr w14:val="tx1"/>
            </w14:solidFill>
          </w14:textFill>
        </w:rPr>
        <w:t>增加346.39</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增长20.76</w:t>
      </w:r>
      <w:r>
        <w:rPr>
          <w:rFonts w:hint="eastAsia" w:ascii="仿宋_GB2312"/>
          <w:color w:val="000000" w:themeColor="text1"/>
          <w:szCs w:val="32"/>
          <w:highlight w:val="none"/>
          <w14:textFill>
            <w14:solidFill>
              <w14:schemeClr w14:val="tx1"/>
            </w14:solidFill>
          </w14:textFill>
        </w:rPr>
        <w:t>%。主要原因是</w:t>
      </w:r>
      <w:r>
        <w:rPr>
          <w:rFonts w:hint="eastAsia" w:ascii="仿宋_GB2312"/>
          <w:color w:val="000000" w:themeColor="text1"/>
          <w:szCs w:val="32"/>
          <w:highlight w:val="none"/>
          <w:lang w:eastAsia="zh-CN"/>
          <w14:textFill>
            <w14:solidFill>
              <w14:schemeClr w14:val="tx1"/>
            </w14:solidFill>
          </w14:textFill>
        </w:rPr>
        <w:t>本年新增人员及应急保障备用金</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2014.73</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ascii="仿宋_GB2312"/>
          <w:b/>
          <w:color w:val="000000" w:themeColor="text1"/>
          <w:szCs w:val="32"/>
          <w:highlight w:val="none"/>
          <w14:textFill>
            <w14:solidFill>
              <w14:schemeClr w14:val="tx1"/>
            </w14:solidFill>
          </w14:textFill>
        </w:rPr>
        <w:t>一般公共服务（</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698.86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34.68</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社会</w:t>
      </w:r>
      <w:r>
        <w:rPr>
          <w:rFonts w:ascii="仿宋_GB2312"/>
          <w:b/>
          <w:color w:val="000000" w:themeColor="text1"/>
          <w:szCs w:val="32"/>
          <w:highlight w:val="none"/>
          <w14:textFill>
            <w14:solidFill>
              <w14:schemeClr w14:val="tx1"/>
            </w14:solidFill>
          </w14:textFill>
        </w:rPr>
        <w:t>保障和就业（</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0.94</w:t>
      </w:r>
      <w:r>
        <w:rPr>
          <w:rFonts w:ascii="仿宋_GB2312"/>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卫生</w:t>
      </w:r>
      <w:r>
        <w:rPr>
          <w:rFonts w:ascii="仿宋_GB2312"/>
          <w:b/>
          <w:color w:val="000000" w:themeColor="text1"/>
          <w:szCs w:val="32"/>
          <w:highlight w:val="none"/>
          <w14:textFill>
            <w14:solidFill>
              <w14:schemeClr w14:val="tx1"/>
            </w14:solidFill>
          </w14:textFill>
        </w:rPr>
        <w:t>健康（</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0.60</w:t>
      </w:r>
      <w:r>
        <w:rPr>
          <w:rFonts w:ascii="仿宋_GB2312"/>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农林水</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1284.87</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63.78</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color w:val="000000" w:themeColor="text1"/>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1969.73</w:t>
      </w:r>
      <w:r>
        <w:rPr>
          <w:rFonts w:hint="eastAsia"/>
          <w:color w:val="000000" w:themeColor="text1"/>
          <w:szCs w:val="32"/>
          <w:highlight w:val="none"/>
          <w14:textFill>
            <w14:solidFill>
              <w14:schemeClr w14:val="tx1"/>
            </w14:solidFill>
          </w14:textFill>
        </w:rPr>
        <w:t>万元，</w:t>
      </w:r>
      <w:r>
        <w:rPr>
          <w:rFonts w:hint="eastAsia"/>
          <w:szCs w:val="32"/>
          <w:lang w:eastAsia="zh-CN"/>
        </w:rPr>
        <w:t>本年度财政拨款支出预算调整数</w:t>
      </w:r>
      <w:r>
        <w:rPr>
          <w:rFonts w:hint="eastAsia"/>
          <w:szCs w:val="32"/>
          <w:lang w:val="en-US" w:eastAsia="zh-CN"/>
        </w:rPr>
        <w:t>2014.73万元，</w:t>
      </w:r>
      <w:r>
        <w:rPr>
          <w:rFonts w:hint="eastAsia"/>
          <w:szCs w:val="32"/>
        </w:rPr>
        <w:t>支出决算</w:t>
      </w:r>
      <w:r>
        <w:rPr>
          <w:rFonts w:hint="eastAsia"/>
          <w:szCs w:val="32"/>
          <w:lang w:val="en-US" w:eastAsia="zh-CN"/>
        </w:rPr>
        <w:t>2014.73</w:t>
      </w:r>
      <w:r>
        <w:rPr>
          <w:rFonts w:hint="eastAsia"/>
          <w:szCs w:val="32"/>
        </w:rPr>
        <w:t>万元，</w:t>
      </w:r>
      <w:r>
        <w:rPr>
          <w:rFonts w:hint="eastAsia"/>
          <w:szCs w:val="32"/>
          <w:lang w:eastAsia="zh-CN"/>
        </w:rPr>
        <w:t>占调整预算数的</w:t>
      </w:r>
      <w:r>
        <w:rPr>
          <w:rFonts w:hint="eastAsia"/>
          <w:szCs w:val="32"/>
          <w:lang w:val="en-US" w:eastAsia="zh-CN"/>
        </w:rPr>
        <w:t>100</w:t>
      </w:r>
      <w:bookmarkStart w:id="33" w:name="_GoBack"/>
      <w:bookmarkEnd w:id="33"/>
      <w:r>
        <w:rPr>
          <w:rFonts w:hint="eastAsia"/>
          <w:szCs w:val="32"/>
          <w:lang w:val="en-US" w:eastAsia="zh-CN"/>
        </w:rPr>
        <w:t>%</w:t>
      </w:r>
      <w:r>
        <w:rPr>
          <w:rFonts w:hint="eastAsia"/>
          <w:color w:val="000000" w:themeColor="text1"/>
          <w:szCs w:val="32"/>
          <w:highlight w:val="none"/>
          <w14:textFill>
            <w14:solidFill>
              <w14:schemeClr w14:val="tx1"/>
            </w14:solidFill>
          </w14:textFill>
        </w:rPr>
        <w:t>。</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0"/>
        <w:tblW w:w="964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2245"/>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2245"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458" w:type="dxa"/>
            <w:vAlign w:val="top"/>
          </w:tcPr>
          <w:p>
            <w:pPr>
              <w:widowControl/>
              <w:ind w:left="0" w:leftChars="0" w:firstLine="0" w:firstLineChars="0"/>
              <w:jc w:val="left"/>
              <w:rPr>
                <w:rFonts w:hint="eastAsia" w:ascii="宋体" w:hAnsi="宋体" w:eastAsia="宋体" w:cs="Arial"/>
                <w:b/>
                <w:color w:val="000000" w:themeColor="text1"/>
                <w:kern w:val="0"/>
                <w:sz w:val="24"/>
                <w:szCs w:val="24"/>
                <w:highlight w:val="none"/>
                <w:lang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一般公共服务支出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461.81</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698.87</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人大事务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2010101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政府办公厅（室）及相关机构事务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456.69</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698.87</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323.57</w:t>
            </w:r>
          </w:p>
        </w:tc>
        <w:tc>
          <w:tcPr>
            <w:tcW w:w="2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563.86</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2010302</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一般行政管理事务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3.39</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2010350</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事业运行</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93.40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其他政府办公厅（室）及相关机构事务支出</w:t>
            </w:r>
          </w:p>
        </w:tc>
        <w:tc>
          <w:tcPr>
            <w:tcW w:w="1876"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highlight w:val="none"/>
                <w:lang w:val="en-US"/>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36.30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135.00</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271.90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20105</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统计信息事务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2.12</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2010507</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专项普查活动</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2.12</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20106</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财政事务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2010601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教育支出</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4.45</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20502</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普通教育</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4.45</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2050299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其他普通教育支出</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4.45</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206</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科学技术支出</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20604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技术研究与开发</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2060499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其他技术研究与开发支出</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社会保障和就业支出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19.00</w:t>
            </w: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20820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临时救助</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19.00</w:t>
            </w: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2082001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临时救助支出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p>
        </w:tc>
        <w:tc>
          <w:tcPr>
            <w:tcW w:w="2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19.00</w:t>
            </w:r>
          </w:p>
        </w:tc>
        <w:tc>
          <w:tcPr>
            <w:tcW w:w="1458"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卫生健康支出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3.00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公共卫生</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3.00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2100401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疾病预防控制机构</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12.00</w:t>
            </w: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2100410</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突发公共卫生事件应急处理</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3.00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农林水支出</w:t>
            </w:r>
          </w:p>
        </w:tc>
        <w:tc>
          <w:tcPr>
            <w:tcW w:w="1876"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1179.0</w:t>
            </w:r>
            <w:r>
              <w:rPr>
                <w:rFonts w:hint="eastAsia" w:ascii="仿宋" w:hAnsi="仿宋" w:eastAsia="仿宋" w:cs="仿宋"/>
                <w:color w:val="000000" w:themeColor="text1"/>
                <w:sz w:val="24"/>
                <w:szCs w:val="24"/>
                <w:highlight w:val="none"/>
                <w:lang w:val="en-US" w:eastAsia="zh-CN"/>
                <w14:textFill>
                  <w14:solidFill>
                    <w14:schemeClr w14:val="tx1"/>
                  </w14:solidFill>
                </w14:textFill>
              </w:rPr>
              <w:t>8</w:t>
            </w:r>
          </w:p>
        </w:tc>
        <w:tc>
          <w:tcPr>
            <w:tcW w:w="2245"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1284.87</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农业农村</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6.38</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3.00</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2130142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农村道路建设</w:t>
            </w:r>
          </w:p>
        </w:tc>
        <w:tc>
          <w:tcPr>
            <w:tcW w:w="1876"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c>
          <w:tcPr>
            <w:tcW w:w="2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3.00</w:t>
            </w: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2130104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事业运行</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6.38</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扶贫</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156.60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936.62</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498.10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2130599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其他扶贫支出</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156.60</w:t>
            </w:r>
          </w:p>
        </w:tc>
        <w:tc>
          <w:tcPr>
            <w:tcW w:w="2245"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936.62</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498.10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21307</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农村综合改革</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1016.10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345.25</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2130701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对村级一事一议的补助</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633.40</w:t>
            </w:r>
          </w:p>
        </w:tc>
        <w:tc>
          <w:tcPr>
            <w:tcW w:w="2245"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2130705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对村民委员会和村党支部的补助</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337.70</w:t>
            </w:r>
          </w:p>
        </w:tc>
        <w:tc>
          <w:tcPr>
            <w:tcW w:w="2245"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300.25</w:t>
            </w:r>
          </w:p>
        </w:tc>
        <w:tc>
          <w:tcPr>
            <w:tcW w:w="1458"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2130706</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对村集体经济组织的补助</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45.00</w:t>
            </w:r>
          </w:p>
        </w:tc>
        <w:tc>
          <w:tcPr>
            <w:tcW w:w="2245" w:type="dxa"/>
            <w:vAlign w:val="top"/>
          </w:tcPr>
          <w:p>
            <w:pPr>
              <w:jc w:val="righ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45.00</w:t>
            </w: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灾害防治及应急管理支出</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8.00</w:t>
            </w:r>
          </w:p>
        </w:tc>
        <w:tc>
          <w:tcPr>
            <w:tcW w:w="2245" w:type="dxa"/>
            <w:vAlign w:val="top"/>
          </w:tcPr>
          <w:p>
            <w:pPr>
              <w:jc w:val="righ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22406</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自然灾害防治</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8.00</w:t>
            </w:r>
          </w:p>
        </w:tc>
        <w:tc>
          <w:tcPr>
            <w:tcW w:w="2245" w:type="dxa"/>
            <w:vAlign w:val="top"/>
          </w:tcPr>
          <w:p>
            <w:pPr>
              <w:jc w:val="righ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2240602</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森林草原防灾减灾</w:t>
            </w:r>
          </w:p>
        </w:tc>
        <w:tc>
          <w:tcPr>
            <w:tcW w:w="1876"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8.00</w:t>
            </w:r>
          </w:p>
        </w:tc>
        <w:tc>
          <w:tcPr>
            <w:tcW w:w="2245" w:type="dxa"/>
            <w:vAlign w:val="top"/>
          </w:tcPr>
          <w:p>
            <w:pPr>
              <w:jc w:val="righ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458"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bl>
    <w:p>
      <w:pPr>
        <w:numPr>
          <w:ilvl w:val="0"/>
          <w:numId w:val="2"/>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20</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仿宋" w:hAnsi="仿宋" w:eastAsia="仿宋" w:cs="仿宋"/>
                <w:color w:val="000000" w:themeColor="text1"/>
                <w:kern w:val="0"/>
                <w:sz w:val="28"/>
                <w:szCs w:val="28"/>
                <w:highlight w:val="none"/>
                <w14:textFill>
                  <w14:solidFill>
                    <w14:schemeClr w14:val="tx1"/>
                  </w14:solidFill>
                </w14:textFill>
              </w:rPr>
              <w:t>1668.34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2014.73</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336.14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439.97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342.62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392.57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115.10</w:t>
            </w:r>
          </w:p>
        </w:tc>
        <w:tc>
          <w:tcPr>
            <w:tcW w:w="2071"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408.37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254.80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righ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429.48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773.8</w:t>
            </w:r>
            <w:r>
              <w:rPr>
                <w:rFonts w:hint="eastAsia" w:ascii="仿宋" w:hAnsi="仿宋" w:eastAsia="仿宋" w:cs="仿宋"/>
                <w:color w:val="000000" w:themeColor="text1"/>
                <w:highlight w:val="none"/>
                <w:lang w:val="en-US" w:eastAsia="zh-CN"/>
                <w14:textFill>
                  <w14:solidFill>
                    <w14:schemeClr w14:val="tx1"/>
                  </w14:solidFill>
                </w14:textFill>
              </w:rPr>
              <w:t>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80.18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righ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28"/>
                <w:szCs w:val="28"/>
                <w:highlight w:val="none"/>
                <w:lang w:val="en-US" w:eastAsia="zh-CN"/>
                <w14:textFill>
                  <w14:solidFill>
                    <w14:schemeClr w14:val="tx1"/>
                  </w14:solidFill>
                </w14:textFill>
              </w:rPr>
              <w:t>对企业的补助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445.00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594.86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485.47</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eastAsia="zh-CN"/>
          <w14:textFill>
            <w14:solidFill>
              <w14:schemeClr w14:val="tx1"/>
            </w14:solidFill>
          </w14:textFill>
        </w:rPr>
        <w:t>基本工资、津贴、奖金、绩效工资、机关事业单位基本养老保险缴费、职工基本医疗保险缴费、住房公积金等</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109.39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eastAsia="zh-CN"/>
          <w14:textFill>
            <w14:solidFill>
              <w14:schemeClr w14:val="tx1"/>
            </w14:solidFill>
          </w14:textFill>
        </w:rPr>
        <w:t>办公费、印刷费、电费、取暖费维修费等</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1419.87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eastAsia="仿宋_GB2312"/>
          <w:b/>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hint="eastAsia" w:ascii="仿宋_GB2312"/>
          <w:color w:val="000000" w:themeColor="text1"/>
          <w:szCs w:val="32"/>
          <w:highlight w:val="none"/>
          <w:lang w:eastAsia="zh-CN"/>
          <w14:textFill>
            <w14:solidFill>
              <w14:schemeClr w14:val="tx1"/>
            </w14:solidFill>
          </w14:textFill>
        </w:rPr>
        <w:t>本单位无</w:t>
      </w:r>
      <w:r>
        <w:rPr>
          <w:rFonts w:hint="eastAsia" w:ascii="仿宋_GB2312"/>
          <w:color w:val="000000" w:themeColor="text1"/>
          <w:szCs w:val="32"/>
          <w:highlight w:val="none"/>
          <w14:textFill>
            <w14:solidFill>
              <w14:schemeClr w14:val="tx1"/>
            </w14:solidFill>
          </w14:textFill>
        </w:rPr>
        <w:t>“三公”经费</w:t>
      </w:r>
      <w:r>
        <w:rPr>
          <w:rFonts w:hint="eastAsia" w:ascii="仿宋_GB2312"/>
          <w:color w:val="000000" w:themeColor="text1"/>
          <w:szCs w:val="32"/>
          <w:highlight w:val="none"/>
          <w:lang w:eastAsia="zh-CN"/>
          <w14:textFill>
            <w14:solidFill>
              <w14:schemeClr w14:val="tx1"/>
            </w14:solidFill>
          </w14:textFill>
        </w:rPr>
        <w:t>。</w:t>
      </w: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8"/>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8"/>
                <w:szCs w:val="28"/>
                <w:highlight w:val="none"/>
                <w:lang w:val="en-US" w:eastAsia="zh-CN"/>
                <w14:textFill>
                  <w14:solidFill>
                    <w14:schemeClr w14:val="tx1"/>
                  </w14:solidFill>
                </w14:textFill>
              </w:rPr>
            </w:pPr>
            <w:r>
              <w:rPr>
                <w:rFonts w:hint="eastAsia" w:eastAsia="宋体"/>
                <w:color w:val="000000" w:themeColor="text1"/>
                <w:sz w:val="28"/>
                <w:szCs w:val="28"/>
                <w:highlight w:val="none"/>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8"/>
              <w:jc w:val="right"/>
              <w:rPr>
                <w:rFonts w:hint="eastAsia" w:eastAsia="宋体"/>
                <w:color w:val="000000" w:themeColor="text1"/>
                <w:sz w:val="28"/>
                <w:szCs w:val="28"/>
                <w:highlight w:val="none"/>
                <w:lang w:val="en-US" w:eastAsia="zh-CN"/>
                <w14:textFill>
                  <w14:solidFill>
                    <w14:schemeClr w14:val="tx1"/>
                  </w14:solidFill>
                </w14:textFill>
              </w:rPr>
            </w:pPr>
          </w:p>
        </w:tc>
      </w:tr>
    </w:tbl>
    <w:p>
      <w:pPr>
        <w:pStyle w:val="8"/>
        <w:spacing w:before="0" w:beforeAutospacing="0" w:after="0" w:afterAutospacing="0"/>
        <w:rPr>
          <w:rFonts w:hint="eastAsia"/>
          <w:b/>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ascii="仿宋_GB2312" w:hAnsi="宋体"/>
          <w:color w:val="000000" w:themeColor="text1"/>
          <w:szCs w:val="32"/>
          <w:highlight w:val="none"/>
          <w14:textFill>
            <w14:solidFill>
              <w14:schemeClr w14:val="tx1"/>
            </w14:solidFill>
          </w14:textFill>
        </w:rPr>
        <w:t>机关运行经费支出</w:t>
      </w:r>
      <w:r>
        <w:rPr>
          <w:rFonts w:hint="eastAsia" w:ascii="仿宋_GB2312" w:hAnsi="宋体"/>
          <w:color w:val="000000" w:themeColor="text1"/>
          <w:szCs w:val="32"/>
          <w:highlight w:val="none"/>
          <w:lang w:val="en-US" w:eastAsia="zh-CN"/>
          <w14:textFill>
            <w14:solidFill>
              <w14:schemeClr w14:val="tx1"/>
            </w14:solidFill>
          </w14:textFill>
        </w:rPr>
        <w:t>109.40</w:t>
      </w:r>
      <w:r>
        <w:rPr>
          <w:rFonts w:hint="eastAsia" w:ascii="仿宋_GB2312" w:hAnsi="宋体"/>
          <w:color w:val="000000" w:themeColor="text1"/>
          <w:szCs w:val="32"/>
          <w:highlight w:val="none"/>
          <w14:textFill>
            <w14:solidFill>
              <w14:schemeClr w14:val="tx1"/>
            </w14:solidFill>
          </w14:textFill>
        </w:rPr>
        <w:t>万元</w:t>
      </w:r>
      <w:r>
        <w:rPr>
          <w:rFonts w:hint="eastAsia" w:ascii="仿宋_GB2312" w:hAnsi="宋体"/>
          <w:color w:val="000000" w:themeColor="text1"/>
          <w:szCs w:val="32"/>
          <w:highlight w:val="none"/>
          <w:lang w:eastAsia="zh-CN"/>
          <w14:textFill>
            <w14:solidFill>
              <w14:schemeClr w14:val="tx1"/>
            </w14:solidFill>
          </w14:textFill>
        </w:rPr>
        <w:t>，</w:t>
      </w:r>
      <w:r>
        <w:rPr>
          <w:rFonts w:hint="eastAsia" w:ascii="仿宋_GB2312" w:hAnsi="宋体"/>
          <w:color w:val="000000" w:themeColor="text1"/>
          <w:szCs w:val="32"/>
          <w:highlight w:val="none"/>
          <w14:textFill>
            <w14:solidFill>
              <w14:schemeClr w14:val="tx1"/>
            </w14:solidFill>
          </w14:textFill>
        </w:rPr>
        <w:t>比20</w:t>
      </w:r>
      <w:r>
        <w:rPr>
          <w:rFonts w:hint="eastAsia" w:ascii="仿宋_GB2312" w:hAnsi="宋体"/>
          <w:color w:val="000000" w:themeColor="text1"/>
          <w:szCs w:val="32"/>
          <w:highlight w:val="none"/>
          <w:lang w:val="en-US" w:eastAsia="zh-CN"/>
          <w14:textFill>
            <w14:solidFill>
              <w14:schemeClr w14:val="tx1"/>
            </w14:solidFill>
          </w14:textFill>
        </w:rPr>
        <w:t>20</w:t>
      </w:r>
      <w:r>
        <w:rPr>
          <w:rFonts w:hint="eastAsia" w:ascii="仿宋_GB2312" w:hAnsi="宋体"/>
          <w:color w:val="000000" w:themeColor="text1"/>
          <w:szCs w:val="32"/>
          <w:highlight w:val="none"/>
          <w14:textFill>
            <w14:solidFill>
              <w14:schemeClr w14:val="tx1"/>
            </w14:solidFill>
          </w14:textFill>
        </w:rPr>
        <w:t>年减少</w:t>
      </w:r>
      <w:r>
        <w:rPr>
          <w:rFonts w:hint="eastAsia" w:ascii="仿宋_GB2312" w:hAnsi="宋体"/>
          <w:color w:val="000000" w:themeColor="text1"/>
          <w:szCs w:val="32"/>
          <w:highlight w:val="none"/>
          <w:lang w:val="en-US" w:eastAsia="zh-CN"/>
          <w14:textFill>
            <w14:solidFill>
              <w14:schemeClr w14:val="tx1"/>
            </w14:solidFill>
          </w14:textFill>
        </w:rPr>
        <w:t>33.61</w:t>
      </w:r>
      <w:r>
        <w:rPr>
          <w:rFonts w:hint="eastAsia" w:ascii="仿宋_GB2312" w:hAnsi="宋体"/>
          <w:color w:val="000000" w:themeColor="text1"/>
          <w:szCs w:val="32"/>
          <w:highlight w:val="none"/>
          <w14:textFill>
            <w14:solidFill>
              <w14:schemeClr w14:val="tx1"/>
            </w14:solidFill>
          </w14:textFill>
        </w:rPr>
        <w:t>万元，降低</w:t>
      </w:r>
      <w:r>
        <w:rPr>
          <w:rFonts w:hint="eastAsia" w:ascii="仿宋_GB2312" w:hAnsi="宋体"/>
          <w:color w:val="000000" w:themeColor="text1"/>
          <w:szCs w:val="32"/>
          <w:highlight w:val="none"/>
          <w:lang w:val="en-US" w:eastAsia="zh-CN"/>
          <w14:textFill>
            <w14:solidFill>
              <w14:schemeClr w14:val="tx1"/>
            </w14:solidFill>
          </w14:textFill>
        </w:rPr>
        <w:t>23.51</w:t>
      </w:r>
      <w:r>
        <w:rPr>
          <w:rFonts w:hint="eastAsia" w:ascii="仿宋_GB2312" w:hAnsi="宋体"/>
          <w:color w:val="000000" w:themeColor="text1"/>
          <w:szCs w:val="32"/>
          <w:highlight w:val="none"/>
          <w14:textFill>
            <w14:solidFill>
              <w14:schemeClr w14:val="tx1"/>
            </w14:solidFill>
          </w14:textFill>
        </w:rPr>
        <w:t>%。主要原因是：</w:t>
      </w:r>
      <w:r>
        <w:rPr>
          <w:rFonts w:hint="eastAsia" w:ascii="仿宋_GB2312" w:hAnsi="宋体"/>
          <w:color w:val="000000" w:themeColor="text1"/>
          <w:szCs w:val="32"/>
          <w:highlight w:val="none"/>
          <w:lang w:eastAsia="zh-CN"/>
          <w14:textFill>
            <w14:solidFill>
              <w14:schemeClr w14:val="tx1"/>
            </w14:solidFill>
          </w14:textFill>
        </w:rPr>
        <w:t>本年减少了科技特派员经费及森林草原防灾减灾支出</w:t>
      </w:r>
      <w:r>
        <w:rPr>
          <w:rFonts w:hint="eastAsia" w:ascii="仿宋_GB2312" w:hAnsi="宋体"/>
          <w:color w:val="000000" w:themeColor="text1"/>
          <w:szCs w:val="32"/>
          <w:highlight w:val="none"/>
          <w14:textFill>
            <w14:solidFill>
              <w14:schemeClr w14:val="tx1"/>
            </w14:solidFill>
          </w14:textFill>
        </w:rPr>
        <w:t>。</w:t>
      </w:r>
    </w:p>
    <w:p>
      <w:pPr>
        <w:rPr>
          <w:rFonts w:hint="eastAsia" w:eastAsia="仿宋_GB2312"/>
          <w:b/>
          <w:bCs/>
          <w:color w:val="000000" w:themeColor="text1"/>
          <w:highlight w:val="none"/>
          <w:lang w:eastAsia="zh-CN"/>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415</w:t>
      </w:r>
      <w:r>
        <w:rPr>
          <w:rFonts w:hint="eastAsia" w:ascii="仿宋_GB2312"/>
          <w:color w:val="000000" w:themeColor="text1"/>
          <w:szCs w:val="32"/>
          <w:highlight w:val="none"/>
          <w14:textFill>
            <w14:solidFill>
              <w14:schemeClr w14:val="tx1"/>
            </w14:solidFill>
          </w14:textFill>
        </w:rPr>
        <w:t>万元，其中：政府采购工程支出</w:t>
      </w:r>
      <w:r>
        <w:rPr>
          <w:rFonts w:hint="eastAsia" w:ascii="仿宋_GB2312"/>
          <w:color w:val="000000" w:themeColor="text1"/>
          <w:szCs w:val="32"/>
          <w:highlight w:val="none"/>
          <w:lang w:val="en-US" w:eastAsia="zh-CN"/>
          <w14:textFill>
            <w14:solidFill>
              <w14:schemeClr w14:val="tx1"/>
            </w14:solidFill>
          </w14:textFill>
        </w:rPr>
        <w:t>415</w:t>
      </w:r>
      <w:r>
        <w:rPr>
          <w:rFonts w:hint="eastAsia" w:ascii="仿宋_GB2312"/>
          <w:color w:val="000000" w:themeColor="text1"/>
          <w:szCs w:val="32"/>
          <w:highlight w:val="none"/>
          <w14:textFill>
            <w14:solidFill>
              <w14:schemeClr w14:val="tx1"/>
            </w14:solidFill>
          </w14:textFill>
        </w:rPr>
        <w:t>万元、其中：授予小微企业合同金额</w:t>
      </w:r>
      <w:r>
        <w:rPr>
          <w:rFonts w:hint="eastAsia" w:ascii="仿宋_GB2312"/>
          <w:color w:val="000000" w:themeColor="text1"/>
          <w:szCs w:val="32"/>
          <w:highlight w:val="none"/>
          <w:lang w:val="en-US" w:eastAsia="zh-CN"/>
          <w14:textFill>
            <w14:solidFill>
              <w14:schemeClr w14:val="tx1"/>
            </w14:solidFill>
          </w14:textFill>
        </w:rPr>
        <w:t>415</w:t>
      </w:r>
      <w:r>
        <w:rPr>
          <w:rFonts w:hint="eastAsia" w:ascii="仿宋_GB2312"/>
          <w:color w:val="000000" w:themeColor="text1"/>
          <w:szCs w:val="32"/>
          <w:highlight w:val="none"/>
          <w14:textFill>
            <w14:solidFill>
              <w14:schemeClr w14:val="tx1"/>
            </w14:solidFill>
          </w14:textFill>
        </w:rPr>
        <w:t>万元，占政府采购支出总额的</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w:t>
      </w:r>
      <w:r>
        <w:rPr>
          <w:rFonts w:hint="eastAsia" w:ascii="仿宋_GB2312"/>
          <w:color w:val="000000" w:themeColor="text1"/>
          <w:szCs w:val="32"/>
          <w:highlight w:val="none"/>
          <w:lang w:eastAsia="zh-CN"/>
          <w14:textFill>
            <w14:solidFill>
              <w14:schemeClr w14:val="tx1"/>
            </w14:solidFill>
          </w14:textFill>
        </w:rPr>
        <w:t>单位</w:t>
      </w:r>
      <w:r>
        <w:rPr>
          <w:rFonts w:hint="eastAsia" w:ascii="仿宋_GB2312"/>
          <w:color w:val="000000" w:themeColor="text1"/>
          <w:szCs w:val="32"/>
          <w:highlight w:val="none"/>
          <w14:textFill>
            <w14:solidFill>
              <w14:schemeClr w14:val="tx1"/>
            </w14:solidFill>
          </w14:textFill>
        </w:rPr>
        <w:t>账面有公务用车</w:t>
      </w:r>
      <w:r>
        <w:rPr>
          <w:rFonts w:hint="eastAsia" w:ascii="仿宋_GB2312"/>
          <w:color w:val="000000" w:themeColor="text1"/>
          <w:szCs w:val="32"/>
          <w:highlight w:val="none"/>
          <w:lang w:val="en-US" w:eastAsia="zh-CN"/>
          <w14:textFill>
            <w14:solidFill>
              <w14:schemeClr w14:val="tx1"/>
            </w14:solidFill>
          </w14:textFill>
        </w:rPr>
        <w:t>1</w:t>
      </w:r>
      <w:r>
        <w:rPr>
          <w:rFonts w:hint="eastAsia" w:ascii="仿宋_GB2312"/>
          <w:color w:val="000000" w:themeColor="text1"/>
          <w:szCs w:val="32"/>
          <w:highlight w:val="none"/>
          <w14:textFill>
            <w14:solidFill>
              <w14:schemeClr w14:val="tx1"/>
            </w14:solidFill>
          </w14:textFill>
        </w:rPr>
        <w:t>辆</w:t>
      </w:r>
      <w:r>
        <w:rPr>
          <w:rFonts w:hint="eastAsia" w:ascii="仿宋_GB2312"/>
          <w:color w:val="000000" w:themeColor="text1"/>
          <w:szCs w:val="32"/>
          <w:highlight w:val="none"/>
          <w:lang w:val="en-US" w:eastAsia="zh-CN"/>
          <w14:textFill>
            <w14:solidFill>
              <w14:schemeClr w14:val="tx1"/>
            </w14:solidFill>
          </w14:textFill>
        </w:rPr>
        <w:t>;</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本单位账面有980平方米房屋;</w:t>
      </w:r>
      <w:r>
        <w:rPr>
          <w:rFonts w:hint="eastAsia" w:ascii="仿宋_GB2312"/>
          <w:color w:val="000000" w:themeColor="text1"/>
          <w:szCs w:val="32"/>
          <w:highlight w:val="none"/>
          <w:lang w:eastAsia="zh-CN"/>
          <w14:textFill>
            <w14:solidFill>
              <w14:schemeClr w14:val="tx1"/>
            </w14:solidFill>
          </w14:textFill>
        </w:rPr>
        <w:t>无</w:t>
      </w:r>
      <w:r>
        <w:rPr>
          <w:rFonts w:hint="eastAsia" w:ascii="仿宋_GB2312"/>
          <w:color w:val="000000" w:themeColor="text1"/>
          <w:szCs w:val="32"/>
          <w:highlight w:val="none"/>
          <w14:textFill>
            <w14:solidFill>
              <w14:schemeClr w14:val="tx1"/>
            </w14:solidFill>
          </w14:textFill>
        </w:rPr>
        <w:t>单价50万元（含）以上的通用设备，单价100万元（含）以上专用设备。</w:t>
      </w:r>
    </w:p>
    <w:p>
      <w:pPr>
        <w:rPr>
          <w:rFonts w:hint="eastAsia"/>
          <w:b/>
          <w:bCs/>
          <w:color w:val="000000" w:themeColor="text1"/>
          <w:highlight w:val="none"/>
          <w14:textFill>
            <w14:solidFill>
              <w14:schemeClr w14:val="tx1"/>
            </w14:solidFill>
          </w14:textFill>
        </w:rPr>
      </w:pP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重点项目预算的绩效目标情况说明：</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根据预算绩效管理要求，我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组织对202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级财政预算安排的专项资金类全面开展绩效自评，涉及预算资金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79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5.56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（2）部门决算中项目绩效自评结果。</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项目向社会公开</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2021年度临时救助备用金项目绩效自评综述：根据年初设定的绩效目标，项目自评得分为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已全部完成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。发现的主要问题及原因：跟踪管理不够全面，跟踪制度不够健全。下一步改进措施：建立健全跟踪监控制度，确保财政资金使用合理合规。</w:t>
      </w:r>
    </w:p>
    <w:p>
      <w:pPr>
        <w:numPr>
          <w:ilvl w:val="0"/>
          <w:numId w:val="0"/>
        </w:numPr>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2021年赤泥窊乡应急备用保障金项目绩效自评综述：根据年初设定的绩效目标，项目自评得分为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已全部完成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。发现的主要问题及原因：跟踪管理不够全面，跟踪制度不够健全。下一步改进措施：建立健全跟踪监控制度，确保财政资金使用合理合规。</w:t>
      </w:r>
    </w:p>
    <w:p>
      <w:pPr>
        <w:numPr>
          <w:ilvl w:val="0"/>
          <w:numId w:val="0"/>
        </w:numPr>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2021年赤泥窊乡农村税费改革转移支付资金项目绩效自评综述：根据年初设定的绩效目标，项目自评得分为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已全部完成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。下一步改进措施：建立健全各种机制</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公开项目对应的绩效自评价评分表</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评价报告向社会公开。</w:t>
      </w:r>
    </w:p>
    <w:p>
      <w:pPr>
        <w:numPr>
          <w:ilvl w:val="0"/>
          <w:numId w:val="0"/>
        </w:numPr>
        <w:ind w:firstLine="640" w:firstLineChars="200"/>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绩效评价报告</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numPr>
          <w:ilvl w:val="0"/>
          <w:numId w:val="3"/>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0" w:name="_Toc8450"/>
      <w:bookmarkStart w:id="31" w:name="_Toc28108"/>
      <w:r>
        <w:rPr>
          <w:rFonts w:hint="eastAsia" w:ascii="仿宋_GB2312"/>
          <w:b/>
          <w:color w:val="000000" w:themeColor="text1"/>
          <w:szCs w:val="32"/>
          <w:highlight w:val="none"/>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eastAsia="仿宋_GB2312"/>
          <w:b/>
          <w:color w:val="000000" w:themeColor="text1"/>
          <w:szCs w:val="32"/>
          <w:highlight w:val="none"/>
          <w:lang w:val="en-US" w:eastAsia="zh-CN"/>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 xml:space="preserve">      无</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2" w:name="_Toc8545"/>
      <w:r>
        <w:rPr>
          <w:rFonts w:hint="eastAsia"/>
          <w:b/>
          <w:color w:val="000000" w:themeColor="text1"/>
          <w:sz w:val="36"/>
          <w:szCs w:val="36"/>
          <w:highlight w:val="none"/>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单位名称：静乐县赤泥窊乡人民政府</w:t>
      </w:r>
    </w:p>
    <w:p>
      <w:pPr>
        <w:ind w:firstLine="4800" w:firstLineChars="15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094AC9"/>
    <w:multiLevelType w:val="singleLevel"/>
    <w:tmpl w:val="B2094AC9"/>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yNmU0NzQ3MzY0MWY3M2NkODczOWNhYTM1MWFmYWUifQ=="/>
  </w:docVars>
  <w:rsids>
    <w:rsidRoot w:val="495520D0"/>
    <w:rsid w:val="03696819"/>
    <w:rsid w:val="042D22AB"/>
    <w:rsid w:val="08142033"/>
    <w:rsid w:val="08166743"/>
    <w:rsid w:val="0B7A6F40"/>
    <w:rsid w:val="0E6657B8"/>
    <w:rsid w:val="0FDF4F97"/>
    <w:rsid w:val="11692BBA"/>
    <w:rsid w:val="136E32D8"/>
    <w:rsid w:val="13990CD1"/>
    <w:rsid w:val="148A3624"/>
    <w:rsid w:val="14DE2043"/>
    <w:rsid w:val="162A2B72"/>
    <w:rsid w:val="16654CDD"/>
    <w:rsid w:val="1A4A5C33"/>
    <w:rsid w:val="1B3651FE"/>
    <w:rsid w:val="20A67DD2"/>
    <w:rsid w:val="23830D70"/>
    <w:rsid w:val="24EF6280"/>
    <w:rsid w:val="25AF7A72"/>
    <w:rsid w:val="26EC79E3"/>
    <w:rsid w:val="2701594C"/>
    <w:rsid w:val="27426717"/>
    <w:rsid w:val="28955639"/>
    <w:rsid w:val="297267BA"/>
    <w:rsid w:val="2A6D79E5"/>
    <w:rsid w:val="2BB758B4"/>
    <w:rsid w:val="2BCB4281"/>
    <w:rsid w:val="2EFB3B3B"/>
    <w:rsid w:val="2F405086"/>
    <w:rsid w:val="2FF03036"/>
    <w:rsid w:val="32D14DDA"/>
    <w:rsid w:val="37943B50"/>
    <w:rsid w:val="3821117E"/>
    <w:rsid w:val="38690F47"/>
    <w:rsid w:val="38CE1186"/>
    <w:rsid w:val="38FF00D6"/>
    <w:rsid w:val="3AA4355E"/>
    <w:rsid w:val="3DBA050F"/>
    <w:rsid w:val="4142139B"/>
    <w:rsid w:val="42C12CEC"/>
    <w:rsid w:val="42E512D4"/>
    <w:rsid w:val="44401A62"/>
    <w:rsid w:val="495520D0"/>
    <w:rsid w:val="49823E06"/>
    <w:rsid w:val="4A012068"/>
    <w:rsid w:val="4C88610C"/>
    <w:rsid w:val="4CDF6854"/>
    <w:rsid w:val="4F770FB1"/>
    <w:rsid w:val="536B1A18"/>
    <w:rsid w:val="53A30631"/>
    <w:rsid w:val="53E9743E"/>
    <w:rsid w:val="558F3555"/>
    <w:rsid w:val="575C2851"/>
    <w:rsid w:val="59EC06C3"/>
    <w:rsid w:val="5DC43D84"/>
    <w:rsid w:val="5DFD228D"/>
    <w:rsid w:val="5EC01F6A"/>
    <w:rsid w:val="5EEA16C8"/>
    <w:rsid w:val="60E555DC"/>
    <w:rsid w:val="61EB26C7"/>
    <w:rsid w:val="63AB51DF"/>
    <w:rsid w:val="649C6DC9"/>
    <w:rsid w:val="66A01B7B"/>
    <w:rsid w:val="6E211940"/>
    <w:rsid w:val="6F2A3689"/>
    <w:rsid w:val="6F61595F"/>
    <w:rsid w:val="6F766094"/>
    <w:rsid w:val="70763511"/>
    <w:rsid w:val="70A4635C"/>
    <w:rsid w:val="715A78E4"/>
    <w:rsid w:val="7439318D"/>
    <w:rsid w:val="7761744D"/>
    <w:rsid w:val="7A89213B"/>
    <w:rsid w:val="7B365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3588</Words>
  <Characters>4462</Characters>
  <Lines>0</Lines>
  <Paragraphs>0</Paragraphs>
  <ScaleCrop>false</ScaleCrop>
  <LinksUpToDate>false</LinksUpToDate>
  <CharactersWithSpaces>4572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2022-07-28T01:44:12Z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4EBDBC836AD245798C69BBC5EADE5623</vt:lpwstr>
  </property>
</Properties>
</file>