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ind w:left="0" w:leftChars="0" w:firstLine="0" w:firstLineChars="0"/>
        <w:jc w:val="center"/>
        <w:textAlignment w:val="auto"/>
        <w:rPr>
          <w:rFonts w:hint="eastAsia" w:ascii="华文中宋" w:hAnsi="华文中宋" w:eastAsia="华文中宋"/>
          <w:color w:val="auto"/>
          <w:sz w:val="44"/>
          <w:szCs w:val="44"/>
          <w:lang w:val="en-US"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静乐县卫生健康和体育局</w:t>
      </w:r>
    </w:p>
    <w:p>
      <w:pPr>
        <w:pStyle w:val="2"/>
        <w:keepNext/>
        <w:keepLines/>
        <w:pageBreakBefore w:val="0"/>
        <w:widowControl w:val="0"/>
        <w:kinsoku/>
        <w:wordWrap/>
        <w:overflowPunct/>
        <w:topLinePunct w:val="0"/>
        <w:autoSpaceDE/>
        <w:autoSpaceDN/>
        <w:bidi w:val="0"/>
        <w:adjustRightInd/>
        <w:snapToGrid/>
        <w:spacing w:before="0" w:after="0"/>
        <w:ind w:left="0" w:leftChars="0" w:firstLine="0" w:firstLineChars="0"/>
        <w:jc w:val="center"/>
        <w:textAlignment w:val="auto"/>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ind w:left="0" w:leftChars="0" w:firstLine="0" w:firstLineChars="0"/>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rPr>
          <w:rFonts w:hint="eastAsia"/>
          <w:lang w:val="en-US" w:eastAsia="zh-CN"/>
        </w:rPr>
        <w:t>2</w:t>
      </w:r>
      <w:r>
        <w:rPr>
          <w:rFonts w:hint="eastAsia" w:ascii="仿宋" w:hAnsi="仿宋" w:eastAsia="仿宋" w:cs="仿宋"/>
          <w:color w:val="000000"/>
          <w:szCs w:val="32"/>
          <w:lang w:val="en-US" w:eastAsia="zh-CN"/>
        </w:rPr>
        <w:fldChar w:fldCharType="end"/>
      </w:r>
    </w:p>
    <w:p>
      <w:pPr>
        <w:pStyle w:val="6"/>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rPr>
          <w:rFonts w:hint="eastAsia"/>
          <w:lang w:val="en-US" w:eastAsia="zh-CN"/>
        </w:rPr>
        <w:t>3</w:t>
      </w:r>
      <w:r>
        <w:rPr>
          <w:rFonts w:hint="eastAsia" w:ascii="仿宋" w:hAnsi="仿宋" w:eastAsia="仿宋" w:cs="仿宋"/>
          <w:color w:val="000000"/>
          <w:szCs w:val="32"/>
          <w:lang w:val="en-US" w:eastAsia="zh-CN"/>
        </w:rPr>
        <w:fldChar w:fldCharType="end"/>
      </w:r>
    </w:p>
    <w:p>
      <w:pPr>
        <w:pStyle w:val="6"/>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ind w:left="0" w:leftChars="0" w:firstLine="0" w:firstLineChars="0"/>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w:t>
      </w:r>
      <w:r>
        <w:rPr>
          <w:rFonts w:hint="eastAsia"/>
          <w:sz w:val="36"/>
          <w:szCs w:val="36"/>
          <w:lang w:val="en-US" w:eastAsia="zh-CN"/>
        </w:rPr>
        <w:t xml:space="preserve">  </w:t>
      </w:r>
      <w:r>
        <w:rPr>
          <w:rFonts w:hint="eastAsia"/>
          <w:sz w:val="36"/>
          <w:szCs w:val="36"/>
        </w:rPr>
        <w:t>况</w:t>
      </w:r>
      <w:bookmarkEnd w:id="3"/>
      <w:bookmarkEnd w:id="4"/>
    </w:p>
    <w:p>
      <w:pPr>
        <w:pStyle w:val="3"/>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5" w:name="_Toc29220"/>
      <w:bookmarkStart w:id="6" w:name="_Toc12749"/>
      <w:r>
        <w:rPr>
          <w:rFonts w:hint="eastAsia" w:ascii="仿宋" w:hAnsi="仿宋" w:eastAsia="仿宋" w:cs="仿宋"/>
          <w:b/>
          <w:bCs w:val="0"/>
        </w:rPr>
        <w:t>本部门（单位）职责</w:t>
      </w:r>
      <w:bookmarkEnd w:id="5"/>
    </w:p>
    <w:p>
      <w:pPr>
        <w:pStyle w:val="8"/>
        <w:numPr>
          <w:ilvl w:val="0"/>
          <w:numId w:val="0"/>
        </w:numPr>
        <w:spacing w:before="0" w:beforeAutospacing="0" w:after="0" w:afterAutospacing="0"/>
        <w:rPr>
          <w:rFonts w:hint="default" w:eastAsia="宋体"/>
          <w:lang w:val="en-US" w:eastAsia="zh-CN"/>
        </w:rPr>
      </w:pPr>
      <w:r>
        <w:rPr>
          <w:rFonts w:hint="eastAsia" w:ascii="仿宋_GB2312" w:eastAsia="仿宋_GB2312"/>
          <w:color w:val="auto"/>
          <w:sz w:val="32"/>
          <w:szCs w:val="32"/>
          <w:lang w:val="en-US" w:eastAsia="zh-CN"/>
        </w:rPr>
        <w:t xml:space="preserve">    静乐县卫生健康和体育局，2019年3</w:t>
      </w:r>
      <w:r>
        <w:rPr>
          <w:rFonts w:hint="eastAsia" w:ascii="仿宋_GB2312" w:eastAsia="仿宋_GB2312"/>
          <w:color w:val="000000"/>
          <w:sz w:val="32"/>
          <w:szCs w:val="32"/>
          <w:lang w:val="en-US" w:eastAsia="zh-CN"/>
        </w:rPr>
        <w:t>月8日按照国家体制改革由原静乐县卫生和计划生育局改革组建，正科级建制，县人民政府工作部门。</w:t>
      </w:r>
      <w:r>
        <w:rPr>
          <w:rFonts w:hint="eastAsia"/>
          <w:lang w:val="en-US" w:eastAsia="zh-CN"/>
        </w:rPr>
        <w:t xml:space="preserve">     </w:t>
      </w:r>
    </w:p>
    <w:p>
      <w:pPr>
        <w:pStyle w:val="3"/>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7" w:name="_Toc22162"/>
      <w:r>
        <w:rPr>
          <w:rFonts w:hint="eastAsia" w:ascii="仿宋" w:hAnsi="仿宋" w:eastAsia="仿宋" w:cs="仿宋"/>
          <w:b/>
          <w:bCs w:val="0"/>
        </w:rPr>
        <w:t>机构设置情况</w:t>
      </w:r>
      <w:bookmarkEnd w:id="7"/>
    </w:p>
    <w:p>
      <w:pPr>
        <w:pStyle w:val="8"/>
        <w:numPr>
          <w:ilvl w:val="0"/>
          <w:numId w:val="0"/>
        </w:numPr>
        <w:spacing w:before="0" w:beforeAutospacing="0" w:after="0" w:afterAutospacing="0"/>
        <w:ind w:firstLine="480" w:firstLineChars="200"/>
        <w:rPr>
          <w:rFonts w:hint="default" w:ascii="仿宋_GB2312" w:eastAsia="仿宋_GB2312"/>
          <w:color w:val="000000"/>
          <w:sz w:val="32"/>
          <w:szCs w:val="32"/>
          <w:lang w:val="en-US" w:eastAsia="zh-CN"/>
        </w:rPr>
      </w:pPr>
      <w:r>
        <w:rPr>
          <w:rFonts w:hint="eastAsia"/>
          <w:lang w:val="en-US" w:eastAsia="zh-CN"/>
        </w:rPr>
        <w:t xml:space="preserve"> </w:t>
      </w:r>
      <w:r>
        <w:rPr>
          <w:rFonts w:hint="eastAsia" w:ascii="仿宋_GB2312" w:eastAsia="仿宋_GB2312"/>
          <w:color w:val="000000"/>
          <w:sz w:val="32"/>
          <w:szCs w:val="32"/>
          <w:lang w:val="en-US" w:eastAsia="zh-CN"/>
        </w:rPr>
        <w:t>静乐县卫生健康和体育局内设4个机构，分别为办公室（包括局党支部、宣传教育、应急办公室、人事、财务）、</w:t>
      </w:r>
      <w:r>
        <w:rPr>
          <w:rFonts w:hint="eastAsia" w:ascii="仿宋_GB2312" w:hAnsi="仿宋_GB2312" w:eastAsia="仿宋_GB2312" w:cs="仿宋_GB2312"/>
          <w:sz w:val="32"/>
          <w:szCs w:val="32"/>
          <w:lang w:val="en-US" w:eastAsia="zh-CN"/>
        </w:rPr>
        <w:t>政策法规和综合监督股</w:t>
      </w:r>
      <w:r>
        <w:rPr>
          <w:rFonts w:hint="eastAsia" w:ascii="仿宋_GB2312" w:eastAsia="仿宋_GB2312"/>
          <w:color w:val="000000"/>
          <w:sz w:val="32"/>
          <w:szCs w:val="32"/>
          <w:lang w:val="en-US" w:eastAsia="zh-CN"/>
        </w:rPr>
        <w:t>、医政股、</w:t>
      </w:r>
      <w:r>
        <w:rPr>
          <w:rFonts w:hint="eastAsia" w:ascii="仿宋_GB2312" w:hAnsi="仿宋_GB2312" w:eastAsia="仿宋_GB2312" w:cs="仿宋_GB2312"/>
          <w:sz w:val="32"/>
          <w:szCs w:val="32"/>
          <w:lang w:val="en-US" w:eastAsia="zh-CN"/>
        </w:rPr>
        <w:t>基层卫生健康股（包括</w:t>
      </w:r>
      <w:r>
        <w:rPr>
          <w:rFonts w:hint="eastAsia" w:ascii="仿宋_GB2312" w:eastAsia="仿宋_GB2312"/>
          <w:color w:val="000000"/>
          <w:sz w:val="32"/>
          <w:szCs w:val="32"/>
          <w:lang w:val="en-US" w:eastAsia="zh-CN"/>
        </w:rPr>
        <w:t>计划生育家庭发展等</w:t>
      </w:r>
      <w:r>
        <w:rPr>
          <w:rFonts w:hint="eastAsia" w:ascii="仿宋_GB2312" w:hAnsi="仿宋_GB2312" w:eastAsia="仿宋_GB2312" w:cs="仿宋_GB2312"/>
          <w:sz w:val="32"/>
          <w:szCs w:val="32"/>
          <w:lang w:val="en-US" w:eastAsia="zh-CN"/>
        </w:rPr>
        <w:t>）</w:t>
      </w:r>
      <w:r>
        <w:rPr>
          <w:rFonts w:hint="eastAsia" w:ascii="仿宋_GB2312" w:eastAsia="仿宋_GB2312"/>
          <w:color w:val="000000"/>
          <w:sz w:val="32"/>
          <w:szCs w:val="32"/>
          <w:lang w:val="en-US" w:eastAsia="zh-CN"/>
        </w:rPr>
        <w:t>。机关编制9人，工勤1名，实有11人。机关直属信息中心股级建制，编制5人，实有15人；机关直属卫生和人口学校，股级建制，编制15人，实有15人。行政主管的下属单位有县医疗集团、县人民医院、县中医院、县疾病预防控制中心、妇幼保健服务中心、卫生健康综合执法队，卫生健康和体育综合服务中心、计生协会。乡镇卫生院（分院）共22所（包括中心卫生院5所，一般卫生院9所，分院8所），221个村卫生室。2021年主管下的实际预算下级单位包括本级机关静乐县卫生健康和体育局。</w:t>
      </w:r>
    </w:p>
    <w:p>
      <w:pPr>
        <w:numPr>
          <w:ilvl w:val="0"/>
          <w:numId w:val="0"/>
        </w:numPr>
        <w:ind w:leftChars="200"/>
        <w:rPr>
          <w:rFonts w:hint="eastAsia" w:eastAsia="宋体"/>
          <w:lang w:val="en-US" w:eastAsia="zh-CN"/>
        </w:rPr>
      </w:pP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6"/>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8" w:name="_Toc29325"/>
      <w:r>
        <w:rPr>
          <w:rFonts w:hint="eastAsia"/>
          <w:b/>
          <w:sz w:val="36"/>
          <w:szCs w:val="36"/>
          <w:lang w:val="en-US" w:eastAsia="zh-CN"/>
        </w:rPr>
        <w:t>第三部分  2021年度部门决算情况说明</w:t>
      </w:r>
      <w:bookmarkEnd w:id="8"/>
    </w:p>
    <w:p>
      <w:pPr>
        <w:pStyle w:val="3"/>
        <w:rPr>
          <w:rFonts w:hint="eastAsia" w:ascii="仿宋" w:hAnsi="仿宋" w:eastAsia="仿宋" w:cs="仿宋"/>
          <w:b/>
          <w:bCs w:val="0"/>
          <w:color w:val="auto"/>
          <w:lang w:val="en-US" w:eastAsia="zh-CN"/>
        </w:rPr>
      </w:pPr>
      <w:bookmarkStart w:id="9" w:name="_Toc8717"/>
      <w:bookmarkStart w:id="10" w:name="_Toc437"/>
      <w:r>
        <w:rPr>
          <w:rFonts w:hint="eastAsia" w:ascii="仿宋" w:hAnsi="仿宋" w:eastAsia="仿宋" w:cs="仿宋"/>
          <w:b/>
          <w:bCs w:val="0"/>
          <w:color w:val="auto"/>
          <w:lang w:val="en-US" w:eastAsia="zh-CN"/>
        </w:rPr>
        <w:t>一、收入支出决算总体情况说明</w:t>
      </w:r>
      <w:bookmarkEnd w:id="9"/>
      <w:bookmarkEnd w:id="10"/>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2144.30</w:t>
      </w:r>
      <w:r>
        <w:rPr>
          <w:rFonts w:hint="eastAsia" w:ascii="仿宋_GB2312"/>
          <w:color w:val="auto"/>
          <w:szCs w:val="32"/>
        </w:rPr>
        <w:t>万元、支出总计</w:t>
      </w:r>
      <w:r>
        <w:rPr>
          <w:rFonts w:hint="eastAsia" w:ascii="仿宋_GB2312"/>
          <w:color w:val="auto"/>
          <w:szCs w:val="32"/>
          <w:lang w:val="en-US" w:eastAsia="zh-CN"/>
        </w:rPr>
        <w:t>2144.30</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998.11</w:t>
      </w:r>
      <w:r>
        <w:rPr>
          <w:rFonts w:hint="eastAsia" w:ascii="仿宋_GB2312"/>
          <w:color w:val="auto"/>
          <w:szCs w:val="32"/>
        </w:rPr>
        <w:t>万元，下降</w:t>
      </w:r>
      <w:r>
        <w:rPr>
          <w:rFonts w:hint="eastAsia" w:ascii="仿宋_GB2312"/>
          <w:color w:val="auto"/>
          <w:szCs w:val="32"/>
          <w:lang w:val="en-US" w:eastAsia="zh-CN"/>
        </w:rPr>
        <w:t>46.55</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998.11</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46.55</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2020年突发疫情和2020年有些基本卫生项目由卫健局统一划拨到其他公共卫生服务单位</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1" w:name="_Toc17404"/>
      <w:bookmarkStart w:id="12" w:name="_Toc16754"/>
      <w:r>
        <w:rPr>
          <w:rFonts w:hint="eastAsia" w:ascii="仿宋" w:hAnsi="仿宋" w:eastAsia="仿宋" w:cs="仿宋"/>
          <w:b/>
          <w:bCs w:val="0"/>
          <w:color w:val="auto"/>
          <w:lang w:val="en-US" w:eastAsia="zh-CN"/>
        </w:rPr>
        <w:t>二、收入决算情况说明</w:t>
      </w:r>
      <w:bookmarkEnd w:id="11"/>
      <w:bookmarkEnd w:id="12"/>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2144.30</w:t>
      </w:r>
      <w:r>
        <w:rPr>
          <w:rFonts w:hint="eastAsia" w:ascii="仿宋_GB2312"/>
          <w:color w:val="auto"/>
          <w:szCs w:val="32"/>
        </w:rPr>
        <w:t>万元，其中：财政拨款收入</w:t>
      </w:r>
      <w:r>
        <w:rPr>
          <w:rFonts w:hint="eastAsia" w:ascii="仿宋_GB2312"/>
          <w:color w:val="auto"/>
          <w:szCs w:val="32"/>
          <w:lang w:val="en-US" w:eastAsia="zh-CN"/>
        </w:rPr>
        <w:t>2144.30</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01</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%。（可附图说明）</w:t>
      </w:r>
    </w:p>
    <w:p>
      <w:pPr>
        <w:pStyle w:val="3"/>
        <w:rPr>
          <w:rFonts w:hint="eastAsia" w:ascii="仿宋" w:hAnsi="仿宋" w:eastAsia="仿宋" w:cs="仿宋"/>
          <w:b/>
          <w:bCs w:val="0"/>
          <w:color w:val="auto"/>
          <w:lang w:val="en-US" w:eastAsia="zh-CN"/>
        </w:rPr>
      </w:pPr>
      <w:bookmarkStart w:id="13" w:name="_Toc22098"/>
      <w:bookmarkStart w:id="14" w:name="_Toc9596"/>
      <w:r>
        <w:rPr>
          <w:rFonts w:hint="eastAsia" w:ascii="仿宋" w:hAnsi="仿宋" w:eastAsia="仿宋" w:cs="仿宋"/>
          <w:b/>
          <w:bCs w:val="0"/>
          <w:color w:val="auto"/>
          <w:lang w:val="en-US" w:eastAsia="zh-CN"/>
        </w:rPr>
        <w:t>三、支出决算情况说明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2144.30</w:t>
      </w:r>
      <w:r>
        <w:rPr>
          <w:rFonts w:hint="eastAsia" w:ascii="仿宋_GB2312"/>
          <w:color w:val="auto"/>
          <w:szCs w:val="32"/>
        </w:rPr>
        <w:t>万元，其中：基本支出</w:t>
      </w:r>
      <w:r>
        <w:rPr>
          <w:rFonts w:hint="eastAsia" w:ascii="仿宋_GB2312"/>
          <w:color w:val="auto"/>
          <w:szCs w:val="32"/>
          <w:lang w:val="en-US" w:eastAsia="zh-CN"/>
        </w:rPr>
        <w:t>2075.84万</w:t>
      </w:r>
      <w:r>
        <w:rPr>
          <w:rFonts w:hint="eastAsia" w:ascii="仿宋_GB2312"/>
          <w:color w:val="auto"/>
          <w:szCs w:val="32"/>
        </w:rPr>
        <w:t>元，占比</w:t>
      </w:r>
      <w:r>
        <w:rPr>
          <w:rFonts w:hint="eastAsia" w:ascii="仿宋_GB2312"/>
          <w:color w:val="auto"/>
          <w:szCs w:val="32"/>
          <w:lang w:val="en-US" w:eastAsia="zh-CN"/>
        </w:rPr>
        <w:t>96.81</w:t>
      </w:r>
      <w:r>
        <w:rPr>
          <w:rFonts w:hint="eastAsia" w:ascii="仿宋_GB2312"/>
          <w:color w:val="auto"/>
          <w:szCs w:val="32"/>
        </w:rPr>
        <w:t>%；项目支出</w:t>
      </w:r>
      <w:r>
        <w:rPr>
          <w:rFonts w:hint="eastAsia" w:ascii="仿宋_GB2312"/>
          <w:color w:val="auto"/>
          <w:szCs w:val="32"/>
          <w:lang w:val="en-US" w:eastAsia="zh-CN"/>
        </w:rPr>
        <w:t>68.49</w:t>
      </w:r>
      <w:r>
        <w:rPr>
          <w:rFonts w:hint="eastAsia" w:ascii="仿宋_GB2312"/>
          <w:color w:val="auto"/>
          <w:szCs w:val="32"/>
        </w:rPr>
        <w:t>万元，占比</w:t>
      </w:r>
      <w:r>
        <w:rPr>
          <w:rFonts w:hint="eastAsia" w:ascii="仿宋_GB2312"/>
          <w:color w:val="auto"/>
          <w:szCs w:val="32"/>
          <w:lang w:val="en-US" w:eastAsia="zh-CN"/>
        </w:rPr>
        <w:t>3.19</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%。（可附图说明）</w:t>
      </w:r>
    </w:p>
    <w:p>
      <w:pPr>
        <w:pStyle w:val="3"/>
        <w:rPr>
          <w:rFonts w:hint="eastAsia" w:ascii="仿宋" w:hAnsi="仿宋" w:eastAsia="仿宋" w:cs="仿宋"/>
          <w:b/>
          <w:bCs w:val="0"/>
          <w:color w:val="auto"/>
          <w:lang w:val="en-US" w:eastAsia="zh-CN"/>
        </w:rPr>
      </w:pPr>
      <w:bookmarkStart w:id="15" w:name="_Toc2142"/>
      <w:bookmarkStart w:id="16" w:name="_Toc4614"/>
      <w:r>
        <w:rPr>
          <w:rFonts w:hint="eastAsia" w:ascii="仿宋" w:hAnsi="仿宋" w:eastAsia="仿宋" w:cs="仿宋"/>
          <w:b/>
          <w:bCs w:val="0"/>
          <w:color w:val="auto"/>
          <w:lang w:val="en-US" w:eastAsia="zh-CN"/>
        </w:rPr>
        <w:t>四、财政拨款收入支出决算总体情况说明</w:t>
      </w:r>
      <w:bookmarkEnd w:id="15"/>
      <w:bookmarkEnd w:id="16"/>
    </w:p>
    <w:p>
      <w:pPr>
        <w:ind w:firstLine="640"/>
        <w:jc w:val="both"/>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2144.30</w:t>
      </w:r>
      <w:r>
        <w:rPr>
          <w:rFonts w:hint="eastAsia" w:ascii="仿宋_GB2312"/>
          <w:color w:val="auto"/>
          <w:szCs w:val="32"/>
        </w:rPr>
        <w:t>万元、支出总计</w:t>
      </w:r>
      <w:r>
        <w:rPr>
          <w:rFonts w:hint="eastAsia" w:ascii="仿宋_GB2312"/>
          <w:color w:val="auto"/>
          <w:szCs w:val="32"/>
          <w:lang w:val="en-US" w:eastAsia="zh-CN"/>
        </w:rPr>
        <w:t>2144.30</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998.11</w:t>
      </w:r>
      <w:r>
        <w:rPr>
          <w:rFonts w:hint="eastAsia" w:ascii="仿宋_GB2312"/>
          <w:color w:val="auto"/>
          <w:szCs w:val="32"/>
        </w:rPr>
        <w:t>万元，下降</w:t>
      </w:r>
      <w:r>
        <w:rPr>
          <w:rFonts w:hint="eastAsia" w:ascii="仿宋_GB2312"/>
          <w:color w:val="auto"/>
          <w:szCs w:val="32"/>
          <w:lang w:val="en-US" w:eastAsia="zh-CN"/>
        </w:rPr>
        <w:t>46.55</w:t>
      </w:r>
      <w:r>
        <w:rPr>
          <w:rFonts w:hint="eastAsia" w:ascii="仿宋_GB2312"/>
          <w:color w:val="auto"/>
          <w:szCs w:val="32"/>
        </w:rPr>
        <w:t>%，财政拨款支出总计减少减少</w:t>
      </w:r>
      <w:r>
        <w:rPr>
          <w:rFonts w:hint="eastAsia" w:ascii="仿宋_GB2312"/>
          <w:color w:val="auto"/>
          <w:szCs w:val="32"/>
          <w:lang w:val="en-US" w:eastAsia="zh-CN"/>
        </w:rPr>
        <w:t>998.11</w:t>
      </w:r>
      <w:r>
        <w:rPr>
          <w:rFonts w:hint="eastAsia" w:ascii="仿宋_GB2312"/>
          <w:color w:val="auto"/>
          <w:szCs w:val="32"/>
        </w:rPr>
        <w:t>万元，下降</w:t>
      </w:r>
      <w:r>
        <w:rPr>
          <w:rFonts w:hint="eastAsia" w:ascii="仿宋_GB2312"/>
          <w:color w:val="auto"/>
          <w:szCs w:val="32"/>
          <w:lang w:val="en-US" w:eastAsia="zh-CN"/>
        </w:rPr>
        <w:t>46.55</w:t>
      </w:r>
      <w:r>
        <w:rPr>
          <w:rFonts w:hint="eastAsia" w:ascii="仿宋_GB2312"/>
          <w:color w:val="auto"/>
          <w:szCs w:val="32"/>
        </w:rPr>
        <w:t>%，主要原因是</w:t>
      </w:r>
      <w:r>
        <w:rPr>
          <w:rFonts w:hint="eastAsia" w:ascii="仿宋_GB2312"/>
          <w:color w:val="auto"/>
          <w:szCs w:val="32"/>
          <w:lang w:val="en-US" w:eastAsia="zh-CN"/>
        </w:rPr>
        <w:t>2020年突发疫情和2020年有些基本卫生项目由卫健局统一划拨到其他公共卫生服务单位</w:t>
      </w:r>
      <w:r>
        <w:rPr>
          <w:rFonts w:hint="eastAsia" w:ascii="仿宋_GB2312"/>
          <w:color w:val="auto"/>
          <w:szCs w:val="32"/>
        </w:rPr>
        <w:t>。</w:t>
      </w:r>
      <w:r>
        <w:rPr>
          <w:rFonts w:hint="eastAsia" w:ascii="仿宋_GB2312"/>
          <w:color w:val="auto"/>
          <w:szCs w:val="32"/>
          <w:lang w:val="en-US" w:eastAsia="zh-CN"/>
        </w:rPr>
        <w:t>2021年是由卫健局统筹资金由各项目单位自己预算项目资金。</w:t>
      </w:r>
    </w:p>
    <w:p>
      <w:pPr>
        <w:pStyle w:val="3"/>
        <w:rPr>
          <w:rFonts w:hint="eastAsia" w:ascii="仿宋" w:hAnsi="仿宋" w:eastAsia="仿宋" w:cs="仿宋"/>
          <w:b/>
          <w:bCs w:val="0"/>
          <w:color w:val="auto"/>
          <w:lang w:val="en-US" w:eastAsia="zh-CN"/>
        </w:rPr>
      </w:pPr>
      <w:bookmarkStart w:id="17" w:name="_Toc9341"/>
      <w:bookmarkStart w:id="18" w:name="_Toc6501"/>
      <w:r>
        <w:rPr>
          <w:rFonts w:hint="eastAsia" w:ascii="仿宋" w:hAnsi="仿宋" w:eastAsia="仿宋" w:cs="仿宋"/>
          <w:b/>
          <w:bCs w:val="0"/>
          <w:color w:val="auto"/>
          <w:lang w:val="en-US" w:eastAsia="zh-CN"/>
        </w:rPr>
        <w:t>五、一般公共预算财政拨款支出决算情况说明</w:t>
      </w:r>
      <w:bookmarkEnd w:id="17"/>
      <w:bookmarkEnd w:id="18"/>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2144.30</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年相比，财政拨款支出减少减少</w:t>
      </w:r>
      <w:r>
        <w:rPr>
          <w:rFonts w:hint="eastAsia" w:ascii="仿宋_GB2312"/>
          <w:color w:val="auto"/>
          <w:szCs w:val="32"/>
          <w:lang w:val="en-US" w:eastAsia="zh-CN"/>
        </w:rPr>
        <w:t>998.11</w:t>
      </w:r>
      <w:r>
        <w:rPr>
          <w:rFonts w:hint="eastAsia" w:ascii="仿宋_GB2312"/>
          <w:color w:val="auto"/>
          <w:szCs w:val="32"/>
        </w:rPr>
        <w:t>万元，下降</w:t>
      </w:r>
      <w:r>
        <w:rPr>
          <w:rFonts w:hint="eastAsia" w:ascii="仿宋_GB2312"/>
          <w:color w:val="auto"/>
          <w:szCs w:val="32"/>
          <w:lang w:val="en-US" w:eastAsia="zh-CN"/>
        </w:rPr>
        <w:t>46.55</w:t>
      </w:r>
      <w:r>
        <w:rPr>
          <w:rFonts w:hint="eastAsia" w:ascii="仿宋_GB2312"/>
          <w:color w:val="auto"/>
          <w:szCs w:val="32"/>
        </w:rPr>
        <w:t>%，。主要原因是</w:t>
      </w:r>
      <w:r>
        <w:rPr>
          <w:rFonts w:hint="eastAsia" w:ascii="仿宋_GB2312"/>
          <w:color w:val="auto"/>
          <w:szCs w:val="32"/>
          <w:lang w:val="en-US" w:eastAsia="zh-CN"/>
        </w:rPr>
        <w:t>2020年突发疫情和2020年有些基本卫生项目由卫健局统一划拨到其他公共卫生服务单位</w:t>
      </w:r>
      <w:r>
        <w:rPr>
          <w:rFonts w:hint="eastAsia" w:ascii="仿宋_GB2312"/>
          <w:color w:val="auto"/>
          <w:szCs w:val="32"/>
        </w:rPr>
        <w:t>。</w:t>
      </w:r>
      <w:r>
        <w:rPr>
          <w:rFonts w:hint="eastAsia" w:ascii="仿宋_GB2312"/>
          <w:color w:val="auto"/>
          <w:szCs w:val="32"/>
          <w:lang w:val="en-US" w:eastAsia="zh-CN"/>
        </w:rPr>
        <w:t>2021年是由卫健局统筹资金由各项目单位自己预算项目资金。</w:t>
      </w:r>
      <w:r>
        <w:rPr>
          <w:rFonts w:hint="eastAsia" w:ascii="仿宋_GB2312"/>
          <w:color w:val="auto"/>
          <w:szCs w:val="32"/>
        </w:rPr>
        <w:t>。其中，</w:t>
      </w:r>
      <w:r>
        <w:rPr>
          <w:rFonts w:hint="eastAsia" w:ascii="仿宋_GB2312"/>
          <w:color w:val="auto"/>
          <w:szCs w:val="32"/>
          <w:lang w:val="en-US" w:eastAsia="zh-CN"/>
        </w:rPr>
        <w:t>政府性基金预算支出</w:t>
      </w:r>
      <w:r>
        <w:rPr>
          <w:rFonts w:hint="eastAsia" w:ascii="仿宋_GB2312"/>
          <w:color w:val="auto"/>
          <w:szCs w:val="32"/>
        </w:rPr>
        <w:t>XX万元，占比XX%。</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2144.30</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卫生</w:t>
      </w:r>
      <w:r>
        <w:rPr>
          <w:rFonts w:ascii="仿宋_GB2312"/>
          <w:b/>
          <w:color w:val="auto"/>
          <w:szCs w:val="32"/>
        </w:rPr>
        <w:t>健康（</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2144.30</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ascii="仿宋_GB2312"/>
          <w:color w:val="auto"/>
          <w:szCs w:val="32"/>
          <w:lang w:val="en-US" w:eastAsia="zh-CN"/>
        </w:rPr>
        <w:t>2144.30</w:t>
      </w:r>
      <w:r>
        <w:rPr>
          <w:rFonts w:hint="eastAsia"/>
          <w:color w:val="auto"/>
          <w:szCs w:val="32"/>
        </w:rPr>
        <w:t>万元，支出决算</w:t>
      </w:r>
      <w:r>
        <w:rPr>
          <w:rFonts w:hint="eastAsia" w:ascii="仿宋_GB2312"/>
          <w:color w:val="auto"/>
          <w:szCs w:val="32"/>
          <w:lang w:val="en-US" w:eastAsia="zh-CN"/>
        </w:rPr>
        <w:t>2144.30</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9"/>
        <w:tblW w:w="909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3651"/>
        <w:gridCol w:w="1381"/>
        <w:gridCol w:w="1267"/>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3651"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381" w:type="dxa"/>
            <w:vAlign w:val="top"/>
          </w:tcPr>
          <w:p>
            <w:pPr>
              <w:widowControl/>
              <w:ind w:left="0" w:leftChars="0" w:firstLine="0" w:firstLineChars="0"/>
              <w:jc w:val="center"/>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267" w:type="dxa"/>
            <w:vAlign w:val="top"/>
          </w:tcPr>
          <w:p>
            <w:pPr>
              <w:widowControl/>
              <w:ind w:left="0" w:leftChars="0" w:firstLine="0" w:firstLineChars="0"/>
              <w:jc w:val="center"/>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49"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卫生健康支出</w:t>
            </w:r>
          </w:p>
        </w:tc>
        <w:tc>
          <w:tcPr>
            <w:tcW w:w="1381"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3,017.93</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2144.30</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21001</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卫生健康管理事务</w:t>
            </w:r>
          </w:p>
        </w:tc>
        <w:tc>
          <w:tcPr>
            <w:tcW w:w="1381"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373.92</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357.26</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2100101</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381"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373.92</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340.81</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2100199</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其他卫生健康管理事务支出</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0</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16.41</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21002</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公立医院</w:t>
            </w:r>
          </w:p>
        </w:tc>
        <w:tc>
          <w:tcPr>
            <w:tcW w:w="1381"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270.00</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288.00</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2100299</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其他公立医院支出</w:t>
            </w:r>
          </w:p>
        </w:tc>
        <w:tc>
          <w:tcPr>
            <w:tcW w:w="1381"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270.00</w:t>
            </w:r>
          </w:p>
        </w:tc>
        <w:tc>
          <w:tcPr>
            <w:tcW w:w="1267" w:type="dxa"/>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288.00</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21003</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基层医疗卫生机构</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0</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489.23</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2100302</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乡镇卫生院</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0</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200.00</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2100399</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其他基层医疗卫生机构支出</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0</w:t>
            </w:r>
          </w:p>
        </w:tc>
        <w:tc>
          <w:tcPr>
            <w:tcW w:w="1267" w:type="dxa"/>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289.23</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21004</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公共卫生</w:t>
            </w:r>
          </w:p>
        </w:tc>
        <w:tc>
          <w:tcPr>
            <w:tcW w:w="1381"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1,656.14</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505.27</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-227.77%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2100407</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其他专业公共卫生机构</w:t>
            </w:r>
          </w:p>
        </w:tc>
        <w:tc>
          <w:tcPr>
            <w:tcW w:w="1381" w:type="dxa"/>
            <w:vAlign w:val="center"/>
          </w:tcPr>
          <w:p>
            <w:pPr>
              <w:keepNext w:val="0"/>
              <w:keepLines w:val="0"/>
              <w:widowControl/>
              <w:suppressLineNumbers w:val="0"/>
              <w:jc w:val="both"/>
              <w:textAlignment w:val="center"/>
              <w:rPr>
                <w:rFonts w:hint="eastAsia" w:ascii="宋体" w:hAnsi="宋体" w:eastAsia="宋体" w:cs="宋体"/>
                <w:i/>
                <w:iCs/>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33.09</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0</w:t>
            </w:r>
          </w:p>
        </w:tc>
        <w:tc>
          <w:tcPr>
            <w:tcW w:w="1349" w:type="dxa"/>
            <w:vAlign w:val="center"/>
          </w:tcPr>
          <w:p>
            <w:pPr>
              <w:ind w:firstLine="440" w:firstLineChars="200"/>
              <w:jc w:val="center"/>
              <w:rPr>
                <w:rFonts w:hint="eastAsia" w:ascii="宋体" w:hAnsi="宋体" w:eastAsia="宋体" w:cs="宋体"/>
                <w:i w:val="0"/>
                <w:iCs w:val="0"/>
                <w:color w:val="000000"/>
                <w:kern w:val="2"/>
                <w:sz w:val="22"/>
                <w:szCs w:val="22"/>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2100408</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基本公共卫生服务</w:t>
            </w:r>
          </w:p>
        </w:tc>
        <w:tc>
          <w:tcPr>
            <w:tcW w:w="1381" w:type="dxa"/>
            <w:vAlign w:val="center"/>
          </w:tcPr>
          <w:p>
            <w:pPr>
              <w:keepNext w:val="0"/>
              <w:keepLines w:val="0"/>
              <w:widowControl/>
              <w:suppressLineNumbers w:val="0"/>
              <w:ind w:firstLine="440" w:firstLineChars="20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453.23</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47.91</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-846.00%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2100409</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重大公共卫生服务</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99.62</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124.64</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2100410</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突发公共卫生事件应急处理</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317.61</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332.72</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2100499</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其他公共卫生支出</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752.58</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1"/>
                <w:szCs w:val="21"/>
                <w:u w:val="none"/>
                <w:lang w:val="en-US" w:eastAsia="zh-CN" w:bidi="ar-SA"/>
              </w:rPr>
            </w:pPr>
          </w:p>
        </w:tc>
        <w:tc>
          <w:tcPr>
            <w:tcW w:w="1349" w:type="dxa"/>
            <w:vAlign w:val="center"/>
          </w:tcPr>
          <w:p>
            <w:pPr>
              <w:ind w:firstLine="440" w:firstLineChars="200"/>
              <w:jc w:val="center"/>
              <w:rPr>
                <w:rFonts w:hint="eastAsia" w:ascii="宋体" w:hAnsi="宋体" w:eastAsia="宋体" w:cs="宋体"/>
                <w:i w:val="0"/>
                <w:iCs w:val="0"/>
                <w:color w:val="000000"/>
                <w:kern w:val="2"/>
                <w:sz w:val="22"/>
                <w:szCs w:val="22"/>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21007</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计划生育事务</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691.13</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471.63</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2100716</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计划生育机构</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341.91</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198.05</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2100799</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其他计划生育事务支出</w:t>
            </w:r>
          </w:p>
        </w:tc>
        <w:tc>
          <w:tcPr>
            <w:tcW w:w="1381"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349.22</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273.58</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21016</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老龄卫生健康事务</w:t>
            </w:r>
          </w:p>
        </w:tc>
        <w:tc>
          <w:tcPr>
            <w:tcW w:w="138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0</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2.91</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2101601</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老龄卫生健康事务</w:t>
            </w:r>
          </w:p>
        </w:tc>
        <w:tc>
          <w:tcPr>
            <w:tcW w:w="138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0</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2.91</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21099</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其他卫生健康支出</w:t>
            </w:r>
          </w:p>
        </w:tc>
        <w:tc>
          <w:tcPr>
            <w:tcW w:w="138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26.73</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30</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2109999</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  其他卫生健康支出</w:t>
            </w:r>
          </w:p>
        </w:tc>
        <w:tc>
          <w:tcPr>
            <w:tcW w:w="138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26.73</w:t>
            </w:r>
          </w:p>
        </w:tc>
        <w:tc>
          <w:tcPr>
            <w:tcW w:w="1267"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30</w:t>
            </w:r>
          </w:p>
        </w:tc>
        <w:tc>
          <w:tcPr>
            <w:tcW w:w="134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212</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城乡社区支出</w:t>
            </w:r>
          </w:p>
        </w:tc>
        <w:tc>
          <w:tcPr>
            <w:tcW w:w="138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33.97</w:t>
            </w:r>
          </w:p>
        </w:tc>
        <w:tc>
          <w:tcPr>
            <w:tcW w:w="1267"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0</w:t>
            </w:r>
          </w:p>
        </w:tc>
        <w:tc>
          <w:tcPr>
            <w:tcW w:w="1349" w:type="dxa"/>
            <w:vAlign w:val="center"/>
          </w:tcPr>
          <w:p>
            <w:pPr>
              <w:ind w:firstLine="440" w:firstLineChars="200"/>
              <w:jc w:val="center"/>
              <w:rPr>
                <w:rFonts w:hint="eastAsia" w:ascii="宋体" w:hAnsi="宋体" w:eastAsia="宋体" w:cs="宋体"/>
                <w:i w:val="0"/>
                <w:iCs w:val="0"/>
                <w:color w:val="000000"/>
                <w:kern w:val="2"/>
                <w:sz w:val="22"/>
                <w:szCs w:val="22"/>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21208</w:t>
            </w:r>
          </w:p>
        </w:tc>
        <w:tc>
          <w:tcPr>
            <w:tcW w:w="3651"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国有土地使用权出让收入安排的支出</w:t>
            </w:r>
          </w:p>
        </w:tc>
        <w:tc>
          <w:tcPr>
            <w:tcW w:w="138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33.97</w:t>
            </w:r>
          </w:p>
        </w:tc>
        <w:tc>
          <w:tcPr>
            <w:tcW w:w="1267"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0</w:t>
            </w:r>
          </w:p>
        </w:tc>
        <w:tc>
          <w:tcPr>
            <w:tcW w:w="1349" w:type="dxa"/>
            <w:vAlign w:val="center"/>
          </w:tcPr>
          <w:p>
            <w:pPr>
              <w:ind w:firstLine="440" w:firstLineChars="200"/>
              <w:jc w:val="center"/>
              <w:rPr>
                <w:rFonts w:hint="eastAsia" w:ascii="宋体" w:hAnsi="宋体" w:eastAsia="宋体" w:cs="宋体"/>
                <w:i w:val="0"/>
                <w:iCs w:val="0"/>
                <w:color w:val="000000"/>
                <w:kern w:val="2"/>
                <w:sz w:val="22"/>
                <w:szCs w:val="22"/>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1450"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2120899</w:t>
            </w:r>
          </w:p>
        </w:tc>
        <w:tc>
          <w:tcPr>
            <w:tcW w:w="3651"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其他国有土地使用权出让收入安排的支出</w:t>
            </w:r>
          </w:p>
        </w:tc>
        <w:tc>
          <w:tcPr>
            <w:tcW w:w="138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33.97</w:t>
            </w:r>
          </w:p>
        </w:tc>
        <w:tc>
          <w:tcPr>
            <w:tcW w:w="1267"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22"/>
                <w:szCs w:val="22"/>
                <w:u w:val="none"/>
                <w:lang w:val="en-US" w:eastAsia="zh-CN" w:bidi="ar-SA"/>
              </w:rPr>
            </w:pPr>
          </w:p>
        </w:tc>
        <w:tc>
          <w:tcPr>
            <w:tcW w:w="1349" w:type="dxa"/>
            <w:vAlign w:val="center"/>
          </w:tcPr>
          <w:p>
            <w:pPr>
              <w:ind w:firstLine="440" w:firstLineChars="200"/>
              <w:rPr>
                <w:rFonts w:hint="eastAsia" w:ascii="宋体" w:hAnsi="宋体" w:eastAsia="宋体" w:cs="宋体"/>
                <w:i w:val="0"/>
                <w:iCs w:val="0"/>
                <w:color w:val="000000"/>
                <w:kern w:val="2"/>
                <w:sz w:val="22"/>
                <w:szCs w:val="22"/>
                <w:u w:val="none"/>
                <w:lang w:val="en-US" w:eastAsia="zh-CN" w:bidi="ar-SA"/>
              </w:rPr>
            </w:pP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  计</w:t>
            </w:r>
          </w:p>
        </w:tc>
        <w:tc>
          <w:tcPr>
            <w:tcW w:w="1837"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3,017.93</w:t>
            </w:r>
          </w:p>
        </w:tc>
        <w:tc>
          <w:tcPr>
            <w:tcW w:w="2071"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2144.30</w:t>
            </w:r>
          </w:p>
        </w:tc>
        <w:tc>
          <w:tcPr>
            <w:tcW w:w="195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工资福利支出</w:t>
            </w:r>
          </w:p>
        </w:tc>
        <w:tc>
          <w:tcPr>
            <w:tcW w:w="1837" w:type="dxa"/>
            <w:vAlign w:val="center"/>
          </w:tcPr>
          <w:p>
            <w:pPr>
              <w:keepNext w:val="0"/>
              <w:keepLines w:val="0"/>
              <w:widowControl/>
              <w:suppressLineNumbers w:val="0"/>
              <w:ind w:firstLine="440" w:firstLineChars="200"/>
              <w:jc w:val="both"/>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809.11</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kern w:val="0"/>
                <w:sz w:val="28"/>
                <w:szCs w:val="28"/>
              </w:rPr>
            </w:pPr>
            <w:r>
              <w:rPr>
                <w:rFonts w:hint="eastAsia" w:ascii="宋体" w:hAnsi="宋体" w:eastAsia="宋体" w:cs="宋体"/>
                <w:i w:val="0"/>
                <w:iCs w:val="0"/>
                <w:color w:val="000000"/>
                <w:kern w:val="0"/>
                <w:sz w:val="22"/>
                <w:szCs w:val="22"/>
                <w:u w:val="none"/>
                <w:lang w:val="en-US" w:eastAsia="zh-CN" w:bidi="ar"/>
              </w:rPr>
              <w:t>523.82</w:t>
            </w:r>
          </w:p>
        </w:tc>
        <w:tc>
          <w:tcPr>
            <w:tcW w:w="195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-54.46%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商品服务支出</w:t>
            </w:r>
          </w:p>
        </w:tc>
        <w:tc>
          <w:tcPr>
            <w:tcW w:w="1837" w:type="dxa"/>
            <w:vAlign w:val="center"/>
          </w:tcPr>
          <w:p>
            <w:pPr>
              <w:keepNext w:val="0"/>
              <w:keepLines w:val="0"/>
              <w:widowControl/>
              <w:suppressLineNumbers w:val="0"/>
              <w:ind w:firstLine="440" w:firstLineChars="20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1585.05</w:t>
            </w:r>
          </w:p>
        </w:tc>
        <w:tc>
          <w:tcPr>
            <w:tcW w:w="2071"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732.59</w:t>
            </w:r>
          </w:p>
        </w:tc>
        <w:tc>
          <w:tcPr>
            <w:tcW w:w="195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-116.36%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287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1837" w:type="dxa"/>
            <w:vAlign w:val="center"/>
          </w:tcPr>
          <w:p>
            <w:pPr>
              <w:keepNext w:val="0"/>
              <w:keepLines w:val="0"/>
              <w:widowControl/>
              <w:suppressLineNumbers w:val="0"/>
              <w:ind w:firstLine="440" w:firstLineChars="20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589.80</w:t>
            </w:r>
          </w:p>
        </w:tc>
        <w:tc>
          <w:tcPr>
            <w:tcW w:w="207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599.89</w:t>
            </w:r>
          </w:p>
        </w:tc>
        <w:tc>
          <w:tcPr>
            <w:tcW w:w="195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2876"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资本性支出</w:t>
            </w:r>
          </w:p>
        </w:tc>
        <w:tc>
          <w:tcPr>
            <w:tcW w:w="1837" w:type="dxa"/>
            <w:vAlign w:val="center"/>
          </w:tcPr>
          <w:p>
            <w:pPr>
              <w:keepNext w:val="0"/>
              <w:keepLines w:val="0"/>
              <w:widowControl/>
              <w:suppressLineNumbers w:val="0"/>
              <w:ind w:firstLine="440" w:firstLineChars="20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33.97</w:t>
            </w:r>
          </w:p>
        </w:tc>
        <w:tc>
          <w:tcPr>
            <w:tcW w:w="2071"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288.00</w:t>
            </w:r>
          </w:p>
        </w:tc>
        <w:tc>
          <w:tcPr>
            <w:tcW w:w="195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88.20%</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19" w:name="_Toc17728"/>
      <w:bookmarkStart w:id="20" w:name="_Toc841"/>
      <w:r>
        <w:rPr>
          <w:rFonts w:hint="eastAsia" w:ascii="仿宋" w:hAnsi="仿宋" w:eastAsia="仿宋" w:cs="仿宋"/>
          <w:b/>
          <w:bCs w:val="0"/>
          <w:lang w:val="en-US" w:eastAsia="zh-CN"/>
        </w:rPr>
        <w:t>六、一般公共预算财政拨款基本支出决算情况说明</w:t>
      </w:r>
      <w:bookmarkEnd w:id="19"/>
      <w:bookmarkEnd w:id="20"/>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2144.30</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523.82</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基本工资、津贴、绩效工资、社会保障等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1552.02</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商品和服务支出、对个人和家庭的补助</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68.46</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21" w:name="_Toc26508"/>
      <w:bookmarkStart w:id="22" w:name="_Toc2304"/>
      <w:r>
        <w:rPr>
          <w:rFonts w:hint="eastAsia" w:ascii="仿宋" w:hAnsi="仿宋" w:eastAsia="仿宋" w:cs="仿宋"/>
          <w:b/>
          <w:bCs w:val="0"/>
          <w:lang w:val="en-US" w:eastAsia="zh-CN"/>
        </w:rPr>
        <w:t>七、一般公共预算财政拨款“三公”经费支出决算情况说明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6</w:t>
      </w:r>
      <w:r>
        <w:rPr>
          <w:rFonts w:hint="eastAsia" w:ascii="仿宋_GB2312"/>
          <w:color w:val="auto"/>
          <w:szCs w:val="32"/>
        </w:rPr>
        <w:t>万元，，比上年增加</w:t>
      </w:r>
      <w:r>
        <w:rPr>
          <w:rFonts w:hint="eastAsia" w:ascii="仿宋_GB2312"/>
          <w:color w:val="auto"/>
          <w:szCs w:val="32"/>
          <w:lang w:val="en-US" w:eastAsia="zh-CN"/>
        </w:rPr>
        <w:t>0.77</w:t>
      </w:r>
      <w:r>
        <w:rPr>
          <w:rFonts w:hint="eastAsia" w:ascii="仿宋_GB2312"/>
          <w:color w:val="auto"/>
          <w:szCs w:val="32"/>
        </w:rPr>
        <w:t>万元，增长</w:t>
      </w:r>
      <w:r>
        <w:rPr>
          <w:rFonts w:hint="eastAsia" w:ascii="仿宋_GB2312"/>
          <w:color w:val="auto"/>
          <w:szCs w:val="32"/>
          <w:lang w:val="en-US" w:eastAsia="zh-CN"/>
        </w:rPr>
        <w:t>12.8</w:t>
      </w:r>
      <w:r>
        <w:rPr>
          <w:rFonts w:hint="eastAsia" w:ascii="仿宋_GB2312"/>
          <w:color w:val="auto"/>
          <w:szCs w:val="32"/>
        </w:rPr>
        <w:t>%，原因是</w:t>
      </w:r>
      <w:r>
        <w:rPr>
          <w:rFonts w:hint="eastAsia" w:ascii="仿宋_GB2312"/>
          <w:color w:val="auto"/>
          <w:szCs w:val="32"/>
          <w:lang w:val="en-US" w:eastAsia="zh-CN"/>
        </w:rPr>
        <w:t>接受检查和疫情期间督查多</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%，比上年减少（增长）</w:t>
      </w:r>
      <w:r>
        <w:rPr>
          <w:rFonts w:hint="eastAsia" w:ascii="仿宋_GB2312"/>
          <w:color w:val="auto"/>
          <w:szCs w:val="32"/>
          <w:lang w:val="en-US" w:eastAsia="zh-CN"/>
        </w:rPr>
        <w:t>0</w:t>
      </w:r>
      <w:r>
        <w:rPr>
          <w:rFonts w:hint="eastAsia" w:ascii="仿宋_GB2312"/>
          <w:color w:val="auto"/>
          <w:szCs w:val="32"/>
        </w:rPr>
        <w:t>万元，减少（增长）</w:t>
      </w:r>
      <w:r>
        <w:rPr>
          <w:rFonts w:hint="eastAsia" w:ascii="仿宋_GB2312"/>
          <w:color w:val="auto"/>
          <w:szCs w:val="32"/>
          <w:lang w:val="en-US" w:eastAsia="zh-CN"/>
        </w:rPr>
        <w:t>0</w:t>
      </w:r>
      <w:r>
        <w:rPr>
          <w:rFonts w:hint="eastAsia" w:ascii="仿宋_GB2312"/>
          <w:color w:val="auto"/>
          <w:szCs w:val="32"/>
        </w:rPr>
        <w:t>%；公务用车购置及运行费支出决算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万元，减少（增长）</w:t>
      </w:r>
      <w:r>
        <w:rPr>
          <w:rFonts w:hint="eastAsia" w:ascii="仿宋_GB2312"/>
          <w:color w:val="auto"/>
          <w:szCs w:val="32"/>
          <w:lang w:val="en-US" w:eastAsia="zh-CN"/>
        </w:rPr>
        <w:t>0</w:t>
      </w:r>
      <w:r>
        <w:rPr>
          <w:rFonts w:hint="eastAsia" w:ascii="仿宋_GB2312"/>
          <w:color w:val="auto"/>
          <w:szCs w:val="32"/>
        </w:rPr>
        <w:t>%；公务接待费支出决算</w:t>
      </w:r>
      <w:r>
        <w:rPr>
          <w:rFonts w:hint="eastAsia" w:ascii="仿宋_GB2312"/>
          <w:color w:val="auto"/>
          <w:szCs w:val="32"/>
          <w:lang w:val="en-US" w:eastAsia="zh-CN"/>
        </w:rPr>
        <w:t>3</w:t>
      </w:r>
      <w:r>
        <w:rPr>
          <w:rFonts w:hint="eastAsia" w:ascii="仿宋_GB2312"/>
          <w:color w:val="auto"/>
          <w:szCs w:val="32"/>
        </w:rPr>
        <w:t>万元，占比</w:t>
      </w:r>
      <w:r>
        <w:rPr>
          <w:rFonts w:hint="eastAsia" w:ascii="仿宋_GB2312"/>
          <w:color w:val="auto"/>
          <w:szCs w:val="32"/>
          <w:lang w:val="en-US" w:eastAsia="zh-CN"/>
        </w:rPr>
        <w:t>50</w:t>
      </w:r>
      <w:r>
        <w:rPr>
          <w:rFonts w:hint="eastAsia" w:ascii="仿宋_GB2312"/>
          <w:color w:val="auto"/>
          <w:szCs w:val="32"/>
        </w:rPr>
        <w:t>%，比上年增加</w:t>
      </w:r>
      <w:r>
        <w:rPr>
          <w:rFonts w:hint="eastAsia" w:ascii="仿宋_GB2312"/>
          <w:color w:val="auto"/>
          <w:szCs w:val="32"/>
          <w:lang w:val="en-US" w:eastAsia="zh-CN"/>
        </w:rPr>
        <w:t>1.73</w:t>
      </w:r>
      <w:r>
        <w:rPr>
          <w:rFonts w:hint="eastAsia" w:ascii="仿宋_GB2312"/>
          <w:color w:val="auto"/>
          <w:szCs w:val="32"/>
        </w:rPr>
        <w:t>万元，增长</w:t>
      </w:r>
      <w:r>
        <w:rPr>
          <w:rFonts w:hint="eastAsia" w:ascii="仿宋_GB2312"/>
          <w:color w:val="auto"/>
          <w:szCs w:val="32"/>
          <w:lang w:val="en-US" w:eastAsia="zh-CN"/>
        </w:rPr>
        <w:t>57.6</w:t>
      </w:r>
      <w:r>
        <w:rPr>
          <w:rFonts w:hint="eastAsia" w:ascii="仿宋_GB2312"/>
          <w:color w:val="auto"/>
          <w:szCs w:val="32"/>
        </w:rPr>
        <w:t>%。具体情况如下：</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1.23</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3</w:t>
            </w:r>
          </w:p>
        </w:tc>
        <w:tc>
          <w:tcPr>
            <w:tcW w:w="1418" w:type="dxa"/>
            <w:vAlign w:val="top"/>
          </w:tcPr>
          <w:p>
            <w:pPr>
              <w:pStyle w:val="8"/>
              <w:ind w:left="0" w:leftChars="0" w:firstLine="0" w:firstLineChars="0"/>
              <w:jc w:val="right"/>
              <w:rPr>
                <w:rFonts w:hint="default" w:eastAsia="仿宋_GB2312"/>
                <w:color w:val="000000"/>
                <w:sz w:val="28"/>
                <w:szCs w:val="28"/>
                <w:lang w:val="en-US" w:eastAsia="zh-CN"/>
              </w:rPr>
            </w:pPr>
            <w:r>
              <w:rPr>
                <w:rFonts w:hint="eastAsia"/>
                <w:color w:val="000000"/>
                <w:sz w:val="28"/>
                <w:szCs w:val="28"/>
                <w:lang w:val="en-US" w:eastAsia="zh-CN"/>
              </w:rPr>
              <w:t>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4</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0.88</w:t>
            </w:r>
          </w:p>
        </w:tc>
        <w:tc>
          <w:tcPr>
            <w:tcW w:w="1418" w:type="dxa"/>
            <w:vAlign w:val="top"/>
          </w:tcPr>
          <w:p>
            <w:pPr>
              <w:pStyle w:val="8"/>
              <w:ind w:left="0" w:leftChars="0" w:firstLine="0" w:firstLineChars="0"/>
              <w:jc w:val="right"/>
              <w:rPr>
                <w:rFonts w:hint="default" w:eastAsia="宋体"/>
                <w:color w:val="000000"/>
                <w:sz w:val="28"/>
                <w:szCs w:val="28"/>
                <w:lang w:val="en-US" w:eastAsia="zh-CN"/>
              </w:rPr>
            </w:pPr>
            <w:r>
              <w:rPr>
                <w:rFonts w:hint="eastAsia" w:eastAsia="宋体"/>
                <w:color w:val="000000"/>
                <w:sz w:val="28"/>
                <w:szCs w:val="28"/>
                <w:lang w:val="en-US" w:eastAsia="zh-CN"/>
              </w:rPr>
              <w:t>-354%</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3" w:name="_Toc1792"/>
      <w:bookmarkStart w:id="24" w:name="_Toc9078"/>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rPr>
          <w:rFonts w:hint="eastAsia" w:ascii="仿宋_GB2312"/>
          <w:color w:val="auto"/>
          <w:szCs w:val="32"/>
        </w:rPr>
      </w:pPr>
      <w:bookmarkStart w:id="26" w:name="_Toc16103"/>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2144.30</w:t>
      </w:r>
      <w:r>
        <w:rPr>
          <w:rFonts w:hint="eastAsia" w:ascii="仿宋_GB2312"/>
          <w:color w:val="auto"/>
          <w:szCs w:val="32"/>
        </w:rPr>
        <w:t>万元、支出总计</w:t>
      </w:r>
      <w:r>
        <w:rPr>
          <w:rFonts w:hint="eastAsia" w:ascii="仿宋_GB2312"/>
          <w:color w:val="auto"/>
          <w:szCs w:val="32"/>
          <w:lang w:val="en-US" w:eastAsia="zh-CN"/>
        </w:rPr>
        <w:t>2144.30</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998.11</w:t>
      </w:r>
      <w:r>
        <w:rPr>
          <w:rFonts w:hint="eastAsia" w:ascii="仿宋_GB2312"/>
          <w:color w:val="auto"/>
          <w:szCs w:val="32"/>
        </w:rPr>
        <w:t>万元，下降</w:t>
      </w:r>
      <w:r>
        <w:rPr>
          <w:rFonts w:hint="eastAsia" w:ascii="仿宋_GB2312"/>
          <w:color w:val="auto"/>
          <w:szCs w:val="32"/>
          <w:lang w:val="en-US" w:eastAsia="zh-CN"/>
        </w:rPr>
        <w:t>46.55</w:t>
      </w:r>
      <w:r>
        <w:rPr>
          <w:rFonts w:hint="eastAsia" w:ascii="仿宋_GB2312"/>
          <w:color w:val="auto"/>
          <w:szCs w:val="32"/>
        </w:rPr>
        <w:t>%，</w:t>
      </w:r>
    </w:p>
    <w:p>
      <w:pPr>
        <w:rPr>
          <w:rFonts w:hint="eastAsia"/>
          <w:b/>
          <w:bCs/>
        </w:rPr>
      </w:pPr>
      <w:r>
        <w:rPr>
          <w:rFonts w:hint="eastAsia"/>
          <w:b/>
          <w:bCs/>
        </w:rPr>
        <w:t>（二）政府采购情况说明</w:t>
      </w:r>
      <w:bookmarkEnd w:id="26"/>
    </w:p>
    <w:p>
      <w:pPr>
        <w:spacing w:line="580" w:lineRule="exact"/>
        <w:ind w:firstLine="640"/>
        <w:rPr>
          <w:rFonts w:hint="default" w:ascii="仿宋_GB2312"/>
          <w:color w:val="auto"/>
          <w:szCs w:val="32"/>
          <w:lang w:val="en-US"/>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288</w:t>
      </w:r>
      <w:r>
        <w:rPr>
          <w:rFonts w:hint="eastAsia" w:ascii="仿宋_GB2312"/>
          <w:color w:val="auto"/>
          <w:szCs w:val="32"/>
        </w:rPr>
        <w:t>万元，其中：政府采购货物支出</w:t>
      </w:r>
      <w:r>
        <w:rPr>
          <w:rFonts w:hint="eastAsia" w:ascii="仿宋_GB2312"/>
          <w:color w:val="auto"/>
          <w:szCs w:val="32"/>
          <w:lang w:val="en-US" w:eastAsia="zh-CN"/>
        </w:rPr>
        <w:t>288</w:t>
      </w:r>
      <w:r>
        <w:rPr>
          <w:rFonts w:hint="eastAsia" w:ascii="仿宋_GB2312"/>
          <w:color w:val="auto"/>
          <w:szCs w:val="32"/>
        </w:rPr>
        <w:t>万元、占政府采购支出总额的</w:t>
      </w:r>
      <w:r>
        <w:rPr>
          <w:rFonts w:hint="eastAsia" w:ascii="仿宋_GB2312"/>
          <w:color w:val="auto"/>
          <w:szCs w:val="32"/>
          <w:lang w:val="en-US" w:eastAsia="zh-CN"/>
        </w:rPr>
        <w:t>13.43</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288</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r>
        <w:rPr>
          <w:rFonts w:hint="eastAsia" w:ascii="仿宋_GB2312"/>
          <w:color w:val="auto"/>
          <w:szCs w:val="32"/>
          <w:lang w:val="en-US" w:eastAsia="zh-CN"/>
        </w:rPr>
        <w:t xml:space="preserve"> </w:t>
      </w:r>
    </w:p>
    <w:p>
      <w:pPr>
        <w:rPr>
          <w:rFonts w:hint="eastAsia"/>
          <w:b/>
          <w:bCs/>
        </w:rPr>
      </w:pPr>
      <w:bookmarkStart w:id="27" w:name="_Toc19975"/>
      <w:r>
        <w:rPr>
          <w:rFonts w:hint="eastAsia"/>
          <w:b/>
          <w:bCs/>
        </w:rPr>
        <w:t>（三）国有资产占用情况说明</w:t>
      </w:r>
      <w:bookmarkEnd w:id="27"/>
    </w:p>
    <w:p>
      <w:pPr>
        <w:numPr>
          <w:ilvl w:val="0"/>
          <w:numId w:val="0"/>
        </w:numPr>
        <w:ind w:firstLine="640" w:firstLineChars="200"/>
        <w:jc w:val="both"/>
        <w:rPr>
          <w:rFonts w:hint="eastAsia" w:ascii="仿宋_GB2312" w:hAnsi="仿宋_GB2312" w:eastAsia="仿宋_GB2312" w:cs="仿宋_GB2312"/>
          <w:b w:val="0"/>
          <w:bCs w:val="0"/>
          <w:color w:val="auto"/>
          <w:sz w:val="32"/>
          <w:szCs w:val="32"/>
          <w:lang w:val="en-US" w:eastAsia="zh-CN"/>
        </w:rPr>
      </w:pPr>
      <w:r>
        <w:rPr>
          <w:rFonts w:hint="eastAsia" w:ascii="仿宋_GB2312"/>
          <w:color w:val="auto"/>
          <w:szCs w:val="32"/>
          <w:lang w:val="en-US" w:eastAsia="zh-CN"/>
        </w:rPr>
        <w:t>1、</w:t>
      </w: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3</w:t>
      </w:r>
      <w:r>
        <w:rPr>
          <w:rFonts w:hint="eastAsia" w:ascii="仿宋_GB2312"/>
          <w:color w:val="auto"/>
          <w:szCs w:val="32"/>
        </w:rPr>
        <w:t>辆。其中，执法执勤用车</w:t>
      </w:r>
      <w:r>
        <w:rPr>
          <w:rFonts w:hint="eastAsia" w:ascii="仿宋_GB2312"/>
          <w:color w:val="auto"/>
          <w:szCs w:val="32"/>
          <w:lang w:val="en-US" w:eastAsia="zh-CN"/>
        </w:rPr>
        <w:t>1</w:t>
      </w:r>
      <w:r>
        <w:rPr>
          <w:rFonts w:hint="eastAsia" w:ascii="仿宋_GB2312"/>
          <w:color w:val="auto"/>
          <w:szCs w:val="32"/>
        </w:rPr>
        <w:t>辆、特种专业技术用车</w:t>
      </w:r>
      <w:r>
        <w:rPr>
          <w:rFonts w:hint="eastAsia" w:ascii="仿宋_GB2312"/>
          <w:color w:val="auto"/>
          <w:szCs w:val="32"/>
          <w:lang w:val="en-US" w:eastAsia="zh-CN"/>
        </w:rPr>
        <w:t>2</w:t>
      </w:r>
      <w:r>
        <w:rPr>
          <w:rFonts w:hint="eastAsia" w:ascii="仿宋_GB2312"/>
          <w:color w:val="auto"/>
          <w:szCs w:val="32"/>
        </w:rPr>
        <w:t>辆、</w:t>
      </w:r>
      <w:r>
        <w:rPr>
          <w:rFonts w:hint="eastAsia" w:ascii="仿宋_GB2312" w:hAnsi="仿宋_GB2312" w:eastAsia="仿宋_GB2312" w:cs="仿宋_GB2312"/>
          <w:b w:val="0"/>
          <w:bCs w:val="0"/>
          <w:color w:val="auto"/>
          <w:sz w:val="32"/>
          <w:szCs w:val="32"/>
          <w:lang w:val="en-US" w:eastAsia="zh-CN"/>
        </w:rPr>
        <w:t>共计</w:t>
      </w:r>
      <w:r>
        <w:rPr>
          <w:rFonts w:hint="eastAsia" w:ascii="宋体" w:hAnsi="宋体" w:eastAsia="宋体" w:cs="宋体"/>
          <w:i w:val="0"/>
          <w:iCs w:val="0"/>
          <w:color w:val="auto"/>
          <w:kern w:val="0"/>
          <w:sz w:val="32"/>
          <w:szCs w:val="32"/>
          <w:u w:val="none"/>
          <w:lang w:val="en-US" w:eastAsia="zh-CN" w:bidi="ar"/>
        </w:rPr>
        <w:t>692,811.00</w:t>
      </w:r>
      <w:r>
        <w:rPr>
          <w:rFonts w:hint="eastAsia" w:ascii="仿宋_GB2312" w:hAnsi="仿宋_GB2312" w:eastAsia="仿宋_GB2312" w:cs="仿宋_GB2312"/>
          <w:b w:val="0"/>
          <w:bCs w:val="0"/>
          <w:color w:val="auto"/>
          <w:sz w:val="32"/>
          <w:szCs w:val="32"/>
          <w:lang w:val="en-US" w:eastAsia="zh-CN"/>
        </w:rPr>
        <w:t>元</w:t>
      </w:r>
    </w:p>
    <w:p>
      <w:pPr>
        <w:numPr>
          <w:ilvl w:val="0"/>
          <w:numId w:val="0"/>
        </w:numPr>
        <w:ind w:left="630" w:leftChars="0"/>
        <w:jc w:val="both"/>
        <w:rPr>
          <w:rFonts w:hint="default"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val="en-US" w:eastAsia="zh-CN"/>
        </w:rPr>
        <w:t>房屋：600平方米，共计</w:t>
      </w:r>
      <w:r>
        <w:rPr>
          <w:rFonts w:hint="eastAsia" w:ascii="宋体" w:hAnsi="宋体" w:eastAsia="宋体" w:cs="宋体"/>
          <w:i w:val="0"/>
          <w:iCs w:val="0"/>
          <w:color w:val="auto"/>
          <w:kern w:val="0"/>
          <w:sz w:val="32"/>
          <w:szCs w:val="32"/>
          <w:u w:val="none"/>
          <w:lang w:val="en-US" w:eastAsia="zh-CN" w:bidi="ar"/>
        </w:rPr>
        <w:t>183,401.86</w:t>
      </w:r>
      <w:r>
        <w:rPr>
          <w:rFonts w:hint="eastAsia" w:ascii="仿宋_GB2312" w:hAnsi="仿宋_GB2312" w:eastAsia="仿宋_GB2312" w:cs="仿宋_GB2312"/>
          <w:b w:val="0"/>
          <w:bCs w:val="0"/>
          <w:color w:val="auto"/>
          <w:sz w:val="32"/>
          <w:szCs w:val="32"/>
          <w:lang w:val="en-US" w:eastAsia="zh-CN"/>
        </w:rPr>
        <w:t>元</w:t>
      </w:r>
    </w:p>
    <w:p>
      <w:pPr>
        <w:numPr>
          <w:ilvl w:val="0"/>
          <w:numId w:val="0"/>
        </w:numPr>
        <w:ind w:left="630" w:leftChars="0"/>
        <w:jc w:val="both"/>
        <w:rPr>
          <w:rFonts w:hint="eastAsia" w:ascii="仿宋_GB2312"/>
          <w:color w:val="auto"/>
          <w:szCs w:val="32"/>
        </w:rPr>
      </w:pPr>
      <w:r>
        <w:rPr>
          <w:rFonts w:hint="eastAsia" w:ascii="仿宋_GB2312" w:hAnsi="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其他国有资产2571174元。</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default" w:ascii="仿宋" w:hAnsi="仿宋" w:eastAsia="仿宋" w:cs="仿宋"/>
          <w:b/>
          <w:bCs/>
          <w:color w:val="FF0000"/>
          <w:sz w:val="32"/>
          <w:szCs w:val="32"/>
          <w:lang w:val="en-US" w:eastAsia="zh-CN"/>
        </w:rPr>
      </w:pPr>
      <w:r>
        <w:rPr>
          <w:rFonts w:hint="eastAsia" w:ascii="仿宋" w:hAnsi="仿宋" w:eastAsia="仿宋" w:cs="仿宋"/>
          <w:b/>
          <w:bCs/>
          <w:color w:val="auto"/>
          <w:sz w:val="32"/>
          <w:szCs w:val="32"/>
          <w:lang w:val="en-US" w:eastAsia="zh-CN"/>
        </w:rPr>
        <w:t>2021年本单位重点项目绩效目标情况自评说明详见附表</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bookmarkStart w:id="31" w:name="_GoBack"/>
      <w:bookmarkEnd w:id="31"/>
      <w:r>
        <w:rPr>
          <w:rFonts w:hint="eastAsia" w:ascii="仿宋_GB2312" w:hAnsi="仿宋_GB2312" w:eastAsia="仿宋_GB2312" w:cs="仿宋_GB2312"/>
          <w:sz w:val="32"/>
          <w:szCs w:val="32"/>
          <w:lang w:val="en-US" w:eastAsia="zh-CN"/>
        </w:rPr>
        <w:t>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w:t>
      </w:r>
      <w:r>
        <w:rPr>
          <w:rFonts w:hint="eastAsia" w:ascii="仿宋_GB2312" w:hAnsi="仿宋_GB2312" w:eastAsia="仿宋_GB2312" w:cs="仿宋_GB2312"/>
          <w:color w:val="auto"/>
          <w:sz w:val="32"/>
          <w:szCs w:val="32"/>
          <w:highlight w:val="none"/>
          <w:lang w:val="en-US" w:eastAsia="zh-CN"/>
        </w:rPr>
        <w:t>排的专项资金类和</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00万</w:t>
      </w:r>
      <w:r>
        <w:rPr>
          <w:rFonts w:hint="eastAsia" w:ascii="仿宋_GB2312" w:hAnsi="仿宋_GB2312" w:eastAsia="仿宋_GB2312" w:cs="仿宋_GB2312"/>
          <w:color w:val="auto"/>
          <w:sz w:val="32"/>
          <w:szCs w:val="32"/>
          <w:lang w:val="en-US" w:eastAsia="zh-CN"/>
        </w:rPr>
        <w:t>元</w:t>
      </w:r>
      <w:r>
        <w:rPr>
          <w:rFonts w:hint="eastAsia" w:ascii="仿宋_GB2312" w:hAnsi="仿宋_GB2312" w:eastAsia="仿宋_GB2312" w:cs="仿宋_GB2312"/>
          <w:sz w:val="32"/>
          <w:szCs w:val="32"/>
          <w:lang w:val="en-US" w:eastAsia="zh-CN"/>
        </w:rPr>
        <w:t>以上的经费补助类</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1620.48</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75.57</w:t>
      </w: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基金预算项目支出。</w:t>
      </w:r>
    </w:p>
    <w:p>
      <w:pPr>
        <w:numPr>
          <w:ilvl w:val="0"/>
          <w:numId w:val="0"/>
        </w:numPr>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cs="仿宋_GB2312"/>
          <w:sz w:val="32"/>
          <w:szCs w:val="32"/>
          <w:lang w:val="en-US" w:eastAsia="zh-CN"/>
        </w:rPr>
        <w:t xml:space="preserve"> 见附件</w:t>
      </w:r>
      <w:r>
        <w:rPr>
          <w:rFonts w:hint="eastAsia" w:ascii="仿宋_GB2312" w:hAnsi="仿宋_GB2312" w:eastAsia="仿宋_GB2312" w:cs="仿宋_GB2312"/>
          <w:sz w:val="32"/>
          <w:szCs w:val="32"/>
          <w:lang w:val="en-US" w:eastAsia="zh-CN"/>
        </w:rPr>
        <w:t>（绩效评价报告以附件形式公开）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28" w:name="_Toc8450"/>
      <w:bookmarkStart w:id="29" w:name="_Toc28108"/>
      <w:r>
        <w:rPr>
          <w:rFonts w:hint="eastAsia" w:ascii="仿宋_GB2312"/>
          <w:b/>
          <w:szCs w:val="32"/>
        </w:rPr>
        <w:t>其他需要说明的事项</w:t>
      </w:r>
      <w:bookmarkEnd w:id="28"/>
      <w:bookmarkEnd w:id="29"/>
      <w:r>
        <w:rPr>
          <w:rFonts w:hint="eastAsia" w:ascii="仿宋_GB2312"/>
          <w:b/>
          <w:szCs w:val="32"/>
          <w:lang w:eastAsia="zh-CN"/>
        </w:rPr>
        <w:t>：</w:t>
      </w:r>
      <w:r>
        <w:rPr>
          <w:rFonts w:hint="eastAsia" w:ascii="仿宋_GB2312"/>
          <w:b/>
          <w:szCs w:val="32"/>
          <w:lang w:val="en-US" w:eastAsia="zh-CN"/>
        </w:rPr>
        <w:t>无</w:t>
      </w:r>
    </w:p>
    <w:p>
      <w:pPr>
        <w:pStyle w:val="2"/>
        <w:ind w:left="0" w:leftChars="0" w:firstLine="0" w:firstLineChars="0"/>
        <w:jc w:val="center"/>
        <w:rPr>
          <w:rFonts w:hint="eastAsia"/>
          <w:b/>
          <w:sz w:val="36"/>
          <w:szCs w:val="36"/>
          <w:lang w:val="en-US" w:eastAsia="zh-CN"/>
        </w:rPr>
      </w:pPr>
      <w:bookmarkStart w:id="30" w:name="_Toc8545"/>
    </w:p>
    <w:p>
      <w:pPr>
        <w:pStyle w:val="2"/>
        <w:ind w:left="0" w:leftChars="0" w:firstLine="0" w:firstLineChars="0"/>
        <w:jc w:val="center"/>
        <w:rPr>
          <w:rFonts w:hint="eastAsia"/>
          <w:b/>
          <w:sz w:val="36"/>
          <w:szCs w:val="36"/>
          <w:lang w:val="en-US" w:eastAsia="zh-CN"/>
        </w:rPr>
      </w:pPr>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静乐县卫生健康和体育局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689" w:bottom="1440" w:left="1746"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4F932C"/>
    <w:multiLevelType w:val="singleLevel"/>
    <w:tmpl w:val="F64F932C"/>
    <w:lvl w:ilvl="0" w:tentative="0">
      <w:start w:val="1"/>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3696819"/>
    <w:rsid w:val="0BD00A62"/>
    <w:rsid w:val="16654CDD"/>
    <w:rsid w:val="1A4A5C33"/>
    <w:rsid w:val="1BA80110"/>
    <w:rsid w:val="23EB6F29"/>
    <w:rsid w:val="25382FDA"/>
    <w:rsid w:val="2701594C"/>
    <w:rsid w:val="27426717"/>
    <w:rsid w:val="2D9D1459"/>
    <w:rsid w:val="37943B50"/>
    <w:rsid w:val="3821117E"/>
    <w:rsid w:val="424A6C0D"/>
    <w:rsid w:val="42C12CEC"/>
    <w:rsid w:val="43F73043"/>
    <w:rsid w:val="44401A62"/>
    <w:rsid w:val="495520D0"/>
    <w:rsid w:val="4A012068"/>
    <w:rsid w:val="4B4505C3"/>
    <w:rsid w:val="53A30631"/>
    <w:rsid w:val="57DA2ED9"/>
    <w:rsid w:val="58CC5CE7"/>
    <w:rsid w:val="5EC01F6A"/>
    <w:rsid w:val="61A51378"/>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3496</Words>
  <Characters>4428</Characters>
  <Lines>0</Lines>
  <Paragraphs>0</Paragraphs>
  <TotalTime>1</TotalTime>
  <ScaleCrop>false</ScaleCrop>
  <LinksUpToDate>false</LinksUpToDate>
  <CharactersWithSpaces>4540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cp:lastPrinted>2022-07-21T09:41:00Z</cp:lastPrinted>
  <dcterms:modified xsi:type="dcterms:W3CDTF">2022-08-03T02:18:19Z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89352E1DE509486E8EF41703D748A041</vt:lpwstr>
  </property>
</Properties>
</file>