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晋西北循环线、宁白线、忻黑线及赤泥洼线占地亩数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2121.87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风神山、东大树、河西坡面、及城郊造林绿化占地面积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412.70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城杜线和忻保、太佳高速出口绿化面积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2600.96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补偿标准符合率（%）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通道绿化完成及时率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补偿资金到位及时性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通道绿化使当地农民保护环境意识增强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通过通道绿化提升静乐形象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静乐县自然气候条件改善情况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有利于生态可持续发展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