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eastAsia="zh-CN"/>
        </w:rPr>
      </w:pPr>
      <w:bookmarkStart w:id="0" w:name="_Toc21118"/>
      <w:bookmarkStart w:id="1" w:name="_Toc32048"/>
      <w:bookmarkStart w:id="2" w:name="_Toc31071"/>
      <w:r>
        <w:rPr>
          <w:rFonts w:hint="eastAsia" w:ascii="华文中宋" w:hAnsi="华文中宋" w:eastAsia="华文中宋"/>
          <w:color w:val="auto"/>
          <w:sz w:val="44"/>
          <w:szCs w:val="44"/>
          <w:lang w:val="en-US" w:eastAsia="zh-CN"/>
        </w:rPr>
        <w:t>静乐县</w:t>
      </w:r>
      <w:r>
        <w:rPr>
          <w:rFonts w:hint="eastAsia" w:ascii="华文中宋" w:hAnsi="华文中宋" w:eastAsia="华文中宋"/>
          <w:color w:val="auto"/>
          <w:sz w:val="44"/>
          <w:szCs w:val="44"/>
          <w:lang w:eastAsia="zh-CN"/>
        </w:rPr>
        <w:t>君宇中学校</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9</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9</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23288"/>
      <w:bookmarkStart w:id="4" w:name="_Toc31140"/>
      <w:r>
        <w:rPr>
          <w:rFonts w:hint="eastAsia"/>
          <w:color w:val="auto"/>
          <w:sz w:val="36"/>
          <w:szCs w:val="36"/>
        </w:rPr>
        <w:t>第一部分  概况</w:t>
      </w:r>
      <w:bookmarkEnd w:id="3"/>
      <w:bookmarkEnd w:id="4"/>
    </w:p>
    <w:p>
      <w:pPr>
        <w:ind w:firstLine="640"/>
        <w:rPr>
          <w:rFonts w:hint="eastAsia" w:ascii="仿宋" w:hAnsi="仿宋" w:eastAsia="仿宋" w:cs="仿宋"/>
          <w:b w:val="0"/>
          <w:bCs/>
          <w:color w:val="auto"/>
        </w:rPr>
      </w:pPr>
      <w:bookmarkStart w:id="5" w:name="_Toc24066"/>
      <w:bookmarkStart w:id="6" w:name="_Toc4461"/>
      <w:r>
        <w:rPr>
          <w:rFonts w:hint="eastAsia" w:ascii="仿宋" w:hAnsi="仿宋" w:eastAsia="仿宋" w:cs="仿宋"/>
          <w:b w:val="0"/>
          <w:bCs/>
          <w:color w:val="auto"/>
        </w:rPr>
        <w:t>一、本部门职责</w:t>
      </w:r>
      <w:bookmarkEnd w:id="5"/>
      <w:bookmarkEnd w:id="6"/>
    </w:p>
    <w:p>
      <w:pPr>
        <w:pStyle w:val="8"/>
        <w:spacing w:before="0" w:beforeAutospacing="0" w:after="0" w:afterAutospacing="0" w:line="500" w:lineRule="exact"/>
        <w:ind w:left="0" w:leftChars="0" w:firstLine="0" w:firstLineChars="0"/>
        <w:rPr>
          <w:rFonts w:hint="eastAsia"/>
          <w:color w:val="000000"/>
          <w:sz w:val="32"/>
          <w:szCs w:val="32"/>
        </w:rPr>
      </w:pPr>
      <w:r>
        <w:rPr>
          <w:rFonts w:hint="eastAsia"/>
          <w:color w:val="000000"/>
          <w:sz w:val="32"/>
          <w:szCs w:val="32"/>
          <w:shd w:val="clear" w:color="auto" w:fill="FFFFFF"/>
        </w:rPr>
        <w:t>1、执行上级教育主管部门的各项决定;</w:t>
      </w:r>
      <w:r>
        <w:rPr>
          <w:rFonts w:hint="eastAsia"/>
          <w:color w:val="000000"/>
          <w:sz w:val="32"/>
          <w:szCs w:val="32"/>
          <w:shd w:val="clear" w:color="auto" w:fill="FFFFFF"/>
        </w:rPr>
        <w:br w:type="textWrapping"/>
      </w:r>
      <w:r>
        <w:rPr>
          <w:rFonts w:hint="eastAsia"/>
          <w:color w:val="000000"/>
          <w:sz w:val="32"/>
          <w:szCs w:val="32"/>
          <w:shd w:val="clear" w:color="auto" w:fill="FFFFFF"/>
        </w:rPr>
        <w:t>2、实施发展规划，拟订年度工作计划、</w:t>
      </w:r>
      <w:r>
        <w:rPr>
          <w:rStyle w:val="10"/>
          <w:rFonts w:hint="eastAsia"/>
          <w:color w:val="000000"/>
          <w:sz w:val="32"/>
          <w:szCs w:val="32"/>
          <w:u w:val="none"/>
          <w:shd w:val="clear" w:color="auto" w:fill="FFFFFF"/>
        </w:rPr>
        <w:fldChar w:fldCharType="begin"/>
      </w:r>
      <w:r>
        <w:rPr>
          <w:rStyle w:val="10"/>
          <w:rFonts w:hint="eastAsia"/>
          <w:color w:val="000000"/>
          <w:sz w:val="32"/>
          <w:szCs w:val="32"/>
          <w:u w:val="none"/>
          <w:shd w:val="clear" w:color="auto" w:fill="FFFFFF"/>
        </w:rPr>
        <w:instrText xml:space="preserve">HYPERLINK "https://www.baidu.com/s?wd=%E8%B4%A2%E5%8A%A1%E9%A2%84%E7%AE%97&amp;from=1012015a&amp;fenlei=mv6quAkxTZn0IZRqIHckPjm4nH00T1Y4PAwhn1u-PAD3uhDzPyc10ZwV5Hcvrjm3rH6sPfKWUMw85HfYnjn4nH6sgvPsT6KdThsqpZwYTjCEQLGCpyw9Uz4Bmy-bIi4WUvYETgN-TLwGUv3En1RzPWnzPW0d"</w:instrText>
      </w:r>
      <w:r>
        <w:rPr>
          <w:rStyle w:val="10"/>
          <w:rFonts w:hint="eastAsia"/>
          <w:color w:val="000000"/>
          <w:sz w:val="32"/>
          <w:szCs w:val="32"/>
          <w:u w:val="none"/>
          <w:shd w:val="clear" w:color="auto" w:fill="FFFFFF"/>
        </w:rPr>
        <w:fldChar w:fldCharType="separate"/>
      </w:r>
      <w:r>
        <w:rPr>
          <w:rStyle w:val="10"/>
          <w:rFonts w:hint="eastAsia"/>
          <w:color w:val="000000"/>
          <w:sz w:val="32"/>
          <w:szCs w:val="32"/>
          <w:u w:val="none"/>
          <w:shd w:val="clear" w:color="auto" w:fill="FFFFFF"/>
        </w:rPr>
        <w:t>财务预算</w:t>
      </w:r>
      <w:r>
        <w:rPr>
          <w:rFonts w:hint="eastAsia"/>
          <w:color w:val="000000"/>
          <w:sz w:val="32"/>
          <w:szCs w:val="32"/>
          <w:shd w:val="clear" w:color="auto" w:fill="FFFFFF"/>
        </w:rPr>
        <w:fldChar w:fldCharType="end"/>
      </w:r>
      <w:r>
        <w:rPr>
          <w:rFonts w:hint="eastAsia"/>
          <w:color w:val="000000"/>
          <w:sz w:val="32"/>
          <w:szCs w:val="32"/>
          <w:shd w:val="clear" w:color="auto" w:fill="FFFFFF"/>
        </w:rPr>
        <w:t>和学校规章制度;</w:t>
      </w:r>
      <w:r>
        <w:rPr>
          <w:rFonts w:hint="eastAsia"/>
          <w:color w:val="000000"/>
          <w:sz w:val="32"/>
          <w:szCs w:val="32"/>
          <w:shd w:val="clear" w:color="auto" w:fill="FFFFFF"/>
        </w:rPr>
        <w:br w:type="textWrapping"/>
      </w:r>
      <w:r>
        <w:rPr>
          <w:rFonts w:hint="eastAsia"/>
          <w:color w:val="000000"/>
          <w:sz w:val="32"/>
          <w:szCs w:val="32"/>
          <w:shd w:val="clear" w:color="auto" w:fill="FFFFFF"/>
        </w:rPr>
        <w:t xml:space="preserve">3、聘任和解聘学校工作人员，实施奖惩; </w:t>
      </w:r>
      <w:r>
        <w:rPr>
          <w:rFonts w:hint="eastAsia"/>
          <w:color w:val="000000"/>
          <w:sz w:val="32"/>
          <w:szCs w:val="32"/>
          <w:shd w:val="clear" w:color="auto" w:fill="FFFFFF"/>
        </w:rPr>
        <w:br w:type="textWrapping"/>
      </w:r>
      <w:r>
        <w:rPr>
          <w:rFonts w:hint="eastAsia"/>
          <w:color w:val="000000"/>
          <w:sz w:val="32"/>
          <w:szCs w:val="32"/>
          <w:shd w:val="clear" w:color="auto" w:fill="FFFFFF"/>
        </w:rPr>
        <w:t xml:space="preserve">4、组织教育教学、科学研究活动，保证教育教学质量; </w:t>
      </w:r>
      <w:r>
        <w:rPr>
          <w:rFonts w:hint="eastAsia"/>
          <w:color w:val="000000"/>
          <w:sz w:val="32"/>
          <w:szCs w:val="32"/>
          <w:shd w:val="clear" w:color="auto" w:fill="FFFFFF"/>
        </w:rPr>
        <w:br w:type="textWrapping"/>
      </w:r>
      <w:r>
        <w:rPr>
          <w:rFonts w:hint="eastAsia"/>
          <w:color w:val="000000"/>
          <w:sz w:val="32"/>
          <w:szCs w:val="32"/>
          <w:shd w:val="clear" w:color="auto" w:fill="FFFFFF"/>
        </w:rPr>
        <w:t>5、负责学校日常管理工作</w:t>
      </w:r>
      <w:r>
        <w:rPr>
          <w:rFonts w:hint="eastAsia"/>
          <w:color w:val="000000"/>
          <w:sz w:val="32"/>
          <w:szCs w:val="32"/>
          <w:shd w:val="clear" w:color="auto" w:fill="FFFFFF"/>
        </w:rPr>
        <w:br w:type="textWrapping"/>
      </w:r>
      <w:r>
        <w:rPr>
          <w:rFonts w:hint="eastAsia"/>
          <w:color w:val="000000"/>
          <w:sz w:val="32"/>
          <w:szCs w:val="32"/>
          <w:shd w:val="clear" w:color="auto" w:fill="FFFFFF"/>
        </w:rPr>
        <w:t>6、坚持依法办学，遵守学校章程，维护学校利益。</w:t>
      </w:r>
      <w:r>
        <w:rPr>
          <w:rFonts w:hint="eastAsia"/>
          <w:color w:val="000000"/>
          <w:sz w:val="32"/>
          <w:szCs w:val="32"/>
          <w:shd w:val="clear" w:color="auto" w:fill="FFFFFF"/>
        </w:rPr>
        <w:br w:type="textWrapping"/>
      </w:r>
      <w:r>
        <w:rPr>
          <w:rFonts w:hint="eastAsia"/>
          <w:color w:val="000000"/>
          <w:sz w:val="32"/>
          <w:szCs w:val="32"/>
          <w:shd w:val="clear" w:color="auto" w:fill="FFFFFF"/>
        </w:rPr>
        <w:t>7、合理配置学校“人、财、物、信息”资源，有效行使学校</w:t>
      </w:r>
      <w:r>
        <w:rPr>
          <w:rStyle w:val="10"/>
          <w:rFonts w:hint="eastAsia"/>
          <w:color w:val="000000"/>
          <w:sz w:val="32"/>
          <w:szCs w:val="32"/>
          <w:u w:val="none"/>
          <w:shd w:val="clear" w:color="auto" w:fill="FFFFFF"/>
        </w:rPr>
        <w:fldChar w:fldCharType="begin"/>
      </w:r>
      <w:r>
        <w:rPr>
          <w:rStyle w:val="10"/>
          <w:rFonts w:hint="eastAsia"/>
          <w:color w:val="000000"/>
          <w:sz w:val="32"/>
          <w:szCs w:val="32"/>
          <w:u w:val="none"/>
          <w:shd w:val="clear" w:color="auto" w:fill="FFFFFF"/>
        </w:rPr>
        <w:instrText xml:space="preserve">HYPERLINK "https://www.baidu.com/s?wd=%E9%87%8D%E5%A4%A7%E4%BA%8B%E9%A1%B9&amp;from=1012015a&amp;fenlei=mv6quAkxTZn0IZRqIHckPjm4nH00T1Y4PAwhn1u-PAD3uhDzPyc10ZwV5Hcvrjm3rH6sPfKWUMw85HfYnjn4nH6sgvPsT6KdThsqpZwYTjCEQLGCpyw9Uz4Bmy-bIi4WUvYETgN-TLwGUv3En1RzPWnzPW0d"</w:instrText>
      </w:r>
      <w:r>
        <w:rPr>
          <w:rStyle w:val="10"/>
          <w:rFonts w:hint="eastAsia"/>
          <w:color w:val="000000"/>
          <w:sz w:val="32"/>
          <w:szCs w:val="32"/>
          <w:u w:val="none"/>
          <w:shd w:val="clear" w:color="auto" w:fill="FFFFFF"/>
        </w:rPr>
        <w:fldChar w:fldCharType="separate"/>
      </w:r>
      <w:r>
        <w:rPr>
          <w:rStyle w:val="10"/>
          <w:rFonts w:hint="eastAsia"/>
          <w:color w:val="000000"/>
          <w:sz w:val="32"/>
          <w:szCs w:val="32"/>
          <w:u w:val="none"/>
          <w:shd w:val="clear" w:color="auto" w:fill="FFFFFF"/>
        </w:rPr>
        <w:t>重大事项</w:t>
      </w:r>
      <w:r>
        <w:rPr>
          <w:rFonts w:hint="eastAsia"/>
          <w:color w:val="000000"/>
          <w:sz w:val="32"/>
          <w:szCs w:val="32"/>
          <w:shd w:val="clear" w:color="auto" w:fill="FFFFFF"/>
        </w:rPr>
        <w:fldChar w:fldCharType="end"/>
      </w:r>
      <w:r>
        <w:rPr>
          <w:rFonts w:hint="eastAsia"/>
          <w:color w:val="000000"/>
          <w:sz w:val="32"/>
          <w:szCs w:val="32"/>
          <w:shd w:val="clear" w:color="auto" w:fill="FFFFFF"/>
        </w:rPr>
        <w:t>和重大改革措施的决策权。</w:t>
      </w:r>
      <w:r>
        <w:rPr>
          <w:rFonts w:hint="eastAsia"/>
          <w:color w:val="000000"/>
          <w:sz w:val="32"/>
          <w:szCs w:val="32"/>
          <w:shd w:val="clear" w:color="auto" w:fill="FFFFFF"/>
        </w:rPr>
        <w:br w:type="textWrapping"/>
      </w:r>
      <w:r>
        <w:rPr>
          <w:rFonts w:hint="eastAsia"/>
          <w:color w:val="000000"/>
          <w:sz w:val="32"/>
          <w:szCs w:val="32"/>
          <w:shd w:val="clear" w:color="auto" w:fill="FFFFFF"/>
        </w:rPr>
        <w:t>8、及时向上级</w:t>
      </w:r>
      <w:r>
        <w:rPr>
          <w:rStyle w:val="10"/>
          <w:rFonts w:hint="eastAsia"/>
          <w:color w:val="000000"/>
          <w:sz w:val="32"/>
          <w:szCs w:val="32"/>
          <w:u w:val="none"/>
          <w:shd w:val="clear" w:color="auto" w:fill="FFFFFF"/>
        </w:rPr>
        <w:fldChar w:fldCharType="begin"/>
      </w:r>
      <w:r>
        <w:rPr>
          <w:rStyle w:val="10"/>
          <w:rFonts w:hint="eastAsia"/>
          <w:color w:val="000000"/>
          <w:sz w:val="32"/>
          <w:szCs w:val="32"/>
          <w:u w:val="none"/>
          <w:shd w:val="clear" w:color="auto" w:fill="FFFFFF"/>
        </w:rPr>
        <w:instrText xml:space="preserve">HYPERLINK "https://www.baidu.com/s?wd=%E6%95%99%E8%82%B2%E8%A1%8C%E6%94%BF%E9%83%A8%E9%97%A8&amp;from=1012015a&amp;fenlei=mv6quAkxTZn0IZRqIHckPjm4nH00T1Y4PAwhn1u-PAD3uhDzPyc10ZwV5Hcvrjm3rH6sPfKWUMw85HfYnjn4nH6sgvPsT6KdThsqpZwYTjCEQLGCpyw9Uz4Bmy-bIi4WUvYETgN-TLwGUv3En1RzPWnzPW0d"</w:instrText>
      </w:r>
      <w:r>
        <w:rPr>
          <w:rStyle w:val="10"/>
          <w:rFonts w:hint="eastAsia"/>
          <w:color w:val="000000"/>
          <w:sz w:val="32"/>
          <w:szCs w:val="32"/>
          <w:u w:val="none"/>
          <w:shd w:val="clear" w:color="auto" w:fill="FFFFFF"/>
        </w:rPr>
        <w:fldChar w:fldCharType="separate"/>
      </w:r>
      <w:r>
        <w:rPr>
          <w:rStyle w:val="10"/>
          <w:rFonts w:hint="eastAsia"/>
          <w:color w:val="000000"/>
          <w:sz w:val="32"/>
          <w:szCs w:val="32"/>
          <w:u w:val="none"/>
          <w:shd w:val="clear" w:color="auto" w:fill="FFFFFF"/>
        </w:rPr>
        <w:t>教育行政部门</w:t>
      </w:r>
      <w:r>
        <w:rPr>
          <w:rFonts w:hint="eastAsia"/>
          <w:color w:val="000000"/>
          <w:sz w:val="32"/>
          <w:szCs w:val="32"/>
          <w:shd w:val="clear" w:color="auto" w:fill="FFFFFF"/>
        </w:rPr>
        <w:fldChar w:fldCharType="end"/>
      </w:r>
      <w:r>
        <w:rPr>
          <w:rFonts w:hint="eastAsia"/>
          <w:color w:val="000000"/>
          <w:sz w:val="32"/>
          <w:szCs w:val="32"/>
          <w:shd w:val="clear" w:color="auto" w:fill="FFFFFF"/>
        </w:rPr>
        <w:t>汇报学校工作</w:t>
      </w:r>
      <w:r>
        <w:rPr>
          <w:rFonts w:hint="eastAsia"/>
          <w:color w:val="000000"/>
          <w:sz w:val="32"/>
          <w:szCs w:val="32"/>
          <w:shd w:val="clear" w:color="auto" w:fill="FFFFFF"/>
        </w:rPr>
        <w:br w:type="textWrapping"/>
      </w:r>
      <w:r>
        <w:rPr>
          <w:rFonts w:hint="eastAsia"/>
          <w:color w:val="000000"/>
          <w:sz w:val="32"/>
          <w:szCs w:val="32"/>
          <w:shd w:val="clear" w:color="auto" w:fill="FFFFFF"/>
        </w:rPr>
        <w:t>9、维护教职工利益，保障教职工合法权益，以教职工和学生的人生幸福和</w:t>
      </w:r>
      <w:r>
        <w:rPr>
          <w:rStyle w:val="10"/>
          <w:rFonts w:hint="eastAsia"/>
          <w:color w:val="000000"/>
          <w:sz w:val="32"/>
          <w:szCs w:val="32"/>
          <w:u w:val="none"/>
          <w:shd w:val="clear" w:color="auto" w:fill="FFFFFF"/>
        </w:rPr>
        <w:fldChar w:fldCharType="begin"/>
      </w:r>
      <w:r>
        <w:rPr>
          <w:rStyle w:val="10"/>
          <w:rFonts w:hint="eastAsia"/>
          <w:color w:val="000000"/>
          <w:sz w:val="32"/>
          <w:szCs w:val="32"/>
          <w:u w:val="none"/>
          <w:shd w:val="clear" w:color="auto" w:fill="FFFFFF"/>
        </w:rPr>
        <w:instrText xml:space="preserve">HYPERLINK "https://www.baidu.com/s?wd=%E7%94%9F%E5%91%BD%E8%B4%A8%E9%87%8F&amp;from=1012015a&amp;fenlei=mv6quAkxTZn0IZRqIHckPjm4nH00T1Y4PAwhn1u-PAD3uhDzPyc10ZwV5Hcvrjm3rH6sPfKWUMw85HfYnjn4nH6sgvPsT6KdThsqpZwYTjCEQLGCpyw9Uz4Bmy-bIi4WUvYETgN-TLwGUv3En1RzPWnzPW0d"</w:instrText>
      </w:r>
      <w:r>
        <w:rPr>
          <w:rStyle w:val="10"/>
          <w:rFonts w:hint="eastAsia"/>
          <w:color w:val="000000"/>
          <w:sz w:val="32"/>
          <w:szCs w:val="32"/>
          <w:u w:val="none"/>
          <w:shd w:val="clear" w:color="auto" w:fill="FFFFFF"/>
        </w:rPr>
        <w:fldChar w:fldCharType="separate"/>
      </w:r>
      <w:r>
        <w:rPr>
          <w:rStyle w:val="10"/>
          <w:rFonts w:hint="eastAsia"/>
          <w:color w:val="000000"/>
          <w:sz w:val="32"/>
          <w:szCs w:val="32"/>
          <w:u w:val="none"/>
          <w:shd w:val="clear" w:color="auto" w:fill="FFFFFF"/>
        </w:rPr>
        <w:t>生命质量</w:t>
      </w:r>
      <w:r>
        <w:rPr>
          <w:rFonts w:hint="eastAsia"/>
          <w:color w:val="000000"/>
          <w:sz w:val="32"/>
          <w:szCs w:val="32"/>
          <w:shd w:val="clear" w:color="auto" w:fill="FFFFFF"/>
        </w:rPr>
        <w:fldChar w:fldCharType="end"/>
      </w:r>
      <w:r>
        <w:rPr>
          <w:rFonts w:hint="eastAsia"/>
          <w:color w:val="000000"/>
          <w:sz w:val="32"/>
          <w:szCs w:val="32"/>
          <w:shd w:val="clear" w:color="auto" w:fill="FFFFFF"/>
        </w:rPr>
        <w:t>作为关注焦点，建立信任，消除焦虑。</w:t>
      </w:r>
      <w:r>
        <w:rPr>
          <w:rFonts w:hint="eastAsia"/>
          <w:color w:val="000000"/>
          <w:sz w:val="32"/>
          <w:szCs w:val="32"/>
          <w:shd w:val="clear" w:color="auto" w:fill="FFFFFF"/>
        </w:rPr>
        <w:br w:type="textWrapping"/>
      </w:r>
      <w:r>
        <w:rPr>
          <w:rFonts w:hint="eastAsia"/>
          <w:color w:val="000000"/>
          <w:sz w:val="32"/>
          <w:szCs w:val="32"/>
          <w:shd w:val="clear" w:color="auto" w:fill="FFFFFF"/>
        </w:rPr>
        <w:t xml:space="preserve">10、尊重教职工的主人翁地位和民主管理、民主监督的权利，团结和依靠教职工办好学校。 </w:t>
      </w:r>
    </w:p>
    <w:p>
      <w:pPr>
        <w:pStyle w:val="8"/>
        <w:spacing w:before="0" w:beforeAutospacing="0" w:after="0" w:afterAutospacing="0" w:line="500" w:lineRule="exact"/>
        <w:ind w:firstLine="723" w:firstLineChars="200"/>
        <w:rPr>
          <w:rFonts w:hint="eastAsia" w:ascii="仿宋_GB2312" w:eastAsia="仿宋_GB2312"/>
          <w:b/>
          <w:color w:val="000000"/>
          <w:sz w:val="32"/>
          <w:szCs w:val="32"/>
        </w:rPr>
      </w:pPr>
      <w:r>
        <w:rPr>
          <w:rFonts w:hint="eastAsia" w:ascii="仿宋_GB2312" w:eastAsia="仿宋_GB2312"/>
          <w:b/>
          <w:bCs/>
          <w:color w:val="000000"/>
          <w:sz w:val="36"/>
          <w:szCs w:val="36"/>
        </w:rPr>
        <w:t>（2)</w:t>
      </w:r>
      <w:r>
        <w:rPr>
          <w:rFonts w:hint="eastAsia" w:ascii="仿宋_GB2312" w:eastAsia="仿宋_GB2312"/>
          <w:b/>
          <w:color w:val="000000"/>
          <w:sz w:val="32"/>
          <w:szCs w:val="32"/>
        </w:rPr>
        <w:t>单位基本情况</w:t>
      </w:r>
    </w:p>
    <w:p>
      <w:pPr>
        <w:ind w:left="0" w:firstLine="640" w:firstLineChars="200"/>
        <w:rPr>
          <w:rFonts w:hint="eastAsia" w:ascii="宋体"/>
          <w:color w:val="000000"/>
          <w:sz w:val="32"/>
          <w:szCs w:val="32"/>
        </w:rPr>
      </w:pPr>
      <w:r>
        <w:rPr>
          <w:rFonts w:hint="eastAsia" w:ascii="宋体"/>
          <w:color w:val="000000"/>
          <w:sz w:val="32"/>
          <w:szCs w:val="32"/>
        </w:rPr>
        <w:t>我</w:t>
      </w:r>
      <w:r>
        <w:rPr>
          <w:rFonts w:hint="eastAsia" w:ascii="宋体"/>
          <w:color w:val="000000"/>
          <w:sz w:val="32"/>
          <w:szCs w:val="32"/>
          <w:lang w:eastAsia="zh-CN"/>
        </w:rPr>
        <w:t>校</w:t>
      </w:r>
      <w:r>
        <w:rPr>
          <w:rFonts w:hint="eastAsia" w:ascii="宋体"/>
          <w:color w:val="000000"/>
          <w:sz w:val="32"/>
          <w:szCs w:val="32"/>
        </w:rPr>
        <w:t>编制</w:t>
      </w:r>
      <w:r>
        <w:rPr>
          <w:rFonts w:hint="eastAsia" w:ascii="宋体"/>
          <w:color w:val="000000"/>
          <w:sz w:val="32"/>
          <w:szCs w:val="32"/>
          <w:lang w:val="en-US" w:eastAsia="zh-CN"/>
        </w:rPr>
        <w:t>35</w:t>
      </w:r>
      <w:r>
        <w:rPr>
          <w:rFonts w:hint="eastAsia" w:ascii="宋体"/>
          <w:color w:val="000000"/>
          <w:sz w:val="32"/>
          <w:szCs w:val="32"/>
        </w:rPr>
        <w:t>人，实有</w:t>
      </w:r>
      <w:r>
        <w:rPr>
          <w:rFonts w:hint="eastAsia" w:ascii="宋体"/>
          <w:color w:val="000000"/>
          <w:sz w:val="32"/>
          <w:szCs w:val="32"/>
          <w:lang w:val="en-US" w:eastAsia="zh-CN"/>
        </w:rPr>
        <w:t>34</w:t>
      </w:r>
      <w:r>
        <w:rPr>
          <w:rFonts w:hint="eastAsia" w:ascii="宋体"/>
          <w:color w:val="000000"/>
          <w:sz w:val="32"/>
          <w:szCs w:val="32"/>
        </w:rPr>
        <w:t>人。与20</w:t>
      </w:r>
      <w:r>
        <w:rPr>
          <w:rFonts w:hint="eastAsia" w:ascii="宋体"/>
          <w:color w:val="000000"/>
          <w:sz w:val="32"/>
          <w:szCs w:val="32"/>
          <w:lang w:val="en-US" w:eastAsia="zh-CN"/>
        </w:rPr>
        <w:t>20</w:t>
      </w:r>
      <w:r>
        <w:rPr>
          <w:rFonts w:hint="eastAsia" w:ascii="宋体"/>
          <w:color w:val="000000"/>
          <w:sz w:val="32"/>
          <w:szCs w:val="32"/>
        </w:rPr>
        <w:t>年比较人员</w:t>
      </w:r>
      <w:r>
        <w:rPr>
          <w:rFonts w:hint="eastAsia" w:ascii="宋体"/>
          <w:color w:val="000000"/>
          <w:sz w:val="32"/>
          <w:szCs w:val="32"/>
          <w:lang w:eastAsia="zh-CN"/>
        </w:rPr>
        <w:t>有所减少</w:t>
      </w:r>
      <w:r>
        <w:rPr>
          <w:rFonts w:hint="eastAsia" w:ascii="宋体"/>
          <w:color w:val="000000"/>
          <w:sz w:val="32"/>
          <w:szCs w:val="32"/>
        </w:rPr>
        <w:t>，</w:t>
      </w:r>
      <w:r>
        <w:rPr>
          <w:rFonts w:hint="eastAsia" w:ascii="宋体"/>
          <w:color w:val="000000"/>
          <w:sz w:val="32"/>
          <w:szCs w:val="32"/>
          <w:lang w:eastAsia="zh-CN"/>
        </w:rPr>
        <w:t>因有人员退休</w:t>
      </w:r>
      <w:r>
        <w:rPr>
          <w:rFonts w:hint="eastAsia" w:ascii="宋体"/>
          <w:color w:val="000000"/>
          <w:sz w:val="32"/>
          <w:szCs w:val="32"/>
        </w:rPr>
        <w:t>。</w:t>
      </w:r>
    </w:p>
    <w:p>
      <w:pPr>
        <w:pStyle w:val="3"/>
        <w:rPr>
          <w:rFonts w:hint="eastAsia" w:ascii="仿宋" w:hAnsi="仿宋" w:eastAsia="仿宋" w:cs="仿宋"/>
          <w:b w:val="0"/>
          <w:bCs/>
          <w:color w:val="auto"/>
        </w:rPr>
      </w:pPr>
    </w:p>
    <w:p>
      <w:pPr>
        <w:rPr>
          <w:rFonts w:hint="eastAsia"/>
        </w:rPr>
      </w:pPr>
      <w:bookmarkStart w:id="31" w:name="_GoBack"/>
      <w:bookmarkEnd w:id="31"/>
    </w:p>
    <w:p>
      <w:pPr>
        <w:pStyle w:val="2"/>
        <w:rPr>
          <w:rFonts w:hint="eastAsia"/>
          <w:b/>
          <w:bCs w:val="0"/>
          <w:color w:val="auto"/>
          <w:sz w:val="36"/>
          <w:szCs w:val="36"/>
          <w:lang w:val="en-US" w:eastAsia="zh-CN"/>
        </w:rPr>
      </w:pPr>
      <w:bookmarkStart w:id="7" w:name="_Toc12749"/>
      <w:r>
        <w:rPr>
          <w:rFonts w:hint="eastAsia"/>
          <w:b/>
          <w:color w:val="auto"/>
          <w:sz w:val="36"/>
          <w:szCs w:val="36"/>
          <w:lang w:val="en-US" w:eastAsia="zh-CN"/>
        </w:rPr>
        <w:t>第二部分  2021年度部门决算报表（附表）</w:t>
      </w:r>
      <w:bookmarkEnd w:id="7"/>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8" w:name="_Toc29325"/>
      <w:r>
        <w:rPr>
          <w:rFonts w:hint="eastAsia"/>
          <w:b/>
          <w:color w:val="auto"/>
          <w:sz w:val="36"/>
          <w:szCs w:val="36"/>
          <w:lang w:val="en-US" w:eastAsia="zh-CN"/>
        </w:rPr>
        <w:t>第三部分  2021年度部门决算情况说明</w:t>
      </w:r>
      <w:bookmarkEnd w:id="8"/>
    </w:p>
    <w:p>
      <w:pPr>
        <w:pStyle w:val="3"/>
        <w:rPr>
          <w:rFonts w:hint="eastAsia" w:ascii="仿宋" w:hAnsi="仿宋" w:eastAsia="仿宋" w:cs="仿宋"/>
          <w:b/>
          <w:bCs w:val="0"/>
          <w:color w:val="auto"/>
          <w:lang w:val="en-US" w:eastAsia="zh-CN"/>
        </w:rPr>
      </w:pPr>
      <w:bookmarkStart w:id="9" w:name="_Toc437"/>
      <w:bookmarkStart w:id="10" w:name="_Toc8717"/>
      <w:r>
        <w:rPr>
          <w:rFonts w:hint="eastAsia" w:ascii="仿宋" w:hAnsi="仿宋" w:eastAsia="仿宋" w:cs="仿宋"/>
          <w:b/>
          <w:bCs w:val="0"/>
          <w:color w:val="auto"/>
          <w:lang w:val="en-US" w:eastAsia="zh-CN"/>
        </w:rPr>
        <w:t>一、收入支出决算总体情况说明</w:t>
      </w:r>
      <w:bookmarkEnd w:id="9"/>
      <w:bookmarkEnd w:id="10"/>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470.85</w:t>
      </w:r>
      <w:r>
        <w:rPr>
          <w:rFonts w:hint="eastAsia" w:ascii="仿宋_GB2312"/>
          <w:color w:val="auto"/>
          <w:szCs w:val="32"/>
        </w:rPr>
        <w:t>万元、支出总计</w:t>
      </w:r>
      <w:r>
        <w:rPr>
          <w:rFonts w:hint="eastAsia" w:ascii="仿宋_GB2312"/>
          <w:color w:val="auto"/>
          <w:szCs w:val="32"/>
          <w:lang w:val="en-US" w:eastAsia="zh-CN"/>
        </w:rPr>
        <w:t>470.85</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eastAsia="zh-CN"/>
        </w:rPr>
        <w:t>增加</w:t>
      </w:r>
      <w:r>
        <w:rPr>
          <w:rFonts w:hint="eastAsia" w:ascii="仿宋_GB2312"/>
          <w:color w:val="auto"/>
          <w:szCs w:val="32"/>
          <w:lang w:val="en-US" w:eastAsia="zh-CN"/>
        </w:rPr>
        <w:t>10.16</w:t>
      </w:r>
      <w:r>
        <w:rPr>
          <w:rFonts w:hint="eastAsia" w:ascii="仿宋_GB2312"/>
          <w:color w:val="auto"/>
          <w:szCs w:val="32"/>
        </w:rPr>
        <w:t>万元，</w:t>
      </w:r>
      <w:r>
        <w:rPr>
          <w:rFonts w:hint="eastAsia" w:ascii="仿宋_GB2312"/>
          <w:color w:val="auto"/>
          <w:szCs w:val="32"/>
          <w:lang w:eastAsia="zh-CN"/>
        </w:rPr>
        <w:t>上升</w:t>
      </w:r>
      <w:r>
        <w:rPr>
          <w:rFonts w:hint="eastAsia" w:ascii="仿宋_GB2312"/>
          <w:color w:val="auto"/>
          <w:szCs w:val="32"/>
          <w:lang w:val="en-US" w:eastAsia="zh-CN"/>
        </w:rPr>
        <w:t>2.2</w:t>
      </w:r>
      <w:r>
        <w:rPr>
          <w:rFonts w:hint="eastAsia" w:ascii="仿宋_GB2312"/>
          <w:color w:val="auto"/>
          <w:szCs w:val="32"/>
        </w:rPr>
        <w:t>%，</w:t>
      </w:r>
      <w:r>
        <w:rPr>
          <w:rFonts w:ascii="仿宋_GB2312"/>
          <w:color w:val="auto"/>
          <w:szCs w:val="32"/>
        </w:rPr>
        <w:t>支出总计</w:t>
      </w:r>
      <w:r>
        <w:rPr>
          <w:rFonts w:hint="eastAsia" w:ascii="仿宋_GB2312"/>
          <w:color w:val="auto"/>
          <w:szCs w:val="32"/>
          <w:lang w:eastAsia="zh-CN"/>
        </w:rPr>
        <w:t>增加</w:t>
      </w:r>
      <w:r>
        <w:rPr>
          <w:rFonts w:hint="eastAsia" w:ascii="仿宋_GB2312"/>
          <w:color w:val="auto"/>
          <w:szCs w:val="32"/>
          <w:lang w:val="en-US" w:eastAsia="zh-CN"/>
        </w:rPr>
        <w:t>10.16</w:t>
      </w:r>
      <w:r>
        <w:rPr>
          <w:rFonts w:hint="eastAsia" w:ascii="仿宋_GB2312"/>
          <w:color w:val="auto"/>
          <w:szCs w:val="32"/>
        </w:rPr>
        <w:t>万元</w:t>
      </w:r>
      <w:r>
        <w:rPr>
          <w:rFonts w:ascii="仿宋_GB2312"/>
          <w:color w:val="auto"/>
          <w:szCs w:val="32"/>
        </w:rPr>
        <w:t>，</w:t>
      </w:r>
      <w:r>
        <w:rPr>
          <w:rFonts w:hint="eastAsia" w:ascii="仿宋_GB2312"/>
          <w:color w:val="auto"/>
          <w:szCs w:val="32"/>
          <w:lang w:eastAsia="zh-CN"/>
        </w:rPr>
        <w:t>上升</w:t>
      </w:r>
      <w:r>
        <w:rPr>
          <w:rFonts w:hint="eastAsia" w:ascii="仿宋_GB2312"/>
          <w:color w:val="auto"/>
          <w:szCs w:val="32"/>
          <w:lang w:val="en-US" w:eastAsia="zh-CN"/>
        </w:rPr>
        <w:t>2.2</w:t>
      </w:r>
      <w:r>
        <w:rPr>
          <w:rFonts w:ascii="仿宋_GB2312"/>
          <w:color w:val="auto"/>
          <w:szCs w:val="32"/>
        </w:rPr>
        <w:t>%</w:t>
      </w:r>
      <w:r>
        <w:rPr>
          <w:rFonts w:hint="eastAsia" w:ascii="仿宋_GB2312"/>
          <w:color w:val="auto"/>
          <w:szCs w:val="32"/>
        </w:rPr>
        <w:t>。主要原因是</w:t>
      </w:r>
      <w:r>
        <w:rPr>
          <w:rFonts w:hint="eastAsia" w:ascii="仿宋_GB2312"/>
          <w:color w:val="auto"/>
          <w:szCs w:val="32"/>
          <w:lang w:eastAsia="zh-CN"/>
        </w:rPr>
        <w:t>人员经费增加</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1" w:name="_Toc16754"/>
      <w:bookmarkStart w:id="12" w:name="_Toc17404"/>
      <w:r>
        <w:rPr>
          <w:rFonts w:hint="eastAsia" w:ascii="仿宋" w:hAnsi="仿宋" w:eastAsia="仿宋" w:cs="仿宋"/>
          <w:b/>
          <w:bCs w:val="0"/>
          <w:color w:val="auto"/>
          <w:lang w:val="en-US" w:eastAsia="zh-CN"/>
        </w:rPr>
        <w:t>二、收入决算情况说明</w:t>
      </w:r>
      <w:bookmarkEnd w:id="11"/>
      <w:bookmarkEnd w:id="12"/>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470.8527</w:t>
      </w:r>
      <w:r>
        <w:rPr>
          <w:rFonts w:hint="eastAsia" w:ascii="仿宋_GB2312"/>
          <w:color w:val="auto"/>
          <w:szCs w:val="32"/>
        </w:rPr>
        <w:t>万元，其中：财政拨款收入</w:t>
      </w:r>
      <w:r>
        <w:rPr>
          <w:rFonts w:hint="eastAsia" w:ascii="仿宋_GB2312"/>
          <w:color w:val="auto"/>
          <w:szCs w:val="32"/>
          <w:lang w:val="en-US" w:eastAsia="zh-CN"/>
        </w:rPr>
        <w:t>470.8527</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22098"/>
      <w:bookmarkStart w:id="14" w:name="_Toc9596"/>
      <w:r>
        <w:rPr>
          <w:rFonts w:hint="eastAsia" w:ascii="仿宋" w:hAnsi="仿宋" w:eastAsia="仿宋" w:cs="仿宋"/>
          <w:b/>
          <w:bCs w:val="0"/>
          <w:color w:val="auto"/>
          <w:lang w:val="en-US" w:eastAsia="zh-CN"/>
        </w:rPr>
        <w:t>三、支出决算情况说明</w:t>
      </w:r>
      <w:bookmarkEnd w:id="13"/>
      <w:bookmarkEnd w:id="14"/>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rPr>
        <w:t>本年支出合计</w:t>
      </w:r>
      <w:r>
        <w:rPr>
          <w:rFonts w:hint="eastAsia" w:ascii="仿宋_GB2312"/>
          <w:color w:val="auto"/>
          <w:szCs w:val="32"/>
          <w:lang w:val="en-US" w:eastAsia="zh-CN"/>
        </w:rPr>
        <w:t>470.85</w:t>
      </w:r>
      <w:r>
        <w:rPr>
          <w:rFonts w:hint="eastAsia" w:ascii="仿宋_GB2312"/>
          <w:color w:val="auto"/>
          <w:szCs w:val="32"/>
        </w:rPr>
        <w:t>万元，其中：基本支出</w:t>
      </w:r>
      <w:r>
        <w:rPr>
          <w:rFonts w:hint="eastAsia" w:ascii="仿宋_GB2312"/>
          <w:color w:val="auto"/>
          <w:szCs w:val="32"/>
          <w:lang w:val="en-US" w:eastAsia="zh-CN"/>
        </w:rPr>
        <w:t>470.85</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2142"/>
      <w:bookmarkStart w:id="16" w:name="_Toc4614"/>
      <w:r>
        <w:rPr>
          <w:rFonts w:hint="eastAsia" w:ascii="仿宋" w:hAnsi="仿宋" w:eastAsia="仿宋" w:cs="仿宋"/>
          <w:b/>
          <w:bCs w:val="0"/>
          <w:color w:val="auto"/>
          <w:lang w:val="en-US" w:eastAsia="zh-CN"/>
        </w:rPr>
        <w:t>四、财政拨款收入支出决算总体情况说明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470.85</w:t>
      </w:r>
      <w:r>
        <w:rPr>
          <w:rFonts w:hint="eastAsia" w:ascii="仿宋_GB2312"/>
          <w:color w:val="auto"/>
          <w:szCs w:val="32"/>
        </w:rPr>
        <w:t>万元、支出总计</w:t>
      </w:r>
      <w:r>
        <w:rPr>
          <w:rFonts w:hint="eastAsia" w:ascii="仿宋_GB2312"/>
          <w:color w:val="auto"/>
          <w:szCs w:val="32"/>
          <w:lang w:val="en-US" w:eastAsia="zh-CN"/>
        </w:rPr>
        <w:t>470.85</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eastAsia="zh-CN"/>
        </w:rPr>
        <w:t>增加</w:t>
      </w:r>
      <w:r>
        <w:rPr>
          <w:rFonts w:hint="eastAsia" w:ascii="仿宋_GB2312"/>
          <w:color w:val="auto"/>
          <w:szCs w:val="32"/>
          <w:lang w:val="en-US" w:eastAsia="zh-CN"/>
        </w:rPr>
        <w:t>10.16</w:t>
      </w:r>
      <w:r>
        <w:rPr>
          <w:rFonts w:hint="eastAsia" w:ascii="仿宋_GB2312"/>
          <w:color w:val="auto"/>
          <w:szCs w:val="32"/>
        </w:rPr>
        <w:t>万元，</w:t>
      </w:r>
      <w:r>
        <w:rPr>
          <w:rFonts w:hint="eastAsia" w:ascii="仿宋_GB2312"/>
          <w:color w:val="auto"/>
          <w:szCs w:val="32"/>
          <w:lang w:eastAsia="zh-CN"/>
        </w:rPr>
        <w:t>上升</w:t>
      </w:r>
      <w:r>
        <w:rPr>
          <w:rFonts w:hint="eastAsia" w:ascii="仿宋_GB2312"/>
          <w:color w:val="auto"/>
          <w:szCs w:val="32"/>
          <w:lang w:val="en-US" w:eastAsia="zh-CN"/>
        </w:rPr>
        <w:t>2.2</w:t>
      </w:r>
      <w:r>
        <w:rPr>
          <w:rFonts w:hint="eastAsia" w:ascii="仿宋_GB2312"/>
          <w:color w:val="auto"/>
          <w:szCs w:val="32"/>
        </w:rPr>
        <w:t>%，财政拨款支出总计减少</w:t>
      </w:r>
      <w:r>
        <w:rPr>
          <w:rFonts w:hint="eastAsia" w:ascii="仿宋_GB2312"/>
          <w:color w:val="auto"/>
          <w:szCs w:val="32"/>
          <w:lang w:val="en-US" w:eastAsia="zh-CN"/>
        </w:rPr>
        <w:t>470.85</w:t>
      </w:r>
      <w:r>
        <w:rPr>
          <w:rFonts w:hint="eastAsia" w:ascii="仿宋_GB2312"/>
          <w:color w:val="auto"/>
          <w:szCs w:val="32"/>
        </w:rPr>
        <w:t>万元，</w:t>
      </w:r>
      <w:r>
        <w:rPr>
          <w:rFonts w:hint="eastAsia" w:ascii="仿宋_GB2312"/>
          <w:color w:val="auto"/>
          <w:szCs w:val="32"/>
          <w:lang w:eastAsia="zh-CN"/>
        </w:rPr>
        <w:t>上升</w:t>
      </w:r>
      <w:r>
        <w:rPr>
          <w:rFonts w:hint="eastAsia" w:ascii="仿宋_GB2312"/>
          <w:color w:val="auto"/>
          <w:szCs w:val="32"/>
          <w:lang w:val="en-US" w:eastAsia="zh-CN"/>
        </w:rPr>
        <w:t>2.2</w:t>
      </w:r>
      <w:r>
        <w:rPr>
          <w:rFonts w:hint="eastAsia" w:ascii="仿宋_GB2312"/>
          <w:color w:val="auto"/>
          <w:szCs w:val="32"/>
        </w:rPr>
        <w:t>%。主要原因是</w:t>
      </w:r>
      <w:r>
        <w:rPr>
          <w:rFonts w:hint="eastAsia" w:ascii="仿宋_GB2312"/>
          <w:color w:val="auto"/>
          <w:szCs w:val="32"/>
          <w:lang w:eastAsia="zh-CN"/>
        </w:rPr>
        <w:t>人员经费增加</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6501"/>
      <w:bookmarkStart w:id="18" w:name="_Toc9341"/>
      <w:r>
        <w:rPr>
          <w:rFonts w:hint="eastAsia" w:ascii="仿宋" w:hAnsi="仿宋" w:eastAsia="仿宋" w:cs="仿宋"/>
          <w:b/>
          <w:bCs w:val="0"/>
          <w:color w:val="auto"/>
          <w:lang w:val="en-US" w:eastAsia="zh-CN"/>
        </w:rPr>
        <w:t>五、一般公共预算财政拨款支出决算情况说明</w:t>
      </w:r>
      <w:bookmarkEnd w:id="17"/>
      <w:bookmarkEnd w:id="18"/>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1276.4</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434.5</w:t>
      </w:r>
      <w:r>
        <w:rPr>
          <w:rFonts w:hint="eastAsia" w:ascii="仿宋_GB2312"/>
          <w:color w:val="auto"/>
          <w:szCs w:val="32"/>
        </w:rPr>
        <w:t>万元，下降</w:t>
      </w:r>
      <w:r>
        <w:rPr>
          <w:rFonts w:hint="eastAsia" w:ascii="仿宋_GB2312"/>
          <w:color w:val="auto"/>
          <w:szCs w:val="32"/>
          <w:lang w:val="en-US" w:eastAsia="zh-CN"/>
        </w:rPr>
        <w:t>25.39</w:t>
      </w:r>
      <w:r>
        <w:rPr>
          <w:rFonts w:hint="eastAsia" w:ascii="仿宋_GB2312"/>
          <w:color w:val="auto"/>
          <w:szCs w:val="32"/>
        </w:rPr>
        <w:t>%。主要原因是</w:t>
      </w:r>
      <w:r>
        <w:rPr>
          <w:rFonts w:hint="eastAsia" w:ascii="仿宋_GB2312"/>
          <w:color w:val="auto"/>
          <w:szCs w:val="32"/>
          <w:lang w:eastAsia="zh-CN"/>
        </w:rPr>
        <w:t>扶贫项目减少</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eastAsia="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470.85</w:t>
      </w:r>
      <w:r>
        <w:rPr>
          <w:rFonts w:hint="eastAsia" w:ascii="仿宋_GB2312"/>
          <w:color w:val="auto"/>
          <w:szCs w:val="32"/>
        </w:rPr>
        <w:t>万元</w:t>
      </w:r>
      <w:r>
        <w:rPr>
          <w:rFonts w:ascii="仿宋_GB2312"/>
          <w:color w:val="auto"/>
          <w:szCs w:val="32"/>
        </w:rPr>
        <w:t>，主要用于</w:t>
      </w:r>
      <w:r>
        <w:rPr>
          <w:rFonts w:hint="eastAsia" w:ascii="仿宋_GB2312"/>
          <w:b/>
          <w:color w:val="auto"/>
          <w:szCs w:val="32"/>
          <w:lang w:eastAsia="zh-CN"/>
        </w:rPr>
        <w:t>教育支出。</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ascii="仿宋_GB2312"/>
          <w:color w:val="auto"/>
          <w:szCs w:val="32"/>
          <w:lang w:val="en-US" w:eastAsia="zh-CN"/>
        </w:rPr>
        <w:t>470.85</w:t>
      </w:r>
      <w:r>
        <w:rPr>
          <w:rFonts w:hint="eastAsia"/>
          <w:color w:val="auto"/>
          <w:szCs w:val="32"/>
        </w:rPr>
        <w:t>万元，支出决算</w:t>
      </w:r>
      <w:r>
        <w:rPr>
          <w:rFonts w:hint="eastAsia" w:ascii="仿宋_GB2312"/>
          <w:color w:val="auto"/>
          <w:szCs w:val="32"/>
          <w:lang w:val="en-US" w:eastAsia="zh-CN"/>
        </w:rPr>
        <w:t>470.85</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宋体"/>
                <w:color w:val="auto"/>
                <w:kern w:val="2"/>
                <w:sz w:val="28"/>
                <w:szCs w:val="28"/>
                <w:lang w:val="en-US" w:eastAsia="zh-CN" w:bidi="ar-SA"/>
              </w:rPr>
            </w:pPr>
            <w:r>
              <w:rPr>
                <w:rFonts w:hint="eastAsia" w:ascii="宋体" w:hAnsi="宋体" w:eastAsia="宋体" w:cs="宋体"/>
                <w:i w:val="0"/>
                <w:color w:val="auto"/>
                <w:kern w:val="0"/>
                <w:sz w:val="22"/>
                <w:szCs w:val="22"/>
                <w:u w:val="none"/>
                <w:lang w:val="en-US" w:eastAsia="zh-CN" w:bidi="ar"/>
              </w:rPr>
              <w:t>205</w:t>
            </w:r>
          </w:p>
        </w:tc>
        <w:tc>
          <w:tcPr>
            <w:tcW w:w="2479" w:type="dxa"/>
            <w:vAlign w:val="center"/>
          </w:tcPr>
          <w:p>
            <w:pPr>
              <w:widowControl/>
              <w:ind w:firstLine="560" w:firstLineChars="200"/>
              <w:jc w:val="center"/>
              <w:textAlignment w:val="center"/>
              <w:rPr>
                <w:rFonts w:hint="eastAsia" w:ascii="Times New Roman" w:hAnsi="Times New Roman" w:eastAsia="仿宋_GB2312" w:cstheme="minorBidi"/>
                <w:color w:val="auto"/>
                <w:kern w:val="2"/>
                <w:sz w:val="28"/>
                <w:szCs w:val="28"/>
                <w:lang w:val="en-US" w:eastAsia="zh-CN" w:bidi="ar-SA"/>
              </w:rPr>
            </w:pPr>
            <w:r>
              <w:rPr>
                <w:rFonts w:hint="eastAsia" w:ascii="仿宋" w:hAnsi="仿宋" w:eastAsia="仿宋" w:cs="宋体"/>
                <w:color w:val="auto"/>
                <w:kern w:val="0"/>
                <w:sz w:val="28"/>
                <w:szCs w:val="28"/>
              </w:rPr>
              <w:t>教育支出</w:t>
            </w:r>
          </w:p>
        </w:tc>
        <w:tc>
          <w:tcPr>
            <w:tcW w:w="1876" w:type="dxa"/>
            <w:vAlign w:val="center"/>
          </w:tcPr>
          <w:p>
            <w:pPr>
              <w:widowControl/>
              <w:ind w:left="0" w:leftChars="0" w:firstLine="0" w:firstLineChars="0"/>
              <w:jc w:val="both"/>
              <w:textAlignment w:val="center"/>
              <w:rPr>
                <w:rFonts w:hint="eastAsia" w:ascii="Times New Roman" w:hAnsi="Times New Roman" w:eastAsia="仿宋_GB2312" w:cstheme="minorBidi"/>
                <w:color w:val="auto"/>
                <w:kern w:val="2"/>
                <w:sz w:val="28"/>
                <w:szCs w:val="28"/>
                <w:lang w:val="en-US" w:eastAsia="zh-CN" w:bidi="ar-SA"/>
              </w:rPr>
            </w:pPr>
            <w:r>
              <w:rPr>
                <w:rFonts w:hint="eastAsia" w:ascii="Times New Roman" w:hAnsi="Times New Roman" w:eastAsia="仿宋_GB2312" w:cstheme="minorBidi"/>
                <w:color w:val="auto"/>
                <w:kern w:val="2"/>
                <w:sz w:val="28"/>
                <w:szCs w:val="28"/>
                <w:lang w:val="en-US" w:eastAsia="zh-CN" w:bidi="ar-SA"/>
              </w:rPr>
              <w:t>460.69</w:t>
            </w:r>
          </w:p>
        </w:tc>
        <w:tc>
          <w:tcPr>
            <w:tcW w:w="1684"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auto"/>
                <w:sz w:val="28"/>
                <w:szCs w:val="28"/>
                <w:lang w:val="en-US" w:eastAsia="zh-CN"/>
              </w:rPr>
            </w:pPr>
            <w:r>
              <w:rPr>
                <w:rFonts w:hint="eastAsia" w:ascii="仿宋_GB2312"/>
                <w:color w:val="auto"/>
                <w:sz w:val="28"/>
                <w:szCs w:val="28"/>
                <w:lang w:val="en-US" w:eastAsia="zh-CN"/>
              </w:rPr>
              <w:t>470.85</w:t>
            </w:r>
          </w:p>
        </w:tc>
        <w:tc>
          <w:tcPr>
            <w:tcW w:w="1393" w:type="dxa"/>
            <w:vAlign w:val="top"/>
          </w:tcPr>
          <w:p>
            <w:pPr>
              <w:ind w:left="0" w:leftChars="0" w:firstLine="0" w:firstLineChars="0"/>
              <w:jc w:val="left"/>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widowControl/>
              <w:ind w:firstLine="560" w:firstLineChars="200"/>
              <w:jc w:val="center"/>
              <w:textAlignment w:val="center"/>
              <w:rPr>
                <w:rFonts w:hint="eastAsia" w:ascii="仿宋" w:hAnsi="仿宋" w:eastAsia="仿宋" w:cs="宋体"/>
                <w:color w:val="auto"/>
                <w:kern w:val="0"/>
                <w:sz w:val="28"/>
                <w:szCs w:val="28"/>
                <w:lang w:val="en-US" w:eastAsia="zh-CN" w:bidi="ar-SA"/>
              </w:rPr>
            </w:pPr>
            <w:r>
              <w:rPr>
                <w:rFonts w:hint="eastAsia" w:ascii="仿宋" w:hAnsi="仿宋" w:eastAsia="仿宋" w:cs="宋体"/>
                <w:color w:val="auto"/>
                <w:kern w:val="0"/>
                <w:sz w:val="28"/>
                <w:szCs w:val="28"/>
              </w:rPr>
              <w:t>合计</w:t>
            </w:r>
          </w:p>
        </w:tc>
        <w:tc>
          <w:tcPr>
            <w:tcW w:w="2479" w:type="dxa"/>
            <w:vAlign w:val="center"/>
          </w:tcPr>
          <w:p>
            <w:pPr>
              <w:widowControl/>
              <w:ind w:firstLine="560" w:firstLineChars="200"/>
              <w:jc w:val="both"/>
              <w:textAlignment w:val="center"/>
              <w:rPr>
                <w:rFonts w:hint="eastAsia" w:ascii="仿宋" w:hAnsi="仿宋" w:eastAsia="仿宋" w:cs="宋体"/>
                <w:color w:val="auto"/>
                <w:kern w:val="0"/>
                <w:sz w:val="28"/>
                <w:szCs w:val="28"/>
                <w:lang w:val="en-US" w:eastAsia="zh-CN" w:bidi="ar-SA"/>
              </w:rPr>
            </w:pPr>
          </w:p>
        </w:tc>
        <w:tc>
          <w:tcPr>
            <w:tcW w:w="1876" w:type="dxa"/>
            <w:vAlign w:val="center"/>
          </w:tcPr>
          <w:p>
            <w:pPr>
              <w:widowControl/>
              <w:ind w:left="0" w:leftChars="0" w:firstLine="0" w:firstLineChars="0"/>
              <w:jc w:val="both"/>
              <w:textAlignment w:val="center"/>
              <w:rPr>
                <w:rFonts w:hint="default" w:ascii="Times New Roman" w:hAnsi="Times New Roman" w:eastAsiaTheme="minorEastAsia" w:cstheme="minorBidi"/>
                <w:color w:val="auto"/>
                <w:kern w:val="2"/>
                <w:sz w:val="28"/>
                <w:szCs w:val="28"/>
                <w:lang w:val="en-US" w:eastAsia="zh-CN" w:bidi="ar-SA"/>
              </w:rPr>
            </w:pPr>
            <w:r>
              <w:rPr>
                <w:rFonts w:hint="eastAsia"/>
                <w:color w:val="auto"/>
                <w:sz w:val="28"/>
                <w:szCs w:val="28"/>
                <w:lang w:val="en-US" w:eastAsia="zh-CN"/>
              </w:rPr>
              <w:t>460.69</w:t>
            </w:r>
          </w:p>
        </w:tc>
        <w:tc>
          <w:tcPr>
            <w:tcW w:w="1684" w:type="dxa"/>
            <w:vAlign w:val="top"/>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470.85</w:t>
            </w:r>
          </w:p>
        </w:tc>
        <w:tc>
          <w:tcPr>
            <w:tcW w:w="1393" w:type="dxa"/>
            <w:vAlign w:val="top"/>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w:t>
            </w:r>
          </w:p>
        </w:tc>
      </w:tr>
    </w:tbl>
    <w:p>
      <w:pPr>
        <w:numPr>
          <w:ilvl w:val="0"/>
          <w:numId w:val="1"/>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1"/>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ind w:left="0" w:leftChars="0" w:firstLine="0" w:firstLineChars="0"/>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460.69</w:t>
            </w:r>
          </w:p>
        </w:tc>
        <w:tc>
          <w:tcPr>
            <w:tcW w:w="2071" w:type="dxa"/>
            <w:vAlign w:val="center"/>
          </w:tcPr>
          <w:p>
            <w:pPr>
              <w:keepNext w:val="0"/>
              <w:keepLines w:val="0"/>
              <w:widowControl/>
              <w:suppressLineNumbers w:val="0"/>
              <w:ind w:left="0" w:leftChars="0" w:firstLine="0" w:firstLineChars="0"/>
              <w:jc w:val="both"/>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470.85</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ind w:left="0" w:leftChars="0" w:firstLine="0" w:firstLineChars="0"/>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363.92</w:t>
            </w:r>
          </w:p>
        </w:tc>
        <w:tc>
          <w:tcPr>
            <w:tcW w:w="2071" w:type="dxa"/>
            <w:vAlign w:val="center"/>
          </w:tcPr>
          <w:p>
            <w:pPr>
              <w:keepNext w:val="0"/>
              <w:keepLines w:val="0"/>
              <w:widowControl/>
              <w:suppressLineNumbers w:val="0"/>
              <w:ind w:left="0" w:leftChars="0" w:firstLine="0" w:firstLineChars="0"/>
              <w:jc w:val="both"/>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376.21</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ind w:left="0" w:leftChars="0" w:firstLine="0" w:firstLineChars="0"/>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81.10</w:t>
            </w:r>
          </w:p>
        </w:tc>
        <w:tc>
          <w:tcPr>
            <w:tcW w:w="2071" w:type="dxa"/>
            <w:vAlign w:val="center"/>
          </w:tcPr>
          <w:p>
            <w:pPr>
              <w:keepNext w:val="0"/>
              <w:keepLines w:val="0"/>
              <w:widowControl/>
              <w:suppressLineNumbers w:val="0"/>
              <w:ind w:left="0" w:leftChars="0" w:firstLine="0" w:firstLineChars="0"/>
              <w:jc w:val="both"/>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77.19</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ind w:left="0" w:leftChars="0" w:firstLine="0" w:firstLineChars="0"/>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15.67</w:t>
            </w:r>
          </w:p>
        </w:tc>
        <w:tc>
          <w:tcPr>
            <w:tcW w:w="2071" w:type="dxa"/>
            <w:vAlign w:val="center"/>
          </w:tcPr>
          <w:p>
            <w:pPr>
              <w:widowControl/>
              <w:ind w:left="0" w:leftChars="0" w:firstLine="0" w:firstLineChars="0"/>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17.45</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p>
        </w:tc>
        <w:tc>
          <w:tcPr>
            <w:tcW w:w="1837" w:type="dxa"/>
            <w:vAlign w:val="center"/>
          </w:tcPr>
          <w:p>
            <w:pPr>
              <w:widowControl/>
              <w:ind w:left="0" w:leftChars="0" w:firstLine="0" w:firstLineChars="0"/>
              <w:jc w:val="both"/>
              <w:rPr>
                <w:rFonts w:hint="default" w:ascii="仿宋" w:hAnsi="仿宋" w:eastAsia="仿宋" w:cs="仿宋"/>
                <w:color w:val="auto"/>
                <w:kern w:val="0"/>
                <w:sz w:val="28"/>
                <w:szCs w:val="28"/>
                <w:lang w:val="en-US" w:eastAsia="zh-CN"/>
              </w:rPr>
            </w:pPr>
          </w:p>
        </w:tc>
        <w:tc>
          <w:tcPr>
            <w:tcW w:w="2071" w:type="dxa"/>
            <w:vAlign w:val="center"/>
          </w:tcPr>
          <w:p>
            <w:pPr>
              <w:keepNext w:val="0"/>
              <w:keepLines w:val="0"/>
              <w:widowControl/>
              <w:suppressLineNumbers w:val="0"/>
              <w:ind w:left="0" w:leftChars="0" w:firstLine="0" w:firstLineChars="0"/>
              <w:jc w:val="both"/>
              <w:textAlignment w:val="center"/>
              <w:rPr>
                <w:rFonts w:hint="default" w:ascii="仿宋" w:hAnsi="仿宋" w:eastAsia="仿宋" w:cs="仿宋"/>
                <w:color w:val="auto"/>
                <w:lang w:val="en-US" w:eastAsia="zh-CN"/>
              </w:rPr>
            </w:pPr>
          </w:p>
        </w:tc>
        <w:tc>
          <w:tcPr>
            <w:tcW w:w="1956" w:type="dxa"/>
            <w:vAlign w:val="center"/>
          </w:tcPr>
          <w:p>
            <w:pPr>
              <w:widowControl/>
              <w:jc w:val="right"/>
              <w:rPr>
                <w:rFonts w:hint="default"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19" w:name="_Toc17728"/>
      <w:bookmarkStart w:id="20" w:name="_Toc841"/>
      <w:r>
        <w:rPr>
          <w:rFonts w:hint="eastAsia" w:ascii="仿宋" w:hAnsi="仿宋" w:eastAsia="仿宋" w:cs="仿宋"/>
          <w:b/>
          <w:bCs w:val="0"/>
          <w:color w:val="auto"/>
          <w:lang w:val="en-US" w:eastAsia="zh-CN"/>
        </w:rPr>
        <w:t>六、一般公共预算财政拨款基本支出决算情况说明</w:t>
      </w:r>
      <w:bookmarkEnd w:id="19"/>
      <w:bookmarkEnd w:id="20"/>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 w:hAnsi="仿宋" w:eastAsia="仿宋" w:cs="仿宋"/>
          <w:color w:val="auto"/>
          <w:kern w:val="0"/>
          <w:sz w:val="28"/>
          <w:szCs w:val="28"/>
          <w:lang w:val="en-US" w:eastAsia="zh-CN"/>
        </w:rPr>
        <w:t>470.85</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393.66</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eastAsia="zh-CN"/>
        </w:rPr>
        <w:t>基本工资、津贴补贴、奖金、绩效工资等</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77.19</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办公费、印刷费、电费、取暖、维修费等</w:t>
      </w:r>
      <w:r>
        <w:rPr>
          <w:rFonts w:ascii="仿宋_GB2312"/>
          <w:color w:val="auto"/>
          <w:szCs w:val="32"/>
        </w:rPr>
        <w:t>。</w:t>
      </w:r>
    </w:p>
    <w:p>
      <w:pPr>
        <w:pStyle w:val="3"/>
        <w:rPr>
          <w:rFonts w:hint="eastAsia" w:ascii="仿宋" w:hAnsi="仿宋" w:eastAsia="仿宋" w:cs="仿宋"/>
          <w:b/>
          <w:bCs w:val="0"/>
          <w:color w:val="auto"/>
          <w:lang w:val="en-US" w:eastAsia="zh-CN"/>
        </w:rPr>
      </w:pPr>
      <w:bookmarkStart w:id="21" w:name="_Toc2304"/>
      <w:bookmarkStart w:id="22" w:name="_Toc26508"/>
      <w:r>
        <w:rPr>
          <w:rFonts w:hint="eastAsia" w:ascii="仿宋" w:hAnsi="仿宋" w:eastAsia="仿宋" w:cs="仿宋"/>
          <w:b/>
          <w:bCs w:val="0"/>
          <w:color w:val="auto"/>
          <w:lang w:val="en-US" w:eastAsia="zh-CN"/>
        </w:rPr>
        <w:t>七、一般公共预算财政拨款“三公”经费支出决算情况说明</w:t>
      </w:r>
      <w:bookmarkEnd w:id="21"/>
      <w:bookmarkEnd w:id="22"/>
    </w:p>
    <w:p>
      <w:pPr>
        <w:ind w:firstLine="640" w:firstLineChars="200"/>
        <w:rPr>
          <w:rFonts w:ascii="仿宋" w:hAnsi="仿宋" w:eastAsia="仿宋" w:cs="仿宋"/>
          <w:color w:val="auto"/>
          <w:sz w:val="32"/>
          <w:szCs w:val="32"/>
        </w:rPr>
      </w:pPr>
      <w:r>
        <w:rPr>
          <w:rFonts w:hint="eastAsia" w:ascii="仿宋_GB2312"/>
          <w:color w:val="auto"/>
          <w:sz w:val="32"/>
          <w:szCs w:val="32"/>
        </w:rPr>
        <w:t>20</w:t>
      </w:r>
      <w:r>
        <w:rPr>
          <w:rFonts w:hint="eastAsia" w:ascii="仿宋_GB2312"/>
          <w:color w:val="auto"/>
          <w:sz w:val="32"/>
          <w:szCs w:val="32"/>
          <w:lang w:val="en-US" w:eastAsia="zh-CN"/>
        </w:rPr>
        <w:t>21</w:t>
      </w:r>
      <w:r>
        <w:rPr>
          <w:rFonts w:hint="eastAsia" w:ascii="仿宋_GB2312"/>
          <w:color w:val="auto"/>
          <w:sz w:val="32"/>
          <w:szCs w:val="32"/>
        </w:rPr>
        <w:t>年度，</w:t>
      </w:r>
      <w:r>
        <w:rPr>
          <w:rFonts w:hint="eastAsia" w:ascii="仿宋" w:hAnsi="仿宋" w:eastAsia="仿宋" w:cs="仿宋"/>
          <w:color w:val="auto"/>
          <w:sz w:val="32"/>
          <w:szCs w:val="32"/>
        </w:rPr>
        <w:t>静乐县</w:t>
      </w:r>
      <w:r>
        <w:rPr>
          <w:rFonts w:hint="eastAsia" w:ascii="仿宋" w:hAnsi="仿宋" w:eastAsia="仿宋" w:cs="仿宋"/>
          <w:color w:val="auto"/>
          <w:sz w:val="32"/>
          <w:szCs w:val="32"/>
          <w:lang w:eastAsia="zh-CN"/>
        </w:rPr>
        <w:t>君宇中学校</w:t>
      </w:r>
      <w:r>
        <w:rPr>
          <w:rFonts w:hint="eastAsia" w:ascii="仿宋" w:hAnsi="仿宋" w:eastAsia="仿宋" w:cs="仿宋"/>
          <w:color w:val="auto"/>
          <w:sz w:val="32"/>
          <w:szCs w:val="32"/>
        </w:rPr>
        <w:t>一般公共决算财政拨款“三公”经费支出为0万元，主要原因是认真贯彻落实中央“八项规定”精神和历行节约要求，严格控制“三公”经费开支。</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20</w:t>
      </w:r>
      <w:r>
        <w:rPr>
          <w:rFonts w:hint="eastAsia" w:ascii="仿宋" w:hAnsi="仿宋" w:eastAsia="仿宋" w:cs="仿宋"/>
          <w:color w:val="auto"/>
          <w:sz w:val="32"/>
          <w:szCs w:val="32"/>
          <w:lang w:val="en-US" w:eastAsia="zh-CN"/>
        </w:rPr>
        <w:t>21</w:t>
      </w:r>
      <w:r>
        <w:rPr>
          <w:rFonts w:hint="eastAsia" w:ascii="仿宋" w:hAnsi="仿宋" w:eastAsia="仿宋" w:cs="仿宋"/>
          <w:color w:val="auto"/>
          <w:sz w:val="32"/>
          <w:szCs w:val="32"/>
        </w:rPr>
        <w:t>年静乐县</w:t>
      </w:r>
      <w:r>
        <w:rPr>
          <w:rFonts w:hint="eastAsia" w:ascii="仿宋" w:hAnsi="仿宋" w:eastAsia="仿宋" w:cs="仿宋"/>
          <w:color w:val="auto"/>
          <w:sz w:val="32"/>
          <w:szCs w:val="32"/>
          <w:lang w:eastAsia="zh-CN"/>
        </w:rPr>
        <w:t>君宇中学校</w:t>
      </w:r>
      <w:r>
        <w:rPr>
          <w:rFonts w:hint="eastAsia" w:ascii="仿宋" w:hAnsi="仿宋" w:eastAsia="仿宋" w:cs="仿宋"/>
          <w:color w:val="auto"/>
          <w:sz w:val="32"/>
          <w:szCs w:val="32"/>
        </w:rPr>
        <w:t>没有购置公务用车.</w:t>
      </w:r>
    </w:p>
    <w:p>
      <w:pPr>
        <w:pStyle w:val="3"/>
        <w:rPr>
          <w:rFonts w:hint="eastAsia" w:ascii="仿宋" w:hAnsi="仿宋" w:eastAsia="仿宋" w:cs="仿宋"/>
          <w:b/>
          <w:bCs w:val="0"/>
          <w:color w:val="auto"/>
          <w:lang w:val="en-US" w:eastAsia="zh-CN"/>
        </w:rPr>
      </w:pPr>
      <w:bookmarkStart w:id="23" w:name="_Toc9078"/>
      <w:bookmarkStart w:id="24" w:name="_Toc1792"/>
      <w:r>
        <w:rPr>
          <w:rFonts w:hint="eastAsia" w:ascii="仿宋" w:hAnsi="仿宋" w:eastAsia="仿宋" w:cs="仿宋"/>
          <w:b/>
          <w:bCs w:val="0"/>
          <w:color w:val="auto"/>
          <w:lang w:val="en-US" w:eastAsia="zh-CN"/>
        </w:rPr>
        <w:t>八、其他重要事项情况说明</w:t>
      </w:r>
      <w:bookmarkEnd w:id="23"/>
      <w:bookmarkEnd w:id="24"/>
    </w:p>
    <w:p>
      <w:pPr>
        <w:rPr>
          <w:rFonts w:hint="eastAsia"/>
          <w:b/>
          <w:bCs/>
          <w:color w:val="auto"/>
        </w:rPr>
      </w:pPr>
      <w:bookmarkStart w:id="25" w:name="_Toc23407"/>
      <w:r>
        <w:rPr>
          <w:rFonts w:hint="eastAsia"/>
          <w:b/>
          <w:bCs/>
          <w:color w:val="auto"/>
        </w:rPr>
        <w:t>（一）机关运行经费支出情况说明</w:t>
      </w:r>
      <w:bookmarkEnd w:id="25"/>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77.19</w:t>
      </w:r>
      <w:r>
        <w:rPr>
          <w:rFonts w:hint="eastAsia" w:ascii="仿宋_GB2312" w:hAnsi="宋体"/>
          <w:color w:val="auto"/>
          <w:szCs w:val="32"/>
        </w:rPr>
        <w:t>万元，比20</w:t>
      </w:r>
      <w:r>
        <w:rPr>
          <w:rFonts w:hint="eastAsia" w:ascii="仿宋_GB2312" w:hAnsi="宋体"/>
          <w:color w:val="auto"/>
          <w:szCs w:val="32"/>
          <w:lang w:val="en-US" w:eastAsia="zh-CN"/>
        </w:rPr>
        <w:t>21</w:t>
      </w:r>
      <w:r>
        <w:rPr>
          <w:rFonts w:hint="eastAsia" w:ascii="仿宋_GB2312" w:hAnsi="宋体"/>
          <w:color w:val="auto"/>
          <w:szCs w:val="32"/>
        </w:rPr>
        <w:t>年减少</w:t>
      </w:r>
      <w:r>
        <w:rPr>
          <w:rFonts w:hint="eastAsia" w:ascii="仿宋_GB2312" w:hAnsi="宋体"/>
          <w:color w:val="auto"/>
          <w:szCs w:val="32"/>
          <w:lang w:val="en-US" w:eastAsia="zh-CN"/>
        </w:rPr>
        <w:t>45.71</w:t>
      </w:r>
      <w:r>
        <w:rPr>
          <w:rFonts w:hint="eastAsia" w:ascii="仿宋_GB2312" w:hAnsi="宋体"/>
          <w:color w:val="auto"/>
          <w:szCs w:val="32"/>
        </w:rPr>
        <w:t>万元，降低</w:t>
      </w:r>
      <w:r>
        <w:rPr>
          <w:rFonts w:hint="eastAsia" w:ascii="仿宋_GB2312" w:hAnsi="宋体"/>
          <w:color w:val="auto"/>
          <w:szCs w:val="32"/>
          <w:lang w:val="en-US" w:eastAsia="zh-CN"/>
        </w:rPr>
        <w:t>32.97</w:t>
      </w:r>
      <w:r>
        <w:rPr>
          <w:rFonts w:hint="eastAsia" w:ascii="仿宋_GB2312" w:hAnsi="宋体"/>
          <w:color w:val="auto"/>
          <w:szCs w:val="32"/>
        </w:rPr>
        <w:t>%。主要原因是：</w:t>
      </w:r>
      <w:r>
        <w:rPr>
          <w:rFonts w:hint="eastAsia" w:ascii="仿宋" w:hAnsi="仿宋" w:eastAsia="仿宋" w:cs="仿宋"/>
          <w:color w:val="auto"/>
          <w:sz w:val="32"/>
          <w:szCs w:val="32"/>
        </w:rPr>
        <w:t>为</w:t>
      </w:r>
      <w:r>
        <w:rPr>
          <w:rFonts w:hint="eastAsia" w:ascii="仿宋" w:hAnsi="仿宋" w:eastAsia="仿宋" w:cs="仿宋"/>
          <w:color w:val="auto"/>
          <w:sz w:val="32"/>
          <w:szCs w:val="32"/>
          <w:lang w:eastAsia="zh-CN"/>
        </w:rPr>
        <w:t>压缩</w:t>
      </w:r>
      <w:r>
        <w:rPr>
          <w:rFonts w:hint="eastAsia" w:ascii="仿宋" w:hAnsi="仿宋" w:eastAsia="仿宋" w:cs="仿宋"/>
          <w:color w:val="auto"/>
          <w:sz w:val="32"/>
          <w:szCs w:val="32"/>
        </w:rPr>
        <w:t>本单位办公用品、耗材</w:t>
      </w:r>
      <w:r>
        <w:rPr>
          <w:rFonts w:hint="eastAsia" w:ascii="仿宋" w:hAnsi="仿宋" w:eastAsia="仿宋" w:cs="仿宋"/>
          <w:color w:val="auto"/>
          <w:sz w:val="32"/>
          <w:szCs w:val="32"/>
          <w:lang w:eastAsia="zh-CN"/>
        </w:rPr>
        <w:t>、其他委托业务费用</w:t>
      </w:r>
      <w:r>
        <w:rPr>
          <w:rFonts w:hint="eastAsia" w:ascii="仿宋" w:hAnsi="仿宋" w:eastAsia="仿宋" w:cs="仿宋"/>
          <w:color w:val="auto"/>
          <w:sz w:val="32"/>
          <w:szCs w:val="32"/>
        </w:rPr>
        <w:t>等支出</w:t>
      </w:r>
    </w:p>
    <w:p>
      <w:pPr>
        <w:rPr>
          <w:rFonts w:hint="eastAsia"/>
          <w:b/>
          <w:bCs/>
          <w:color w:val="auto"/>
        </w:rPr>
      </w:pPr>
      <w:bookmarkStart w:id="26" w:name="_Toc16103"/>
      <w:r>
        <w:rPr>
          <w:rFonts w:hint="eastAsia"/>
          <w:b/>
          <w:bCs/>
          <w:color w:val="auto"/>
        </w:rPr>
        <w:t>（二）政府采购情况说明</w:t>
      </w:r>
      <w:bookmarkEnd w:id="26"/>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hint="eastAsia" w:ascii="仿宋_GB2312"/>
          <w:color w:val="auto"/>
          <w:szCs w:val="32"/>
          <w:lang w:eastAsia="zh-CN"/>
        </w:rPr>
        <w:t>无</w:t>
      </w:r>
      <w:r>
        <w:rPr>
          <w:rFonts w:hint="eastAsia" w:ascii="仿宋_GB2312"/>
          <w:color w:val="auto"/>
          <w:szCs w:val="32"/>
        </w:rPr>
        <w:t>政府采购</w:t>
      </w:r>
      <w:r>
        <w:rPr>
          <w:rFonts w:hint="eastAsia" w:ascii="仿宋_GB2312"/>
          <w:color w:val="auto"/>
          <w:szCs w:val="32"/>
          <w:lang w:eastAsia="zh-CN"/>
        </w:rPr>
        <w:t>项目。</w:t>
      </w:r>
    </w:p>
    <w:p>
      <w:pPr>
        <w:rPr>
          <w:rFonts w:hint="eastAsia"/>
          <w:b/>
          <w:bCs/>
          <w:color w:val="auto"/>
        </w:rPr>
      </w:pPr>
      <w:bookmarkStart w:id="27" w:name="_Toc19975"/>
      <w:r>
        <w:rPr>
          <w:rFonts w:hint="eastAsia"/>
          <w:b/>
          <w:bCs/>
          <w:color w:val="auto"/>
        </w:rPr>
        <w:t>（三）国有资产占用情况说明</w:t>
      </w:r>
      <w:bookmarkEnd w:id="27"/>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w:t>
      </w:r>
      <w:r>
        <w:rPr>
          <w:rFonts w:hint="eastAsia" w:ascii="仿宋_GB2312"/>
          <w:color w:val="auto"/>
          <w:szCs w:val="32"/>
          <w:lang w:eastAsia="zh-CN"/>
        </w:rPr>
        <w:t>无</w:t>
      </w:r>
      <w:r>
        <w:rPr>
          <w:rFonts w:hint="eastAsia" w:ascii="仿宋_GB2312"/>
          <w:color w:val="auto"/>
          <w:szCs w:val="32"/>
        </w:rPr>
        <w:t>车辆。</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2021年本单位重点项目绩效目标情况自评说明，涉及金额等。</w:t>
      </w:r>
    </w:p>
    <w:p>
      <w:pPr>
        <w:numPr>
          <w:ilvl w:val="0"/>
          <w:numId w:val="2"/>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预算绩效管理工作开展情况。</w:t>
      </w:r>
      <w:r>
        <w:rPr>
          <w:rFonts w:hint="eastAsia" w:ascii="仿宋_GB2312" w:hAnsi="仿宋_GB2312" w:eastAsia="仿宋_GB2312" w:cs="仿宋_GB2312"/>
          <w:color w:val="auto"/>
          <w:sz w:val="32"/>
          <w:szCs w:val="32"/>
          <w:lang w:val="en-US" w:eastAsia="zh-CN"/>
        </w:rPr>
        <w:t>应当按照如下格式说明：根据预算绩效管理要求，我部门</w:t>
      </w:r>
      <w:r>
        <w:rPr>
          <w:rFonts w:hint="eastAsia" w:ascii="仿宋_GB2312" w:hAnsi="仿宋_GB2312" w:cs="仿宋_GB2312"/>
          <w:color w:val="auto"/>
          <w:sz w:val="32"/>
          <w:szCs w:val="32"/>
          <w:lang w:val="en-US" w:eastAsia="zh-CN"/>
        </w:rPr>
        <w:t>无</w:t>
      </w:r>
      <w:r>
        <w:rPr>
          <w:rFonts w:hint="eastAsia" w:ascii="仿宋_GB2312" w:hAnsi="仿宋_GB2312" w:eastAsia="仿宋_GB2312" w:cs="仿宋_GB2312"/>
          <w:color w:val="auto"/>
          <w:sz w:val="32"/>
          <w:szCs w:val="32"/>
          <w:lang w:val="en-US" w:eastAsia="zh-CN"/>
        </w:rPr>
        <w:t>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eastAsia="仿宋_GB2312" w:cs="仿宋_GB2312"/>
          <w:color w:val="auto"/>
          <w:sz w:val="32"/>
          <w:szCs w:val="32"/>
          <w:lang w:val="en-US" w:eastAsia="zh-CN"/>
        </w:rPr>
        <w:t>和</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00万元以上的经费补助类项目支出。</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r>
        <w:rPr>
          <w:rFonts w:hint="eastAsia" w:ascii="仿宋_GB2312" w:hAnsi="仿宋_GB2312" w:eastAsia="仿宋_GB2312" w:cs="仿宋_GB2312"/>
          <w:color w:val="auto"/>
          <w:sz w:val="32"/>
          <w:szCs w:val="32"/>
          <w:lang w:val="en-US" w:eastAsia="zh-CN"/>
        </w:rPr>
        <w:t>部门</w:t>
      </w:r>
      <w:r>
        <w:rPr>
          <w:rFonts w:hint="eastAsia" w:ascii="仿宋_GB2312" w:hAnsi="仿宋_GB2312" w:cs="仿宋_GB2312"/>
          <w:color w:val="auto"/>
          <w:sz w:val="32"/>
          <w:szCs w:val="32"/>
          <w:lang w:val="en-US" w:eastAsia="zh-CN"/>
        </w:rPr>
        <w:t>本单位无重点</w:t>
      </w:r>
      <w:r>
        <w:rPr>
          <w:rFonts w:hint="eastAsia" w:ascii="仿宋_GB2312" w:hAnsi="仿宋_GB2312" w:eastAsia="仿宋_GB2312" w:cs="仿宋_GB2312"/>
          <w:color w:val="auto"/>
          <w:sz w:val="32"/>
          <w:szCs w:val="32"/>
          <w:lang w:val="en-US" w:eastAsia="zh-CN"/>
        </w:rPr>
        <w:t>项目向社会公开。</w:t>
      </w:r>
    </w:p>
    <w:p>
      <w:pPr>
        <w:numPr>
          <w:ilvl w:val="0"/>
          <w:numId w:val="0"/>
        </w:numPr>
        <w:ind w:firstLine="320" w:firstLineChars="1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bCs/>
          <w:color w:val="auto"/>
          <w:sz w:val="32"/>
          <w:szCs w:val="32"/>
          <w:lang w:val="en-US" w:eastAsia="zh-CN"/>
        </w:rPr>
        <w:t>部门评价项目绩效评价结果。</w:t>
      </w:r>
      <w:r>
        <w:rPr>
          <w:rFonts w:hint="eastAsia" w:ascii="仿宋_GB2312" w:hAnsi="仿宋_GB2312" w:cs="仿宋_GB2312"/>
          <w:b w:val="0"/>
          <w:bCs w:val="0"/>
          <w:color w:val="auto"/>
          <w:sz w:val="32"/>
          <w:szCs w:val="32"/>
          <w:lang w:val="en-US" w:eastAsia="zh-CN"/>
        </w:rPr>
        <w:t>本单位重点项目</w:t>
      </w:r>
      <w:r>
        <w:rPr>
          <w:rFonts w:hint="eastAsia" w:ascii="仿宋_GB2312" w:hAnsi="仿宋_GB2312" w:eastAsia="仿宋_GB2312" w:cs="仿宋_GB2312"/>
          <w:color w:val="auto"/>
          <w:sz w:val="32"/>
          <w:szCs w:val="32"/>
          <w:lang w:val="en-US" w:eastAsia="zh-CN"/>
        </w:rPr>
        <w:t>评价报告向社会公开。</w:t>
      </w:r>
    </w:p>
    <w:p>
      <w:pPr>
        <w:numPr>
          <w:ilvl w:val="0"/>
          <w:numId w:val="3"/>
        </w:numPr>
        <w:spacing w:line="580" w:lineRule="exact"/>
        <w:ind w:firstLine="643" w:firstLineChars="200"/>
        <w:outlineLvl w:val="0"/>
        <w:rPr>
          <w:rFonts w:hint="eastAsia" w:ascii="仿宋_GB2312" w:eastAsia="仿宋_GB2312"/>
          <w:b/>
          <w:color w:val="auto"/>
          <w:szCs w:val="32"/>
          <w:lang w:val="en-US" w:eastAsia="zh-CN"/>
        </w:rPr>
      </w:pPr>
      <w:bookmarkStart w:id="28" w:name="_Toc28108"/>
      <w:bookmarkStart w:id="29" w:name="_Toc8450"/>
      <w:r>
        <w:rPr>
          <w:rFonts w:hint="eastAsia" w:ascii="仿宋_GB2312"/>
          <w:b/>
          <w:color w:val="auto"/>
          <w:szCs w:val="32"/>
        </w:rPr>
        <w:t>其他需要说明的事项</w:t>
      </w:r>
      <w:bookmarkEnd w:id="28"/>
      <w:bookmarkEnd w:id="29"/>
    </w:p>
    <w:p>
      <w:pPr>
        <w:pStyle w:val="2"/>
        <w:ind w:left="0" w:leftChars="0" w:firstLine="0" w:firstLineChars="0"/>
        <w:jc w:val="center"/>
        <w:rPr>
          <w:rFonts w:hint="eastAsia"/>
          <w:b/>
          <w:color w:val="auto"/>
          <w:sz w:val="36"/>
          <w:szCs w:val="36"/>
          <w:lang w:val="en-US" w:eastAsia="zh-CN"/>
        </w:rPr>
      </w:pPr>
      <w:bookmarkStart w:id="30" w:name="_Toc8545"/>
      <w:r>
        <w:rPr>
          <w:rFonts w:hint="eastAsia"/>
          <w:b/>
          <w:color w:val="auto"/>
          <w:sz w:val="36"/>
          <w:szCs w:val="36"/>
          <w:lang w:val="en-US" w:eastAsia="zh-CN"/>
        </w:rPr>
        <w:t>第四部分  名词解释</w:t>
      </w:r>
      <w:bookmarkEnd w:id="30"/>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单位名称：静乐县君宇中学校</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A3EC3"/>
    <w:multiLevelType w:val="singleLevel"/>
    <w:tmpl w:val="173A3EC3"/>
    <w:lvl w:ilvl="0" w:tentative="0">
      <w:start w:val="1"/>
      <w:numFmt w:val="decimal"/>
      <w:suff w:val="nothing"/>
      <w:lvlText w:val="（%1）"/>
      <w:lvlJc w:val="left"/>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wMTMxNzhmMTA2YWJhOWM3M2Q0NDY1MWUwYjNkZDIifQ=="/>
  </w:docVars>
  <w:rsids>
    <w:rsidRoot w:val="495520D0"/>
    <w:rsid w:val="03696819"/>
    <w:rsid w:val="145D40D9"/>
    <w:rsid w:val="16654CDD"/>
    <w:rsid w:val="171D07B5"/>
    <w:rsid w:val="1A4A5C33"/>
    <w:rsid w:val="232048B7"/>
    <w:rsid w:val="2701594C"/>
    <w:rsid w:val="27426717"/>
    <w:rsid w:val="37943B50"/>
    <w:rsid w:val="3821117E"/>
    <w:rsid w:val="42C12CEC"/>
    <w:rsid w:val="44401A62"/>
    <w:rsid w:val="495520D0"/>
    <w:rsid w:val="4A012068"/>
    <w:rsid w:val="53A30631"/>
    <w:rsid w:val="5EC01F6A"/>
    <w:rsid w:val="63AB51DF"/>
    <w:rsid w:val="649C6DC9"/>
    <w:rsid w:val="65AC3F0C"/>
    <w:rsid w:val="6D756E4E"/>
    <w:rsid w:val="6E06021D"/>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0">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6730</Words>
  <Characters>7452</Characters>
  <Lines>0</Lines>
  <Paragraphs>0</Paragraphs>
  <ScaleCrop>false</ScaleCrop>
  <LinksUpToDate>false</LinksUpToDate>
  <CharactersWithSpaces>7540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2022-09-18T09:21:03Z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A88D08332ED749699461E715BA5DD43A</vt:lpwstr>
  </property>
</Properties>
</file>