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881"/>
        <w:jc w:val="center"/>
        <w:rPr>
          <w:rFonts w:ascii="华文中宋" w:hAnsi="华文中宋" w:eastAsia="华文中宋"/>
          <w:color w:val="FF0000"/>
          <w:szCs w:val="44"/>
        </w:rPr>
      </w:pPr>
      <w:bookmarkStart w:id="0" w:name="_Toc32048"/>
      <w:bookmarkStart w:id="1" w:name="_Toc21118"/>
      <w:bookmarkStart w:id="2" w:name="_Toc31071"/>
      <w:r>
        <w:rPr>
          <w:rFonts w:hint="eastAsia" w:ascii="华文中宋" w:hAnsi="华文中宋" w:eastAsia="华文中宋"/>
          <w:color w:val="000000" w:themeColor="text1"/>
          <w:szCs w:val="44"/>
        </w:rPr>
        <w:t>静乐县第三幼儿园2021年度部门决算公开说明</w:t>
      </w:r>
      <w:bookmarkEnd w:id="0"/>
      <w:bookmarkEnd w:id="1"/>
      <w:bookmarkEnd w:id="2"/>
    </w:p>
    <w:p>
      <w:pPr>
        <w:pStyle w:val="6"/>
        <w:tabs>
          <w:tab w:val="right" w:leader="dot" w:pos="8306"/>
        </w:tabs>
        <w:ind w:firstLine="640"/>
      </w:pPr>
      <w:r>
        <w:rPr>
          <w:rFonts w:hint="eastAsia" w:ascii="仿宋" w:hAnsi="仿宋" w:eastAsia="仿宋" w:cs="仿宋"/>
          <w:color w:val="000000"/>
          <w:szCs w:val="32"/>
        </w:rPr>
        <w:fldChar w:fldCharType="begin"/>
      </w:r>
      <w:r>
        <w:rPr>
          <w:rFonts w:hint="eastAsia" w:ascii="仿宋" w:hAnsi="仿宋" w:eastAsia="仿宋" w:cs="仿宋"/>
          <w:color w:val="000000"/>
          <w:szCs w:val="32"/>
        </w:rPr>
        <w:instrText xml:space="preserve">TOC \o "1-3" \h \u </w:instrText>
      </w:r>
      <w:r>
        <w:rPr>
          <w:rFonts w:hint="eastAsia" w:ascii="仿宋" w:hAnsi="仿宋" w:eastAsia="仿宋" w:cs="仿宋"/>
          <w:color w:val="000000"/>
          <w:szCs w:val="32"/>
        </w:rPr>
        <w:fldChar w:fldCharType="separate"/>
      </w:r>
      <w:r>
        <w:fldChar w:fldCharType="begin"/>
      </w:r>
      <w:r>
        <w:instrText xml:space="preserve"> HYPERLINK \l "_Toc31140" </w:instrText>
      </w:r>
      <w: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"_Toc4461" </w:instrText>
      </w:r>
      <w: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"_Toc275" </w:instrText>
      </w:r>
      <w: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"_Toc12749" </w:instrText>
      </w:r>
      <w:r>
        <w:fldChar w:fldCharType="separate"/>
      </w:r>
      <w:r>
        <w:rPr>
          <w:rFonts w:hint="eastAsia"/>
          <w:szCs w:val="36"/>
        </w:rPr>
        <w:t>第二部分  2021年度部门决算报表（附表）</w:t>
      </w:r>
      <w:r>
        <w:tab/>
      </w:r>
      <w:r>
        <w:fldChar w:fldCharType="begin"/>
      </w:r>
      <w:r>
        <w:instrText xml:space="preserve"> PAGEREF _Toc12749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"_Toc29325" </w:instrText>
      </w:r>
      <w:r>
        <w:fldChar w:fldCharType="separate"/>
      </w:r>
      <w:r>
        <w:rPr>
          <w:rFonts w:hint="eastAsia"/>
          <w:szCs w:val="36"/>
        </w:rPr>
        <w:t>第三部分  2021年度部门决算情况说明</w:t>
      </w:r>
      <w:r>
        <w:tab/>
      </w:r>
      <w:r>
        <w:fldChar w:fldCharType="begin"/>
      </w:r>
      <w:r>
        <w:instrText xml:space="preserve"> PAGEREF _Toc29325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"_Toc437" </w:instrText>
      </w:r>
      <w:r>
        <w:fldChar w:fldCharType="separate"/>
      </w:r>
      <w:r>
        <w:rPr>
          <w:rFonts w:hint="eastAsia" w:ascii="仿宋" w:hAnsi="仿宋" w:eastAsia="仿宋" w:cs="仿宋"/>
        </w:rPr>
        <w:t>一、收入支出决算总体情况说明</w:t>
      </w:r>
      <w:r>
        <w:tab/>
      </w:r>
      <w:r>
        <w:fldChar w:fldCharType="begin"/>
      </w:r>
      <w:r>
        <w:instrText xml:space="preserve"> PAGEREF _Toc437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"_Toc16754" </w:instrText>
      </w:r>
      <w:r>
        <w:fldChar w:fldCharType="separate"/>
      </w:r>
      <w:r>
        <w:rPr>
          <w:rFonts w:hint="eastAsia" w:ascii="仿宋" w:hAnsi="仿宋" w:eastAsia="仿宋" w:cs="仿宋"/>
        </w:rPr>
        <w:t>二、收入决算情况说明</w:t>
      </w:r>
      <w:r>
        <w:tab/>
      </w:r>
      <w:r>
        <w:fldChar w:fldCharType="begin"/>
      </w:r>
      <w:r>
        <w:instrText xml:space="preserve"> PAGEREF _Toc16754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"_Toc22098" </w:instrText>
      </w:r>
      <w:r>
        <w:fldChar w:fldCharType="separate"/>
      </w:r>
      <w:r>
        <w:rPr>
          <w:rFonts w:hint="eastAsia" w:ascii="仿宋" w:hAnsi="仿宋" w:eastAsia="仿宋" w:cs="仿宋"/>
        </w:rPr>
        <w:t>三、支出决算情况说明</w:t>
      </w:r>
      <w:r>
        <w:tab/>
      </w:r>
      <w:r>
        <w:fldChar w:fldCharType="begin"/>
      </w:r>
      <w:r>
        <w:instrText xml:space="preserve"> PAGEREF _Toc22098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"_Toc2142" </w:instrText>
      </w:r>
      <w:r>
        <w:fldChar w:fldCharType="separate"/>
      </w:r>
      <w:r>
        <w:rPr>
          <w:rFonts w:hint="eastAsia" w:ascii="仿宋" w:hAnsi="仿宋" w:eastAsia="仿宋" w:cs="仿宋"/>
        </w:rPr>
        <w:t>四、财政拨款收入支出决算总体情况说明</w:t>
      </w:r>
      <w:r>
        <w:tab/>
      </w:r>
      <w:r>
        <w:fldChar w:fldCharType="begin"/>
      </w:r>
      <w:r>
        <w:instrText xml:space="preserve"> PAGEREF _Toc2142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"_Toc6501" </w:instrText>
      </w:r>
      <w:r>
        <w:fldChar w:fldCharType="separate"/>
      </w:r>
      <w:r>
        <w:rPr>
          <w:rFonts w:hint="eastAsia" w:ascii="仿宋" w:hAnsi="仿宋" w:eastAsia="仿宋" w:cs="仿宋"/>
        </w:rPr>
        <w:t>五、一般公共预算财政拨款支出决算情况说明</w:t>
      </w:r>
      <w:r>
        <w:tab/>
      </w:r>
      <w:r>
        <w:fldChar w:fldCharType="begin"/>
      </w:r>
      <w:r>
        <w:instrText xml:space="preserve"> PAGEREF _Toc6501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"_Toc17728" </w:instrText>
      </w:r>
      <w:r>
        <w:fldChar w:fldCharType="separate"/>
      </w:r>
      <w:r>
        <w:rPr>
          <w:rFonts w:hint="eastAsia" w:ascii="仿宋" w:hAnsi="仿宋" w:eastAsia="仿宋" w:cs="仿宋"/>
        </w:rPr>
        <w:t>六、一般公共预算财政拨款基本支出决算情况说明</w:t>
      </w:r>
      <w:r>
        <w:tab/>
      </w:r>
      <w:r>
        <w:fldChar w:fldCharType="begin"/>
      </w:r>
      <w:r>
        <w:instrText xml:space="preserve"> PAGEREF _Toc17728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"_Toc26508" </w:instrText>
      </w:r>
      <w:r>
        <w:fldChar w:fldCharType="separate"/>
      </w:r>
      <w:r>
        <w:rPr>
          <w:rFonts w:hint="eastAsia" w:ascii="仿宋" w:hAnsi="仿宋" w:eastAsia="仿宋" w:cs="仿宋"/>
        </w:rPr>
        <w:t>七、一般公共预算财政拨款“三公”经费支出决算情况说明</w:t>
      </w:r>
      <w:r>
        <w:tab/>
      </w:r>
      <w:r>
        <w:fldChar w:fldCharType="begin"/>
      </w:r>
      <w:r>
        <w:instrText xml:space="preserve"> PAGEREF _Toc26508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"_Toc1792" </w:instrText>
      </w:r>
      <w:r>
        <w:fldChar w:fldCharType="separate"/>
      </w:r>
      <w:r>
        <w:rPr>
          <w:rFonts w:hint="eastAsia" w:ascii="仿宋" w:hAnsi="仿宋" w:eastAsia="仿宋" w:cs="仿宋"/>
        </w:rPr>
        <w:t>八、其他重要事项情况说明</w:t>
      </w:r>
      <w:r>
        <w:tab/>
      </w:r>
      <w:r>
        <w:fldChar w:fldCharType="begin"/>
      </w:r>
      <w:r>
        <w:instrText xml:space="preserve"> PAGEREF _Toc1792 </w:instrText>
      </w:r>
      <w:r>
        <w:fldChar w:fldCharType="separate"/>
      </w:r>
      <w:r>
        <w:t>7</w:t>
      </w:r>
      <w:r>
        <w:fldChar w:fldCharType="end"/>
      </w:r>
      <w:r>
        <w:fldChar w:fldCharType="end"/>
      </w:r>
    </w:p>
    <w:p>
      <w:pPr>
        <w:pStyle w:val="6"/>
        <w:tabs>
          <w:tab w:val="right" w:leader="dot" w:pos="8306"/>
        </w:tabs>
        <w:ind w:firstLine="640"/>
      </w:pPr>
      <w:r>
        <w:fldChar w:fldCharType="begin"/>
      </w:r>
      <w:r>
        <w:instrText xml:space="preserve"> HYPERLINK \l "_Toc28108" </w:instrText>
      </w:r>
      <w:r>
        <w:fldChar w:fldCharType="separate"/>
      </w:r>
      <w:r>
        <w:rPr>
          <w:rFonts w:hint="eastAsia" w:ascii="仿宋_GB2312"/>
          <w:szCs w:val="32"/>
        </w:rPr>
        <w:t>（四） 其他需要说明的事项</w:t>
      </w:r>
      <w:r>
        <w:tab/>
      </w:r>
      <w:r>
        <w:fldChar w:fldCharType="begin"/>
      </w:r>
      <w:r>
        <w:instrText xml:space="preserve"> PAGEREF _Toc28108 </w:instrText>
      </w:r>
      <w:r>
        <w:fldChar w:fldCharType="separate"/>
      </w:r>
      <w:r>
        <w:t>9</w:t>
      </w:r>
      <w:r>
        <w:fldChar w:fldCharType="end"/>
      </w:r>
      <w:r>
        <w:fldChar w:fldCharType="end"/>
      </w:r>
    </w:p>
    <w:p>
      <w:pPr>
        <w:pStyle w:val="6"/>
        <w:tabs>
          <w:tab w:val="right" w:leader="dot" w:pos="8306"/>
        </w:tabs>
        <w:ind w:firstLine="640"/>
      </w:pPr>
      <w:r>
        <w:fldChar w:fldCharType="begin"/>
      </w:r>
      <w:r>
        <w:instrText xml:space="preserve"> HYPERLINK \l "_Toc8545" </w:instrText>
      </w:r>
      <w:r>
        <w:fldChar w:fldCharType="separate"/>
      </w:r>
      <w:r>
        <w:rPr>
          <w:rFonts w:hint="eastAsia"/>
          <w:szCs w:val="36"/>
        </w:rPr>
        <w:t>第四部分  名词解释</w:t>
      </w:r>
      <w:r>
        <w:tab/>
      </w:r>
      <w:r>
        <w:fldChar w:fldCharType="begin"/>
      </w:r>
      <w:r>
        <w:instrText xml:space="preserve"> PAGEREF _Toc8545 </w:instrText>
      </w:r>
      <w:r>
        <w:fldChar w:fldCharType="separate"/>
      </w:r>
      <w:r>
        <w:t>9</w:t>
      </w:r>
      <w:r>
        <w:fldChar w:fldCharType="end"/>
      </w:r>
      <w:r>
        <w:fldChar w:fldCharType="end"/>
      </w:r>
    </w:p>
    <w:p>
      <w:pPr>
        <w:ind w:firstLine="640"/>
        <w:jc w:val="center"/>
        <w:rPr>
          <w:rFonts w:ascii="仿宋" w:hAnsi="仿宋" w:eastAsia="仿宋" w:cs="仿宋"/>
          <w:color w:val="000000"/>
          <w:szCs w:val="32"/>
        </w:rPr>
      </w:pPr>
      <w:r>
        <w:rPr>
          <w:rFonts w:hint="eastAsia" w:ascii="仿宋" w:hAnsi="仿宋" w:eastAsia="仿宋" w:cs="仿宋"/>
          <w:color w:val="000000"/>
          <w:szCs w:val="32"/>
        </w:rPr>
        <w:fldChar w:fldCharType="end"/>
      </w:r>
    </w:p>
    <w:p>
      <w:pPr>
        <w:pStyle w:val="2"/>
        <w:ind w:firstLine="0" w:firstLineChars="0"/>
        <w:jc w:val="center"/>
        <w:rPr>
          <w:szCs w:val="36"/>
        </w:rPr>
      </w:pPr>
      <w:bookmarkStart w:id="3" w:name="_Toc31140"/>
      <w:bookmarkStart w:id="4" w:name="_Toc23288"/>
      <w:r>
        <w:rPr>
          <w:rFonts w:hint="eastAsia"/>
          <w:sz w:val="36"/>
          <w:szCs w:val="36"/>
        </w:rPr>
        <w:t>第一部分  概况</w:t>
      </w:r>
      <w:bookmarkEnd w:id="3"/>
      <w:bookmarkEnd w:id="4"/>
    </w:p>
    <w:p>
      <w:pPr>
        <w:pStyle w:val="3"/>
        <w:ind w:firstLine="640"/>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ind w:firstLine="640"/>
      </w:pPr>
      <w:r>
        <w:rPr>
          <w:rFonts w:hint="eastAsia"/>
        </w:rPr>
        <w:t>静乐县第三幼儿园主要职责：实施幼儿教育，完成幼儿教育。</w:t>
      </w:r>
    </w:p>
    <w:p>
      <w:pPr>
        <w:pStyle w:val="3"/>
        <w:ind w:firstLine="640"/>
        <w:rPr>
          <w:rFonts w:hint="eastAsia" w:ascii="仿宋" w:hAnsi="仿宋" w:eastAsia="仿宋" w:cs="仿宋"/>
          <w:b w:val="0"/>
          <w:bCs/>
        </w:rPr>
      </w:pPr>
      <w:bookmarkStart w:id="7" w:name="_Toc9155"/>
      <w:bookmarkStart w:id="8" w:name="_Toc275"/>
      <w:r>
        <w:rPr>
          <w:rFonts w:hint="eastAsia" w:ascii="仿宋" w:hAnsi="仿宋" w:eastAsia="仿宋" w:cs="仿宋"/>
          <w:b w:val="0"/>
          <w:bCs/>
        </w:rPr>
        <w:t>二、机构设置情况</w:t>
      </w:r>
      <w:bookmarkEnd w:id="7"/>
      <w:bookmarkEnd w:id="8"/>
    </w:p>
    <w:p>
      <w:pPr>
        <w:ind w:firstLine="640"/>
        <w:rPr>
          <w:rFonts w:hint="eastAsia"/>
        </w:rPr>
      </w:pPr>
      <w:r>
        <w:rPr>
          <w:rFonts w:hint="eastAsia"/>
        </w:rPr>
        <w:t>静乐县第三幼儿园在职职工15人，人员编制15个，其中事业编制15人。</w:t>
      </w:r>
    </w:p>
    <w:p>
      <w:pPr>
        <w:ind w:firstLine="640"/>
      </w:pPr>
      <w:r>
        <w:rPr>
          <w:rFonts w:hint="eastAsia"/>
        </w:rPr>
        <w:t>机构设置情况：(1)后勤部门（2）财务部门（3）行政办公室（4）教育科</w:t>
      </w:r>
    </w:p>
    <w:p>
      <w:pPr>
        <w:pStyle w:val="2"/>
        <w:ind w:firstLine="723"/>
        <w:rPr>
          <w:sz w:val="36"/>
          <w:szCs w:val="36"/>
        </w:rPr>
      </w:pPr>
      <w:bookmarkStart w:id="9" w:name="_Toc12749"/>
      <w:r>
        <w:rPr>
          <w:rFonts w:hint="eastAsia"/>
          <w:sz w:val="36"/>
          <w:szCs w:val="36"/>
        </w:rPr>
        <w:t>第二部分  2021年度部门决算报表（附表）</w:t>
      </w:r>
      <w:bookmarkEnd w:id="9"/>
    </w:p>
    <w:p>
      <w:pPr>
        <w:ind w:firstLine="640"/>
        <w:rPr>
          <w:rFonts w:ascii="仿宋_GB2312" w:hAnsi="楷体"/>
          <w:szCs w:val="32"/>
        </w:rPr>
      </w:pPr>
      <w:r>
        <w:rPr>
          <w:rFonts w:hint="eastAsia" w:ascii="仿宋_GB2312" w:hAnsi="楷体"/>
          <w:szCs w:val="32"/>
        </w:rPr>
        <w:t>一、收入支出决算总表</w:t>
      </w:r>
    </w:p>
    <w:p>
      <w:pPr>
        <w:ind w:firstLine="640"/>
        <w:rPr>
          <w:rFonts w:ascii="仿宋_GB2312" w:hAnsi="楷体"/>
          <w:szCs w:val="32"/>
        </w:rPr>
      </w:pPr>
      <w:r>
        <w:rPr>
          <w:rFonts w:hint="eastAsia" w:ascii="仿宋_GB2312" w:hAnsi="楷体"/>
          <w:szCs w:val="32"/>
        </w:rPr>
        <w:t>二、收入决算表</w:t>
      </w:r>
    </w:p>
    <w:p>
      <w:pPr>
        <w:ind w:firstLine="640"/>
        <w:rPr>
          <w:rFonts w:ascii="仿宋_GB2312" w:hAnsi="楷体"/>
          <w:szCs w:val="32"/>
        </w:rPr>
      </w:pPr>
      <w:r>
        <w:rPr>
          <w:rFonts w:hint="eastAsia" w:ascii="仿宋_GB2312" w:hAnsi="楷体"/>
          <w:szCs w:val="32"/>
        </w:rPr>
        <w:t>三、支出决算表</w:t>
      </w:r>
    </w:p>
    <w:p>
      <w:pPr>
        <w:ind w:firstLine="640"/>
        <w:rPr>
          <w:rFonts w:ascii="仿宋_GB2312" w:hAnsi="楷体"/>
          <w:szCs w:val="32"/>
        </w:rPr>
      </w:pPr>
      <w:r>
        <w:rPr>
          <w:rFonts w:hint="eastAsia" w:ascii="仿宋_GB2312" w:hAnsi="楷体"/>
          <w:szCs w:val="32"/>
        </w:rPr>
        <w:t>四、财政拨款收入支出决算总表</w:t>
      </w:r>
    </w:p>
    <w:p>
      <w:pPr>
        <w:ind w:firstLine="640"/>
        <w:rPr>
          <w:rFonts w:ascii="仿宋_GB2312" w:hAnsi="楷体"/>
          <w:szCs w:val="32"/>
        </w:rPr>
      </w:pPr>
      <w:r>
        <w:rPr>
          <w:rFonts w:hint="eastAsia" w:ascii="仿宋_GB2312" w:hAnsi="楷体"/>
          <w:szCs w:val="32"/>
        </w:rPr>
        <w:t>五、一般公共预算财政拨款支出决算表（一）</w:t>
      </w:r>
    </w:p>
    <w:p>
      <w:pPr>
        <w:ind w:firstLine="640"/>
        <w:rPr>
          <w:rFonts w:ascii="仿宋_GB2312" w:hAnsi="楷体"/>
          <w:szCs w:val="32"/>
        </w:rPr>
      </w:pPr>
      <w:r>
        <w:rPr>
          <w:rFonts w:hint="eastAsia" w:ascii="仿宋_GB2312" w:hAnsi="楷体"/>
          <w:szCs w:val="32"/>
        </w:rPr>
        <w:t>六、一般公共预算财政拨款支出决算表（二）</w:t>
      </w:r>
    </w:p>
    <w:p>
      <w:pPr>
        <w:ind w:firstLine="640"/>
        <w:rPr>
          <w:rFonts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ascii="仿宋_GB2312" w:hAnsi="楷体"/>
          <w:szCs w:val="32"/>
        </w:rPr>
      </w:pPr>
      <w:r>
        <w:rPr>
          <w:rFonts w:hint="eastAsia" w:ascii="仿宋_GB2312" w:hAnsi="楷体"/>
          <w:szCs w:val="32"/>
        </w:rPr>
        <w:t>九、国有资本经营预算财政拨款支出决算表</w:t>
      </w:r>
    </w:p>
    <w:p>
      <w:pPr>
        <w:ind w:firstLine="640"/>
        <w:rPr>
          <w:rFonts w:ascii="仿宋_GB2312" w:hAnsi="楷体"/>
          <w:szCs w:val="32"/>
        </w:rPr>
      </w:pPr>
      <w:r>
        <w:rPr>
          <w:rFonts w:hint="eastAsia" w:ascii="仿宋_GB2312" w:hAnsi="楷体"/>
          <w:szCs w:val="32"/>
        </w:rPr>
        <w:t>十、部门决算公开相关信息统计表</w:t>
      </w:r>
    </w:p>
    <w:p>
      <w:pPr>
        <w:pStyle w:val="2"/>
        <w:ind w:firstLine="0" w:firstLineChars="0"/>
        <w:jc w:val="center"/>
        <w:rPr>
          <w:sz w:val="36"/>
          <w:szCs w:val="36"/>
        </w:rPr>
      </w:pPr>
      <w:bookmarkStart w:id="10" w:name="_Toc29325"/>
      <w:r>
        <w:rPr>
          <w:rFonts w:hint="eastAsia"/>
          <w:sz w:val="36"/>
          <w:szCs w:val="36"/>
        </w:rPr>
        <w:t>第三部分  2021年度部门决算情况说明</w:t>
      </w:r>
      <w:bookmarkEnd w:id="10"/>
    </w:p>
    <w:p>
      <w:pPr>
        <w:pStyle w:val="3"/>
        <w:ind w:firstLine="643"/>
        <w:rPr>
          <w:rFonts w:ascii="仿宋" w:hAnsi="仿宋" w:eastAsia="仿宋" w:cs="仿宋"/>
        </w:rPr>
      </w:pPr>
      <w:bookmarkStart w:id="11" w:name="_Toc8717"/>
      <w:bookmarkStart w:id="12" w:name="_Toc437"/>
      <w:r>
        <w:rPr>
          <w:rFonts w:hint="eastAsia" w:ascii="仿宋" w:hAnsi="仿宋" w:eastAsia="仿宋" w:cs="仿宋"/>
        </w:rPr>
        <w:t>一、收入支出决算总体情况说明</w:t>
      </w:r>
      <w:bookmarkEnd w:id="11"/>
      <w:bookmarkEnd w:id="12"/>
    </w:p>
    <w:p>
      <w:pPr>
        <w:ind w:firstLine="640"/>
        <w:rPr>
          <w:rFonts w:ascii="仿宋_GB2312"/>
          <w:color w:val="000000" w:themeColor="text1"/>
          <w:szCs w:val="32"/>
        </w:rPr>
      </w:pPr>
      <w:r>
        <w:rPr>
          <w:rFonts w:hint="eastAsia" w:ascii="仿宋_GB2312"/>
          <w:color w:val="000000" w:themeColor="text1"/>
          <w:szCs w:val="32"/>
        </w:rPr>
        <w:t>2021年度收入</w:t>
      </w:r>
      <w:r>
        <w:rPr>
          <w:rFonts w:ascii="仿宋_GB2312"/>
          <w:color w:val="000000" w:themeColor="text1"/>
          <w:szCs w:val="32"/>
        </w:rPr>
        <w:t>总计</w:t>
      </w:r>
      <w:r>
        <w:rPr>
          <w:rFonts w:hint="eastAsia" w:ascii="仿宋_GB2312"/>
          <w:color w:val="000000" w:themeColor="text1"/>
          <w:szCs w:val="32"/>
        </w:rPr>
        <w:t>128.05万元、支出总计128.05万元。与2020年相比，收入总计增长100.14万元，增长478.9%，</w:t>
      </w:r>
      <w:r>
        <w:rPr>
          <w:rFonts w:ascii="仿宋_GB2312"/>
          <w:color w:val="000000" w:themeColor="text1"/>
          <w:szCs w:val="32"/>
        </w:rPr>
        <w:t>支出总计</w:t>
      </w:r>
      <w:r>
        <w:rPr>
          <w:rFonts w:hint="eastAsia" w:ascii="仿宋_GB2312"/>
          <w:color w:val="000000" w:themeColor="text1"/>
          <w:szCs w:val="32"/>
        </w:rPr>
        <w:t>增长100.14万元</w:t>
      </w:r>
      <w:r>
        <w:rPr>
          <w:rFonts w:ascii="仿宋_GB2312"/>
          <w:color w:val="000000" w:themeColor="text1"/>
          <w:szCs w:val="32"/>
        </w:rPr>
        <w:t>，</w:t>
      </w:r>
      <w:r>
        <w:rPr>
          <w:rFonts w:hint="eastAsia" w:ascii="仿宋_GB2312"/>
          <w:color w:val="000000" w:themeColor="text1"/>
          <w:szCs w:val="32"/>
        </w:rPr>
        <w:t>增长478.9</w:t>
      </w:r>
      <w:r>
        <w:rPr>
          <w:rFonts w:ascii="仿宋_GB2312"/>
          <w:color w:val="000000" w:themeColor="text1"/>
          <w:szCs w:val="32"/>
        </w:rPr>
        <w:t>%</w:t>
      </w:r>
      <w:r>
        <w:rPr>
          <w:rFonts w:hint="eastAsia" w:ascii="仿宋_GB2312"/>
          <w:color w:val="000000" w:themeColor="text1"/>
          <w:szCs w:val="32"/>
        </w:rPr>
        <w:t>。主要原因是人员的调入。</w:t>
      </w:r>
    </w:p>
    <w:p>
      <w:pPr>
        <w:pStyle w:val="3"/>
        <w:ind w:firstLine="643"/>
        <w:rPr>
          <w:rFonts w:ascii="仿宋" w:hAnsi="仿宋" w:eastAsia="仿宋" w:cs="仿宋"/>
          <w:color w:val="000000" w:themeColor="text1"/>
        </w:rPr>
      </w:pPr>
      <w:bookmarkStart w:id="13" w:name="_Toc16754"/>
      <w:bookmarkStart w:id="14" w:name="_Toc17404"/>
      <w:r>
        <w:rPr>
          <w:rFonts w:hint="eastAsia" w:ascii="仿宋" w:hAnsi="仿宋" w:eastAsia="仿宋" w:cs="仿宋"/>
          <w:color w:val="000000" w:themeColor="text1"/>
        </w:rPr>
        <w:t>二、收入决算情况说明</w:t>
      </w:r>
      <w:bookmarkEnd w:id="13"/>
      <w:bookmarkEnd w:id="14"/>
    </w:p>
    <w:p>
      <w:pPr>
        <w:spacing w:line="580" w:lineRule="exact"/>
        <w:ind w:firstLine="640"/>
        <w:rPr>
          <w:rFonts w:ascii="仿宋_GB2312"/>
          <w:color w:val="000000" w:themeColor="text1"/>
          <w:szCs w:val="32"/>
        </w:rPr>
      </w:pPr>
      <w:r>
        <w:rPr>
          <w:rFonts w:hint="eastAsia" w:ascii="仿宋_GB2312"/>
          <w:color w:val="000000" w:themeColor="text1"/>
          <w:szCs w:val="32"/>
        </w:rPr>
        <w:t>本年收入合计128.05万元，其中：财政拨款收入128.05万元，占比100%。</w:t>
      </w:r>
      <w:r>
        <w:rPr>
          <w:rFonts w:ascii="仿宋_GB2312"/>
          <w:color w:val="000000" w:themeColor="text1"/>
          <w:szCs w:val="32"/>
        </w:rPr>
        <w:t xml:space="preserve"> </w:t>
      </w:r>
    </w:p>
    <w:p>
      <w:pPr>
        <w:pStyle w:val="3"/>
        <w:ind w:firstLine="643"/>
        <w:rPr>
          <w:rFonts w:ascii="仿宋" w:hAnsi="仿宋" w:eastAsia="仿宋" w:cs="仿宋"/>
          <w:color w:val="000000" w:themeColor="text1"/>
        </w:rPr>
      </w:pPr>
      <w:bookmarkStart w:id="15" w:name="_Toc22098"/>
      <w:bookmarkStart w:id="16" w:name="_Toc9596"/>
      <w:r>
        <w:rPr>
          <w:rFonts w:hint="eastAsia" w:ascii="仿宋" w:hAnsi="仿宋" w:eastAsia="仿宋" w:cs="仿宋"/>
          <w:color w:val="000000" w:themeColor="text1"/>
        </w:rPr>
        <w:t>三、支出决算情况说明</w:t>
      </w:r>
      <w:bookmarkEnd w:id="15"/>
      <w:bookmarkEnd w:id="16"/>
    </w:p>
    <w:p>
      <w:pPr>
        <w:spacing w:line="580" w:lineRule="exact"/>
        <w:ind w:firstLine="640"/>
        <w:rPr>
          <w:rFonts w:ascii="仿宋_GB2312"/>
          <w:color w:val="000000" w:themeColor="text1"/>
          <w:szCs w:val="32"/>
        </w:rPr>
      </w:pPr>
      <w:r>
        <w:rPr>
          <w:rFonts w:hint="eastAsia" w:ascii="仿宋_GB2312"/>
          <w:color w:val="000000" w:themeColor="text1"/>
          <w:szCs w:val="32"/>
        </w:rPr>
        <w:t>本年支出合计128.05万元，其中：基本支出117.6万元，占比91.84%；项目支出10.45万元，占比8.16%</w:t>
      </w:r>
    </w:p>
    <w:p>
      <w:pPr>
        <w:pStyle w:val="3"/>
        <w:ind w:firstLine="643"/>
        <w:rPr>
          <w:rFonts w:ascii="仿宋" w:hAnsi="仿宋" w:eastAsia="仿宋" w:cs="仿宋"/>
          <w:color w:val="000000" w:themeColor="text1"/>
        </w:rPr>
      </w:pPr>
      <w:bookmarkStart w:id="17" w:name="_Toc2142"/>
      <w:bookmarkStart w:id="18" w:name="_Toc4614"/>
      <w:r>
        <w:rPr>
          <w:rFonts w:hint="eastAsia" w:ascii="仿宋" w:hAnsi="仿宋" w:eastAsia="仿宋" w:cs="仿宋"/>
          <w:color w:val="000000" w:themeColor="text1"/>
        </w:rPr>
        <w:t>四、财政拨款收入支出决算总体情况说明</w:t>
      </w:r>
      <w:bookmarkEnd w:id="17"/>
      <w:bookmarkEnd w:id="18"/>
    </w:p>
    <w:p>
      <w:pPr>
        <w:spacing w:line="580" w:lineRule="exact"/>
        <w:ind w:firstLine="640"/>
        <w:rPr>
          <w:rFonts w:ascii="仿宋_GB2312"/>
          <w:color w:val="000000" w:themeColor="text1"/>
          <w:szCs w:val="32"/>
        </w:rPr>
      </w:pPr>
      <w:r>
        <w:rPr>
          <w:rFonts w:hint="eastAsia" w:ascii="仿宋_GB2312"/>
          <w:color w:val="000000" w:themeColor="text1"/>
          <w:szCs w:val="32"/>
        </w:rPr>
        <w:t>2021年度财政拨款收入</w:t>
      </w:r>
      <w:r>
        <w:rPr>
          <w:rFonts w:ascii="仿宋_GB2312"/>
          <w:color w:val="000000" w:themeColor="text1"/>
          <w:szCs w:val="32"/>
        </w:rPr>
        <w:t>总计</w:t>
      </w:r>
      <w:r>
        <w:rPr>
          <w:rFonts w:hint="eastAsia" w:ascii="仿宋_GB2312"/>
          <w:color w:val="000000" w:themeColor="text1"/>
          <w:szCs w:val="32"/>
        </w:rPr>
        <w:t>128.05万元、支出总计128.05万元。与2020年相比，财政拨款收入总计增长100.14万元，增长478.9%，财政拨款支出总计增长100.14万元，增长100.14%。主要原因是人员的调入。</w:t>
      </w:r>
    </w:p>
    <w:p>
      <w:pPr>
        <w:pStyle w:val="3"/>
        <w:ind w:firstLine="643"/>
        <w:rPr>
          <w:rFonts w:ascii="仿宋" w:hAnsi="仿宋" w:eastAsia="仿宋" w:cs="仿宋"/>
          <w:color w:val="000000" w:themeColor="text1"/>
        </w:rPr>
      </w:pPr>
      <w:bookmarkStart w:id="19" w:name="_Toc6501"/>
      <w:bookmarkStart w:id="20" w:name="_Toc9341"/>
      <w:r>
        <w:rPr>
          <w:rFonts w:hint="eastAsia" w:ascii="仿宋" w:hAnsi="仿宋" w:eastAsia="仿宋" w:cs="仿宋"/>
          <w:color w:val="000000" w:themeColor="text1"/>
        </w:rPr>
        <w:t>五、一般公共预算财政拨款支出决算情况说明</w:t>
      </w:r>
      <w:bookmarkEnd w:id="19"/>
      <w:bookmarkEnd w:id="20"/>
    </w:p>
    <w:p>
      <w:pPr>
        <w:spacing w:line="580" w:lineRule="exact"/>
        <w:ind w:firstLine="643"/>
        <w:rPr>
          <w:rFonts w:ascii="仿宋_GB2312"/>
          <w:b/>
          <w:color w:val="000000" w:themeColor="text1"/>
          <w:szCs w:val="32"/>
        </w:rPr>
      </w:pPr>
      <w:r>
        <w:rPr>
          <w:rFonts w:hint="eastAsia" w:ascii="仿宋_GB2312"/>
          <w:b/>
          <w:color w:val="000000" w:themeColor="text1"/>
          <w:szCs w:val="32"/>
        </w:rPr>
        <w:t>（一）财政拨款支出决算总体情况</w:t>
      </w:r>
    </w:p>
    <w:p>
      <w:pPr>
        <w:spacing w:line="580" w:lineRule="exact"/>
        <w:ind w:firstLine="640"/>
        <w:rPr>
          <w:rFonts w:ascii="仿宋_GB2312"/>
          <w:color w:val="000000" w:themeColor="text1"/>
          <w:szCs w:val="32"/>
        </w:rPr>
      </w:pPr>
      <w:r>
        <w:rPr>
          <w:rFonts w:hint="eastAsia" w:ascii="仿宋_GB2312"/>
          <w:color w:val="000000" w:themeColor="text1"/>
          <w:szCs w:val="32"/>
        </w:rPr>
        <w:t>2021年度财政拨款支出128.05万元，占本年支出合计的100%。与2020年相比，财政拨款支出增加128.05万元，增长478.9%。主要原因是人员的调入。</w:t>
      </w:r>
    </w:p>
    <w:p>
      <w:pPr>
        <w:spacing w:line="580" w:lineRule="exact"/>
        <w:ind w:firstLine="643"/>
        <w:rPr>
          <w:rFonts w:ascii="仿宋_GB2312"/>
          <w:b/>
          <w:color w:val="000000" w:themeColor="text1"/>
          <w:szCs w:val="32"/>
        </w:rPr>
      </w:pPr>
      <w:r>
        <w:rPr>
          <w:rFonts w:hint="eastAsia" w:ascii="仿宋_GB2312"/>
          <w:b/>
          <w:color w:val="000000" w:themeColor="text1"/>
          <w:szCs w:val="32"/>
        </w:rPr>
        <w:t>（二）财政拨款</w:t>
      </w:r>
      <w:r>
        <w:rPr>
          <w:rFonts w:ascii="仿宋_GB2312"/>
          <w:b/>
          <w:color w:val="000000" w:themeColor="text1"/>
          <w:szCs w:val="32"/>
        </w:rPr>
        <w:t>支出决算结构情况</w:t>
      </w:r>
    </w:p>
    <w:p>
      <w:pPr>
        <w:spacing w:line="580" w:lineRule="exact"/>
        <w:ind w:firstLine="640"/>
        <w:rPr>
          <w:rFonts w:ascii="仿宋_GB2312"/>
          <w:color w:val="000000" w:themeColor="text1"/>
          <w:szCs w:val="32"/>
        </w:rPr>
      </w:pPr>
      <w:r>
        <w:rPr>
          <w:rFonts w:hint="eastAsia" w:ascii="仿宋_GB2312"/>
          <w:color w:val="000000" w:themeColor="text1"/>
          <w:szCs w:val="32"/>
        </w:rPr>
        <w:t>2021年度</w:t>
      </w:r>
      <w:r>
        <w:rPr>
          <w:rFonts w:ascii="仿宋_GB2312"/>
          <w:color w:val="000000" w:themeColor="text1"/>
          <w:szCs w:val="32"/>
        </w:rPr>
        <w:t>财政拨款支出</w:t>
      </w:r>
      <w:r>
        <w:rPr>
          <w:rFonts w:hint="eastAsia" w:ascii="仿宋_GB2312"/>
          <w:color w:val="000000" w:themeColor="text1"/>
          <w:szCs w:val="32"/>
        </w:rPr>
        <w:t>128.05万元</w:t>
      </w:r>
      <w:r>
        <w:rPr>
          <w:rFonts w:ascii="仿宋_GB2312"/>
          <w:color w:val="000000" w:themeColor="text1"/>
          <w:szCs w:val="32"/>
        </w:rPr>
        <w:t>，主要用于以下方面：</w:t>
      </w:r>
      <w:r>
        <w:rPr>
          <w:rFonts w:hint="eastAsia" w:ascii="仿宋_GB2312"/>
          <w:b/>
          <w:color w:val="000000" w:themeColor="text1"/>
          <w:szCs w:val="32"/>
        </w:rPr>
        <w:t>教育</w:t>
      </w:r>
      <w:r>
        <w:rPr>
          <w:rFonts w:ascii="仿宋_GB2312"/>
          <w:b/>
          <w:color w:val="000000" w:themeColor="text1"/>
          <w:szCs w:val="32"/>
        </w:rPr>
        <w:t>（</w:t>
      </w:r>
      <w:r>
        <w:rPr>
          <w:rFonts w:hint="eastAsia" w:ascii="仿宋_GB2312"/>
          <w:b/>
          <w:color w:val="000000" w:themeColor="text1"/>
          <w:szCs w:val="32"/>
        </w:rPr>
        <w:t>类</w:t>
      </w:r>
      <w:r>
        <w:rPr>
          <w:rFonts w:ascii="仿宋_GB2312"/>
          <w:b/>
          <w:color w:val="000000" w:themeColor="text1"/>
          <w:szCs w:val="32"/>
        </w:rPr>
        <w:t>）</w:t>
      </w:r>
      <w:r>
        <w:rPr>
          <w:rFonts w:hint="eastAsia" w:ascii="仿宋_GB2312"/>
          <w:color w:val="000000" w:themeColor="text1"/>
          <w:szCs w:val="32"/>
        </w:rPr>
        <w:t>支出128.05万元。</w:t>
      </w:r>
    </w:p>
    <w:p>
      <w:pPr>
        <w:spacing w:line="580" w:lineRule="exact"/>
        <w:ind w:firstLine="643"/>
        <w:rPr>
          <w:rFonts w:ascii="仿宋_GB2312"/>
          <w:b/>
          <w:color w:val="000000" w:themeColor="text1"/>
          <w:szCs w:val="32"/>
        </w:rPr>
      </w:pPr>
      <w:r>
        <w:rPr>
          <w:rFonts w:hint="eastAsia" w:ascii="仿宋_GB2312"/>
          <w:b/>
          <w:color w:val="000000" w:themeColor="text1"/>
          <w:szCs w:val="32"/>
        </w:rPr>
        <w:t>（三）财政拨款支出决算具体情况</w:t>
      </w:r>
    </w:p>
    <w:p>
      <w:pPr>
        <w:spacing w:line="580" w:lineRule="exact"/>
        <w:ind w:firstLine="640"/>
        <w:rPr>
          <w:rFonts w:ascii="仿宋" w:hAnsi="仿宋" w:eastAsia="仿宋" w:cs="仿宋"/>
          <w:color w:val="000000" w:themeColor="text1"/>
          <w:szCs w:val="32"/>
        </w:rPr>
      </w:pPr>
      <w:r>
        <w:rPr>
          <w:rFonts w:hint="eastAsia"/>
          <w:color w:val="000000" w:themeColor="text1"/>
          <w:szCs w:val="32"/>
        </w:rPr>
        <w:t>2</w:t>
      </w:r>
      <w:r>
        <w:rPr>
          <w:color w:val="000000" w:themeColor="text1"/>
          <w:szCs w:val="32"/>
        </w:rPr>
        <w:t>02</w:t>
      </w:r>
      <w:r>
        <w:rPr>
          <w:rFonts w:hint="eastAsia"/>
          <w:color w:val="000000" w:themeColor="text1"/>
          <w:szCs w:val="32"/>
        </w:rPr>
        <w:t>1年度财政拨款支出年初预算58.37万元，支出决算128.05万元，完成年初预算的119.38</w:t>
      </w:r>
      <w:r>
        <w:rPr>
          <w:color w:val="000000" w:themeColor="text1"/>
          <w:szCs w:val="32"/>
        </w:rPr>
        <w:t>%</w:t>
      </w:r>
      <w:r>
        <w:rPr>
          <w:rFonts w:hint="eastAsia"/>
          <w:color w:val="000000" w:themeColor="text1"/>
          <w:szCs w:val="32"/>
        </w:rPr>
        <w:t>。其中：</w:t>
      </w:r>
    </w:p>
    <w:p>
      <w:pPr>
        <w:ind w:firstLine="640"/>
        <w:jc w:val="left"/>
        <w:rPr>
          <w:rFonts w:ascii="仿宋" w:hAnsi="仿宋" w:eastAsia="仿宋" w:cs="仿宋"/>
          <w:color w:val="000000" w:themeColor="text1"/>
          <w:szCs w:val="32"/>
        </w:rPr>
      </w:pPr>
      <w:r>
        <w:rPr>
          <w:rFonts w:hint="eastAsia" w:ascii="仿宋" w:hAnsi="仿宋" w:eastAsia="仿宋" w:cs="仿宋"/>
          <w:color w:val="000000" w:themeColor="text1"/>
          <w:szCs w:val="32"/>
        </w:rPr>
        <w:t>（1）按功能科目分类对比如下：</w:t>
      </w:r>
    </w:p>
    <w:p>
      <w:pPr>
        <w:ind w:firstLine="602"/>
        <w:jc w:val="left"/>
        <w:rPr>
          <w:rFonts w:ascii="宋体" w:hAnsi="宋体" w:cs="Arial"/>
          <w:b/>
          <w:color w:val="000000" w:themeColor="text1"/>
          <w:kern w:val="0"/>
          <w:sz w:val="30"/>
          <w:szCs w:val="30"/>
        </w:rPr>
      </w:pPr>
      <w:r>
        <w:rPr>
          <w:rFonts w:ascii="宋体" w:hAnsi="宋体" w:cs="Arial"/>
          <w:b/>
          <w:color w:val="000000" w:themeColor="text1"/>
          <w:kern w:val="0"/>
          <w:sz w:val="30"/>
          <w:szCs w:val="30"/>
        </w:rPr>
        <w:t>2</w:t>
      </w:r>
      <w:r>
        <w:rPr>
          <w:rFonts w:hint="eastAsia" w:ascii="宋体" w:hAnsi="宋体" w:cs="Arial"/>
          <w:b/>
          <w:color w:val="000000" w:themeColor="text1"/>
          <w:kern w:val="0"/>
          <w:sz w:val="30"/>
          <w:szCs w:val="30"/>
        </w:rPr>
        <w:t>021年度支出功能科目分类对比表    单位：万元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widowControl/>
              <w:ind w:firstLine="0" w:firstLineChars="0"/>
              <w:rPr>
                <w:rFonts w:ascii="宋体" w:hAnsi="宋体" w:cs="Arial"/>
                <w:b/>
                <w:color w:val="000000" w:themeColor="text1"/>
                <w:kern w:val="0"/>
                <w:sz w:val="24"/>
                <w:szCs w:val="24"/>
              </w:rPr>
            </w:pPr>
            <w:r>
              <w:rPr>
                <w:rFonts w:hint="eastAsia" w:ascii="宋体" w:hAnsi="宋体" w:cs="Arial"/>
                <w:b/>
                <w:color w:val="000000" w:themeColor="text1"/>
                <w:kern w:val="0"/>
                <w:sz w:val="24"/>
                <w:szCs w:val="24"/>
              </w:rPr>
              <w:t>科目代码</w:t>
            </w:r>
          </w:p>
        </w:tc>
        <w:tc>
          <w:tcPr>
            <w:tcW w:w="2479" w:type="dxa"/>
          </w:tcPr>
          <w:p>
            <w:pPr>
              <w:widowControl/>
              <w:ind w:firstLine="482"/>
              <w:rPr>
                <w:rFonts w:ascii="宋体" w:hAnsi="宋体" w:cs="Arial"/>
                <w:b/>
                <w:color w:val="000000" w:themeColor="text1"/>
                <w:kern w:val="0"/>
                <w:sz w:val="24"/>
                <w:szCs w:val="24"/>
              </w:rPr>
            </w:pPr>
            <w:r>
              <w:rPr>
                <w:rFonts w:hint="eastAsia" w:ascii="宋体" w:hAnsi="宋体" w:cs="Arial"/>
                <w:b/>
                <w:color w:val="000000" w:themeColor="text1"/>
                <w:kern w:val="0"/>
                <w:sz w:val="24"/>
                <w:szCs w:val="24"/>
              </w:rPr>
              <w:t>科目名称</w:t>
            </w:r>
          </w:p>
        </w:tc>
        <w:tc>
          <w:tcPr>
            <w:tcW w:w="1876" w:type="dxa"/>
          </w:tcPr>
          <w:p>
            <w:pPr>
              <w:widowControl/>
              <w:ind w:firstLine="482"/>
              <w:jc w:val="left"/>
              <w:rPr>
                <w:rFonts w:ascii="宋体" w:hAnsi="宋体" w:eastAsia="宋体" w:cs="Arial"/>
                <w:b/>
                <w:color w:val="000000" w:themeColor="text1"/>
                <w:kern w:val="0"/>
                <w:sz w:val="24"/>
                <w:szCs w:val="24"/>
              </w:rPr>
            </w:pPr>
            <w:r>
              <w:rPr>
                <w:rFonts w:hint="eastAsia" w:ascii="宋体" w:hAnsi="宋体" w:cs="Arial"/>
                <w:b/>
                <w:color w:val="000000" w:themeColor="text1"/>
                <w:kern w:val="0"/>
                <w:sz w:val="24"/>
                <w:szCs w:val="24"/>
              </w:rPr>
              <w:t>2020年</w:t>
            </w:r>
          </w:p>
        </w:tc>
        <w:tc>
          <w:tcPr>
            <w:tcW w:w="1684" w:type="dxa"/>
          </w:tcPr>
          <w:p>
            <w:pPr>
              <w:widowControl/>
              <w:ind w:firstLine="482"/>
              <w:jc w:val="left"/>
              <w:rPr>
                <w:rFonts w:ascii="宋体" w:hAnsi="宋体" w:eastAsia="宋体" w:cs="Arial"/>
                <w:b/>
                <w:color w:val="000000" w:themeColor="text1"/>
                <w:kern w:val="0"/>
                <w:sz w:val="24"/>
                <w:szCs w:val="24"/>
              </w:rPr>
            </w:pPr>
            <w:r>
              <w:rPr>
                <w:rFonts w:hint="eastAsia" w:ascii="宋体" w:hAnsi="宋体" w:eastAsia="宋体" w:cs="Arial"/>
                <w:b/>
                <w:color w:val="000000" w:themeColor="text1"/>
                <w:kern w:val="0"/>
                <w:sz w:val="24"/>
                <w:szCs w:val="24"/>
              </w:rPr>
              <w:t>2021年</w:t>
            </w:r>
          </w:p>
        </w:tc>
        <w:tc>
          <w:tcPr>
            <w:tcW w:w="1393" w:type="dxa"/>
          </w:tcPr>
          <w:p>
            <w:pPr>
              <w:widowControl/>
              <w:ind w:firstLine="0" w:firstLineChars="0"/>
              <w:jc w:val="left"/>
              <w:rPr>
                <w:rFonts w:ascii="宋体" w:hAnsi="宋体" w:eastAsia="宋体" w:cs="Arial"/>
                <w:b/>
                <w:color w:val="000000" w:themeColor="text1"/>
                <w:kern w:val="0"/>
                <w:sz w:val="24"/>
                <w:szCs w:val="24"/>
              </w:rPr>
            </w:pPr>
            <w:r>
              <w:rPr>
                <w:rFonts w:hint="eastAsia" w:ascii="宋体" w:hAnsi="宋体" w:cs="Arial"/>
                <w:b/>
                <w:color w:val="000000" w:themeColor="text1"/>
                <w:kern w:val="0"/>
                <w:sz w:val="24"/>
                <w:szCs w:val="24"/>
              </w:rPr>
              <w:t>增减变化</w:t>
            </w:r>
            <w:r>
              <w:rPr>
                <w:rFonts w:hint="eastAsia" w:ascii="宋体" w:hAnsi="宋体" w:cs="Arial"/>
                <w:b/>
                <w:color w:val="000000" w:themeColor="text1"/>
                <w:kern w:val="0"/>
                <w:sz w:val="24"/>
                <w:szCs w:val="24"/>
                <w:lang w:val="en-US" w:eastAsia="zh-CN"/>
              </w:rPr>
              <w:t>%</w:t>
            </w:r>
            <w:bookmarkStart w:id="33" w:name="_GoBack"/>
            <w:bookmarkEnd w:id="3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205</w:t>
            </w:r>
          </w:p>
        </w:tc>
        <w:tc>
          <w:tcPr>
            <w:tcW w:w="2479" w:type="dxa"/>
          </w:tcPr>
          <w:p>
            <w:pPr>
              <w:ind w:firstLine="480"/>
              <w:jc w:val="lef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教育支出</w:t>
            </w:r>
          </w:p>
        </w:tc>
        <w:tc>
          <w:tcPr>
            <w:tcW w:w="1876" w:type="dxa"/>
            <w:vAlign w:val="center"/>
          </w:tcPr>
          <w:p>
            <w:pPr>
              <w:widowControl/>
              <w:ind w:right="480" w:firstLine="480"/>
              <w:jc w:val="right"/>
              <w:textAlignment w:val="center"/>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27.91</w:t>
            </w:r>
          </w:p>
        </w:tc>
        <w:tc>
          <w:tcPr>
            <w:tcW w:w="1684" w:type="dxa"/>
            <w:vAlign w:val="center"/>
          </w:tcPr>
          <w:p>
            <w:pPr>
              <w:widowControl/>
              <w:ind w:right="240" w:firstLine="480"/>
              <w:jc w:val="right"/>
              <w:textAlignment w:val="center"/>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128.05</w:t>
            </w:r>
          </w:p>
        </w:tc>
        <w:tc>
          <w:tcPr>
            <w:tcW w:w="1393" w:type="dxa"/>
          </w:tcPr>
          <w:p>
            <w:pPr>
              <w:ind w:firstLine="0" w:firstLineChars="0"/>
              <w:jc w:val="lef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+100.14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ind w:firstLine="440"/>
              <w:rPr>
                <w:rFonts w:ascii="宋体" w:hAnsi="宋体" w:eastAsia="宋体" w:cs="Arial"/>
                <w:color w:val="000000" w:themeColor="text1"/>
                <w:sz w:val="22"/>
              </w:rPr>
            </w:pPr>
            <w:r>
              <w:rPr>
                <w:rFonts w:hint="eastAsia" w:cs="Arial"/>
                <w:color w:val="000000" w:themeColor="text1"/>
                <w:sz w:val="22"/>
              </w:rPr>
              <w:t>20502</w:t>
            </w:r>
          </w:p>
        </w:tc>
        <w:tc>
          <w:tcPr>
            <w:tcW w:w="2479" w:type="dxa"/>
            <w:vAlign w:val="center"/>
          </w:tcPr>
          <w:p>
            <w:pPr>
              <w:ind w:firstLine="440"/>
              <w:rPr>
                <w:rFonts w:ascii="宋体" w:hAnsi="宋体" w:eastAsia="宋体" w:cs="Arial"/>
                <w:color w:val="000000" w:themeColor="text1"/>
                <w:sz w:val="22"/>
              </w:rPr>
            </w:pPr>
            <w:r>
              <w:rPr>
                <w:rFonts w:hint="eastAsia" w:cs="Arial"/>
                <w:color w:val="000000" w:themeColor="text1"/>
                <w:sz w:val="22"/>
              </w:rPr>
              <w:t>普通教育</w:t>
            </w:r>
          </w:p>
        </w:tc>
        <w:tc>
          <w:tcPr>
            <w:tcW w:w="1876" w:type="dxa"/>
          </w:tcPr>
          <w:p>
            <w:pPr>
              <w:ind w:firstLine="556" w:firstLineChars="232"/>
              <w:jc w:val="lef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27.91</w:t>
            </w:r>
          </w:p>
        </w:tc>
        <w:tc>
          <w:tcPr>
            <w:tcW w:w="1684" w:type="dxa"/>
          </w:tcPr>
          <w:p>
            <w:pPr>
              <w:ind w:firstLine="480"/>
              <w:jc w:val="lef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128.05</w:t>
            </w:r>
          </w:p>
        </w:tc>
        <w:tc>
          <w:tcPr>
            <w:tcW w:w="1393" w:type="dxa"/>
          </w:tcPr>
          <w:p>
            <w:pPr>
              <w:ind w:firstLine="0" w:firstLineChars="0"/>
              <w:rPr>
                <w:color w:val="000000" w:themeColor="text1"/>
              </w:rPr>
            </w:pPr>
            <w:r>
              <w:rPr>
                <w:rFonts w:hint="eastAsia" w:ascii="仿宋" w:hAnsi="仿宋" w:eastAsia="仿宋" w:cs="仿宋"/>
                <w:color w:val="000000" w:themeColor="text1"/>
                <w:sz w:val="24"/>
                <w:szCs w:val="24"/>
              </w:rPr>
              <w:t>+100.14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ind w:firstLine="440"/>
              <w:rPr>
                <w:rFonts w:ascii="宋体" w:hAnsi="宋体" w:eastAsia="宋体" w:cs="Arial"/>
                <w:color w:val="000000" w:themeColor="text1"/>
                <w:sz w:val="22"/>
              </w:rPr>
            </w:pPr>
            <w:r>
              <w:rPr>
                <w:rFonts w:hint="eastAsia" w:cs="Arial"/>
                <w:color w:val="000000" w:themeColor="text1"/>
                <w:sz w:val="22"/>
              </w:rPr>
              <w:t>2050201</w:t>
            </w:r>
          </w:p>
        </w:tc>
        <w:tc>
          <w:tcPr>
            <w:tcW w:w="2479" w:type="dxa"/>
            <w:vAlign w:val="center"/>
          </w:tcPr>
          <w:p>
            <w:pPr>
              <w:ind w:firstLine="440"/>
              <w:rPr>
                <w:rFonts w:ascii="宋体" w:hAnsi="宋体" w:eastAsia="宋体" w:cs="Arial"/>
                <w:color w:val="000000" w:themeColor="text1"/>
                <w:sz w:val="22"/>
              </w:rPr>
            </w:pPr>
            <w:r>
              <w:rPr>
                <w:rFonts w:hint="eastAsia" w:cs="Arial"/>
                <w:color w:val="000000" w:themeColor="text1"/>
                <w:sz w:val="22"/>
              </w:rPr>
              <w:t xml:space="preserve">  学前教育</w:t>
            </w:r>
          </w:p>
        </w:tc>
        <w:tc>
          <w:tcPr>
            <w:tcW w:w="1876" w:type="dxa"/>
          </w:tcPr>
          <w:p>
            <w:pPr>
              <w:ind w:firstLine="600" w:firstLineChars="250"/>
              <w:jc w:val="lef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27.91</w:t>
            </w:r>
          </w:p>
        </w:tc>
        <w:tc>
          <w:tcPr>
            <w:tcW w:w="1684" w:type="dxa"/>
          </w:tcPr>
          <w:p>
            <w:pPr>
              <w:ind w:firstLine="480"/>
              <w:jc w:val="left"/>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128.05</w:t>
            </w:r>
          </w:p>
        </w:tc>
        <w:tc>
          <w:tcPr>
            <w:tcW w:w="1393" w:type="dxa"/>
          </w:tcPr>
          <w:p>
            <w:pPr>
              <w:ind w:firstLine="0" w:firstLineChars="0"/>
              <w:rPr>
                <w:color w:val="000000" w:themeColor="text1"/>
              </w:rPr>
            </w:pPr>
            <w:r>
              <w:rPr>
                <w:rFonts w:hint="eastAsia" w:ascii="仿宋" w:hAnsi="仿宋" w:eastAsia="仿宋" w:cs="仿宋"/>
                <w:color w:val="000000" w:themeColor="text1"/>
                <w:sz w:val="24"/>
                <w:szCs w:val="24"/>
              </w:rPr>
              <w:t>+100.14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color w:val="000000" w:themeColor="text1"/>
                <w:sz w:val="24"/>
                <w:szCs w:val="24"/>
              </w:rPr>
            </w:pPr>
          </w:p>
        </w:tc>
        <w:tc>
          <w:tcPr>
            <w:tcW w:w="2479" w:type="dxa"/>
          </w:tcPr>
          <w:p>
            <w:pPr>
              <w:ind w:firstLine="480"/>
              <w:jc w:val="left"/>
              <w:rPr>
                <w:rFonts w:ascii="仿宋" w:hAnsi="仿宋" w:eastAsia="仿宋" w:cs="仿宋"/>
                <w:color w:val="000000" w:themeColor="text1"/>
                <w:sz w:val="24"/>
                <w:szCs w:val="24"/>
              </w:rPr>
            </w:pPr>
          </w:p>
        </w:tc>
        <w:tc>
          <w:tcPr>
            <w:tcW w:w="1876" w:type="dxa"/>
          </w:tcPr>
          <w:p>
            <w:pPr>
              <w:ind w:firstLine="480"/>
              <w:jc w:val="left"/>
              <w:rPr>
                <w:rFonts w:ascii="仿宋" w:hAnsi="仿宋" w:eastAsia="仿宋" w:cs="仿宋"/>
                <w:color w:val="000000" w:themeColor="text1"/>
                <w:sz w:val="24"/>
                <w:szCs w:val="24"/>
              </w:rPr>
            </w:pPr>
          </w:p>
        </w:tc>
        <w:tc>
          <w:tcPr>
            <w:tcW w:w="1684" w:type="dxa"/>
          </w:tcPr>
          <w:p>
            <w:pPr>
              <w:ind w:firstLine="480"/>
              <w:jc w:val="left"/>
              <w:rPr>
                <w:rFonts w:ascii="仿宋" w:hAnsi="仿宋" w:eastAsia="仿宋" w:cs="仿宋"/>
                <w:color w:val="000000" w:themeColor="text1"/>
                <w:sz w:val="24"/>
                <w:szCs w:val="24"/>
              </w:rPr>
            </w:pPr>
          </w:p>
        </w:tc>
        <w:tc>
          <w:tcPr>
            <w:tcW w:w="1393" w:type="dxa"/>
          </w:tcPr>
          <w:p>
            <w:pPr>
              <w:ind w:firstLine="480"/>
              <w:jc w:val="left"/>
              <w:rPr>
                <w:rFonts w:ascii="仿宋" w:hAnsi="仿宋" w:eastAsia="仿宋" w:cs="仿宋"/>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color w:val="000000" w:themeColor="text1"/>
                <w:sz w:val="24"/>
                <w:szCs w:val="24"/>
              </w:rPr>
            </w:pPr>
          </w:p>
        </w:tc>
        <w:tc>
          <w:tcPr>
            <w:tcW w:w="2479" w:type="dxa"/>
          </w:tcPr>
          <w:p>
            <w:pPr>
              <w:ind w:firstLine="480"/>
              <w:jc w:val="left"/>
              <w:rPr>
                <w:rFonts w:ascii="仿宋" w:hAnsi="仿宋" w:eastAsia="仿宋" w:cs="仿宋"/>
                <w:color w:val="000000" w:themeColor="text1"/>
                <w:sz w:val="24"/>
                <w:szCs w:val="24"/>
              </w:rPr>
            </w:pPr>
          </w:p>
        </w:tc>
        <w:tc>
          <w:tcPr>
            <w:tcW w:w="1876" w:type="dxa"/>
          </w:tcPr>
          <w:p>
            <w:pPr>
              <w:ind w:firstLine="480"/>
              <w:jc w:val="left"/>
              <w:rPr>
                <w:rFonts w:ascii="仿宋" w:hAnsi="仿宋" w:eastAsia="仿宋" w:cs="仿宋"/>
                <w:color w:val="000000" w:themeColor="text1"/>
                <w:sz w:val="24"/>
                <w:szCs w:val="24"/>
              </w:rPr>
            </w:pPr>
          </w:p>
        </w:tc>
        <w:tc>
          <w:tcPr>
            <w:tcW w:w="1684" w:type="dxa"/>
          </w:tcPr>
          <w:p>
            <w:pPr>
              <w:ind w:firstLine="480"/>
              <w:jc w:val="left"/>
              <w:rPr>
                <w:rFonts w:ascii="仿宋" w:hAnsi="仿宋" w:eastAsia="仿宋" w:cs="仿宋"/>
                <w:color w:val="000000" w:themeColor="text1"/>
                <w:sz w:val="24"/>
                <w:szCs w:val="24"/>
              </w:rPr>
            </w:pPr>
          </w:p>
        </w:tc>
        <w:tc>
          <w:tcPr>
            <w:tcW w:w="1393" w:type="dxa"/>
          </w:tcPr>
          <w:p>
            <w:pPr>
              <w:ind w:firstLine="480"/>
              <w:jc w:val="left"/>
              <w:rPr>
                <w:rFonts w:ascii="仿宋" w:hAnsi="仿宋" w:eastAsia="仿宋" w:cs="仿宋"/>
                <w:color w:val="000000" w:themeColor="text1"/>
                <w:sz w:val="24"/>
                <w:szCs w:val="24"/>
              </w:rPr>
            </w:pPr>
          </w:p>
        </w:tc>
      </w:tr>
    </w:tbl>
    <w:p>
      <w:pPr>
        <w:numPr>
          <w:ilvl w:val="0"/>
          <w:numId w:val="1"/>
        </w:numPr>
        <w:ind w:firstLine="640"/>
        <w:jc w:val="left"/>
        <w:rPr>
          <w:rFonts w:ascii="仿宋" w:hAnsi="仿宋" w:eastAsia="仿宋" w:cs="仿宋"/>
          <w:color w:val="000000" w:themeColor="text1"/>
          <w:szCs w:val="32"/>
        </w:rPr>
      </w:pPr>
      <w:r>
        <w:rPr>
          <w:rFonts w:hint="eastAsia" w:ascii="仿宋" w:hAnsi="仿宋" w:eastAsia="仿宋" w:cs="仿宋"/>
          <w:color w:val="000000" w:themeColor="text1"/>
          <w:szCs w:val="32"/>
        </w:rPr>
        <w:t>按经济科目分类对比如下：</w:t>
      </w:r>
    </w:p>
    <w:p>
      <w:pPr>
        <w:ind w:firstLine="602"/>
        <w:jc w:val="left"/>
        <w:rPr>
          <w:rFonts w:ascii="仿宋" w:hAnsi="仿宋" w:eastAsia="仿宋" w:cs="仿宋"/>
          <w:color w:val="000000" w:themeColor="text1"/>
          <w:sz w:val="30"/>
          <w:szCs w:val="30"/>
        </w:rPr>
      </w:pPr>
      <w:r>
        <w:rPr>
          <w:rFonts w:hint="eastAsia" w:ascii="仿宋" w:hAnsi="仿宋" w:eastAsia="仿宋" w:cs="Arial"/>
          <w:b/>
          <w:color w:val="000000" w:themeColor="text1"/>
          <w:kern w:val="0"/>
          <w:sz w:val="30"/>
          <w:szCs w:val="30"/>
        </w:rPr>
        <w:t>2020年度支出经济科目分类决算对比表     单位：万元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2"/>
              <w:rPr>
                <w:rFonts w:ascii="仿宋" w:hAnsi="仿宋" w:eastAsia="仿宋" w:cs="仿宋"/>
                <w:b/>
                <w:color w:val="000000" w:themeColor="text1"/>
                <w:kern w:val="0"/>
                <w:sz w:val="28"/>
                <w:szCs w:val="28"/>
              </w:rPr>
            </w:pPr>
            <w:r>
              <w:rPr>
                <w:rFonts w:hint="eastAsia" w:ascii="仿宋" w:hAnsi="仿宋" w:eastAsia="仿宋" w:cs="仿宋"/>
                <w:b/>
                <w:color w:val="000000" w:themeColor="text1"/>
                <w:kern w:val="0"/>
                <w:sz w:val="28"/>
                <w:szCs w:val="28"/>
              </w:rPr>
              <w:t>科目名称</w:t>
            </w:r>
          </w:p>
        </w:tc>
        <w:tc>
          <w:tcPr>
            <w:tcW w:w="1837" w:type="dxa"/>
          </w:tcPr>
          <w:p>
            <w:pPr>
              <w:widowControl/>
              <w:ind w:firstLine="482"/>
              <w:jc w:val="left"/>
              <w:rPr>
                <w:rFonts w:ascii="仿宋" w:hAnsi="仿宋" w:eastAsia="仿宋" w:cs="仿宋"/>
                <w:b/>
                <w:color w:val="000000" w:themeColor="text1"/>
                <w:kern w:val="0"/>
                <w:sz w:val="28"/>
                <w:szCs w:val="28"/>
              </w:rPr>
            </w:pPr>
            <w:r>
              <w:rPr>
                <w:rFonts w:hint="eastAsia" w:ascii="仿宋" w:hAnsi="仿宋" w:eastAsia="仿宋" w:cs="仿宋"/>
                <w:b/>
                <w:color w:val="000000" w:themeColor="text1"/>
                <w:kern w:val="0"/>
                <w:sz w:val="24"/>
                <w:szCs w:val="24"/>
              </w:rPr>
              <w:t>2020年</w:t>
            </w:r>
          </w:p>
        </w:tc>
        <w:tc>
          <w:tcPr>
            <w:tcW w:w="2071" w:type="dxa"/>
          </w:tcPr>
          <w:p>
            <w:pPr>
              <w:widowControl/>
              <w:ind w:firstLine="482"/>
              <w:jc w:val="left"/>
              <w:rPr>
                <w:rFonts w:ascii="仿宋" w:hAnsi="仿宋" w:eastAsia="仿宋" w:cs="仿宋"/>
                <w:b/>
                <w:color w:val="000000" w:themeColor="text1"/>
                <w:kern w:val="0"/>
                <w:sz w:val="28"/>
                <w:szCs w:val="28"/>
              </w:rPr>
            </w:pPr>
            <w:r>
              <w:rPr>
                <w:rFonts w:hint="eastAsia" w:ascii="仿宋" w:hAnsi="仿宋" w:eastAsia="仿宋" w:cs="仿宋"/>
                <w:b/>
                <w:color w:val="000000" w:themeColor="text1"/>
                <w:kern w:val="0"/>
                <w:sz w:val="24"/>
                <w:szCs w:val="24"/>
              </w:rPr>
              <w:t>2021年</w:t>
            </w:r>
          </w:p>
        </w:tc>
        <w:tc>
          <w:tcPr>
            <w:tcW w:w="1956" w:type="dxa"/>
          </w:tcPr>
          <w:p>
            <w:pPr>
              <w:widowControl/>
              <w:ind w:firstLine="482"/>
              <w:jc w:val="left"/>
              <w:rPr>
                <w:rFonts w:ascii="仿宋" w:hAnsi="仿宋" w:eastAsia="仿宋" w:cs="仿宋"/>
                <w:b/>
                <w:color w:val="000000" w:themeColor="text1"/>
                <w:kern w:val="0"/>
                <w:sz w:val="28"/>
                <w:szCs w:val="28"/>
              </w:rPr>
            </w:pPr>
            <w:r>
              <w:rPr>
                <w:rFonts w:hint="eastAsia" w:ascii="仿宋" w:hAnsi="仿宋" w:eastAsia="仿宋" w:cs="仿宋"/>
                <w:b/>
                <w:color w:val="000000" w:themeColor="text1"/>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ind w:firstLine="560"/>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合  计</w:t>
            </w:r>
          </w:p>
        </w:tc>
        <w:tc>
          <w:tcPr>
            <w:tcW w:w="1837" w:type="dxa"/>
            <w:vAlign w:val="center"/>
          </w:tcPr>
          <w:p>
            <w:pPr>
              <w:widowControl/>
              <w:ind w:firstLine="560"/>
              <w:jc w:val="center"/>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20.91</w:t>
            </w:r>
          </w:p>
        </w:tc>
        <w:tc>
          <w:tcPr>
            <w:tcW w:w="2071" w:type="dxa"/>
            <w:vAlign w:val="center"/>
          </w:tcPr>
          <w:p>
            <w:pPr>
              <w:widowControl/>
              <w:ind w:firstLine="560"/>
              <w:jc w:val="center"/>
              <w:textAlignment w:val="center"/>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128.05</w:t>
            </w:r>
          </w:p>
        </w:tc>
        <w:tc>
          <w:tcPr>
            <w:tcW w:w="1956"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+478.9%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firstLine="560"/>
              <w:jc w:val="lef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工资福利支出</w:t>
            </w:r>
          </w:p>
        </w:tc>
        <w:tc>
          <w:tcPr>
            <w:tcW w:w="1837" w:type="dxa"/>
            <w:vAlign w:val="center"/>
          </w:tcPr>
          <w:p>
            <w:pPr>
              <w:widowControl/>
              <w:ind w:firstLine="560"/>
              <w:jc w:val="center"/>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20.97</w:t>
            </w:r>
          </w:p>
        </w:tc>
        <w:tc>
          <w:tcPr>
            <w:tcW w:w="2071" w:type="dxa"/>
            <w:vAlign w:val="center"/>
          </w:tcPr>
          <w:p>
            <w:pPr>
              <w:widowControl/>
              <w:ind w:firstLine="560"/>
              <w:jc w:val="center"/>
              <w:textAlignment w:val="center"/>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116.41</w:t>
            </w:r>
          </w:p>
        </w:tc>
        <w:tc>
          <w:tcPr>
            <w:tcW w:w="1956"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+455.1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firstLine="560"/>
              <w:jc w:val="lef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商品服务支出</w:t>
            </w:r>
          </w:p>
        </w:tc>
        <w:tc>
          <w:tcPr>
            <w:tcW w:w="1837" w:type="dxa"/>
            <w:vAlign w:val="center"/>
          </w:tcPr>
          <w:p>
            <w:pPr>
              <w:widowControl/>
              <w:ind w:firstLine="560"/>
              <w:jc w:val="center"/>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2.21</w:t>
            </w:r>
          </w:p>
        </w:tc>
        <w:tc>
          <w:tcPr>
            <w:tcW w:w="2071" w:type="dxa"/>
            <w:vAlign w:val="center"/>
          </w:tcPr>
          <w:p>
            <w:pPr>
              <w:widowControl/>
              <w:ind w:firstLine="560"/>
              <w:jc w:val="center"/>
              <w:textAlignment w:val="center"/>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9.67</w:t>
            </w:r>
          </w:p>
        </w:tc>
        <w:tc>
          <w:tcPr>
            <w:tcW w:w="1956"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+337.5%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firstLine="0" w:firstLineChars="0"/>
              <w:jc w:val="lef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对个人和家庭的补助</w:t>
            </w:r>
          </w:p>
        </w:tc>
        <w:tc>
          <w:tcPr>
            <w:tcW w:w="1837" w:type="dxa"/>
            <w:vAlign w:val="center"/>
          </w:tcPr>
          <w:p>
            <w:pPr>
              <w:widowControl/>
              <w:ind w:firstLine="560"/>
              <w:jc w:val="center"/>
              <w:rPr>
                <w:rFonts w:ascii="仿宋" w:hAnsi="仿宋" w:eastAsia="仿宋" w:cs="仿宋"/>
                <w:color w:val="000000" w:themeColor="text1"/>
                <w:kern w:val="0"/>
                <w:sz w:val="28"/>
                <w:szCs w:val="28"/>
              </w:rPr>
            </w:pPr>
          </w:p>
        </w:tc>
        <w:tc>
          <w:tcPr>
            <w:tcW w:w="2071" w:type="dxa"/>
            <w:vAlign w:val="center"/>
          </w:tcPr>
          <w:p>
            <w:pPr>
              <w:widowControl/>
              <w:ind w:firstLine="560"/>
              <w:jc w:val="center"/>
              <w:rPr>
                <w:rFonts w:ascii="仿宋" w:hAnsi="仿宋" w:eastAsia="仿宋" w:cs="仿宋"/>
                <w:color w:val="000000" w:themeColor="text1"/>
                <w:kern w:val="0"/>
                <w:sz w:val="28"/>
                <w:szCs w:val="28"/>
              </w:rPr>
            </w:pPr>
          </w:p>
        </w:tc>
        <w:tc>
          <w:tcPr>
            <w:tcW w:w="1956" w:type="dxa"/>
            <w:vAlign w:val="center"/>
          </w:tcPr>
          <w:p>
            <w:pPr>
              <w:widowControl/>
              <w:ind w:firstLine="560"/>
              <w:jc w:val="right"/>
              <w:rPr>
                <w:rFonts w:ascii="仿宋" w:hAnsi="仿宋" w:eastAsia="仿宋" w:cs="仿宋"/>
                <w:color w:val="000000" w:themeColor="text1"/>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0"/>
              <w:jc w:val="left"/>
              <w:rPr>
                <w:rFonts w:ascii="仿宋" w:hAnsi="仿宋" w:eastAsia="仿宋" w:cs="仿宋"/>
                <w:b/>
                <w:bCs/>
                <w:color w:val="000000" w:themeColor="text1"/>
                <w:kern w:val="0"/>
                <w:sz w:val="28"/>
                <w:szCs w:val="28"/>
              </w:rPr>
            </w:pPr>
            <w:r>
              <w:rPr>
                <w:rFonts w:hint="eastAsia" w:ascii="仿宋" w:hAnsi="仿宋" w:eastAsia="仿宋" w:cs="仿宋"/>
                <w:color w:val="000000" w:themeColor="text1"/>
                <w:kern w:val="0"/>
                <w:sz w:val="28"/>
                <w:szCs w:val="28"/>
              </w:rPr>
              <w:t>资本性支出</w:t>
            </w:r>
          </w:p>
        </w:tc>
        <w:tc>
          <w:tcPr>
            <w:tcW w:w="1837" w:type="dxa"/>
            <w:vAlign w:val="center"/>
          </w:tcPr>
          <w:p>
            <w:pPr>
              <w:widowControl/>
              <w:ind w:firstLine="560"/>
              <w:jc w:val="center"/>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4.73</w:t>
            </w:r>
          </w:p>
        </w:tc>
        <w:tc>
          <w:tcPr>
            <w:tcW w:w="2071" w:type="dxa"/>
            <w:vAlign w:val="center"/>
          </w:tcPr>
          <w:p>
            <w:pPr>
              <w:widowControl/>
              <w:ind w:firstLine="640"/>
              <w:jc w:val="center"/>
              <w:textAlignment w:val="center"/>
              <w:rPr>
                <w:rFonts w:ascii="仿宋" w:hAnsi="仿宋" w:eastAsia="仿宋" w:cs="仿宋"/>
                <w:color w:val="000000" w:themeColor="text1"/>
              </w:rPr>
            </w:pPr>
            <w:r>
              <w:rPr>
                <w:rFonts w:hint="eastAsia" w:ascii="仿宋" w:hAnsi="仿宋" w:eastAsia="仿宋" w:cs="仿宋"/>
                <w:color w:val="000000" w:themeColor="text1"/>
              </w:rPr>
              <w:t>1.97</w:t>
            </w:r>
          </w:p>
        </w:tc>
        <w:tc>
          <w:tcPr>
            <w:tcW w:w="1956" w:type="dxa"/>
            <w:vAlign w:val="center"/>
          </w:tcPr>
          <w:p>
            <w:pPr>
              <w:widowControl/>
              <w:ind w:firstLine="560"/>
              <w:jc w:val="righ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-58.3%</w:t>
            </w:r>
          </w:p>
        </w:tc>
      </w:tr>
    </w:tbl>
    <w:p>
      <w:pPr>
        <w:spacing w:line="580" w:lineRule="exact"/>
        <w:ind w:firstLine="0" w:firstLineChars="0"/>
        <w:rPr>
          <w:color w:val="000000" w:themeColor="text1"/>
          <w:szCs w:val="32"/>
        </w:rPr>
      </w:pPr>
    </w:p>
    <w:p>
      <w:pPr>
        <w:pStyle w:val="3"/>
        <w:ind w:firstLine="643"/>
        <w:rPr>
          <w:rFonts w:ascii="仿宋" w:hAnsi="仿宋" w:eastAsia="仿宋" w:cs="仿宋"/>
          <w:color w:val="000000" w:themeColor="text1"/>
        </w:rPr>
      </w:pPr>
      <w:bookmarkStart w:id="21" w:name="_Toc17728"/>
      <w:bookmarkStart w:id="22" w:name="_Toc841"/>
      <w:r>
        <w:rPr>
          <w:rFonts w:hint="eastAsia" w:ascii="仿宋" w:hAnsi="仿宋" w:eastAsia="仿宋" w:cs="仿宋"/>
          <w:color w:val="000000" w:themeColor="text1"/>
        </w:rPr>
        <w:t>六、一般公共预算财政拨款基本支出决算情况说明</w:t>
      </w:r>
      <w:bookmarkEnd w:id="21"/>
      <w:bookmarkEnd w:id="22"/>
    </w:p>
    <w:p>
      <w:pPr>
        <w:spacing w:line="580" w:lineRule="exact"/>
        <w:ind w:firstLine="640"/>
        <w:rPr>
          <w:rFonts w:ascii="仿宋_GB2312"/>
          <w:color w:val="000000" w:themeColor="text1"/>
          <w:szCs w:val="32"/>
        </w:rPr>
      </w:pPr>
      <w:r>
        <w:rPr>
          <w:rFonts w:hint="eastAsia" w:ascii="仿宋_GB2312"/>
          <w:color w:val="000000" w:themeColor="text1"/>
          <w:szCs w:val="32"/>
        </w:rPr>
        <w:t>2021年度</w:t>
      </w:r>
      <w:r>
        <w:rPr>
          <w:rFonts w:ascii="仿宋_GB2312"/>
          <w:color w:val="000000" w:themeColor="text1"/>
          <w:szCs w:val="32"/>
        </w:rPr>
        <w:t>财政拨款</w:t>
      </w:r>
      <w:r>
        <w:rPr>
          <w:rFonts w:hint="eastAsia" w:ascii="仿宋_GB2312"/>
          <w:color w:val="000000" w:themeColor="text1"/>
          <w:szCs w:val="32"/>
        </w:rPr>
        <w:t>基本</w:t>
      </w:r>
      <w:r>
        <w:rPr>
          <w:rFonts w:ascii="仿宋_GB2312"/>
          <w:color w:val="000000" w:themeColor="text1"/>
          <w:szCs w:val="32"/>
        </w:rPr>
        <w:t>支出</w:t>
      </w:r>
      <w:r>
        <w:rPr>
          <w:rFonts w:hint="eastAsia" w:ascii="仿宋_GB2312"/>
          <w:color w:val="000000" w:themeColor="text1"/>
          <w:szCs w:val="32"/>
        </w:rPr>
        <w:t>128.05万元</w:t>
      </w:r>
      <w:r>
        <w:rPr>
          <w:rFonts w:ascii="仿宋_GB2312"/>
          <w:color w:val="000000" w:themeColor="text1"/>
          <w:szCs w:val="32"/>
        </w:rPr>
        <w:t>，其中</w:t>
      </w:r>
      <w:r>
        <w:rPr>
          <w:rFonts w:hint="eastAsia" w:ascii="仿宋_GB2312"/>
          <w:color w:val="000000" w:themeColor="text1"/>
          <w:szCs w:val="32"/>
        </w:rPr>
        <w:t>：人员</w:t>
      </w:r>
      <w:r>
        <w:rPr>
          <w:rFonts w:ascii="仿宋_GB2312"/>
          <w:color w:val="000000" w:themeColor="text1"/>
          <w:szCs w:val="32"/>
        </w:rPr>
        <w:t>经费</w:t>
      </w:r>
      <w:r>
        <w:rPr>
          <w:rFonts w:hint="eastAsia" w:ascii="仿宋_GB2312"/>
          <w:color w:val="000000" w:themeColor="text1"/>
          <w:szCs w:val="32"/>
        </w:rPr>
        <w:t>116.41万元</w:t>
      </w:r>
      <w:r>
        <w:rPr>
          <w:rFonts w:ascii="仿宋_GB2312"/>
          <w:color w:val="000000" w:themeColor="text1"/>
          <w:szCs w:val="32"/>
        </w:rPr>
        <w:t>，</w:t>
      </w:r>
      <w:r>
        <w:rPr>
          <w:rFonts w:hint="eastAsia" w:ascii="仿宋_GB2312"/>
          <w:color w:val="000000" w:themeColor="text1"/>
          <w:szCs w:val="32"/>
        </w:rPr>
        <w:t>主要</w:t>
      </w:r>
      <w:r>
        <w:rPr>
          <w:rFonts w:ascii="仿宋_GB2312"/>
          <w:color w:val="000000" w:themeColor="text1"/>
          <w:szCs w:val="32"/>
        </w:rPr>
        <w:t>包括</w:t>
      </w:r>
      <w:r>
        <w:rPr>
          <w:rFonts w:hint="eastAsia" w:ascii="仿宋_GB2312"/>
          <w:color w:val="000000" w:themeColor="text1"/>
          <w:szCs w:val="32"/>
        </w:rPr>
        <w:t>人员</w:t>
      </w:r>
      <w:r>
        <w:rPr>
          <w:rFonts w:ascii="仿宋_GB2312"/>
          <w:color w:val="000000" w:themeColor="text1"/>
          <w:szCs w:val="32"/>
        </w:rPr>
        <w:t>工资和福利；</w:t>
      </w:r>
      <w:r>
        <w:rPr>
          <w:rFonts w:hint="eastAsia" w:ascii="仿宋_GB2312"/>
          <w:color w:val="000000" w:themeColor="text1"/>
          <w:szCs w:val="32"/>
        </w:rPr>
        <w:t>公用</w:t>
      </w:r>
      <w:r>
        <w:rPr>
          <w:rFonts w:ascii="仿宋_GB2312"/>
          <w:color w:val="000000" w:themeColor="text1"/>
          <w:szCs w:val="32"/>
        </w:rPr>
        <w:t>经费</w:t>
      </w:r>
      <w:r>
        <w:rPr>
          <w:rFonts w:hint="eastAsia" w:ascii="仿宋_GB2312"/>
          <w:color w:val="000000" w:themeColor="text1"/>
          <w:szCs w:val="32"/>
        </w:rPr>
        <w:t>1.2万元</w:t>
      </w:r>
      <w:r>
        <w:rPr>
          <w:rFonts w:ascii="仿宋_GB2312"/>
          <w:color w:val="000000" w:themeColor="text1"/>
          <w:szCs w:val="32"/>
        </w:rPr>
        <w:t>，主要包括</w:t>
      </w:r>
      <w:r>
        <w:rPr>
          <w:rFonts w:hint="eastAsia" w:ascii="仿宋_GB2312"/>
          <w:color w:val="000000" w:themeColor="text1"/>
          <w:szCs w:val="32"/>
        </w:rPr>
        <w:t>工会费</w:t>
      </w:r>
      <w:r>
        <w:rPr>
          <w:rFonts w:ascii="仿宋_GB2312"/>
          <w:color w:val="000000" w:themeColor="text1"/>
          <w:szCs w:val="32"/>
        </w:rPr>
        <w:t>和福利费。</w:t>
      </w:r>
      <w:r>
        <w:rPr>
          <w:rFonts w:hint="eastAsia" w:ascii="仿宋_GB2312"/>
          <w:color w:val="000000" w:themeColor="text1"/>
          <w:szCs w:val="32"/>
        </w:rPr>
        <w:t>2021年度</w:t>
      </w:r>
      <w:r>
        <w:rPr>
          <w:rFonts w:ascii="仿宋_GB2312"/>
          <w:color w:val="000000" w:themeColor="text1"/>
          <w:szCs w:val="32"/>
        </w:rPr>
        <w:t>财政拨款</w:t>
      </w:r>
      <w:r>
        <w:rPr>
          <w:rFonts w:hint="eastAsia" w:ascii="仿宋_GB2312"/>
          <w:color w:val="000000" w:themeColor="text1"/>
          <w:szCs w:val="32"/>
        </w:rPr>
        <w:t>项目</w:t>
      </w:r>
      <w:r>
        <w:rPr>
          <w:rFonts w:ascii="仿宋_GB2312"/>
          <w:color w:val="000000" w:themeColor="text1"/>
          <w:szCs w:val="32"/>
        </w:rPr>
        <w:t>支出</w:t>
      </w:r>
      <w:r>
        <w:rPr>
          <w:rFonts w:hint="eastAsia" w:ascii="仿宋_GB2312"/>
          <w:color w:val="000000" w:themeColor="text1"/>
          <w:szCs w:val="32"/>
        </w:rPr>
        <w:t>10.45万元。</w:t>
      </w:r>
    </w:p>
    <w:p>
      <w:pPr>
        <w:pStyle w:val="3"/>
        <w:ind w:firstLine="643"/>
        <w:rPr>
          <w:rFonts w:ascii="仿宋" w:hAnsi="仿宋" w:eastAsia="仿宋" w:cs="仿宋"/>
          <w:color w:val="000000" w:themeColor="text1"/>
        </w:rPr>
      </w:pPr>
      <w:bookmarkStart w:id="23" w:name="_Toc2304"/>
      <w:bookmarkStart w:id="24" w:name="_Toc26508"/>
      <w:r>
        <w:rPr>
          <w:rFonts w:hint="eastAsia" w:ascii="仿宋" w:hAnsi="仿宋" w:eastAsia="仿宋" w:cs="仿宋"/>
          <w:color w:val="000000" w:themeColor="text1"/>
        </w:rPr>
        <w:t>七、一般公共预算财政拨款“三公”经费支出决算情况说明</w:t>
      </w:r>
      <w:bookmarkEnd w:id="23"/>
      <w:bookmarkEnd w:id="24"/>
    </w:p>
    <w:p>
      <w:pPr>
        <w:spacing w:line="580" w:lineRule="exact"/>
        <w:ind w:firstLine="640"/>
        <w:rPr>
          <w:b/>
          <w:color w:val="000000" w:themeColor="text1"/>
          <w:szCs w:val="32"/>
        </w:rPr>
      </w:pPr>
      <w:r>
        <w:rPr>
          <w:rFonts w:hint="eastAsia" w:ascii="仿宋_GB2312"/>
          <w:color w:val="000000" w:themeColor="text1"/>
          <w:szCs w:val="32"/>
        </w:rPr>
        <w:t>2021年度，</w:t>
      </w:r>
      <w:r>
        <w:rPr>
          <w:rFonts w:hint="eastAsia"/>
          <w:b/>
          <w:color w:val="000000" w:themeColor="text1"/>
          <w:szCs w:val="32"/>
        </w:rPr>
        <w:t>本部门无三公经费。</w:t>
      </w:r>
    </w:p>
    <w:p>
      <w:pPr>
        <w:pStyle w:val="3"/>
        <w:ind w:firstLine="643"/>
        <w:rPr>
          <w:rFonts w:ascii="仿宋" w:hAnsi="仿宋" w:eastAsia="仿宋" w:cs="仿宋"/>
          <w:color w:val="000000" w:themeColor="text1"/>
        </w:rPr>
      </w:pPr>
      <w:bookmarkStart w:id="25" w:name="_Toc9078"/>
      <w:bookmarkStart w:id="26" w:name="_Toc1792"/>
      <w:r>
        <w:rPr>
          <w:rFonts w:hint="eastAsia" w:ascii="仿宋" w:hAnsi="仿宋" w:eastAsia="仿宋" w:cs="仿宋"/>
          <w:color w:val="000000" w:themeColor="text1"/>
        </w:rPr>
        <w:t>八、其他重要事项情况说明</w:t>
      </w:r>
      <w:bookmarkEnd w:id="25"/>
      <w:bookmarkEnd w:id="26"/>
    </w:p>
    <w:p>
      <w:pPr>
        <w:ind w:firstLine="643"/>
        <w:rPr>
          <w:b/>
          <w:bCs/>
          <w:color w:val="000000" w:themeColor="text1"/>
        </w:rPr>
      </w:pPr>
      <w:bookmarkStart w:id="27" w:name="_Toc23407"/>
      <w:r>
        <w:rPr>
          <w:rFonts w:hint="eastAsia"/>
          <w:b/>
          <w:bCs/>
          <w:color w:val="000000" w:themeColor="text1"/>
        </w:rPr>
        <w:t>（一）机关运行经费支出情况说明</w:t>
      </w:r>
      <w:bookmarkEnd w:id="27"/>
    </w:p>
    <w:p>
      <w:pPr>
        <w:spacing w:line="580" w:lineRule="exact"/>
        <w:ind w:firstLine="640"/>
        <w:rPr>
          <w:b/>
          <w:color w:val="000000" w:themeColor="text1"/>
          <w:szCs w:val="32"/>
        </w:rPr>
      </w:pPr>
      <w:r>
        <w:rPr>
          <w:rFonts w:hint="eastAsia" w:ascii="仿宋_GB2312" w:hAnsi="宋体"/>
          <w:color w:val="000000" w:themeColor="text1"/>
          <w:szCs w:val="32"/>
        </w:rPr>
        <w:t>2021年本单位</w:t>
      </w:r>
      <w:r>
        <w:rPr>
          <w:rFonts w:hint="eastAsia"/>
          <w:b/>
          <w:color w:val="000000" w:themeColor="text1"/>
          <w:szCs w:val="32"/>
        </w:rPr>
        <w:t>无机关运行经费。</w:t>
      </w:r>
    </w:p>
    <w:p>
      <w:pPr>
        <w:ind w:firstLine="643"/>
        <w:rPr>
          <w:b/>
          <w:bCs/>
          <w:color w:val="000000" w:themeColor="text1"/>
        </w:rPr>
      </w:pPr>
      <w:bookmarkStart w:id="28" w:name="_Toc16103"/>
      <w:r>
        <w:rPr>
          <w:rFonts w:hint="eastAsia"/>
          <w:b/>
          <w:bCs/>
          <w:color w:val="000000" w:themeColor="text1"/>
        </w:rPr>
        <w:t>（二）政府采购情况说明</w:t>
      </w:r>
      <w:bookmarkEnd w:id="28"/>
    </w:p>
    <w:p>
      <w:pPr>
        <w:spacing w:line="580" w:lineRule="exact"/>
        <w:ind w:firstLine="640"/>
        <w:rPr>
          <w:rFonts w:ascii="仿宋_GB2312"/>
          <w:color w:val="000000" w:themeColor="text1"/>
          <w:szCs w:val="32"/>
        </w:rPr>
      </w:pPr>
      <w:r>
        <w:rPr>
          <w:rFonts w:hint="eastAsia" w:ascii="仿宋_GB2312"/>
          <w:color w:val="000000" w:themeColor="text1"/>
          <w:szCs w:val="32"/>
        </w:rPr>
        <w:t>2021年度，政府采购支出总额1.976万元，其中：政府采购货物支出1.976万元。</w:t>
      </w:r>
    </w:p>
    <w:p>
      <w:pPr>
        <w:ind w:firstLine="643"/>
        <w:rPr>
          <w:b/>
          <w:bCs/>
          <w:color w:val="000000" w:themeColor="text1"/>
        </w:rPr>
      </w:pPr>
      <w:bookmarkStart w:id="29" w:name="_Toc19975"/>
      <w:r>
        <w:rPr>
          <w:rFonts w:hint="eastAsia"/>
          <w:b/>
          <w:bCs/>
          <w:color w:val="000000" w:themeColor="text1"/>
        </w:rPr>
        <w:t>（三）国有资产占用情况说明</w:t>
      </w:r>
      <w:bookmarkEnd w:id="29"/>
    </w:p>
    <w:p>
      <w:pPr>
        <w:spacing w:line="580" w:lineRule="exact"/>
        <w:ind w:firstLine="640"/>
        <w:rPr>
          <w:rFonts w:ascii="仿宋_GB2312"/>
          <w:color w:val="000000" w:themeColor="text1"/>
          <w:szCs w:val="32"/>
        </w:rPr>
      </w:pPr>
      <w:r>
        <w:rPr>
          <w:rFonts w:hint="eastAsia" w:ascii="仿宋_GB2312"/>
          <w:color w:val="000000" w:themeColor="text1"/>
          <w:szCs w:val="32"/>
        </w:rPr>
        <w:t>截至2021年12月31日，本部门没有车辆</w:t>
      </w:r>
    </w:p>
    <w:p>
      <w:pPr>
        <w:ind w:firstLine="643"/>
        <w:rPr>
          <w:b/>
          <w:bCs/>
          <w:color w:val="000000" w:themeColor="text1"/>
        </w:rPr>
      </w:pPr>
      <w:r>
        <w:rPr>
          <w:rFonts w:hint="eastAsia"/>
          <w:b/>
          <w:bCs/>
          <w:color w:val="000000" w:themeColor="text1"/>
        </w:rPr>
        <w:t>（四）重点项目预算的绩效目标情况说明：</w:t>
      </w:r>
    </w:p>
    <w:p>
      <w:pPr>
        <w:ind w:firstLine="643"/>
        <w:rPr>
          <w:rFonts w:ascii="仿宋" w:hAnsi="仿宋" w:eastAsia="仿宋" w:cs="仿宋"/>
          <w:b/>
          <w:bCs/>
          <w:color w:val="000000" w:themeColor="text1"/>
          <w:szCs w:val="32"/>
        </w:rPr>
      </w:pPr>
      <w:r>
        <w:rPr>
          <w:rFonts w:hint="eastAsia" w:ascii="仿宋" w:hAnsi="仿宋" w:eastAsia="仿宋" w:cs="仿宋"/>
          <w:b/>
          <w:bCs/>
          <w:color w:val="000000" w:themeColor="text1"/>
          <w:szCs w:val="32"/>
        </w:rPr>
        <w:t>2021年本单位无重点项目。</w:t>
      </w:r>
    </w:p>
    <w:p>
      <w:pPr>
        <w:numPr>
          <w:ilvl w:val="0"/>
          <w:numId w:val="2"/>
        </w:numPr>
        <w:spacing w:line="580" w:lineRule="exact"/>
        <w:ind w:firstLine="643"/>
        <w:outlineLvl w:val="0"/>
        <w:rPr>
          <w:rFonts w:hint="eastAsia" w:ascii="仿宋_GB2312"/>
          <w:b/>
          <w:color w:val="000000" w:themeColor="text1"/>
          <w:szCs w:val="32"/>
        </w:rPr>
      </w:pPr>
      <w:bookmarkStart w:id="30" w:name="_Toc8450"/>
      <w:bookmarkStart w:id="31" w:name="_Toc28108"/>
      <w:r>
        <w:rPr>
          <w:rFonts w:hint="eastAsia" w:ascii="仿宋_GB2312"/>
          <w:b/>
          <w:color w:val="000000" w:themeColor="text1"/>
          <w:szCs w:val="32"/>
        </w:rPr>
        <w:t>其他需要说明的事项</w:t>
      </w:r>
      <w:bookmarkEnd w:id="30"/>
      <w:bookmarkEnd w:id="31"/>
    </w:p>
    <w:p>
      <w:pPr>
        <w:spacing w:line="580" w:lineRule="exact"/>
        <w:ind w:firstLineChars="0"/>
        <w:outlineLvl w:val="0"/>
        <w:rPr>
          <w:rFonts w:hint="eastAsia" w:ascii="仿宋_GB2312"/>
          <w:b/>
          <w:color w:val="000000" w:themeColor="text1"/>
          <w:szCs w:val="32"/>
        </w:rPr>
      </w:pPr>
    </w:p>
    <w:p>
      <w:pPr>
        <w:spacing w:line="580" w:lineRule="exact"/>
        <w:ind w:firstLineChars="0"/>
        <w:outlineLvl w:val="0"/>
        <w:rPr>
          <w:rFonts w:ascii="仿宋_GB2312"/>
          <w:b/>
          <w:color w:val="000000" w:themeColor="text1"/>
          <w:szCs w:val="32"/>
        </w:rPr>
      </w:pPr>
    </w:p>
    <w:p>
      <w:pPr>
        <w:pStyle w:val="2"/>
        <w:ind w:firstLine="0" w:firstLineChars="0"/>
        <w:jc w:val="center"/>
        <w:rPr>
          <w:color w:val="000000" w:themeColor="text1"/>
          <w:sz w:val="36"/>
          <w:szCs w:val="36"/>
        </w:rPr>
      </w:pPr>
      <w:bookmarkStart w:id="32" w:name="_Toc8545"/>
      <w:r>
        <w:rPr>
          <w:rFonts w:hint="eastAsia"/>
          <w:color w:val="000000" w:themeColor="text1"/>
          <w:sz w:val="36"/>
          <w:szCs w:val="36"/>
        </w:rPr>
        <w:t>第四部分  名词解释</w:t>
      </w:r>
      <w:bookmarkEnd w:id="32"/>
    </w:p>
    <w:p>
      <w:pPr>
        <w:spacing w:line="580" w:lineRule="exact"/>
        <w:ind w:firstLine="640"/>
        <w:rPr>
          <w:color w:val="000000" w:themeColor="text1"/>
          <w:szCs w:val="32"/>
        </w:rPr>
      </w:pPr>
      <w:r>
        <w:rPr>
          <w:rFonts w:hint="eastAsia"/>
          <w:color w:val="000000" w:themeColor="text1"/>
          <w:szCs w:val="32"/>
        </w:rPr>
        <w:t>部门应当按照部门预算管理要求，对本部门涉及的专业名词进行解释。（以下模板仅供参考，以单位实际为准）</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一、财政拨款收入：</w:t>
      </w:r>
      <w:r>
        <w:rPr>
          <w:rFonts w:hint="eastAsia" w:ascii="仿宋_GB2312"/>
          <w:color w:val="000000" w:themeColor="text1"/>
          <w:szCs w:val="32"/>
        </w:rPr>
        <w:t>指单位从同级财政部门取得的财政预算资金。</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二、事业收入：</w:t>
      </w:r>
      <w:r>
        <w:rPr>
          <w:rFonts w:hint="eastAsia" w:ascii="仿宋_GB2312"/>
          <w:color w:val="000000" w:themeColor="text1"/>
          <w:szCs w:val="32"/>
        </w:rPr>
        <w:t>指事业单位开展专业业务活动及辅助活动取得的收入。</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三、经营收入：</w:t>
      </w:r>
      <w:r>
        <w:rPr>
          <w:rFonts w:hint="eastAsia" w:ascii="仿宋_GB2312"/>
          <w:color w:val="000000" w:themeColor="text1"/>
          <w:szCs w:val="32"/>
        </w:rPr>
        <w:t>指事业单位在专业业务活动及其辅助活动之外开展非独立核算经营活动取得的收入。</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四、其他收入：</w:t>
      </w:r>
      <w:r>
        <w:rPr>
          <w:rFonts w:hint="eastAsia" w:ascii="仿宋_GB2312"/>
          <w:color w:val="000000" w:themeColor="text1"/>
          <w:szCs w:val="32"/>
        </w:rPr>
        <w:t>指单位取得的除上述收入以外的各项收</w:t>
      </w:r>
    </w:p>
    <w:p>
      <w:pPr>
        <w:spacing w:line="580" w:lineRule="exact"/>
        <w:ind w:firstLineChars="0"/>
        <w:rPr>
          <w:rFonts w:ascii="仿宋_GB2312"/>
          <w:color w:val="000000" w:themeColor="text1"/>
          <w:szCs w:val="32"/>
        </w:rPr>
      </w:pPr>
      <w:r>
        <w:rPr>
          <w:rFonts w:hint="eastAsia" w:ascii="仿宋_GB2312"/>
          <w:color w:val="000000" w:themeColor="text1"/>
          <w:szCs w:val="32"/>
        </w:rPr>
        <w:t>入。主要是按规定动用的售房收入、存款利息收入等。</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五、年初结转和结余：</w:t>
      </w:r>
      <w:r>
        <w:rPr>
          <w:rFonts w:hint="eastAsia" w:ascii="仿宋_GB2312"/>
          <w:color w:val="000000" w:themeColor="text1"/>
          <w:szCs w:val="32"/>
        </w:rPr>
        <w:t>指单位以前年度尚未完成、结转到本年按有关规定继续使用的资金。</w:t>
      </w:r>
    </w:p>
    <w:p>
      <w:pPr>
        <w:spacing w:line="580" w:lineRule="exact"/>
        <w:ind w:firstLine="520" w:firstLineChars="162"/>
        <w:rPr>
          <w:rFonts w:ascii="仿宋_GB2312"/>
          <w:b/>
          <w:color w:val="000000" w:themeColor="text1"/>
          <w:szCs w:val="32"/>
        </w:rPr>
      </w:pPr>
      <w:r>
        <w:rPr>
          <w:rFonts w:hint="eastAsia" w:ascii="仿宋_GB2312"/>
          <w:b/>
          <w:color w:val="000000" w:themeColor="text1"/>
          <w:szCs w:val="32"/>
        </w:rPr>
        <w:t>六、基本支出：</w:t>
      </w:r>
      <w:r>
        <w:rPr>
          <w:rFonts w:hint="eastAsia" w:ascii="仿宋_GB2312"/>
          <w:color w:val="000000" w:themeColor="text1"/>
          <w:szCs w:val="32"/>
        </w:rPr>
        <w:t>指为保障机构正常运转、完成日常工作任务而发生的人员支出和公用支出。</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七、项目支出：</w:t>
      </w:r>
      <w:r>
        <w:rPr>
          <w:rFonts w:hint="eastAsia" w:ascii="仿宋_GB2312"/>
          <w:color w:val="000000" w:themeColor="text1"/>
          <w:szCs w:val="32"/>
        </w:rPr>
        <w:t>指在基本支出之外为完成特定行政任务和事业发展目标所发生的支出。</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八、“三公”经费：</w:t>
      </w:r>
      <w:r>
        <w:rPr>
          <w:rFonts w:hint="eastAsia" w:ascii="仿宋_GB2312"/>
          <w:color w:val="000000" w:themeColor="text1"/>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ascii="仿宋_GB2312"/>
          <w:color w:val="000000" w:themeColor="text1"/>
          <w:szCs w:val="32"/>
        </w:rPr>
      </w:pPr>
      <w:r>
        <w:rPr>
          <w:rFonts w:hint="eastAsia" w:ascii="仿宋_GB2312"/>
          <w:b/>
          <w:color w:val="000000" w:themeColor="text1"/>
          <w:szCs w:val="32"/>
        </w:rPr>
        <w:t>九、机关运行经费：</w:t>
      </w:r>
      <w:r>
        <w:rPr>
          <w:rFonts w:hint="eastAsia" w:ascii="仿宋_GB2312"/>
          <w:color w:val="000000" w:themeColor="text1"/>
          <w:szCs w:val="32"/>
        </w:rPr>
        <w:t>指行政单位和参照公务员法管理的事业单位使用一般公共预算安排的基本支出中的日常公用经费支出。</w:t>
      </w:r>
    </w:p>
    <w:p>
      <w:pPr>
        <w:spacing w:line="580" w:lineRule="exact"/>
        <w:ind w:firstLine="518" w:firstLineChars="162"/>
        <w:rPr>
          <w:rFonts w:ascii="仿宋_GB2312"/>
          <w:color w:val="000000" w:themeColor="text1"/>
          <w:szCs w:val="32"/>
        </w:rPr>
      </w:pPr>
    </w:p>
    <w:p>
      <w:pPr>
        <w:spacing w:line="580" w:lineRule="exact"/>
        <w:ind w:firstLine="518" w:firstLineChars="162"/>
        <w:rPr>
          <w:rFonts w:ascii="仿宋_GB2312"/>
          <w:color w:val="000000" w:themeColor="text1"/>
          <w:szCs w:val="32"/>
        </w:rPr>
      </w:pPr>
    </w:p>
    <w:p>
      <w:pPr>
        <w:spacing w:line="580" w:lineRule="exact"/>
        <w:ind w:firstLine="518" w:firstLineChars="162"/>
        <w:rPr>
          <w:rFonts w:ascii="仿宋_GB2312"/>
          <w:color w:val="000000" w:themeColor="text1"/>
          <w:szCs w:val="32"/>
        </w:rPr>
      </w:pPr>
    </w:p>
    <w:p>
      <w:pPr>
        <w:spacing w:line="580" w:lineRule="exact"/>
        <w:ind w:firstLine="518" w:firstLineChars="162"/>
        <w:rPr>
          <w:rFonts w:ascii="仿宋_GB2312"/>
          <w:color w:val="000000" w:themeColor="text1"/>
          <w:szCs w:val="32"/>
        </w:rPr>
      </w:pPr>
    </w:p>
    <w:p>
      <w:pPr>
        <w:spacing w:line="580" w:lineRule="exact"/>
        <w:ind w:firstLine="640"/>
        <w:rPr>
          <w:rFonts w:ascii="仿宋_GB2312"/>
          <w:color w:val="000000" w:themeColor="text1"/>
          <w:szCs w:val="32"/>
        </w:rPr>
      </w:pPr>
      <w:r>
        <w:rPr>
          <w:rFonts w:hint="eastAsia" w:ascii="仿宋_GB2312"/>
          <w:color w:val="000000" w:themeColor="text1"/>
          <w:szCs w:val="32"/>
        </w:rPr>
        <w:t xml:space="preserve">                      单位名称：</w:t>
      </w:r>
      <w:r>
        <w:rPr>
          <w:rFonts w:hint="eastAsia" w:ascii="仿宋_GB2312"/>
          <w:color w:val="000000" w:themeColor="text1"/>
          <w:szCs w:val="32"/>
          <w:lang w:eastAsia="zh-CN"/>
        </w:rPr>
        <w:t>静乐县第三幼儿园</w:t>
      </w:r>
    </w:p>
    <w:p>
      <w:pPr>
        <w:ind w:firstLine="4800" w:firstLineChars="1500"/>
        <w:rPr>
          <w:color w:val="000000" w:themeColor="text1"/>
        </w:rPr>
      </w:pPr>
      <w:r>
        <w:rPr>
          <w:rFonts w:hint="eastAsia"/>
          <w:color w:val="000000" w:themeColor="text1"/>
        </w:rPr>
        <w:t>二〇二二年六月</w:t>
      </w:r>
      <w:r>
        <w:rPr>
          <w:rFonts w:hint="eastAsia"/>
          <w:color w:val="000000" w:themeColor="text1"/>
          <w:lang w:eastAsia="zh-CN"/>
        </w:rPr>
        <w:t>六</w:t>
      </w:r>
      <w:r>
        <w:rPr>
          <w:rFonts w:hint="eastAsia"/>
          <w:color w:val="000000" w:themeColor="text1"/>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95520D0"/>
    <w:rsid w:val="0024518D"/>
    <w:rsid w:val="002B4299"/>
    <w:rsid w:val="0047613C"/>
    <w:rsid w:val="007657C6"/>
    <w:rsid w:val="008B24C4"/>
    <w:rsid w:val="008B3E2F"/>
    <w:rsid w:val="00975BC9"/>
    <w:rsid w:val="00A81AFA"/>
    <w:rsid w:val="00A933FB"/>
    <w:rsid w:val="00BC179E"/>
    <w:rsid w:val="00DC2B93"/>
    <w:rsid w:val="00F71CF4"/>
    <w:rsid w:val="00F878D9"/>
    <w:rsid w:val="03696819"/>
    <w:rsid w:val="16654CDD"/>
    <w:rsid w:val="1A4A5C33"/>
    <w:rsid w:val="1CC574F1"/>
    <w:rsid w:val="2701594C"/>
    <w:rsid w:val="27426717"/>
    <w:rsid w:val="37943B50"/>
    <w:rsid w:val="3821117E"/>
    <w:rsid w:val="42C12CEC"/>
    <w:rsid w:val="44401A62"/>
    <w:rsid w:val="495520D0"/>
    <w:rsid w:val="4A012068"/>
    <w:rsid w:val="4DA701C7"/>
    <w:rsid w:val="53A30631"/>
    <w:rsid w:val="5EC01F6A"/>
    <w:rsid w:val="63AB51DF"/>
    <w:rsid w:val="649C6DC9"/>
    <w:rsid w:val="715A78E4"/>
    <w:rsid w:val="776174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unhideWhenUsed/>
    <w:qFormat/>
    <w:uiPriority w:val="0"/>
    <w:pPr>
      <w:keepNext/>
      <w:keepLines/>
      <w:spacing w:line="413" w:lineRule="auto"/>
      <w:outlineLvl w:val="1"/>
    </w:pPr>
    <w:rPr>
      <w:rFonts w:ascii="Arial" w:hAnsi="Arial" w:eastAsia="黑体"/>
      <w:b/>
    </w:rPr>
  </w:style>
  <w:style w:type="character" w:default="1" w:styleId="9">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sz w:val="18"/>
      <w:szCs w:val="18"/>
    </w:rPr>
  </w:style>
  <w:style w:type="paragraph" w:styleId="5">
    <w:name w:val="header"/>
    <w:basedOn w:val="1"/>
    <w:qFormat/>
    <w:uiPriority w:val="0"/>
    <w:pPr>
      <w:tabs>
        <w:tab w:val="center" w:pos="4153"/>
        <w:tab w:val="right" w:pos="8306"/>
      </w:tabs>
      <w:snapToGrid w:val="0"/>
      <w:spacing w:line="240" w:lineRule="atLeast"/>
      <w:jc w:val="center"/>
    </w:pPr>
    <w:rPr>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502</Words>
  <Characters>2865</Characters>
  <Lines>23</Lines>
  <Paragraphs>6</Paragraphs>
  <ScaleCrop>false</ScaleCrop>
  <LinksUpToDate>false</LinksUpToDate>
  <CharactersWithSpaces>3361</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2022-07-26T07:42:27Z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