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b/>
          <w:bCs/>
          <w:color w:val="auto"/>
          <w:sz w:val="44"/>
          <w:szCs w:val="44"/>
          <w:lang w:val="en-US" w:eastAsia="zh-CN"/>
        </w:rPr>
      </w:pPr>
      <w:bookmarkStart w:id="0" w:name="_Toc21118"/>
      <w:bookmarkStart w:id="1" w:name="_Toc32048"/>
      <w:bookmarkStart w:id="2" w:name="_Toc31071"/>
      <w:r>
        <w:rPr>
          <w:rFonts w:hint="eastAsia" w:ascii="华文中宋" w:hAnsi="华文中宋" w:eastAsia="华文中宋"/>
          <w:b/>
          <w:bCs/>
          <w:color w:val="auto"/>
          <w:sz w:val="44"/>
          <w:szCs w:val="44"/>
          <w:lang w:val="en-US" w:eastAsia="zh-CN"/>
        </w:rPr>
        <w:t>静乐县赤泥洼联合学区2021年度部门决算公开说明</w:t>
      </w:r>
      <w:bookmarkEnd w:id="0"/>
      <w:bookmarkEnd w:id="1"/>
      <w:bookmarkEnd w:id="2"/>
    </w:p>
    <w:p>
      <w:pPr>
        <w:pStyle w:val="9"/>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rPr>
          <w:rFonts w:hint="eastAsia"/>
          <w:lang w:val="en-US" w:eastAsia="zh-CN"/>
        </w:rPr>
        <w:t>3</w:t>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_GB2312" w:hAnsi="仿宋_GB2312" w:eastAsia="仿宋_GB2312" w:cs="仿宋_GB2312"/>
          <w:b w:val="0"/>
          <w:bCs w:val="0"/>
          <w:color w:val="auto"/>
          <w:sz w:val="32"/>
          <w:szCs w:val="32"/>
        </w:rPr>
      </w:pPr>
      <w:bookmarkStart w:id="5" w:name="_Toc29220"/>
      <w:r>
        <w:rPr>
          <w:rFonts w:hint="eastAsia" w:ascii="仿宋" w:hAnsi="仿宋" w:eastAsia="仿宋" w:cs="仿宋"/>
          <w:b/>
          <w:bCs w:val="0"/>
        </w:rPr>
        <w:t>本单位职责</w:t>
      </w:r>
      <w:bookmarkEnd w:id="5"/>
    </w:p>
    <w:p>
      <w:pPr>
        <w:pStyle w:val="4"/>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right="0" w:rightChars="0" w:firstLine="640" w:firstLineChars="200"/>
        <w:jc w:val="both"/>
        <w:textAlignment w:val="auto"/>
        <w:outlineLvl w:val="1"/>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负责贯彻党的教育方针，坚持社会主义办学方向，实行教育与生产劳动相结合，对学生进行德育、智育、体育、美育和劳动等方面的教育。</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负责依法制定学校章程，并按照章程自主管理。</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负责配合各级人民政府依法动员、组织适龄儿童、少年入学，严格控制学生辍学，依法保证适龄儿童、少年接受义务教育。</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负责制定学校教育发展规划，并抓好组织实施和落实工作。</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负责按照教育主管部门发布的指导性教学计划、教学大纲，组织实施教育教学活动。负责依据国家教育主管部门有关教学计划、课程设置等方面的规定，决定和实施本校的教学计划，组织教学评比、集体备课，对学生进行统一考核、考试等。</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负责学籍管理并对学生实施奖励或处分。</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rPr>
        <w:t>负责依法制定本校教师及其他职工聘任办法并对教师及其他员工实施包括奖励、处分在内的具体管理活动，依法聘任、解聘有关教师和其他职工。</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负责聘任、培训、考核教师，依法奖励或处分教师和其他职工。</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9.</w:t>
      </w:r>
      <w:r>
        <w:rPr>
          <w:rFonts w:hint="eastAsia" w:ascii="仿宋_GB2312" w:hAnsi="仿宋_GB2312" w:eastAsia="仿宋_GB2312" w:cs="仿宋_GB2312"/>
          <w:b w:val="0"/>
          <w:bCs w:val="0"/>
          <w:color w:val="auto"/>
          <w:sz w:val="32"/>
          <w:szCs w:val="32"/>
        </w:rPr>
        <w:t>负责科学管理、合理使用学校的设施和经费，并积极筹措资金，改善办学条件。</w:t>
      </w:r>
    </w:p>
    <w:p>
      <w:pPr>
        <w:pStyle w:val="11"/>
        <w:spacing w:before="0" w:beforeAutospacing="0" w:after="0" w:afterAutospacing="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rPr>
        <w:t>负责维护学校、师生的合法权益，有权拒绝任何组织和个人对教育教学活动进行非法干涉。</w:t>
      </w:r>
    </w:p>
    <w:p>
      <w:pPr>
        <w:pStyle w:val="11"/>
        <w:spacing w:before="0" w:beforeAutospacing="0" w:after="0" w:afterAutospacing="0"/>
        <w:ind w:left="0"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val="0"/>
          <w:bCs w:val="0"/>
          <w:color w:val="auto"/>
          <w:sz w:val="32"/>
          <w:szCs w:val="32"/>
          <w:lang w:val="en-US" w:eastAsia="zh-CN"/>
        </w:rPr>
        <w:t>11.</w:t>
      </w:r>
      <w:r>
        <w:rPr>
          <w:rFonts w:hint="eastAsia" w:ascii="仿宋_GB2312" w:hAnsi="仿宋_GB2312" w:eastAsia="仿宋_GB2312" w:cs="仿宋_GB2312"/>
          <w:b w:val="0"/>
          <w:bCs w:val="0"/>
          <w:color w:val="auto"/>
          <w:sz w:val="32"/>
          <w:szCs w:val="32"/>
        </w:rPr>
        <w:t>依法接受各级教育行政部门的检查指导和人民群众的监督。</w:t>
      </w:r>
    </w:p>
    <w:p>
      <w:pPr>
        <w:numPr>
          <w:ilvl w:val="0"/>
          <w:numId w:val="0"/>
        </w:numPr>
        <w:rPr>
          <w:rFonts w:hint="eastAsia"/>
        </w:rPr>
      </w:pPr>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6" w:name="_Toc22162"/>
      <w:r>
        <w:rPr>
          <w:rFonts w:hint="eastAsia" w:ascii="仿宋" w:hAnsi="仿宋" w:eastAsia="仿宋" w:cs="仿宋"/>
          <w:b/>
          <w:bCs w:val="0"/>
        </w:rPr>
        <w:t>机构设置情况</w:t>
      </w:r>
      <w:bookmarkEnd w:id="6"/>
    </w:p>
    <w:p>
      <w:pPr>
        <w:bidi w:val="0"/>
        <w:rPr>
          <w:rFonts w:hint="eastAsia" w:ascii="仿宋_GB2312" w:hAnsi="仿宋_GB2312" w:eastAsia="仿宋_GB2312" w:cs="仿宋_GB2312"/>
          <w:highlight w:val="none"/>
        </w:rPr>
      </w:pPr>
      <w:bookmarkStart w:id="7" w:name="_Toc12749"/>
      <w:r>
        <w:rPr>
          <w:rFonts w:hint="eastAsia" w:ascii="仿宋_GB2312" w:hAnsi="仿宋_GB2312" w:eastAsia="仿宋_GB2312" w:cs="仿宋_GB2312"/>
          <w:highlight w:val="none"/>
        </w:rPr>
        <w:t>学区编制</w:t>
      </w:r>
      <w:r>
        <w:rPr>
          <w:rFonts w:hint="eastAsia" w:ascii="仿宋_GB2312" w:hAnsi="仿宋_GB2312" w:eastAsia="仿宋_GB2312" w:cs="仿宋_GB2312"/>
          <w:highlight w:val="none"/>
          <w:lang w:val="en-US" w:eastAsia="zh-CN"/>
        </w:rPr>
        <w:t>34</w:t>
      </w:r>
      <w:r>
        <w:rPr>
          <w:rFonts w:hint="eastAsia" w:ascii="仿宋_GB2312" w:hAnsi="仿宋_GB2312" w:eastAsia="仿宋_GB2312" w:cs="仿宋_GB2312"/>
          <w:highlight w:val="none"/>
        </w:rPr>
        <w:t>人，实有</w:t>
      </w:r>
      <w:r>
        <w:rPr>
          <w:rFonts w:hint="eastAsia" w:ascii="仿宋_GB2312" w:hAnsi="仿宋_GB2312" w:cs="仿宋_GB2312"/>
          <w:highlight w:val="none"/>
          <w:lang w:val="en-US" w:eastAsia="zh-CN"/>
        </w:rPr>
        <w:t>21</w:t>
      </w:r>
      <w:r>
        <w:rPr>
          <w:rFonts w:hint="eastAsia" w:ascii="仿宋_GB2312" w:hAnsi="仿宋_GB2312" w:eastAsia="仿宋_GB2312" w:cs="仿宋_GB2312"/>
          <w:highlight w:val="none"/>
        </w:rPr>
        <w:t>人。学区现管辖2个学校，分别是</w:t>
      </w:r>
      <w:r>
        <w:rPr>
          <w:rFonts w:hint="eastAsia" w:ascii="仿宋_GB2312" w:hAnsi="仿宋_GB2312" w:eastAsia="仿宋_GB2312" w:cs="仿宋_GB2312"/>
          <w:highlight w:val="none"/>
          <w:lang w:eastAsia="zh-CN"/>
        </w:rPr>
        <w:t>赤泥洼</w:t>
      </w:r>
      <w:r>
        <w:rPr>
          <w:rFonts w:hint="eastAsia" w:ascii="仿宋_GB2312" w:hAnsi="仿宋_GB2312" w:eastAsia="仿宋_GB2312" w:cs="仿宋_GB2312"/>
          <w:highlight w:val="none"/>
        </w:rPr>
        <w:t>小学、</w:t>
      </w:r>
      <w:r>
        <w:rPr>
          <w:rFonts w:hint="eastAsia" w:ascii="仿宋_GB2312" w:hAnsi="仿宋_GB2312" w:eastAsia="仿宋_GB2312" w:cs="仿宋_GB2312"/>
          <w:highlight w:val="none"/>
          <w:lang w:eastAsia="zh-CN"/>
        </w:rPr>
        <w:t>下马城小学</w:t>
      </w:r>
      <w:r>
        <w:rPr>
          <w:rFonts w:hint="eastAsia" w:ascii="仿宋_GB2312" w:hAnsi="仿宋_GB2312" w:eastAsia="仿宋_GB2312" w:cs="仿宋_GB2312"/>
          <w:highlight w:val="none"/>
        </w:rPr>
        <w:t>。</w:t>
      </w:r>
    </w:p>
    <w:p>
      <w:pPr>
        <w:pStyle w:val="3"/>
        <w:rPr>
          <w:rFonts w:hint="eastAsia"/>
          <w:b/>
          <w:bCs w:val="0"/>
          <w:sz w:val="36"/>
          <w:szCs w:val="36"/>
          <w:lang w:val="en-US" w:eastAsia="zh-CN"/>
        </w:rPr>
      </w:pPr>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4"/>
        <w:rPr>
          <w:rFonts w:hint="eastAsia" w:ascii="仿宋" w:hAnsi="仿宋" w:eastAsia="仿宋" w:cs="仿宋"/>
          <w:b/>
          <w:bCs w:val="0"/>
          <w:lang w:val="en-US" w:eastAsia="zh-CN"/>
        </w:rPr>
      </w:pPr>
      <w:bookmarkStart w:id="9" w:name="_Toc437"/>
      <w:bookmarkStart w:id="10" w:name="_Toc8717"/>
      <w:r>
        <w:rPr>
          <w:rFonts w:hint="eastAsia" w:ascii="仿宋" w:hAnsi="仿宋" w:eastAsia="仿宋" w:cs="仿宋"/>
          <w:b/>
          <w:bCs w:val="0"/>
          <w:lang w:val="en-US" w:eastAsia="zh-CN"/>
        </w:rPr>
        <w:t>一、收入支出决算总体情况说明</w:t>
      </w:r>
      <w:bookmarkEnd w:id="9"/>
      <w:bookmarkEnd w:id="10"/>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_GB2312"/>
          <w:szCs w:val="32"/>
        </w:rPr>
      </w:pPr>
      <w:r>
        <w:rPr>
          <w:rFonts w:hint="eastAsia" w:ascii="仿宋" w:hAnsi="仿宋" w:eastAsia="仿宋" w:cs="仿宋"/>
          <w:b w:val="0"/>
          <w:bCs w:val="0"/>
          <w:color w:val="auto"/>
          <w:kern w:val="2"/>
          <w:sz w:val="32"/>
          <w:szCs w:val="32"/>
          <w:lang w:val="en-US" w:eastAsia="zh-CN" w:bidi="ar-SA"/>
        </w:rPr>
        <w:t>2021年度收入总计372.81万元、支出总计372.8</w:t>
      </w:r>
      <w:r>
        <w:rPr>
          <w:rFonts w:hint="eastAsia" w:ascii="仿宋_GB2312" w:hAnsi="仿宋_GB2312" w:cs="仿宋_GB2312"/>
          <w:color w:val="auto"/>
          <w:szCs w:val="32"/>
          <w:lang w:val="en-US" w:eastAsia="zh-CN"/>
        </w:rPr>
        <w:t>1</w:t>
      </w:r>
      <w:r>
        <w:rPr>
          <w:rFonts w:hint="eastAsia" w:ascii="仿宋" w:hAnsi="仿宋" w:eastAsia="仿宋" w:cs="仿宋"/>
          <w:b w:val="0"/>
          <w:bCs w:val="0"/>
          <w:color w:val="auto"/>
          <w:kern w:val="2"/>
          <w:sz w:val="32"/>
          <w:szCs w:val="32"/>
          <w:lang w:val="en-US" w:eastAsia="zh-CN" w:bidi="ar-SA"/>
        </w:rPr>
        <w:t>万元。与2020年相比，2020年收入总计351.06万元,减少21.75万元，下降6.20%，支出总计减少21.75万元，下降6.20%。主要原因是城镇化发展加快，农村教师学生人数减少，人员和公用经费也相应减少。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1" w:name="_Toc17404"/>
      <w:bookmarkStart w:id="12" w:name="_Toc1675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eastAsia="仿宋_GB2312"/>
          <w:szCs w:val="32"/>
          <w:lang w:val="en-US" w:eastAsia="zh-CN"/>
        </w:rPr>
      </w:pPr>
      <w:r>
        <w:rPr>
          <w:rFonts w:hint="eastAsia" w:ascii="仿宋_GB2312"/>
          <w:szCs w:val="32"/>
        </w:rPr>
        <w:t>本年收入合计</w:t>
      </w:r>
      <w:r>
        <w:rPr>
          <w:rFonts w:hint="eastAsia" w:ascii="仿宋" w:hAnsi="仿宋" w:eastAsia="仿宋" w:cs="仿宋"/>
          <w:b w:val="0"/>
          <w:bCs w:val="0"/>
          <w:color w:val="auto"/>
          <w:kern w:val="2"/>
          <w:sz w:val="32"/>
          <w:szCs w:val="32"/>
          <w:lang w:val="en-US" w:eastAsia="zh-CN" w:bidi="ar-SA"/>
        </w:rPr>
        <w:t>372.81万元</w:t>
      </w:r>
      <w:r>
        <w:rPr>
          <w:rFonts w:hint="eastAsia" w:ascii="仿宋_GB2312"/>
          <w:szCs w:val="32"/>
        </w:rPr>
        <w:t>，其中：财政拨款收入</w:t>
      </w:r>
      <w:r>
        <w:rPr>
          <w:rFonts w:hint="eastAsia" w:ascii="仿宋" w:hAnsi="仿宋" w:eastAsia="仿宋" w:cs="仿宋"/>
          <w:b w:val="0"/>
          <w:bCs w:val="0"/>
          <w:color w:val="auto"/>
          <w:kern w:val="2"/>
          <w:sz w:val="32"/>
          <w:szCs w:val="32"/>
          <w:lang w:val="en-US" w:eastAsia="zh-CN" w:bidi="ar-SA"/>
        </w:rPr>
        <w:t>372.81</w:t>
      </w:r>
      <w:r>
        <w:rPr>
          <w:rFonts w:hint="eastAsia" w:ascii="仿宋_GB2312" w:hAnsi="Times New Roman"/>
          <w:szCs w:val="32"/>
          <w:lang w:val="en-US" w:eastAsia="zh-CN"/>
        </w:rPr>
        <w:t>万元</w:t>
      </w:r>
      <w:r>
        <w:rPr>
          <w:rFonts w:hint="eastAsia" w:ascii="仿宋_GB2312" w:hAnsi="Times New Roman"/>
          <w:szCs w:val="32"/>
        </w:rPr>
        <w:t>，占比</w:t>
      </w:r>
      <w:r>
        <w:rPr>
          <w:rFonts w:hint="eastAsia" w:ascii="仿宋_GB2312" w:hAnsi="Times New Roman"/>
          <w:szCs w:val="32"/>
          <w:lang w:val="en-US" w:eastAsia="zh-CN"/>
        </w:rPr>
        <w:t>100</w:t>
      </w:r>
      <w:r>
        <w:rPr>
          <w:rFonts w:hint="eastAsia" w:ascii="仿宋_GB2312" w:hAnsi="Times New Roman"/>
          <w:szCs w:val="32"/>
        </w:rPr>
        <w:t>%</w:t>
      </w:r>
      <w:r>
        <w:rPr>
          <w:rFonts w:hint="eastAsia" w:ascii="仿宋_GB2312"/>
          <w:szCs w:val="32"/>
          <w:lang w:eastAsia="zh-CN"/>
        </w:rPr>
        <w:t>。</w:t>
      </w:r>
    </w:p>
    <w:p>
      <w:pPr>
        <w:pStyle w:val="4"/>
        <w:rPr>
          <w:rFonts w:hint="eastAsia" w:ascii="仿宋" w:hAnsi="仿宋" w:eastAsia="仿宋" w:cs="仿宋"/>
          <w:b/>
          <w:bCs w:val="0"/>
          <w:lang w:val="en-US" w:eastAsia="zh-CN"/>
        </w:rPr>
      </w:pPr>
      <w:bookmarkStart w:id="13" w:name="_Toc9596"/>
      <w:bookmarkStart w:id="14" w:name="_Toc22098"/>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本年支出合计</w:t>
      </w:r>
      <w:r>
        <w:rPr>
          <w:rFonts w:hint="eastAsia" w:ascii="仿宋" w:hAnsi="仿宋" w:eastAsia="仿宋" w:cs="仿宋"/>
          <w:b w:val="0"/>
          <w:bCs w:val="0"/>
          <w:color w:val="auto"/>
          <w:kern w:val="2"/>
          <w:sz w:val="32"/>
          <w:szCs w:val="32"/>
          <w:lang w:val="en-US" w:eastAsia="zh-CN" w:bidi="ar-SA"/>
        </w:rPr>
        <w:t>372.81</w:t>
      </w:r>
      <w:r>
        <w:rPr>
          <w:rFonts w:hint="eastAsia" w:ascii="仿宋_GB2312" w:hAnsi="Times New Roman"/>
          <w:szCs w:val="32"/>
          <w:lang w:val="en-US" w:eastAsia="zh-CN"/>
        </w:rPr>
        <w:t>万元，其中：基本支出</w:t>
      </w:r>
      <w:r>
        <w:rPr>
          <w:rFonts w:hint="eastAsia" w:ascii="仿宋_GB2312"/>
          <w:szCs w:val="32"/>
          <w:lang w:val="en-US" w:eastAsia="zh-CN"/>
        </w:rPr>
        <w:t>304.14</w:t>
      </w:r>
      <w:r>
        <w:rPr>
          <w:rFonts w:hint="eastAsia" w:ascii="仿宋_GB2312" w:hAnsi="Times New Roman"/>
          <w:szCs w:val="32"/>
          <w:lang w:val="en-US" w:eastAsia="zh-CN"/>
        </w:rPr>
        <w:t>万元，占比</w:t>
      </w:r>
      <w:r>
        <w:rPr>
          <w:rFonts w:hint="eastAsia" w:ascii="仿宋_GB2312"/>
          <w:szCs w:val="32"/>
          <w:lang w:val="en-US" w:eastAsia="zh-CN"/>
        </w:rPr>
        <w:t>81.58</w:t>
      </w:r>
      <w:r>
        <w:rPr>
          <w:rFonts w:hint="eastAsia" w:ascii="仿宋_GB2312" w:hAnsi="Times New Roman"/>
          <w:szCs w:val="32"/>
          <w:lang w:val="en-US" w:eastAsia="zh-CN"/>
        </w:rPr>
        <w:t>%；项目支出</w:t>
      </w:r>
      <w:r>
        <w:rPr>
          <w:rFonts w:hint="eastAsia" w:ascii="仿宋_GB2312"/>
          <w:szCs w:val="32"/>
          <w:lang w:val="en-US" w:eastAsia="zh-CN"/>
        </w:rPr>
        <w:t>68.66</w:t>
      </w:r>
      <w:r>
        <w:rPr>
          <w:rFonts w:hint="eastAsia" w:ascii="仿宋_GB2312" w:hAnsi="Times New Roman"/>
          <w:szCs w:val="32"/>
          <w:lang w:val="en-US" w:eastAsia="zh-CN"/>
        </w:rPr>
        <w:t>万元，占比</w:t>
      </w:r>
      <w:r>
        <w:rPr>
          <w:rFonts w:hint="eastAsia" w:ascii="仿宋_GB2312"/>
          <w:szCs w:val="32"/>
          <w:lang w:val="en-US" w:eastAsia="zh-CN"/>
        </w:rPr>
        <w:t>18.42</w:t>
      </w:r>
      <w:r>
        <w:rPr>
          <w:rFonts w:hint="eastAsia" w:ascii="仿宋_GB2312" w:hAnsi="Times New Roman"/>
          <w:szCs w:val="32"/>
          <w:lang w:val="en-US" w:eastAsia="zh-CN"/>
        </w:rPr>
        <w:t>%。</w:t>
      </w:r>
    </w:p>
    <w:p>
      <w:pPr>
        <w:pStyle w:val="4"/>
        <w:rPr>
          <w:rFonts w:hint="eastAsia" w:ascii="仿宋" w:hAnsi="仿宋" w:eastAsia="仿宋" w:cs="仿宋"/>
          <w:b/>
          <w:bCs w:val="0"/>
          <w:lang w:val="en-US" w:eastAsia="zh-CN"/>
        </w:rPr>
      </w:pPr>
      <w:bookmarkStart w:id="15" w:name="_Toc2142"/>
      <w:bookmarkStart w:id="16" w:name="_Toc4614"/>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2021年度财政拨款收入总计</w:t>
      </w:r>
      <w:r>
        <w:rPr>
          <w:rFonts w:hint="eastAsia" w:ascii="仿宋" w:hAnsi="仿宋" w:eastAsia="仿宋" w:cs="仿宋"/>
          <w:b w:val="0"/>
          <w:bCs w:val="0"/>
          <w:color w:val="auto"/>
          <w:kern w:val="2"/>
          <w:sz w:val="32"/>
          <w:szCs w:val="32"/>
          <w:lang w:val="en-US" w:eastAsia="zh-CN" w:bidi="ar-SA"/>
        </w:rPr>
        <w:t>372.81</w:t>
      </w:r>
      <w:r>
        <w:rPr>
          <w:rFonts w:hint="eastAsia" w:ascii="仿宋_GB2312" w:hAnsi="Times New Roman"/>
          <w:szCs w:val="32"/>
          <w:lang w:val="en-US" w:eastAsia="zh-CN"/>
        </w:rPr>
        <w:t>万元、支出总计</w:t>
      </w:r>
      <w:r>
        <w:rPr>
          <w:rFonts w:hint="eastAsia" w:ascii="仿宋" w:hAnsi="仿宋" w:eastAsia="仿宋" w:cs="仿宋"/>
          <w:b w:val="0"/>
          <w:bCs w:val="0"/>
          <w:color w:val="auto"/>
          <w:kern w:val="2"/>
          <w:sz w:val="32"/>
          <w:szCs w:val="32"/>
          <w:lang w:val="en-US" w:eastAsia="zh-CN" w:bidi="ar-SA"/>
        </w:rPr>
        <w:t>372.81</w:t>
      </w:r>
      <w:r>
        <w:rPr>
          <w:rFonts w:hint="eastAsia" w:ascii="仿宋_GB2312" w:hAnsi="Times New Roman"/>
          <w:szCs w:val="32"/>
          <w:lang w:val="en-US" w:eastAsia="zh-CN"/>
        </w:rPr>
        <w:t>万元。2020年财政拨款收入总计</w:t>
      </w:r>
      <w:r>
        <w:rPr>
          <w:rFonts w:hint="eastAsia" w:ascii="仿宋" w:hAnsi="仿宋" w:eastAsia="仿宋" w:cs="仿宋"/>
          <w:b w:val="0"/>
          <w:bCs w:val="0"/>
          <w:color w:val="auto"/>
          <w:kern w:val="2"/>
          <w:sz w:val="32"/>
          <w:szCs w:val="32"/>
          <w:lang w:val="en-US" w:eastAsia="zh-CN" w:bidi="ar-SA"/>
        </w:rPr>
        <w:t>351.06</w:t>
      </w:r>
      <w:r>
        <w:rPr>
          <w:rFonts w:hint="eastAsia" w:ascii="仿宋_GB2312" w:hAnsi="Times New Roman"/>
          <w:szCs w:val="32"/>
          <w:lang w:val="en-US" w:eastAsia="zh-CN"/>
        </w:rPr>
        <w:t>万元，2021年与2020年相比减少</w:t>
      </w:r>
      <w:r>
        <w:rPr>
          <w:rFonts w:hint="eastAsia" w:ascii="仿宋_GB2312"/>
          <w:szCs w:val="32"/>
          <w:lang w:val="en-US" w:eastAsia="zh-CN"/>
        </w:rPr>
        <w:t>21.75</w:t>
      </w:r>
      <w:r>
        <w:rPr>
          <w:rFonts w:hint="eastAsia" w:ascii="仿宋_GB2312" w:hAnsi="Times New Roman"/>
          <w:szCs w:val="32"/>
          <w:lang w:val="en-US" w:eastAsia="zh-CN"/>
        </w:rPr>
        <w:t>万元，下降</w:t>
      </w:r>
      <w:r>
        <w:rPr>
          <w:rFonts w:hint="eastAsia" w:ascii="仿宋" w:hAnsi="仿宋" w:eastAsia="仿宋" w:cs="仿宋"/>
          <w:b w:val="0"/>
          <w:bCs w:val="0"/>
          <w:color w:val="auto"/>
          <w:kern w:val="2"/>
          <w:sz w:val="32"/>
          <w:szCs w:val="32"/>
          <w:lang w:val="en-US" w:eastAsia="zh-CN" w:bidi="ar-SA"/>
        </w:rPr>
        <w:t>6.20%</w:t>
      </w:r>
      <w:r>
        <w:rPr>
          <w:rFonts w:hint="eastAsia" w:ascii="仿宋_GB2312" w:hAnsi="Times New Roman"/>
          <w:szCs w:val="32"/>
          <w:lang w:val="en-US" w:eastAsia="zh-CN"/>
        </w:rPr>
        <w:t>，2020年财政拨款支出总计</w:t>
      </w:r>
      <w:r>
        <w:rPr>
          <w:rFonts w:hint="eastAsia" w:ascii="仿宋" w:hAnsi="仿宋" w:eastAsia="仿宋" w:cs="仿宋"/>
          <w:b w:val="0"/>
          <w:bCs w:val="0"/>
          <w:color w:val="auto"/>
          <w:kern w:val="2"/>
          <w:sz w:val="32"/>
          <w:szCs w:val="32"/>
          <w:lang w:val="en-US" w:eastAsia="zh-CN" w:bidi="ar-SA"/>
        </w:rPr>
        <w:t>351.06</w:t>
      </w:r>
      <w:r>
        <w:rPr>
          <w:rFonts w:hint="eastAsia" w:ascii="仿宋_GB2312" w:hAnsi="Times New Roman"/>
          <w:szCs w:val="32"/>
          <w:lang w:val="en-US" w:eastAsia="zh-CN"/>
        </w:rPr>
        <w:t>万元，2021年与2020年相比减少</w:t>
      </w:r>
      <w:r>
        <w:rPr>
          <w:rFonts w:hint="eastAsia" w:ascii="仿宋_GB2312"/>
          <w:szCs w:val="32"/>
          <w:lang w:val="en-US" w:eastAsia="zh-CN"/>
        </w:rPr>
        <w:t>21.75</w:t>
      </w:r>
      <w:r>
        <w:rPr>
          <w:rFonts w:hint="eastAsia" w:ascii="仿宋_GB2312" w:hAnsi="Times New Roman"/>
          <w:szCs w:val="32"/>
          <w:lang w:val="en-US" w:eastAsia="zh-CN"/>
        </w:rPr>
        <w:t>万元，下降</w:t>
      </w:r>
      <w:r>
        <w:rPr>
          <w:rFonts w:hint="eastAsia" w:ascii="仿宋" w:hAnsi="仿宋" w:eastAsia="仿宋" w:cs="仿宋"/>
          <w:b w:val="0"/>
          <w:bCs w:val="0"/>
          <w:color w:val="auto"/>
          <w:kern w:val="2"/>
          <w:sz w:val="32"/>
          <w:szCs w:val="32"/>
          <w:lang w:val="en-US" w:eastAsia="zh-CN" w:bidi="ar-SA"/>
        </w:rPr>
        <w:t>6.20%</w:t>
      </w:r>
      <w:r>
        <w:rPr>
          <w:rFonts w:hint="eastAsia" w:ascii="仿宋_GB2312" w:hAnsi="Times New Roman"/>
          <w:szCs w:val="32"/>
          <w:lang w:val="en-US" w:eastAsia="zh-CN"/>
        </w:rPr>
        <w:t>，主要原因是城镇化发展加快，农村教师学生人数减少，人员和公用经费也相应减少。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7" w:name="_Toc9341"/>
      <w:bookmarkStart w:id="18" w:name="_Toc650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 w:hAnsi="仿宋" w:eastAsia="仿宋" w:cs="仿宋"/>
          <w:b w:val="0"/>
          <w:bCs w:val="0"/>
          <w:color w:val="auto"/>
          <w:kern w:val="2"/>
          <w:sz w:val="32"/>
          <w:szCs w:val="32"/>
          <w:lang w:val="en-US" w:eastAsia="zh-CN" w:bidi="ar-SA"/>
        </w:rPr>
        <w:t>372.81</w:t>
      </w:r>
      <w:r>
        <w:rPr>
          <w:rFonts w:hint="eastAsia" w:ascii="仿宋_GB2312"/>
          <w:szCs w:val="32"/>
        </w:rPr>
        <w:t>万元，占本年支出合计的</w:t>
      </w:r>
      <w:r>
        <w:rPr>
          <w:rFonts w:hint="eastAsia" w:ascii="仿宋_GB2312" w:hAnsi="Times New Roman"/>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w:t>
      </w:r>
      <w:r>
        <w:rPr>
          <w:rFonts w:hint="eastAsia" w:ascii="仿宋_GB2312" w:hAnsi="Times New Roman"/>
          <w:szCs w:val="32"/>
          <w:lang w:val="en-US" w:eastAsia="zh-CN"/>
        </w:rPr>
        <w:t>2020年财政拨款支出总计</w:t>
      </w:r>
      <w:r>
        <w:rPr>
          <w:rFonts w:hint="eastAsia" w:ascii="仿宋" w:hAnsi="仿宋" w:eastAsia="仿宋" w:cs="仿宋"/>
          <w:b w:val="0"/>
          <w:bCs w:val="0"/>
          <w:color w:val="auto"/>
          <w:kern w:val="2"/>
          <w:sz w:val="32"/>
          <w:szCs w:val="32"/>
          <w:lang w:val="en-US" w:eastAsia="zh-CN" w:bidi="ar-SA"/>
        </w:rPr>
        <w:t>351.06</w:t>
      </w:r>
      <w:r>
        <w:rPr>
          <w:rFonts w:hint="eastAsia" w:ascii="仿宋_GB2312" w:hAnsi="Times New Roman"/>
          <w:szCs w:val="32"/>
          <w:lang w:val="en-US" w:eastAsia="zh-CN"/>
        </w:rPr>
        <w:t>万元，2021年与2020年相比减少</w:t>
      </w:r>
      <w:r>
        <w:rPr>
          <w:rFonts w:hint="eastAsia" w:ascii="仿宋_GB2312"/>
          <w:szCs w:val="32"/>
          <w:lang w:val="en-US" w:eastAsia="zh-CN"/>
        </w:rPr>
        <w:t>21.75</w:t>
      </w:r>
      <w:r>
        <w:rPr>
          <w:rFonts w:hint="eastAsia" w:ascii="仿宋_GB2312" w:hAnsi="Times New Roman"/>
          <w:szCs w:val="32"/>
          <w:lang w:val="en-US" w:eastAsia="zh-CN"/>
        </w:rPr>
        <w:t>万元，下降</w:t>
      </w:r>
      <w:r>
        <w:rPr>
          <w:rFonts w:hint="eastAsia" w:ascii="仿宋_GB2312"/>
          <w:szCs w:val="32"/>
          <w:lang w:val="en-US" w:eastAsia="zh-CN"/>
        </w:rPr>
        <w:t>6.20</w:t>
      </w:r>
      <w:r>
        <w:rPr>
          <w:rFonts w:hint="eastAsia" w:ascii="仿宋_GB2312" w:hAnsi="Times New Roman"/>
          <w:szCs w:val="32"/>
          <w:lang w:val="en-US" w:eastAsia="zh-CN"/>
        </w:rPr>
        <w:t>%，主要原因是城镇化发展加快，农村教师学生人数减少，人员和公用经费也相应减少。</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 w:hAnsi="仿宋" w:eastAsia="仿宋" w:cs="仿宋"/>
          <w:b w:val="0"/>
          <w:bCs w:val="0"/>
          <w:color w:val="auto"/>
          <w:kern w:val="2"/>
          <w:sz w:val="32"/>
          <w:szCs w:val="32"/>
          <w:lang w:val="en-US" w:eastAsia="zh-CN" w:bidi="ar-SA"/>
        </w:rPr>
        <w:t>372.81</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hint="eastAsia" w:ascii="仿宋_GB2312"/>
          <w:color w:val="auto"/>
          <w:szCs w:val="32"/>
        </w:rPr>
        <w:t>支出</w:t>
      </w:r>
      <w:r>
        <w:rPr>
          <w:rFonts w:hint="eastAsia" w:ascii="仿宋" w:hAnsi="仿宋" w:eastAsia="仿宋" w:cs="仿宋"/>
          <w:b w:val="0"/>
          <w:bCs w:val="0"/>
          <w:color w:val="auto"/>
          <w:kern w:val="2"/>
          <w:sz w:val="32"/>
          <w:szCs w:val="32"/>
          <w:lang w:val="en-US" w:eastAsia="zh-CN" w:bidi="ar-SA"/>
        </w:rPr>
        <w:t>372.81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 w:hAnsi="仿宋" w:eastAsia="仿宋" w:cs="仿宋"/>
          <w:b w:val="0"/>
          <w:bCs w:val="0"/>
          <w:color w:val="auto"/>
          <w:kern w:val="2"/>
          <w:sz w:val="32"/>
          <w:szCs w:val="32"/>
          <w:lang w:val="en-US" w:eastAsia="zh-CN" w:bidi="ar-SA"/>
        </w:rPr>
        <w:t>332</w:t>
      </w:r>
      <w:r>
        <w:rPr>
          <w:rFonts w:hint="eastAsia"/>
          <w:color w:val="auto"/>
          <w:szCs w:val="32"/>
        </w:rPr>
        <w:t>万元，支出决算</w:t>
      </w:r>
      <w:r>
        <w:rPr>
          <w:rFonts w:hint="eastAsia" w:ascii="仿宋" w:hAnsi="仿宋" w:eastAsia="仿宋" w:cs="仿宋"/>
          <w:b w:val="0"/>
          <w:bCs w:val="0"/>
          <w:color w:val="auto"/>
          <w:kern w:val="2"/>
          <w:sz w:val="32"/>
          <w:szCs w:val="32"/>
          <w:lang w:val="en-US" w:eastAsia="zh-CN" w:bidi="ar-SA"/>
        </w:rPr>
        <w:t>372.81</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bookmarkStart w:id="31" w:name="_GoBack"/>
      <w:bookmarkEnd w:id="31"/>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ind w:left="0" w:leftChars="0" w:firstLine="0" w:firstLineChars="0"/>
        <w:jc w:val="left"/>
        <w:rPr>
          <w:rFonts w:hint="eastAsia"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 xml:space="preserve">年度支出功能科目分类对比表   </w:t>
      </w:r>
      <w:r>
        <w:rPr>
          <w:rFonts w:hint="eastAsia" w:ascii="宋体" w:hAnsi="宋体" w:cs="Arial"/>
          <w:b/>
          <w:color w:val="000000"/>
          <w:kern w:val="0"/>
          <w:sz w:val="30"/>
          <w:szCs w:val="30"/>
          <w:lang w:val="en-US" w:eastAsia="zh-CN"/>
        </w:rPr>
        <w:t xml:space="preserve">           </w:t>
      </w:r>
      <w:r>
        <w:rPr>
          <w:rFonts w:hint="eastAsia" w:ascii="宋体" w:hAnsi="宋体" w:cs="Arial"/>
          <w:b/>
          <w:color w:val="000000"/>
          <w:kern w:val="0"/>
          <w:sz w:val="30"/>
          <w:szCs w:val="30"/>
        </w:rPr>
        <w:t xml:space="preserve">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2"/>
        <w:tblW w:w="965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905"/>
        <w:gridCol w:w="2085"/>
        <w:gridCol w:w="16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905" w:type="dxa"/>
            <w:tcBorders>
              <w:tl2br w:val="nil"/>
              <w:tr2bl w:val="nil"/>
            </w:tcBorders>
            <w:vAlign w:val="top"/>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2085" w:type="dxa"/>
            <w:tcBorders>
              <w:tl2br w:val="nil"/>
              <w:tr2bl w:val="nil"/>
            </w:tcBorders>
            <w:vAlign w:val="top"/>
          </w:tcPr>
          <w:p>
            <w:pPr>
              <w:widowControl/>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50" w:type="dxa"/>
            <w:tcBorders>
              <w:tl2br w:val="nil"/>
              <w:tr2bl w:val="nil"/>
            </w:tcBorders>
            <w:vAlign w:val="top"/>
          </w:tcPr>
          <w:p>
            <w:pPr>
              <w:widowControl/>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50" w:type="dxa"/>
            <w:tcBorders>
              <w:tl2br w:val="nil"/>
              <w:tr2bl w:val="nil"/>
            </w:tcBorders>
            <w:vAlign w:val="top"/>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61" w:type="dxa"/>
            <w:tcBorders>
              <w:tl2br w:val="nil"/>
              <w:tr2bl w:val="nil"/>
            </w:tcBorders>
            <w:vAlign w:val="top"/>
          </w:tcPr>
          <w:p>
            <w:pPr>
              <w:spacing w:line="480" w:lineRule="auto"/>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905" w:type="dxa"/>
            <w:tcBorders>
              <w:tl2br w:val="nil"/>
              <w:tr2bl w:val="nil"/>
            </w:tcBorders>
            <w:vAlign w:val="top"/>
          </w:tcPr>
          <w:p>
            <w:pPr>
              <w:spacing w:line="480" w:lineRule="auto"/>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2085"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新宋体" w:hAnsi="新宋体" w:eastAsia="新宋体" w:cs="新宋体"/>
                <w:b w:val="0"/>
                <w:bCs w:val="0"/>
                <w:color w:val="000000"/>
                <w:sz w:val="24"/>
                <w:szCs w:val="24"/>
              </w:rPr>
            </w:pPr>
            <w:r>
              <w:rPr>
                <w:rFonts w:hint="eastAsia" w:ascii="仿宋_GB2312" w:hAnsi="仿宋_GB2312" w:eastAsia="仿宋_GB2312" w:cs="仿宋_GB2312"/>
                <w:color w:val="auto"/>
                <w:sz w:val="24"/>
                <w:szCs w:val="24"/>
                <w:lang w:val="en-US" w:eastAsia="zh-CN"/>
              </w:rPr>
              <w:t>351.06</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center"/>
              <w:textAlignment w:val="center"/>
              <w:rPr>
                <w:rFonts w:hint="eastAsia" w:ascii="新宋体" w:hAnsi="新宋体" w:eastAsia="新宋体" w:cs="新宋体"/>
                <w:b w:val="0"/>
                <w:bCs w:val="0"/>
                <w:i w:val="0"/>
                <w:iCs w:val="0"/>
                <w:color w:val="000000"/>
                <w:kern w:val="0"/>
                <w:sz w:val="24"/>
                <w:szCs w:val="24"/>
                <w:u w:val="none"/>
                <w:lang w:val="en-US" w:eastAsia="zh-CN" w:bidi="ar"/>
              </w:rPr>
            </w:pPr>
            <w:r>
              <w:rPr>
                <w:rFonts w:hint="eastAsia" w:ascii="仿宋" w:hAnsi="仿宋" w:eastAsia="仿宋" w:cs="仿宋"/>
                <w:b w:val="0"/>
                <w:bCs w:val="0"/>
                <w:color w:val="auto"/>
                <w:kern w:val="2"/>
                <w:sz w:val="24"/>
                <w:szCs w:val="24"/>
                <w:lang w:val="en-US" w:eastAsia="zh-CN" w:bidi="ar-SA"/>
              </w:rPr>
              <w:t>372.81</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center"/>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w:t>
            </w:r>
          </w:p>
        </w:tc>
        <w:tc>
          <w:tcPr>
            <w:tcW w:w="2905" w:type="dxa"/>
            <w:tcBorders>
              <w:tl2br w:val="nil"/>
              <w:tr2bl w:val="nil"/>
            </w:tcBorders>
            <w:vAlign w:val="top"/>
          </w:tcPr>
          <w:p>
            <w:pPr>
              <w:spacing w:line="480" w:lineRule="auto"/>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普通教育</w:t>
            </w:r>
          </w:p>
        </w:tc>
        <w:tc>
          <w:tcPr>
            <w:tcW w:w="2085"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eastAsia" w:ascii="新宋体" w:hAnsi="新宋体" w:eastAsia="新宋体" w:cs="新宋体"/>
                <w:b w:val="0"/>
                <w:bCs w:val="0"/>
                <w:color w:val="000000"/>
                <w:sz w:val="24"/>
                <w:szCs w:val="24"/>
              </w:rPr>
            </w:pPr>
            <w:r>
              <w:rPr>
                <w:rFonts w:hint="eastAsia" w:ascii="仿宋_GB2312" w:hAnsi="仿宋_GB2312" w:eastAsia="仿宋_GB2312" w:cs="仿宋_GB2312"/>
                <w:color w:val="auto"/>
                <w:sz w:val="24"/>
                <w:szCs w:val="24"/>
                <w:lang w:val="en-US" w:eastAsia="zh-CN"/>
              </w:rPr>
              <w:t>351.06</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center"/>
              <w:textAlignment w:val="center"/>
              <w:rPr>
                <w:rFonts w:hint="eastAsia" w:ascii="新宋体" w:hAnsi="新宋体" w:eastAsia="新宋体" w:cs="新宋体"/>
                <w:b w:val="0"/>
                <w:bCs w:val="0"/>
                <w:color w:val="000000"/>
                <w:sz w:val="24"/>
                <w:szCs w:val="24"/>
                <w:lang w:val="en-US"/>
              </w:rPr>
            </w:pPr>
            <w:r>
              <w:rPr>
                <w:rFonts w:hint="eastAsia" w:ascii="仿宋" w:hAnsi="仿宋" w:eastAsia="仿宋" w:cs="仿宋"/>
                <w:b w:val="0"/>
                <w:bCs w:val="0"/>
                <w:color w:val="auto"/>
                <w:kern w:val="2"/>
                <w:sz w:val="24"/>
                <w:szCs w:val="24"/>
                <w:lang w:val="en-US" w:eastAsia="zh-CN" w:bidi="ar-SA"/>
              </w:rPr>
              <w:t>372.81</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center"/>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202</w:t>
            </w:r>
          </w:p>
        </w:tc>
        <w:tc>
          <w:tcPr>
            <w:tcW w:w="2905" w:type="dxa"/>
            <w:tcBorders>
              <w:tl2br w:val="nil"/>
              <w:tr2bl w:val="nil"/>
            </w:tcBorders>
            <w:vAlign w:val="top"/>
          </w:tcPr>
          <w:p>
            <w:pPr>
              <w:spacing w:line="480" w:lineRule="auto"/>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小学教育</w:t>
            </w:r>
          </w:p>
        </w:tc>
        <w:tc>
          <w:tcPr>
            <w:tcW w:w="2085" w:type="dxa"/>
            <w:tcBorders>
              <w:tl2br w:val="nil"/>
              <w:tr2bl w:val="nil"/>
            </w:tcBorders>
            <w:vAlign w:val="center"/>
          </w:tcPr>
          <w:p>
            <w:pPr>
              <w:keepNext w:val="0"/>
              <w:keepLines w:val="0"/>
              <w:widowControl/>
              <w:suppressLineNumbers w:val="0"/>
              <w:ind w:left="0" w:leftChars="0" w:firstLine="0" w:firstLineChars="0"/>
              <w:jc w:val="center"/>
              <w:textAlignment w:val="center"/>
              <w:rPr>
                <w:rFonts w:hint="default" w:ascii="新宋体" w:hAnsi="新宋体" w:eastAsia="新宋体" w:cs="新宋体"/>
                <w:b w:val="0"/>
                <w:bCs w:val="0"/>
                <w:color w:val="000000"/>
                <w:sz w:val="24"/>
                <w:szCs w:val="24"/>
                <w:lang w:val="en-US" w:eastAsia="zh-CN"/>
              </w:rPr>
            </w:pPr>
            <w:r>
              <w:rPr>
                <w:rFonts w:hint="eastAsia" w:ascii="仿宋_GB2312" w:hAnsi="仿宋_GB2312" w:cs="仿宋_GB2312"/>
                <w:color w:val="auto"/>
                <w:sz w:val="24"/>
                <w:szCs w:val="24"/>
                <w:lang w:val="en-US" w:eastAsia="zh-CN"/>
              </w:rPr>
              <w:t>326.50</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center"/>
              <w:textAlignment w:val="center"/>
              <w:rPr>
                <w:rFonts w:hint="default" w:ascii="新宋体" w:hAnsi="新宋体" w:eastAsia="新宋体" w:cs="新宋体"/>
                <w:b w:val="0"/>
                <w:bCs w:val="0"/>
                <w:color w:val="000000"/>
                <w:sz w:val="24"/>
                <w:szCs w:val="24"/>
                <w:lang w:val="en-US"/>
              </w:rPr>
            </w:pPr>
            <w:r>
              <w:rPr>
                <w:rFonts w:hint="eastAsia" w:ascii="新宋体" w:hAnsi="新宋体" w:eastAsia="新宋体" w:cs="新宋体"/>
                <w:b w:val="0"/>
                <w:bCs w:val="0"/>
                <w:i w:val="0"/>
                <w:iCs w:val="0"/>
                <w:color w:val="000000"/>
                <w:kern w:val="0"/>
                <w:sz w:val="24"/>
                <w:szCs w:val="24"/>
                <w:u w:val="none"/>
                <w:lang w:val="en-US" w:eastAsia="zh-CN" w:bidi="ar"/>
              </w:rPr>
              <w:t>304.14</w:t>
            </w:r>
          </w:p>
        </w:tc>
        <w:tc>
          <w:tcPr>
            <w:tcW w:w="1350" w:type="dxa"/>
            <w:tcBorders>
              <w:tl2br w:val="nil"/>
              <w:tr2bl w:val="nil"/>
            </w:tcBorders>
            <w:vAlign w:val="bottom"/>
          </w:tcPr>
          <w:p>
            <w:pPr>
              <w:keepNext w:val="0"/>
              <w:keepLines w:val="0"/>
              <w:widowControl/>
              <w:suppressLineNumbers w:val="0"/>
              <w:spacing w:line="480" w:lineRule="auto"/>
              <w:jc w:val="center"/>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dxa"/>
            <w:tcBorders>
              <w:tl2br w:val="nil"/>
              <w:tr2bl w:val="nil"/>
            </w:tcBorders>
            <w:vAlign w:val="top"/>
          </w:tcPr>
          <w:p>
            <w:pPr>
              <w:spacing w:line="480" w:lineRule="auto"/>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299</w:t>
            </w:r>
          </w:p>
        </w:tc>
        <w:tc>
          <w:tcPr>
            <w:tcW w:w="2905" w:type="dxa"/>
            <w:tcBorders>
              <w:tl2br w:val="nil"/>
              <w:tr2bl w:val="nil"/>
            </w:tcBorders>
            <w:vAlign w:val="top"/>
          </w:tcPr>
          <w:p>
            <w:pPr>
              <w:spacing w:line="480" w:lineRule="auto"/>
              <w:ind w:left="0" w:leftChars="0" w:firstLine="240" w:firstLineChars="10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其他普通教育支出</w:t>
            </w:r>
          </w:p>
        </w:tc>
        <w:tc>
          <w:tcPr>
            <w:tcW w:w="2085" w:type="dxa"/>
            <w:tcBorders>
              <w:tl2br w:val="nil"/>
              <w:tr2bl w:val="nil"/>
            </w:tcBorders>
            <w:vAlign w:val="center"/>
          </w:tcPr>
          <w:p>
            <w:pPr>
              <w:spacing w:line="240" w:lineRule="auto"/>
              <w:ind w:firstLine="720" w:firstLineChars="300"/>
              <w:jc w:val="both"/>
              <w:rPr>
                <w:rFonts w:hint="default" w:ascii="新宋体" w:hAnsi="新宋体" w:eastAsia="新宋体" w:cs="新宋体"/>
                <w:b w:val="0"/>
                <w:bCs w:val="0"/>
                <w:color w:val="000000"/>
                <w:sz w:val="24"/>
                <w:szCs w:val="24"/>
                <w:lang w:val="en-US" w:eastAsia="zh-CN"/>
              </w:rPr>
            </w:pPr>
            <w:r>
              <w:rPr>
                <w:rFonts w:hint="eastAsia" w:ascii="仿宋_GB2312" w:hAnsi="仿宋_GB2312" w:cs="仿宋_GB2312"/>
                <w:color w:val="auto"/>
                <w:sz w:val="24"/>
                <w:szCs w:val="24"/>
                <w:lang w:val="en-US" w:eastAsia="zh-CN"/>
              </w:rPr>
              <w:t>24.56</w:t>
            </w:r>
          </w:p>
        </w:tc>
        <w:tc>
          <w:tcPr>
            <w:tcW w:w="1650" w:type="dxa"/>
            <w:tcBorders>
              <w:tl2br w:val="nil"/>
              <w:tr2bl w:val="nil"/>
            </w:tcBorders>
            <w:vAlign w:val="center"/>
          </w:tcPr>
          <w:p>
            <w:pPr>
              <w:keepNext w:val="0"/>
              <w:keepLines w:val="0"/>
              <w:widowControl/>
              <w:suppressLineNumbers w:val="0"/>
              <w:spacing w:line="240" w:lineRule="auto"/>
              <w:ind w:firstLine="480" w:firstLineChars="200"/>
              <w:jc w:val="center"/>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68.66</w:t>
            </w:r>
          </w:p>
        </w:tc>
        <w:tc>
          <w:tcPr>
            <w:tcW w:w="1350" w:type="dxa"/>
            <w:tcBorders>
              <w:tl2br w:val="nil"/>
              <w:tr2bl w:val="nil"/>
            </w:tcBorders>
            <w:vAlign w:val="bottom"/>
          </w:tcPr>
          <w:p>
            <w:pPr>
              <w:keepNext w:val="0"/>
              <w:keepLines w:val="0"/>
              <w:widowControl/>
              <w:suppressLineNumbers w:val="0"/>
              <w:spacing w:line="480" w:lineRule="auto"/>
              <w:ind w:left="0" w:leftChars="0" w:firstLine="480" w:firstLineChars="200"/>
              <w:jc w:val="center"/>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180%</w:t>
            </w:r>
          </w:p>
        </w:tc>
      </w:tr>
    </w:tbl>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2"/>
        <w:tblW w:w="871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1832"/>
        <w:gridCol w:w="2066"/>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2869"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2"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66"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1"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2" w:type="dxa"/>
            <w:vAlign w:val="center"/>
          </w:tcPr>
          <w:p>
            <w:pPr>
              <w:spacing w:line="360" w:lineRule="auto"/>
              <w:ind w:left="0" w:leftChars="0" w:firstLine="480" w:firstLineChars="2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351.06</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b w:val="0"/>
                <w:bCs w:val="0"/>
                <w:color w:val="auto"/>
                <w:kern w:val="2"/>
                <w:sz w:val="24"/>
                <w:szCs w:val="24"/>
                <w:lang w:val="en-US" w:eastAsia="zh-CN" w:bidi="ar-SA"/>
              </w:rPr>
              <w:t>372.81</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2"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316.20</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299.60</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2"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30.55</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53.87</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2" w:type="dxa"/>
            <w:vAlign w:val="center"/>
          </w:tcPr>
          <w:p>
            <w:pPr>
              <w:spacing w:line="360" w:lineRule="auto"/>
              <w:ind w:left="0" w:leftChars="0" w:firstLine="480" w:firstLineChars="2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2.48</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19.34</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869" w:type="dxa"/>
            <w:vAlign w:val="center"/>
          </w:tcPr>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资本性支出</w:t>
            </w:r>
          </w:p>
        </w:tc>
        <w:tc>
          <w:tcPr>
            <w:tcW w:w="1832"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1.84</w:t>
            </w:r>
          </w:p>
        </w:tc>
        <w:tc>
          <w:tcPr>
            <w:tcW w:w="2066" w:type="dxa"/>
            <w:vAlign w:val="center"/>
          </w:tcPr>
          <w:p>
            <w:pPr>
              <w:spacing w:line="360" w:lineRule="auto"/>
              <w:jc w:val="left"/>
              <w:rPr>
                <w:rFonts w:hint="eastAsia" w:ascii="仿宋" w:hAnsi="仿宋" w:eastAsia="仿宋" w:cs="仿宋"/>
                <w:color w:val="auto"/>
                <w:sz w:val="24"/>
                <w:szCs w:val="24"/>
              </w:rPr>
            </w:pP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19" w:name="_Toc841"/>
      <w:bookmarkStart w:id="20" w:name="_Toc17728"/>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372.81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318.94</w:t>
      </w:r>
      <w:r>
        <w:rPr>
          <w:rFonts w:hint="eastAsia" w:ascii="仿宋_GB2312" w:hAnsi="Times New Roman"/>
          <w:szCs w:val="32"/>
        </w:rPr>
        <w:t>万元</w:t>
      </w:r>
      <w:r>
        <w:rPr>
          <w:rFonts w:ascii="仿宋_GB2312" w:hAnsi="Times New Roman"/>
          <w:szCs w:val="32"/>
        </w:rPr>
        <w:t>，</w:t>
      </w:r>
      <w:r>
        <w:rPr>
          <w:rFonts w:hint="eastAsia" w:ascii="仿宋_GB2312" w:hAnsi="Times New Roman"/>
          <w:szCs w:val="32"/>
        </w:rPr>
        <w:t>主要</w:t>
      </w:r>
      <w:r>
        <w:rPr>
          <w:rFonts w:ascii="仿宋_GB2312" w:hAnsi="Times New Roman"/>
          <w:szCs w:val="32"/>
        </w:rPr>
        <w:t>包括</w:t>
      </w:r>
      <w:r>
        <w:rPr>
          <w:rFonts w:hint="eastAsia" w:ascii="仿宋_GB2312" w:hAnsi="Times New Roman"/>
          <w:szCs w:val="32"/>
          <w:lang w:eastAsia="zh-CN"/>
        </w:rPr>
        <w:t>工资福利支出和对个人家庭补助支出</w:t>
      </w:r>
      <w:r>
        <w:rPr>
          <w:rFonts w:ascii="仿宋_GB2312" w:hAnsi="Times New Roman"/>
          <w:szCs w:val="32"/>
        </w:rPr>
        <w:t>；</w:t>
      </w:r>
      <w:r>
        <w:rPr>
          <w:rFonts w:hint="eastAsia" w:ascii="仿宋_GB2312" w:hAnsi="Times New Roman"/>
          <w:szCs w:val="32"/>
        </w:rPr>
        <w:t>公用</w:t>
      </w:r>
      <w:r>
        <w:rPr>
          <w:rFonts w:ascii="仿宋_GB2312" w:hAnsi="Times New Roman"/>
          <w:szCs w:val="32"/>
        </w:rPr>
        <w:t>经费</w:t>
      </w:r>
      <w:r>
        <w:rPr>
          <w:rFonts w:hint="eastAsia" w:ascii="仿宋_GB2312"/>
          <w:szCs w:val="32"/>
          <w:lang w:val="en-US" w:eastAsia="zh-CN"/>
        </w:rPr>
        <w:t>4.25</w:t>
      </w:r>
      <w:r>
        <w:rPr>
          <w:rFonts w:hint="eastAsia" w:ascii="仿宋_GB2312" w:hAnsi="Times New Roman"/>
          <w:szCs w:val="32"/>
        </w:rPr>
        <w:t>万元</w:t>
      </w:r>
      <w:r>
        <w:rPr>
          <w:rFonts w:ascii="仿宋_GB2312" w:hAnsi="Times New Roman"/>
          <w:szCs w:val="32"/>
        </w:rPr>
        <w:t>，主要包括</w:t>
      </w:r>
      <w:r>
        <w:rPr>
          <w:rFonts w:hint="eastAsia" w:ascii="仿宋_GB2312" w:hAnsi="Times New Roman"/>
          <w:szCs w:val="32"/>
          <w:lang w:eastAsia="zh-CN"/>
        </w:rPr>
        <w:t>福利工会费</w:t>
      </w:r>
      <w:r>
        <w:rPr>
          <w:rFonts w:ascii="仿宋_GB2312" w:hAnsi="Times New Roman"/>
          <w:szCs w:val="32"/>
        </w:rPr>
        <w:t>。</w:t>
      </w:r>
      <w:r>
        <w:rPr>
          <w:rFonts w:hint="eastAsia" w:ascii="仿宋_GB2312" w:hAnsi="Times New Roman"/>
          <w:szCs w:val="32"/>
        </w:rPr>
        <w:t>20</w:t>
      </w:r>
      <w:r>
        <w:rPr>
          <w:rFonts w:hint="eastAsia" w:ascii="仿宋_GB2312" w:hAnsi="Times New Roman"/>
          <w:szCs w:val="32"/>
          <w:lang w:val="en-US" w:eastAsia="zh-CN"/>
        </w:rPr>
        <w:t>21</w:t>
      </w:r>
      <w:r>
        <w:rPr>
          <w:rFonts w:hint="eastAsia" w:ascii="仿宋_GB2312" w:hAnsi="Times New Roman"/>
          <w:szCs w:val="32"/>
        </w:rPr>
        <w:t>年度</w:t>
      </w:r>
      <w:r>
        <w:rPr>
          <w:rFonts w:ascii="仿宋_GB2312" w:hAnsi="Times New Roman"/>
          <w:szCs w:val="32"/>
        </w:rPr>
        <w:t>财政拨款</w:t>
      </w:r>
      <w:r>
        <w:rPr>
          <w:rFonts w:hint="eastAsia" w:ascii="仿宋_GB2312" w:hAnsi="Times New Roman"/>
          <w:szCs w:val="32"/>
          <w:lang w:val="en-US" w:eastAsia="zh-CN"/>
        </w:rPr>
        <w:t>项目</w:t>
      </w:r>
      <w:r>
        <w:rPr>
          <w:rFonts w:ascii="仿宋_GB2312" w:hAnsi="Times New Roman"/>
          <w:szCs w:val="32"/>
        </w:rPr>
        <w:t>支出</w:t>
      </w:r>
      <w:r>
        <w:rPr>
          <w:rFonts w:hint="eastAsia" w:ascii="仿宋_GB2312"/>
          <w:szCs w:val="32"/>
          <w:lang w:val="en-US" w:eastAsia="zh-CN"/>
        </w:rPr>
        <w:t>68.66</w:t>
      </w:r>
      <w:r>
        <w:rPr>
          <w:rFonts w:hint="eastAsia" w:ascii="仿宋_GB2312"/>
          <w:szCs w:val="32"/>
        </w:rPr>
        <w:t>万元</w:t>
      </w:r>
      <w:r>
        <w:rPr>
          <w:rFonts w:hint="eastAsia" w:ascii="仿宋_GB2312"/>
          <w:szCs w:val="32"/>
          <w:lang w:eastAsia="zh-CN"/>
        </w:rPr>
        <w:t>。</w:t>
      </w:r>
    </w:p>
    <w:p>
      <w:pPr>
        <w:pStyle w:val="4"/>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 w:hAnsi="仿宋" w:eastAsia="仿宋" w:cs="仿宋"/>
          <w:color w:val="000000"/>
          <w:kern w:val="0"/>
          <w:sz w:val="32"/>
          <w:szCs w:val="32"/>
          <w:lang w:val="en-US" w:eastAsia="zh-CN" w:bidi="ar-SA"/>
        </w:rPr>
        <w:t>“三公”经费财政拨款支出决算为0元，其中：因公出国（境）费支出决算0元，占比0%；公务用车购置及运行费支出决算0元，占比0%；公务接待费支出决算0元，占比0%。</w:t>
      </w:r>
    </w:p>
    <w:p>
      <w:pPr>
        <w:pStyle w:val="11"/>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1"/>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1"/>
              <w:ind w:left="0" w:leftChars="0" w:firstLine="0" w:firstLineChars="0"/>
              <w:jc w:val="center"/>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因公出国（境）费</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公务接待费</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1"/>
              <w:jc w:val="center"/>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eastAsia="宋体"/>
                <w:color w:val="000000"/>
                <w:sz w:val="28"/>
                <w:szCs w:val="28"/>
                <w:lang w:val="en-US" w:eastAsia="zh-CN"/>
              </w:rPr>
            </w:pPr>
          </w:p>
        </w:tc>
      </w:tr>
    </w:tbl>
    <w:p>
      <w:pPr>
        <w:pStyle w:val="4"/>
        <w:ind w:left="0" w:leftChars="0" w:firstLine="643" w:firstLineChars="200"/>
        <w:rPr>
          <w:rFonts w:hint="eastAsia" w:ascii="仿宋" w:hAnsi="仿宋" w:eastAsia="仿宋" w:cs="仿宋"/>
          <w:b/>
          <w:bCs w:val="0"/>
          <w:lang w:val="en-US" w:eastAsia="zh-CN"/>
        </w:rPr>
      </w:pPr>
      <w:bookmarkStart w:id="23" w:name="_Toc9078"/>
      <w:bookmarkStart w:id="24" w:name="_Toc1792"/>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w:t>
      </w:r>
      <w:r>
        <w:rPr>
          <w:rFonts w:hint="eastAsia" w:ascii="仿宋" w:hAnsi="仿宋" w:eastAsia="仿宋" w:cs="仿宋"/>
          <w:color w:val="000000"/>
          <w:kern w:val="0"/>
          <w:sz w:val="32"/>
          <w:szCs w:val="32"/>
          <w:lang w:val="en-US" w:eastAsia="zh-CN" w:bidi="ar-SA"/>
        </w:rPr>
        <w:t>本单位无机关运行经费的开支情况。</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w:t>
      </w:r>
      <w:r>
        <w:rPr>
          <w:rFonts w:hint="eastAsia" w:ascii="仿宋_GB2312" w:hAnsi="Times New Roman"/>
          <w:szCs w:val="32"/>
          <w:lang w:val="en-US" w:eastAsia="zh-CN"/>
        </w:rPr>
        <w:t>购支出总额</w:t>
      </w:r>
      <w:r>
        <w:rPr>
          <w:rFonts w:hint="eastAsia" w:ascii="仿宋_GB2312"/>
          <w:szCs w:val="32"/>
          <w:lang w:val="en-US" w:eastAsia="zh-CN"/>
        </w:rPr>
        <w:t>0.2</w:t>
      </w:r>
      <w:r>
        <w:rPr>
          <w:rFonts w:hint="eastAsia" w:ascii="仿宋_GB2312" w:hAnsi="Times New Roman"/>
          <w:szCs w:val="32"/>
          <w:lang w:val="en-US" w:eastAsia="zh-CN"/>
        </w:rPr>
        <w:t>万元，其中：政府采购货物支出</w:t>
      </w:r>
      <w:r>
        <w:rPr>
          <w:rFonts w:hint="eastAsia" w:ascii="仿宋_GB2312"/>
          <w:szCs w:val="32"/>
          <w:lang w:val="en-US" w:eastAsia="zh-CN"/>
        </w:rPr>
        <w:t>0.2</w:t>
      </w:r>
      <w:r>
        <w:rPr>
          <w:rFonts w:hint="eastAsia" w:ascii="仿宋_GB2312" w:hAnsi="Times New Roman"/>
          <w:szCs w:val="32"/>
          <w:lang w:val="en-US" w:eastAsia="zh-CN"/>
        </w:rPr>
        <w:t>万元、政府采购工程支出0万元、政府采购服务支出0万元。</w:t>
      </w:r>
    </w:p>
    <w:p>
      <w:pPr>
        <w:rPr>
          <w:rFonts w:hint="eastAsia"/>
          <w:b/>
          <w:bCs/>
        </w:rPr>
      </w:pPr>
      <w:bookmarkStart w:id="27" w:name="_Toc19975"/>
      <w:r>
        <w:rPr>
          <w:rFonts w:hint="eastAsia"/>
          <w:b/>
          <w:bCs/>
        </w:rPr>
        <w:t>（三）国有资产占用情况说明</w:t>
      </w:r>
      <w:bookmarkEnd w:id="27"/>
    </w:p>
    <w:p>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截至2021年12月31日，我单位</w:t>
      </w:r>
      <w:r>
        <w:rPr>
          <w:rFonts w:hint="eastAsia" w:ascii="仿宋_GB2312" w:hAnsi="Times New Roman" w:cstheme="minorBidi"/>
          <w:kern w:val="2"/>
          <w:sz w:val="32"/>
          <w:szCs w:val="32"/>
          <w:lang w:val="en-US" w:eastAsia="zh-CN" w:bidi="ar-SA"/>
        </w:rPr>
        <w:t>固定资产账面价值为574.11万元，其中</w:t>
      </w:r>
      <w:r>
        <w:rPr>
          <w:rFonts w:hint="eastAsia" w:ascii="仿宋_GB2312" w:hAnsi="Times New Roman" w:eastAsia="仿宋_GB2312" w:cstheme="minorBidi"/>
          <w:kern w:val="2"/>
          <w:sz w:val="32"/>
          <w:szCs w:val="32"/>
          <w:lang w:val="en-US" w:eastAsia="zh-CN" w:bidi="ar-SA"/>
        </w:rPr>
        <w:t>房屋账面面积</w:t>
      </w:r>
      <w:r>
        <w:rPr>
          <w:rFonts w:hint="eastAsia" w:ascii="仿宋_GB2312" w:hAnsi="Times New Roman" w:cstheme="minorBidi"/>
          <w:kern w:val="2"/>
          <w:sz w:val="32"/>
          <w:szCs w:val="32"/>
          <w:lang w:val="en-US" w:eastAsia="zh-CN" w:bidi="ar-SA"/>
        </w:rPr>
        <w:t>6300</w:t>
      </w:r>
      <w:r>
        <w:rPr>
          <w:rFonts w:hint="eastAsia" w:ascii="仿宋_GB2312" w:hAnsi="Times New Roman" w:eastAsia="仿宋_GB2312" w:cstheme="minorBidi"/>
          <w:kern w:val="2"/>
          <w:sz w:val="32"/>
          <w:szCs w:val="32"/>
          <w:lang w:val="en-US" w:eastAsia="zh-CN" w:bidi="ar-SA"/>
        </w:rPr>
        <w:t>平方米，账面价值</w:t>
      </w:r>
      <w:r>
        <w:rPr>
          <w:rFonts w:hint="eastAsia" w:ascii="仿宋_GB2312" w:hAnsi="Times New Roman" w:cstheme="minorBidi"/>
          <w:kern w:val="2"/>
          <w:sz w:val="32"/>
          <w:szCs w:val="32"/>
          <w:lang w:val="en-US" w:eastAsia="zh-CN" w:bidi="ar-SA"/>
        </w:rPr>
        <w:t>261.17</w:t>
      </w:r>
      <w:r>
        <w:rPr>
          <w:rFonts w:hint="eastAsia" w:ascii="仿宋_GB2312" w:hAnsi="Times New Roman" w:eastAsia="仿宋_GB2312" w:cstheme="minorBidi"/>
          <w:kern w:val="2"/>
          <w:sz w:val="32"/>
          <w:szCs w:val="32"/>
          <w:lang w:val="en-US" w:eastAsia="zh-CN" w:bidi="ar-SA"/>
        </w:rPr>
        <w:t>万元，其中办公用房面积</w:t>
      </w:r>
      <w:r>
        <w:rPr>
          <w:rFonts w:hint="eastAsia" w:ascii="仿宋_GB2312" w:hAnsi="Times New Roman" w:cstheme="minorBidi"/>
          <w:kern w:val="2"/>
          <w:sz w:val="32"/>
          <w:szCs w:val="32"/>
          <w:lang w:val="en-US" w:eastAsia="zh-CN" w:bidi="ar-SA"/>
        </w:rPr>
        <w:t>6300</w:t>
      </w:r>
      <w:r>
        <w:rPr>
          <w:rFonts w:hint="eastAsia" w:ascii="仿宋_GB2312" w:hAnsi="Times New Roman" w:eastAsia="仿宋_GB2312" w:cstheme="minorBidi"/>
          <w:kern w:val="2"/>
          <w:sz w:val="32"/>
          <w:szCs w:val="32"/>
          <w:lang w:val="en-US" w:eastAsia="zh-CN" w:bidi="ar-SA"/>
        </w:rPr>
        <w:t>平方米，占房屋的</w:t>
      </w:r>
      <w:r>
        <w:rPr>
          <w:rFonts w:hint="eastAsia" w:ascii="仿宋_GB2312" w:hAnsi="Times New Roman" w:cstheme="minorBidi"/>
          <w:kern w:val="2"/>
          <w:sz w:val="32"/>
          <w:szCs w:val="32"/>
          <w:lang w:val="en-US" w:eastAsia="zh-CN" w:bidi="ar-SA"/>
        </w:rPr>
        <w:t>100</w:t>
      </w:r>
      <w:r>
        <w:rPr>
          <w:rFonts w:hint="eastAsia" w:ascii="仿宋_GB2312" w:hAnsi="Times New Roman" w:eastAsia="仿宋_GB2312" w:cstheme="minorBidi"/>
          <w:kern w:val="2"/>
          <w:sz w:val="32"/>
          <w:szCs w:val="32"/>
          <w:lang w:val="en-US" w:eastAsia="zh-CN" w:bidi="ar-SA"/>
        </w:rPr>
        <w:t>%；从使用状况分析：在用</w:t>
      </w:r>
      <w:r>
        <w:rPr>
          <w:rFonts w:hint="eastAsia" w:ascii="仿宋_GB2312" w:hAnsi="Times New Roman" w:cstheme="minorBidi"/>
          <w:kern w:val="2"/>
          <w:sz w:val="32"/>
          <w:szCs w:val="32"/>
          <w:lang w:val="en-US" w:eastAsia="zh-CN" w:bidi="ar-SA"/>
        </w:rPr>
        <w:t>6300</w:t>
      </w:r>
      <w:r>
        <w:rPr>
          <w:rFonts w:hint="eastAsia" w:ascii="仿宋_GB2312" w:hAnsi="Times New Roman" w:eastAsia="仿宋_GB2312" w:cstheme="minorBidi"/>
          <w:kern w:val="2"/>
          <w:sz w:val="32"/>
          <w:szCs w:val="32"/>
          <w:lang w:val="en-US" w:eastAsia="zh-CN" w:bidi="ar-SA"/>
        </w:rPr>
        <w:t>平方米，占100.00%,出租出借0.00平方米，占0.00%,闲置0.00平方米，占0.00%,待处置0.00平方米，占0.00%。</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本年度新增账面面积0.00平方米，账面原值0元；本年度处置账面面积0.00平方米，账面原值0元。</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_GB2312"/>
          <w:szCs w:val="32"/>
        </w:rPr>
      </w:pPr>
      <w:r>
        <w:rPr>
          <w:rFonts w:hint="eastAsia" w:ascii="仿宋" w:hAnsi="仿宋" w:eastAsia="仿宋" w:cs="仿宋"/>
          <w:color w:val="000000"/>
          <w:kern w:val="0"/>
          <w:sz w:val="32"/>
          <w:szCs w:val="32"/>
          <w:lang w:val="en-US" w:eastAsia="zh-CN" w:bidi="ar-SA"/>
        </w:rPr>
        <w:t>本单位没有50万元以上的通用设备及100万元以上的专用设备。</w:t>
      </w:r>
    </w:p>
    <w:p>
      <w:pPr>
        <w:numPr>
          <w:ilvl w:val="0"/>
          <w:numId w:val="2"/>
        </w:numPr>
        <w:spacing w:line="580" w:lineRule="exact"/>
        <w:ind w:firstLine="640"/>
        <w:rPr>
          <w:rFonts w:hint="eastAsia"/>
          <w:szCs w:val="32"/>
        </w:rPr>
      </w:pPr>
      <w:r>
        <w:rPr>
          <w:rFonts w:hint="eastAsia"/>
          <w:szCs w:val="32"/>
        </w:rPr>
        <w:t>重点项目预算的绩效目标情况说明：</w:t>
      </w:r>
    </w:p>
    <w:p>
      <w:pPr>
        <w:pStyle w:val="2"/>
        <w:numPr>
          <w:ilvl w:val="0"/>
          <w:numId w:val="0"/>
        </w:numPr>
        <w:ind w:leftChars="400"/>
        <w:rPr>
          <w:rFonts w:hint="default" w:eastAsia="仿宋_GB2312"/>
          <w:lang w:val="en-US" w:eastAsia="zh-CN"/>
        </w:rPr>
      </w:pPr>
      <w:r>
        <w:rPr>
          <w:rFonts w:hint="eastAsia"/>
          <w:lang w:val="en-US" w:eastAsia="zh-CN"/>
        </w:rPr>
        <w:t>本单位无重点项目预算。</w:t>
      </w:r>
    </w:p>
    <w:p>
      <w:pPr>
        <w:pStyle w:val="4"/>
        <w:rPr>
          <w:rFonts w:hint="eastAsia" w:ascii="仿宋" w:hAnsi="仿宋" w:eastAsia="仿宋" w:cs="仿宋"/>
          <w:b/>
          <w:bCs w:val="0"/>
          <w:lang w:val="en-US" w:eastAsia="zh-CN"/>
        </w:rPr>
      </w:pPr>
      <w:bookmarkStart w:id="28" w:name="_Toc28108"/>
      <w:bookmarkStart w:id="29" w:name="_Toc8450"/>
      <w:r>
        <w:rPr>
          <w:rFonts w:hint="eastAsia" w:ascii="仿宋" w:hAnsi="仿宋" w:eastAsia="仿宋" w:cs="仿宋"/>
          <w:b/>
          <w:bCs w:val="0"/>
          <w:lang w:val="en-US" w:eastAsia="zh-CN"/>
        </w:rPr>
        <w:t>九、其他需要说明的事项</w:t>
      </w:r>
      <w:bookmarkEnd w:id="28"/>
      <w:bookmarkEnd w:id="29"/>
    </w:p>
    <w:p>
      <w:pPr>
        <w:pStyle w:val="3"/>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4480" w:firstLineChars="1400"/>
        <w:rPr>
          <w:rFonts w:hint="eastAsia" w:ascii="仿宋_GB2312" w:eastAsia="仿宋_GB2312"/>
          <w:szCs w:val="32"/>
          <w:lang w:val="en-US" w:eastAsia="zh-CN"/>
        </w:rPr>
      </w:pPr>
      <w:r>
        <w:rPr>
          <w:rFonts w:hint="eastAsia" w:ascii="仿宋_GB2312"/>
          <w:szCs w:val="32"/>
          <w:lang w:val="en-US" w:eastAsia="zh-CN"/>
        </w:rPr>
        <w:t>静乐县赤泥洼联合学区</w:t>
      </w:r>
    </w:p>
    <w:p>
      <w:pPr>
        <w:ind w:firstLine="4800" w:firstLineChars="1500"/>
        <w:rPr>
          <w:rFonts w:hint="eastAsia"/>
          <w:lang w:val="en-US" w:eastAsia="zh-CN"/>
        </w:rPr>
      </w:pPr>
      <w:r>
        <w:rPr>
          <w:rFonts w:hint="eastAsia"/>
          <w:lang w:val="en-US" w:eastAsia="zh-CN"/>
        </w:rPr>
        <w:t>二〇二二年六月六日</w:t>
      </w:r>
    </w:p>
    <w:p>
      <w:pPr>
        <w:pStyle w:val="2"/>
        <w:rPr>
          <w:rFonts w:hint="eastAsia"/>
          <w:lang w:val="en-US" w:eastAsia="zh-CN"/>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86AA4E"/>
    <w:multiLevelType w:val="singleLevel"/>
    <w:tmpl w:val="C386AA4E"/>
    <w:lvl w:ilvl="0" w:tentative="0">
      <w:start w:val="1"/>
      <w:numFmt w:val="chineseCounting"/>
      <w:suff w:val="nothing"/>
      <w:lvlText w:val="%1、"/>
      <w:lvlJc w:val="left"/>
      <w:rPr>
        <w:rFonts w:hint="eastAsia"/>
      </w:rPr>
    </w:lvl>
  </w:abstractNum>
  <w:abstractNum w:abstractNumId="1">
    <w:nsid w:val="041216B0"/>
    <w:multiLevelType w:val="singleLevel"/>
    <w:tmpl w:val="041216B0"/>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1B20354"/>
    <w:rsid w:val="03696819"/>
    <w:rsid w:val="0A6C5110"/>
    <w:rsid w:val="16654CDD"/>
    <w:rsid w:val="1A4A5C33"/>
    <w:rsid w:val="20C76B57"/>
    <w:rsid w:val="26D57DC9"/>
    <w:rsid w:val="2701594C"/>
    <w:rsid w:val="27426717"/>
    <w:rsid w:val="37943B50"/>
    <w:rsid w:val="3821117E"/>
    <w:rsid w:val="3A775744"/>
    <w:rsid w:val="42C12CEC"/>
    <w:rsid w:val="44401A62"/>
    <w:rsid w:val="495520D0"/>
    <w:rsid w:val="4A012068"/>
    <w:rsid w:val="4F7F30D2"/>
    <w:rsid w:val="52531ED0"/>
    <w:rsid w:val="53A30631"/>
    <w:rsid w:val="581C7F78"/>
    <w:rsid w:val="5EC01F6A"/>
    <w:rsid w:val="63AB51DF"/>
    <w:rsid w:val="649C6DC9"/>
    <w:rsid w:val="69E20D3E"/>
    <w:rsid w:val="6D0A7605"/>
    <w:rsid w:val="6E2E6DDE"/>
    <w:rsid w:val="715A78E4"/>
    <w:rsid w:val="72B7034B"/>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8">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闻政-正文一级标题"/>
    <w:basedOn w:val="5"/>
    <w:next w:val="15"/>
    <w:qFormat/>
    <w:uiPriority w:val="3"/>
    <w:pPr>
      <w:spacing w:before="120" w:after="60" w:line="500" w:lineRule="exact"/>
      <w:ind w:firstLine="0" w:firstLineChars="0"/>
      <w:outlineLvl w:val="0"/>
    </w:pPr>
    <w:rPr>
      <w:rFonts w:ascii="黑体" w:hAnsi="黑体" w:eastAsia="黑体"/>
      <w:sz w:val="32"/>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2947</Words>
  <Characters>3422</Characters>
  <Lines>0</Lines>
  <Paragraphs>0</Paragraphs>
  <TotalTime>3</TotalTime>
  <ScaleCrop>false</ScaleCrop>
  <LinksUpToDate>false</LinksUpToDate>
  <CharactersWithSpaces>3477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2022-08-03T04:12:47Z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91A1DF8448E84EF280DE76F88FF77B7F</vt:lpwstr>
  </property>
</Properties>
</file>