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color w:val="auto"/>
          <w:sz w:val="44"/>
          <w:szCs w:val="44"/>
          <w:lang w:val="en-US" w:eastAsia="zh-CN"/>
        </w:rPr>
      </w:pPr>
      <w:bookmarkStart w:id="0" w:name="_Toc31071"/>
      <w:bookmarkStart w:id="1" w:name="_Toc32048"/>
      <w:bookmarkStart w:id="2" w:name="_Toc21118"/>
      <w:r>
        <w:rPr>
          <w:rFonts w:hint="eastAsia" w:ascii="华文中宋" w:hAnsi="华文中宋" w:eastAsia="华文中宋"/>
          <w:color w:val="auto"/>
          <w:sz w:val="44"/>
          <w:szCs w:val="44"/>
          <w:lang w:val="en-US" w:eastAsia="zh-CN"/>
        </w:rPr>
        <w:t>静乐县发展研究中心</w:t>
      </w:r>
    </w:p>
    <w:p>
      <w:pPr>
        <w:pStyle w:val="2"/>
        <w:jc w:val="center"/>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7"/>
        <w:tabs>
          <w:tab w:val="right" w:leader="dot" w:pos="8306"/>
        </w:tabs>
        <w:rPr>
          <w:color w:val="auto"/>
        </w:rPr>
      </w:pPr>
      <w:r>
        <w:rPr>
          <w:rFonts w:hint="eastAsia" w:ascii="仿宋" w:hAnsi="仿宋" w:eastAsia="仿宋" w:cs="仿宋"/>
          <w:color w:val="auto"/>
          <w:sz w:val="32"/>
          <w:szCs w:val="32"/>
          <w:lang w:val="en-US" w:eastAsia="zh-CN"/>
        </w:rPr>
        <w:fldChar w:fldCharType="begin"/>
      </w:r>
      <w:r>
        <w:rPr>
          <w:rFonts w:hint="eastAsia" w:ascii="仿宋" w:hAnsi="仿宋" w:eastAsia="仿宋" w:cs="仿宋"/>
          <w:color w:val="auto"/>
          <w:sz w:val="32"/>
          <w:szCs w:val="32"/>
          <w:lang w:val="en-US" w:eastAsia="zh-CN"/>
        </w:rPr>
        <w:instrText xml:space="preserve">TOC \o "1-3" \h \u </w:instrText>
      </w:r>
      <w:r>
        <w:rPr>
          <w:rFonts w:hint="eastAsia" w:ascii="仿宋" w:hAnsi="仿宋" w:eastAsia="仿宋" w:cs="仿宋"/>
          <w:color w:val="auto"/>
          <w:sz w:val="32"/>
          <w:szCs w:val="32"/>
          <w:lang w:val="en-US" w:eastAsia="zh-CN"/>
        </w:rPr>
        <w:fldChar w:fldCharType="separate"/>
      </w: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_Toc31140 </w:instrText>
      </w:r>
      <w:r>
        <w:rPr>
          <w:rFonts w:hint="eastAsia" w:ascii="仿宋" w:hAnsi="仿宋" w:eastAsia="仿宋" w:cs="仿宋"/>
          <w:color w:val="auto"/>
          <w:szCs w:val="32"/>
          <w:lang w:val="en-US" w:eastAsia="zh-CN"/>
        </w:rPr>
        <w:fldChar w:fldCharType="separate"/>
      </w:r>
      <w:r>
        <w:rPr>
          <w:rFonts w:hint="eastAsia"/>
          <w:color w:val="auto"/>
          <w:szCs w:val="36"/>
        </w:rPr>
        <w:t>第一部分  概况</w:t>
      </w:r>
      <w:r>
        <w:rPr>
          <w:color w:val="auto"/>
        </w:rPr>
        <w:tab/>
      </w:r>
      <w:r>
        <w:rPr>
          <w:color w:val="auto"/>
        </w:rPr>
        <w:fldChar w:fldCharType="begin"/>
      </w:r>
      <w:r>
        <w:rPr>
          <w:color w:val="auto"/>
        </w:rPr>
        <w:instrText xml:space="preserve"> PAGEREF _Toc31140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_Toc4461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一、本部门职责</w:t>
      </w:r>
      <w:r>
        <w:rPr>
          <w:color w:val="auto"/>
        </w:rPr>
        <w:tab/>
      </w:r>
      <w:r>
        <w:rPr>
          <w:color w:val="auto"/>
        </w:rPr>
        <w:fldChar w:fldCharType="begin"/>
      </w:r>
      <w:r>
        <w:rPr>
          <w:color w:val="auto"/>
        </w:rPr>
        <w:instrText xml:space="preserve"> PAGEREF _Toc4461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_Toc275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二、机构设置情况</w:t>
      </w:r>
      <w:r>
        <w:rPr>
          <w:color w:val="auto"/>
        </w:rPr>
        <w:tab/>
      </w:r>
      <w:r>
        <w:rPr>
          <w:color w:val="auto"/>
        </w:rPr>
        <w:fldChar w:fldCharType="begin"/>
      </w:r>
      <w:r>
        <w:rPr>
          <w:color w:val="auto"/>
        </w:rPr>
        <w:instrText xml:space="preserve"> PAGEREF _Toc12749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_Toc12749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第二部分  2021年度部门决算报表（附表）</w:t>
      </w:r>
      <w:r>
        <w:rPr>
          <w:color w:val="auto"/>
        </w:rPr>
        <w:tab/>
      </w:r>
      <w:r>
        <w:rPr>
          <w:color w:val="auto"/>
        </w:rPr>
        <w:fldChar w:fldCharType="begin"/>
      </w:r>
      <w:r>
        <w:rPr>
          <w:color w:val="auto"/>
        </w:rPr>
        <w:instrText xml:space="preserve"> PAGEREF _Toc12749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_Toc29325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第三部分  2021年度部门决算情况说明</w:t>
      </w:r>
      <w:r>
        <w:rPr>
          <w:color w:val="auto"/>
        </w:rPr>
        <w:tab/>
      </w:r>
      <w:r>
        <w:rPr>
          <w:color w:val="auto"/>
        </w:rPr>
        <w:fldChar w:fldCharType="begin"/>
      </w:r>
      <w:r>
        <w:rPr>
          <w:color w:val="auto"/>
        </w:rPr>
        <w:instrText xml:space="preserve"> PAGEREF _Toc29325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_Toc437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一、收入支出决算总体情况说明</w:t>
      </w:r>
      <w:r>
        <w:rPr>
          <w:color w:val="auto"/>
        </w:rPr>
        <w:tab/>
      </w:r>
      <w:r>
        <w:rPr>
          <w:color w:val="auto"/>
        </w:rPr>
        <w:fldChar w:fldCharType="begin"/>
      </w:r>
      <w:r>
        <w:rPr>
          <w:color w:val="auto"/>
        </w:rPr>
        <w:instrText xml:space="preserve"> PAGEREF _Toc437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_Toc16754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二、收入决算情况说明</w:t>
      </w:r>
      <w:r>
        <w:rPr>
          <w:color w:val="auto"/>
        </w:rPr>
        <w:tab/>
      </w:r>
      <w:r>
        <w:rPr>
          <w:color w:val="auto"/>
        </w:rPr>
        <w:fldChar w:fldCharType="begin"/>
      </w:r>
      <w:r>
        <w:rPr>
          <w:color w:val="auto"/>
        </w:rPr>
        <w:instrText xml:space="preserve"> PAGEREF _Toc16754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_Toc22098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三、支出决算情况说明</w:t>
      </w:r>
      <w:r>
        <w:rPr>
          <w:color w:val="auto"/>
        </w:rPr>
        <w:tab/>
      </w:r>
      <w:r>
        <w:rPr>
          <w:color w:val="auto"/>
        </w:rPr>
        <w:fldChar w:fldCharType="begin"/>
      </w:r>
      <w:r>
        <w:rPr>
          <w:color w:val="auto"/>
        </w:rPr>
        <w:instrText xml:space="preserve"> PAGEREF _Toc22098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_Toc2142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四、财政拨款收入支出决算总体情况说明</w:t>
      </w:r>
      <w:r>
        <w:rPr>
          <w:color w:val="auto"/>
        </w:rPr>
        <w:tab/>
      </w:r>
      <w:r>
        <w:rPr>
          <w:color w:val="auto"/>
        </w:rPr>
        <w:fldChar w:fldCharType="begin"/>
      </w:r>
      <w:r>
        <w:rPr>
          <w:color w:val="auto"/>
        </w:rPr>
        <w:instrText xml:space="preserve"> PAGEREF _Toc2142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_Toc6501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五、一般公共预算财政拨款支出决算情况说明</w:t>
      </w:r>
      <w:r>
        <w:rPr>
          <w:color w:val="auto"/>
        </w:rPr>
        <w:tab/>
      </w:r>
      <w:r>
        <w:rPr>
          <w:color w:val="auto"/>
        </w:rPr>
        <w:fldChar w:fldCharType="begin"/>
      </w:r>
      <w:r>
        <w:rPr>
          <w:color w:val="auto"/>
        </w:rPr>
        <w:instrText xml:space="preserve"> PAGEREF _Toc6501 </w:instrText>
      </w:r>
      <w:r>
        <w:rPr>
          <w:color w:val="auto"/>
        </w:rPr>
        <w:fldChar w:fldCharType="separate"/>
      </w:r>
      <w:r>
        <w:rPr>
          <w:color w:val="auto"/>
        </w:rPr>
        <w:t>5</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_Toc17728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六、一般公共预算财政拨款基本支出决算情况说明</w:t>
      </w:r>
      <w:r>
        <w:rPr>
          <w:color w:val="auto"/>
        </w:rPr>
        <w:tab/>
      </w:r>
      <w:r>
        <w:rPr>
          <w:color w:val="auto"/>
        </w:rPr>
        <w:fldChar w:fldCharType="begin"/>
      </w:r>
      <w:r>
        <w:rPr>
          <w:color w:val="auto"/>
        </w:rPr>
        <w:instrText xml:space="preserve"> PAGEREF _Toc17728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_Toc26508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七、一般公共预算财政拨款“三公”经费支出决算情况说明</w:t>
      </w:r>
      <w:r>
        <w:rPr>
          <w:color w:val="auto"/>
        </w:rPr>
        <w:tab/>
      </w:r>
      <w:r>
        <w:rPr>
          <w:color w:val="auto"/>
        </w:rPr>
        <w:fldChar w:fldCharType="begin"/>
      </w:r>
      <w:r>
        <w:rPr>
          <w:color w:val="auto"/>
        </w:rPr>
        <w:instrText xml:space="preserve"> PAGEREF _Toc26508 </w:instrText>
      </w:r>
      <w:r>
        <w:rPr>
          <w:color w:val="auto"/>
        </w:rPr>
        <w:fldChar w:fldCharType="separate"/>
      </w:r>
      <w:r>
        <w:rPr>
          <w:color w:val="auto"/>
        </w:rPr>
        <w:t>7</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_Toc1792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八、其他重要事项情况说明</w:t>
      </w:r>
      <w:r>
        <w:rPr>
          <w:color w:val="auto"/>
        </w:rPr>
        <w:tab/>
      </w:r>
      <w:r>
        <w:rPr>
          <w:color w:val="auto"/>
        </w:rPr>
        <w:fldChar w:fldCharType="begin"/>
      </w:r>
      <w:r>
        <w:rPr>
          <w:color w:val="auto"/>
        </w:rPr>
        <w:instrText xml:space="preserve"> PAGEREF _Toc1792 </w:instrText>
      </w:r>
      <w:r>
        <w:rPr>
          <w:color w:val="auto"/>
        </w:rPr>
        <w:fldChar w:fldCharType="separate"/>
      </w:r>
      <w:r>
        <w:rPr>
          <w:color w:val="auto"/>
        </w:rPr>
        <w:t>7</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_Toc28108 </w:instrText>
      </w:r>
      <w:r>
        <w:rPr>
          <w:rFonts w:hint="eastAsia" w:ascii="仿宋" w:hAnsi="仿宋" w:eastAsia="仿宋" w:cs="仿宋"/>
          <w:color w:val="auto"/>
          <w:szCs w:val="32"/>
          <w:lang w:val="en-US" w:eastAsia="zh-CN"/>
        </w:rPr>
        <w:fldChar w:fldCharType="separate"/>
      </w:r>
      <w:r>
        <w:rPr>
          <w:rFonts w:hint="eastAsia" w:ascii="仿宋_GB2312" w:eastAsia="仿宋_GB2312"/>
          <w:color w:val="auto"/>
          <w:szCs w:val="32"/>
          <w:lang w:val="en-US" w:eastAsia="zh-CN"/>
        </w:rPr>
        <w:t xml:space="preserve">（四） </w:t>
      </w:r>
      <w:r>
        <w:rPr>
          <w:rFonts w:hint="eastAsia" w:ascii="仿宋_GB2312"/>
          <w:color w:val="auto"/>
          <w:szCs w:val="32"/>
        </w:rPr>
        <w:t>其他需要说明的事项</w:t>
      </w:r>
      <w:r>
        <w:rPr>
          <w:color w:val="auto"/>
        </w:rPr>
        <w:tab/>
      </w:r>
      <w:r>
        <w:rPr>
          <w:color w:val="auto"/>
        </w:rPr>
        <w:fldChar w:fldCharType="begin"/>
      </w:r>
      <w:r>
        <w:rPr>
          <w:color w:val="auto"/>
        </w:rPr>
        <w:instrText xml:space="preserve"> PAGEREF _Toc28108 </w:instrText>
      </w:r>
      <w:r>
        <w:rPr>
          <w:color w:val="auto"/>
        </w:rPr>
        <w:fldChar w:fldCharType="separate"/>
      </w:r>
      <w:r>
        <w:rPr>
          <w:color w:val="auto"/>
        </w:rPr>
        <w:t>8</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_Toc8545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第四部分  名词解释</w:t>
      </w:r>
      <w:r>
        <w:rPr>
          <w:color w:val="auto"/>
        </w:rPr>
        <w:tab/>
      </w:r>
      <w:r>
        <w:rPr>
          <w:color w:val="auto"/>
        </w:rPr>
        <w:fldChar w:fldCharType="begin"/>
      </w:r>
      <w:r>
        <w:rPr>
          <w:color w:val="auto"/>
        </w:rPr>
        <w:instrText xml:space="preserve"> PAGEREF _Toc8545 </w:instrText>
      </w:r>
      <w:r>
        <w:rPr>
          <w:color w:val="auto"/>
        </w:rPr>
        <w:fldChar w:fldCharType="separate"/>
      </w:r>
      <w:r>
        <w:rPr>
          <w:color w:val="auto"/>
        </w:rPr>
        <w:t>8</w:t>
      </w:r>
      <w:r>
        <w:rPr>
          <w:color w:val="auto"/>
        </w:rPr>
        <w:fldChar w:fldCharType="end"/>
      </w:r>
      <w:r>
        <w:rPr>
          <w:rFonts w:hint="eastAsia" w:ascii="仿宋" w:hAnsi="仿宋" w:eastAsia="仿宋" w:cs="仿宋"/>
          <w:color w:val="auto"/>
          <w:szCs w:val="32"/>
          <w:lang w:val="en-US" w:eastAsia="zh-CN"/>
        </w:rPr>
        <w:fldChar w:fldCharType="end"/>
      </w:r>
    </w:p>
    <w:p>
      <w:pPr>
        <w:ind w:firstLine="880"/>
        <w:jc w:val="center"/>
        <w:rPr>
          <w:rFonts w:hint="eastAsia" w:ascii="仿宋" w:hAnsi="仿宋" w:eastAsia="仿宋" w:cs="仿宋"/>
          <w:color w:val="auto"/>
          <w:sz w:val="32"/>
          <w:szCs w:val="32"/>
          <w:lang w:val="en-US" w:eastAsia="zh-CN"/>
        </w:rPr>
      </w:pPr>
      <w:r>
        <w:rPr>
          <w:rFonts w:hint="eastAsia" w:ascii="仿宋" w:hAnsi="仿宋" w:eastAsia="仿宋" w:cs="仿宋"/>
          <w:color w:val="auto"/>
          <w:szCs w:val="32"/>
          <w:lang w:val="en-US" w:eastAsia="zh-CN"/>
        </w:rPr>
        <w:fldChar w:fldCharType="end"/>
      </w:r>
    </w:p>
    <w:p>
      <w:pPr>
        <w:pStyle w:val="2"/>
        <w:ind w:left="0" w:leftChars="0" w:firstLine="0" w:firstLineChars="0"/>
        <w:jc w:val="center"/>
        <w:rPr>
          <w:rFonts w:hint="eastAsia"/>
          <w:b/>
          <w:bCs w:val="0"/>
          <w:color w:val="auto"/>
          <w:szCs w:val="36"/>
        </w:rPr>
      </w:pPr>
      <w:bookmarkStart w:id="3" w:name="_Toc31140"/>
      <w:bookmarkStart w:id="4" w:name="_Toc23288"/>
      <w:r>
        <w:rPr>
          <w:rFonts w:hint="eastAsia"/>
          <w:color w:val="auto"/>
          <w:sz w:val="36"/>
          <w:szCs w:val="36"/>
        </w:rPr>
        <w:t>第一部分  概况</w:t>
      </w:r>
      <w:bookmarkEnd w:id="3"/>
      <w:bookmarkEnd w:id="4"/>
    </w:p>
    <w:p>
      <w:pPr>
        <w:pStyle w:val="9"/>
        <w:spacing w:before="0" w:beforeAutospacing="0" w:after="0" w:afterAutospacing="0"/>
        <w:ind w:firstLine="640" w:firstLineChars="200"/>
        <w:rPr>
          <w:rFonts w:hint="eastAsia" w:ascii="仿宋" w:hAnsi="仿宋" w:eastAsia="仿宋" w:cs="仿宋"/>
          <w:color w:val="auto"/>
          <w:sz w:val="32"/>
          <w:szCs w:val="32"/>
          <w:lang w:val="en-US" w:eastAsia="zh-CN"/>
        </w:rPr>
      </w:pPr>
      <w:bookmarkStart w:id="5" w:name="_Toc24066"/>
      <w:bookmarkStart w:id="6" w:name="_Toc4461"/>
      <w:r>
        <w:rPr>
          <w:rFonts w:hint="eastAsia" w:ascii="仿宋_GB2312" w:eastAsia="仿宋_GB2312"/>
          <w:color w:val="auto"/>
          <w:sz w:val="32"/>
          <w:szCs w:val="32"/>
          <w:lang w:val="en-US" w:eastAsia="zh-CN"/>
        </w:rPr>
        <w:t>一、本部门职责</w:t>
      </w:r>
      <w:bookmarkEnd w:id="5"/>
      <w:bookmarkEnd w:id="6"/>
      <w:r>
        <w:rPr>
          <w:rFonts w:hint="eastAsia" w:ascii="仿宋" w:hAnsi="仿宋" w:eastAsia="仿宋" w:cs="仿宋"/>
          <w:color w:val="auto"/>
          <w:sz w:val="32"/>
          <w:szCs w:val="32"/>
          <w:lang w:val="en-US" w:eastAsia="zh-CN"/>
        </w:rPr>
        <w:t>：</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ind w:firstLine="640" w:firstLineChars="200"/>
        <w:textAlignment w:val="auto"/>
        <w:outlineLvl w:val="1"/>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1</w:t>
      </w:r>
      <w:r>
        <w:rPr>
          <w:rFonts w:hint="eastAsia" w:ascii="仿宋_GB2312"/>
          <w:color w:val="auto"/>
          <w:sz w:val="32"/>
          <w:szCs w:val="32"/>
          <w:lang w:val="en-US" w:eastAsia="zh-CN"/>
        </w:rPr>
        <w:t>.</w:t>
      </w:r>
      <w:r>
        <w:rPr>
          <w:rFonts w:hint="eastAsia" w:ascii="仿宋_GB2312" w:eastAsia="仿宋_GB2312"/>
          <w:color w:val="auto"/>
          <w:sz w:val="32"/>
          <w:szCs w:val="32"/>
          <w:lang w:val="en-US" w:eastAsia="zh-CN"/>
        </w:rPr>
        <w:t xml:space="preserve">贯彻落实党和国家关于中国特色新型智库建设的方针政策要求和县委、县政府重大决策部署，组织开展智库建设工作，在决策中充分发挥重要支撑和参谋助手作用； </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ind w:firstLine="640" w:firstLineChars="200"/>
        <w:textAlignment w:val="auto"/>
        <w:outlineLvl w:val="1"/>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2</w:t>
      </w:r>
      <w:r>
        <w:rPr>
          <w:rFonts w:hint="eastAsia" w:ascii="仿宋_GB2312"/>
          <w:color w:val="auto"/>
          <w:sz w:val="32"/>
          <w:szCs w:val="32"/>
          <w:lang w:val="en-US" w:eastAsia="zh-CN"/>
        </w:rPr>
        <w:t>.</w:t>
      </w:r>
      <w:r>
        <w:rPr>
          <w:rFonts w:hint="eastAsia" w:ascii="仿宋_GB2312" w:eastAsia="仿宋_GB2312"/>
          <w:color w:val="auto"/>
          <w:sz w:val="32"/>
          <w:szCs w:val="32"/>
          <w:lang w:val="en-US" w:eastAsia="zh-CN"/>
        </w:rPr>
        <w:t>主要承担县决策咨询的研究、组织、协调、管理职能，建立完善有效利用内外部智力资源的体制机制和组织形式，组织协调各方面人才和资源参与重大决策咨询课题研究；</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ind w:firstLine="640" w:firstLineChars="200"/>
        <w:textAlignment w:val="auto"/>
        <w:outlineLvl w:val="1"/>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3</w:t>
      </w:r>
      <w:r>
        <w:rPr>
          <w:rFonts w:hint="eastAsia" w:ascii="仿宋_GB2312"/>
          <w:color w:val="auto"/>
          <w:sz w:val="32"/>
          <w:szCs w:val="32"/>
          <w:lang w:val="en-US" w:eastAsia="zh-CN"/>
        </w:rPr>
        <w:t>.</w:t>
      </w:r>
      <w:r>
        <w:rPr>
          <w:rFonts w:hint="eastAsia" w:ascii="仿宋_GB2312" w:eastAsia="仿宋_GB2312"/>
          <w:color w:val="auto"/>
          <w:sz w:val="32"/>
          <w:szCs w:val="32"/>
          <w:lang w:val="en-US" w:eastAsia="zh-CN"/>
        </w:rPr>
        <w:t>组织对全县经济建设、政治建设、文化建设、社会建设、生态文明建设和党的建设开展基础研究和应用研究；</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ind w:firstLine="640" w:firstLineChars="200"/>
        <w:textAlignment w:val="auto"/>
        <w:outlineLvl w:val="1"/>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4</w:t>
      </w:r>
      <w:r>
        <w:rPr>
          <w:rFonts w:hint="eastAsia" w:ascii="仿宋_GB2312"/>
          <w:color w:val="auto"/>
          <w:sz w:val="32"/>
          <w:szCs w:val="32"/>
          <w:lang w:val="en-US" w:eastAsia="zh-CN"/>
        </w:rPr>
        <w:t>.</w:t>
      </w:r>
      <w:r>
        <w:rPr>
          <w:rFonts w:hint="eastAsia" w:ascii="仿宋_GB2312" w:eastAsia="仿宋_GB2312"/>
          <w:color w:val="auto"/>
          <w:sz w:val="32"/>
          <w:szCs w:val="32"/>
          <w:lang w:val="en-US" w:eastAsia="zh-CN"/>
        </w:rPr>
        <w:t>组织对全县经济社会发展与改革开放的重大问题及当前热点难点问题开展调查研究，提供解决方案；</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ind w:firstLine="640" w:firstLineChars="200"/>
        <w:textAlignment w:val="auto"/>
        <w:outlineLvl w:val="1"/>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5</w:t>
      </w:r>
      <w:r>
        <w:rPr>
          <w:rFonts w:hint="eastAsia" w:ascii="仿宋_GB2312"/>
          <w:color w:val="auto"/>
          <w:sz w:val="32"/>
          <w:szCs w:val="32"/>
          <w:lang w:val="en-US" w:eastAsia="zh-CN"/>
        </w:rPr>
        <w:t>.</w:t>
      </w:r>
      <w:r>
        <w:rPr>
          <w:rFonts w:hint="eastAsia" w:ascii="仿宋_GB2312" w:eastAsia="仿宋_GB2312"/>
          <w:color w:val="auto"/>
          <w:sz w:val="32"/>
          <w:szCs w:val="32"/>
          <w:lang w:val="en-US" w:eastAsia="zh-CN"/>
        </w:rPr>
        <w:t>组织对全县经济发展形势走势趋势开展研究，围绕国家、省市县出台的重大政策问题进行咨询论证；</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ind w:firstLine="640" w:firstLineChars="200"/>
        <w:textAlignment w:val="auto"/>
        <w:outlineLvl w:val="1"/>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6</w:t>
      </w:r>
      <w:r>
        <w:rPr>
          <w:rFonts w:hint="eastAsia" w:ascii="仿宋_GB2312"/>
          <w:color w:val="auto"/>
          <w:sz w:val="32"/>
          <w:szCs w:val="32"/>
          <w:lang w:val="en-US" w:eastAsia="zh-CN"/>
        </w:rPr>
        <w:t>.</w:t>
      </w:r>
      <w:r>
        <w:rPr>
          <w:rFonts w:hint="eastAsia" w:ascii="仿宋_GB2312" w:eastAsia="仿宋_GB2312"/>
          <w:color w:val="auto"/>
          <w:sz w:val="32"/>
          <w:szCs w:val="32"/>
          <w:lang w:val="en-US" w:eastAsia="zh-CN"/>
        </w:rPr>
        <w:t>组织开展我县“政府绩效第三方评估”工作。通过第三方对重大经济社会政策的落实效果、《政府工作报告》等重大决策执行结果进行评估，提出建议；</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ind w:firstLine="640" w:firstLineChars="200"/>
        <w:textAlignment w:val="auto"/>
        <w:outlineLvl w:val="1"/>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7</w:t>
      </w:r>
      <w:r>
        <w:rPr>
          <w:rFonts w:hint="eastAsia" w:ascii="仿宋_GB2312"/>
          <w:color w:val="auto"/>
          <w:sz w:val="32"/>
          <w:szCs w:val="32"/>
          <w:lang w:val="en-US" w:eastAsia="zh-CN"/>
        </w:rPr>
        <w:t>.</w:t>
      </w:r>
      <w:r>
        <w:rPr>
          <w:rFonts w:hint="eastAsia" w:ascii="仿宋_GB2312" w:eastAsia="仿宋_GB2312"/>
          <w:color w:val="auto"/>
          <w:sz w:val="32"/>
          <w:szCs w:val="32"/>
          <w:lang w:val="en-US" w:eastAsia="zh-CN"/>
        </w:rPr>
        <w:t>借鉴各地的改革发展经验，研究我县全面深化改革和拓展转型综改先行先试的内涵空间，提出我县区域发展路径、产业政策和重大项目咨询建议；</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ind w:firstLine="640" w:firstLineChars="200"/>
        <w:textAlignment w:val="auto"/>
        <w:outlineLvl w:val="1"/>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8</w:t>
      </w:r>
      <w:r>
        <w:rPr>
          <w:rFonts w:hint="eastAsia" w:ascii="仿宋_GB2312"/>
          <w:color w:val="auto"/>
          <w:sz w:val="32"/>
          <w:szCs w:val="32"/>
          <w:lang w:val="en-US" w:eastAsia="zh-CN"/>
        </w:rPr>
        <w:t>.</w:t>
      </w:r>
      <w:r>
        <w:rPr>
          <w:rFonts w:hint="eastAsia" w:ascii="仿宋_GB2312" w:eastAsia="仿宋_GB2312"/>
          <w:color w:val="auto"/>
          <w:sz w:val="32"/>
          <w:szCs w:val="32"/>
          <w:lang w:val="en-US" w:eastAsia="zh-CN"/>
        </w:rPr>
        <w:t>组织重要文稿起草，收集整理国内外、省内外、市内外有关经济社会发展等方面的重大信息；</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ind w:firstLine="640" w:firstLineChars="200"/>
        <w:textAlignment w:val="auto"/>
        <w:outlineLvl w:val="1"/>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9</w:t>
      </w:r>
      <w:r>
        <w:rPr>
          <w:rFonts w:hint="eastAsia" w:ascii="仿宋_GB2312"/>
          <w:color w:val="auto"/>
          <w:sz w:val="32"/>
          <w:szCs w:val="32"/>
          <w:lang w:val="en-US" w:eastAsia="zh-CN"/>
        </w:rPr>
        <w:t>.</w:t>
      </w:r>
      <w:r>
        <w:rPr>
          <w:rFonts w:hint="eastAsia" w:ascii="仿宋_GB2312" w:eastAsia="仿宋_GB2312"/>
          <w:color w:val="auto"/>
          <w:sz w:val="32"/>
          <w:szCs w:val="32"/>
          <w:lang w:val="en-US" w:eastAsia="zh-CN"/>
        </w:rPr>
        <w:t>承办县委、县政府交办的其他工作。</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ind w:firstLine="640" w:firstLineChars="200"/>
        <w:textAlignment w:val="auto"/>
        <w:outlineLvl w:val="1"/>
        <w:rPr>
          <w:rFonts w:hint="eastAsia" w:ascii="仿宋_GB2312" w:eastAsia="仿宋_GB2312"/>
          <w:color w:val="auto"/>
          <w:sz w:val="32"/>
          <w:szCs w:val="32"/>
          <w:lang w:val="en-US" w:eastAsia="zh-CN"/>
        </w:rPr>
      </w:pPr>
      <w:r>
        <w:rPr>
          <w:rFonts w:hint="eastAsia" w:ascii="仿宋_GB2312"/>
          <w:color w:val="auto"/>
          <w:sz w:val="32"/>
          <w:szCs w:val="32"/>
          <w:lang w:val="en-US" w:eastAsia="zh-CN"/>
        </w:rPr>
        <w:t>二、</w:t>
      </w:r>
      <w:r>
        <w:rPr>
          <w:rFonts w:hint="eastAsia" w:ascii="仿宋_GB2312" w:eastAsia="仿宋_GB2312"/>
          <w:color w:val="auto"/>
          <w:sz w:val="32"/>
          <w:szCs w:val="32"/>
          <w:lang w:val="en-US" w:eastAsia="zh-CN"/>
        </w:rPr>
        <w:t>机构设置情况</w:t>
      </w:r>
    </w:p>
    <w:p>
      <w:pPr>
        <w:pStyle w:val="3"/>
        <w:rPr>
          <w:rFonts w:hint="eastAsia" w:ascii="仿宋_GB2312" w:hAnsi="宋体" w:eastAsia="仿宋_GB2312" w:cs="宋体"/>
          <w:b w:val="0"/>
          <w:color w:val="auto"/>
          <w:kern w:val="0"/>
          <w:sz w:val="32"/>
          <w:szCs w:val="32"/>
          <w:lang w:val="en-US" w:eastAsia="zh-CN" w:bidi="ar-SA"/>
        </w:rPr>
      </w:pPr>
      <w:r>
        <w:rPr>
          <w:rFonts w:hint="eastAsia" w:ascii="仿宋_GB2312" w:hAnsi="宋体" w:eastAsia="仿宋_GB2312" w:cs="宋体"/>
          <w:b w:val="0"/>
          <w:color w:val="auto"/>
          <w:kern w:val="0"/>
          <w:sz w:val="32"/>
          <w:szCs w:val="32"/>
          <w:lang w:val="en-US" w:eastAsia="zh-CN" w:bidi="ar-SA"/>
        </w:rPr>
        <w:t>静乐县发展研究中心实有编制6人，实有人数5人。</w:t>
      </w:r>
    </w:p>
    <w:p>
      <w:pPr>
        <w:pStyle w:val="3"/>
        <w:ind w:left="0" w:leftChars="0" w:firstLine="0" w:firstLineChars="0"/>
        <w:rPr>
          <w:rFonts w:hint="eastAsia" w:ascii="仿宋" w:hAnsi="仿宋" w:eastAsia="仿宋" w:cs="仿宋"/>
          <w:b w:val="0"/>
          <w:bCs/>
          <w:color w:val="auto"/>
        </w:rPr>
      </w:pPr>
    </w:p>
    <w:p>
      <w:pPr>
        <w:pStyle w:val="2"/>
        <w:rPr>
          <w:rFonts w:hint="eastAsia"/>
          <w:b/>
          <w:bCs w:val="0"/>
          <w:color w:val="auto"/>
          <w:sz w:val="36"/>
          <w:szCs w:val="36"/>
          <w:lang w:val="en-US" w:eastAsia="zh-CN"/>
        </w:rPr>
      </w:pPr>
      <w:bookmarkStart w:id="7" w:name="_Toc12749"/>
      <w:r>
        <w:rPr>
          <w:rFonts w:hint="eastAsia"/>
          <w:b/>
          <w:color w:val="auto"/>
          <w:sz w:val="36"/>
          <w:szCs w:val="36"/>
          <w:lang w:val="en-US" w:eastAsia="zh-CN"/>
        </w:rPr>
        <w:t>第二部分  2021年度部门决算报表（附表）</w:t>
      </w:r>
      <w:bookmarkEnd w:id="7"/>
    </w:p>
    <w:p>
      <w:pPr>
        <w:ind w:firstLine="640"/>
        <w:rPr>
          <w:rFonts w:hint="eastAsia" w:ascii="仿宋_GB2312" w:hAnsi="楷体"/>
          <w:color w:val="auto"/>
          <w:szCs w:val="32"/>
        </w:rPr>
      </w:pPr>
      <w:r>
        <w:rPr>
          <w:rFonts w:hint="eastAsia" w:ascii="仿宋_GB2312" w:hAnsi="楷体"/>
          <w:color w:val="auto"/>
          <w:szCs w:val="32"/>
        </w:rPr>
        <w:t>一、收入支出决算总表</w:t>
      </w:r>
    </w:p>
    <w:p>
      <w:pPr>
        <w:ind w:firstLine="640"/>
        <w:rPr>
          <w:rFonts w:hint="eastAsia" w:ascii="仿宋_GB2312" w:hAnsi="楷体"/>
          <w:color w:val="auto"/>
          <w:szCs w:val="32"/>
        </w:rPr>
      </w:pPr>
      <w:r>
        <w:rPr>
          <w:rFonts w:hint="eastAsia" w:ascii="仿宋_GB2312" w:hAnsi="楷体"/>
          <w:color w:val="auto"/>
          <w:szCs w:val="32"/>
        </w:rPr>
        <w:t>二、收入决算表</w:t>
      </w:r>
    </w:p>
    <w:p>
      <w:pPr>
        <w:ind w:firstLine="640"/>
        <w:rPr>
          <w:rFonts w:hint="eastAsia" w:ascii="仿宋_GB2312" w:hAnsi="楷体"/>
          <w:color w:val="auto"/>
          <w:szCs w:val="32"/>
        </w:rPr>
      </w:pPr>
      <w:r>
        <w:rPr>
          <w:rFonts w:hint="eastAsia" w:ascii="仿宋_GB2312" w:hAnsi="楷体"/>
          <w:color w:val="auto"/>
          <w:szCs w:val="32"/>
        </w:rPr>
        <w:t>三、支出决算表</w:t>
      </w:r>
    </w:p>
    <w:p>
      <w:pPr>
        <w:ind w:firstLine="640"/>
        <w:rPr>
          <w:rFonts w:hint="eastAsia" w:ascii="仿宋_GB2312" w:hAnsi="楷体"/>
          <w:color w:val="auto"/>
          <w:szCs w:val="32"/>
        </w:rPr>
      </w:pPr>
      <w:r>
        <w:rPr>
          <w:rFonts w:hint="eastAsia" w:ascii="仿宋_GB2312" w:hAnsi="楷体"/>
          <w:color w:val="auto"/>
          <w:szCs w:val="32"/>
        </w:rPr>
        <w:t>四、财政拨款收入支出决算总表</w:t>
      </w:r>
    </w:p>
    <w:p>
      <w:pPr>
        <w:ind w:firstLine="640"/>
        <w:rPr>
          <w:rFonts w:hint="eastAsia" w:ascii="仿宋_GB2312" w:hAnsi="楷体"/>
          <w:color w:val="auto"/>
          <w:szCs w:val="32"/>
        </w:rPr>
      </w:pPr>
      <w:r>
        <w:rPr>
          <w:rFonts w:hint="eastAsia" w:ascii="仿宋_GB2312" w:hAnsi="楷体"/>
          <w:color w:val="auto"/>
          <w:szCs w:val="32"/>
        </w:rPr>
        <w:t>五、一般公共预算财政拨款支出决算表（一）</w:t>
      </w:r>
    </w:p>
    <w:p>
      <w:pPr>
        <w:ind w:firstLine="640"/>
        <w:rPr>
          <w:rFonts w:hint="eastAsia" w:ascii="仿宋_GB2312" w:hAnsi="楷体"/>
          <w:color w:val="auto"/>
          <w:szCs w:val="32"/>
        </w:rPr>
      </w:pPr>
      <w:r>
        <w:rPr>
          <w:rFonts w:hint="eastAsia" w:ascii="仿宋_GB2312" w:hAnsi="楷体"/>
          <w:color w:val="auto"/>
          <w:szCs w:val="32"/>
        </w:rPr>
        <w:t>六、一般公共预算财政拨款支出决算表（二）</w:t>
      </w:r>
    </w:p>
    <w:p>
      <w:pPr>
        <w:ind w:firstLine="640"/>
        <w:rPr>
          <w:rFonts w:hint="eastAsia" w:ascii="仿宋_GB2312" w:hAnsi="楷体"/>
          <w:color w:val="auto"/>
          <w:szCs w:val="32"/>
        </w:rPr>
      </w:pPr>
      <w:r>
        <w:rPr>
          <w:rFonts w:hint="eastAsia" w:ascii="仿宋_GB2312" w:hAnsi="楷体"/>
          <w:color w:val="auto"/>
          <w:szCs w:val="32"/>
        </w:rPr>
        <w:t>七、一般公共预算财政拨款“三公”经费支出决算表</w:t>
      </w:r>
    </w:p>
    <w:p>
      <w:pPr>
        <w:ind w:firstLine="640"/>
        <w:rPr>
          <w:rFonts w:ascii="仿宋_GB2312" w:hAnsi="楷体"/>
          <w:color w:val="auto"/>
          <w:szCs w:val="32"/>
        </w:rPr>
      </w:pPr>
      <w:r>
        <w:rPr>
          <w:rFonts w:hint="eastAsia" w:ascii="仿宋_GB2312" w:hAnsi="楷体"/>
          <w:color w:val="auto"/>
          <w:szCs w:val="32"/>
        </w:rPr>
        <w:t>八、政府性基金预算财政拨款收入支出决算表</w:t>
      </w:r>
    </w:p>
    <w:p>
      <w:pPr>
        <w:ind w:firstLine="640"/>
        <w:rPr>
          <w:rFonts w:hint="eastAsia" w:ascii="仿宋_GB2312" w:hAnsi="楷体"/>
          <w:color w:val="auto"/>
          <w:szCs w:val="32"/>
        </w:rPr>
      </w:pPr>
      <w:r>
        <w:rPr>
          <w:rFonts w:hint="eastAsia" w:ascii="仿宋_GB2312" w:hAnsi="楷体"/>
          <w:color w:val="auto"/>
          <w:szCs w:val="32"/>
        </w:rPr>
        <w:t>九、国有资本经营预算财政拨款支出决算表</w:t>
      </w:r>
    </w:p>
    <w:p>
      <w:pPr>
        <w:ind w:firstLine="640"/>
        <w:rPr>
          <w:rFonts w:hint="eastAsia" w:ascii="仿宋_GB2312" w:hAnsi="楷体"/>
          <w:color w:val="auto"/>
          <w:szCs w:val="32"/>
        </w:rPr>
      </w:pPr>
      <w:r>
        <w:rPr>
          <w:rFonts w:hint="eastAsia" w:ascii="仿宋_GB2312" w:hAnsi="楷体"/>
          <w:color w:val="auto"/>
          <w:szCs w:val="32"/>
        </w:rPr>
        <w:t>十、部门决算公开相关信息统计表</w:t>
      </w:r>
    </w:p>
    <w:p>
      <w:pPr>
        <w:pStyle w:val="2"/>
        <w:ind w:left="0" w:leftChars="0" w:firstLine="0" w:firstLineChars="0"/>
        <w:jc w:val="center"/>
        <w:rPr>
          <w:rFonts w:hint="eastAsia"/>
          <w:b/>
          <w:color w:val="auto"/>
          <w:sz w:val="36"/>
          <w:szCs w:val="36"/>
          <w:lang w:val="en-US" w:eastAsia="zh-CN"/>
        </w:rPr>
      </w:pPr>
      <w:bookmarkStart w:id="8" w:name="_Toc29325"/>
      <w:r>
        <w:rPr>
          <w:rFonts w:hint="eastAsia"/>
          <w:b/>
          <w:color w:val="auto"/>
          <w:sz w:val="36"/>
          <w:szCs w:val="36"/>
          <w:lang w:val="en-US" w:eastAsia="zh-CN"/>
        </w:rPr>
        <w:t>第三部分  2021年度部门决算情况说明</w:t>
      </w:r>
      <w:bookmarkEnd w:id="8"/>
    </w:p>
    <w:p>
      <w:pPr>
        <w:pStyle w:val="3"/>
        <w:rPr>
          <w:rFonts w:hint="eastAsia" w:ascii="仿宋" w:hAnsi="仿宋" w:eastAsia="仿宋" w:cs="仿宋"/>
          <w:b/>
          <w:bCs w:val="0"/>
          <w:color w:val="auto"/>
          <w:lang w:val="en-US" w:eastAsia="zh-CN"/>
        </w:rPr>
      </w:pPr>
      <w:bookmarkStart w:id="9" w:name="_Toc8717"/>
      <w:bookmarkStart w:id="10" w:name="_Toc437"/>
      <w:r>
        <w:rPr>
          <w:rFonts w:hint="eastAsia" w:ascii="仿宋" w:hAnsi="仿宋" w:eastAsia="仿宋" w:cs="仿宋"/>
          <w:b/>
          <w:bCs w:val="0"/>
          <w:color w:val="auto"/>
          <w:lang w:val="en-US" w:eastAsia="zh-CN"/>
        </w:rPr>
        <w:t>一、收入支出决算总体情况说明</w:t>
      </w:r>
      <w:bookmarkEnd w:id="9"/>
      <w:bookmarkEnd w:id="10"/>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53.38</w:t>
      </w:r>
      <w:r>
        <w:rPr>
          <w:rFonts w:hint="eastAsia" w:ascii="仿宋_GB2312"/>
          <w:color w:val="auto"/>
          <w:szCs w:val="32"/>
        </w:rPr>
        <w:t>万元、支出总计</w:t>
      </w:r>
      <w:r>
        <w:rPr>
          <w:rFonts w:hint="eastAsia" w:ascii="仿宋_GB2312"/>
          <w:color w:val="auto"/>
          <w:szCs w:val="32"/>
          <w:lang w:val="en-US" w:eastAsia="zh-CN"/>
        </w:rPr>
        <w:t>53.38</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w:t>
      </w:r>
      <w:r>
        <w:rPr>
          <w:rFonts w:hint="eastAsia" w:ascii="仿宋_GB2312"/>
          <w:color w:val="auto"/>
          <w:szCs w:val="32"/>
          <w:lang w:val="en-US" w:eastAsia="zh-CN"/>
        </w:rPr>
        <w:t>增长4.14</w:t>
      </w:r>
      <w:r>
        <w:rPr>
          <w:rFonts w:hint="eastAsia" w:ascii="仿宋_GB2312"/>
          <w:color w:val="auto"/>
          <w:szCs w:val="32"/>
        </w:rPr>
        <w:t>万元，</w:t>
      </w:r>
      <w:r>
        <w:rPr>
          <w:rFonts w:hint="eastAsia" w:ascii="仿宋_GB2312"/>
          <w:color w:val="auto"/>
          <w:szCs w:val="32"/>
          <w:lang w:val="en-US" w:eastAsia="zh-CN"/>
        </w:rPr>
        <w:t>增长108.41</w:t>
      </w:r>
      <w:r>
        <w:rPr>
          <w:rFonts w:hint="eastAsia" w:ascii="仿宋_GB2312"/>
          <w:color w:val="auto"/>
          <w:szCs w:val="32"/>
        </w:rPr>
        <w:t>%，</w:t>
      </w:r>
      <w:r>
        <w:rPr>
          <w:rFonts w:ascii="仿宋_GB2312"/>
          <w:color w:val="auto"/>
          <w:szCs w:val="32"/>
        </w:rPr>
        <w:t>支出总计</w:t>
      </w:r>
      <w:r>
        <w:rPr>
          <w:rFonts w:hint="eastAsia" w:ascii="仿宋_GB2312"/>
          <w:color w:val="auto"/>
          <w:szCs w:val="32"/>
          <w:lang w:val="en-US" w:eastAsia="zh-CN"/>
        </w:rPr>
        <w:t>增长4.14</w:t>
      </w:r>
      <w:r>
        <w:rPr>
          <w:rFonts w:hint="eastAsia" w:ascii="仿宋_GB2312"/>
          <w:color w:val="auto"/>
          <w:szCs w:val="32"/>
        </w:rPr>
        <w:t>万元</w:t>
      </w:r>
      <w:r>
        <w:rPr>
          <w:rFonts w:ascii="仿宋_GB2312"/>
          <w:color w:val="auto"/>
          <w:szCs w:val="32"/>
        </w:rPr>
        <w:t>，</w:t>
      </w:r>
      <w:r>
        <w:rPr>
          <w:rFonts w:hint="eastAsia" w:ascii="仿宋_GB2312"/>
          <w:color w:val="auto"/>
          <w:szCs w:val="32"/>
          <w:lang w:val="en-US" w:eastAsia="zh-CN"/>
        </w:rPr>
        <w:t>增长8.41</w:t>
      </w:r>
      <w:r>
        <w:rPr>
          <w:rFonts w:ascii="仿宋_GB2312"/>
          <w:color w:val="auto"/>
          <w:szCs w:val="32"/>
        </w:rPr>
        <w:t>%</w:t>
      </w:r>
      <w:r>
        <w:rPr>
          <w:rFonts w:hint="eastAsia" w:ascii="仿宋_GB2312"/>
          <w:color w:val="auto"/>
          <w:szCs w:val="32"/>
        </w:rPr>
        <w:t>。主要原因是</w:t>
      </w:r>
      <w:r>
        <w:rPr>
          <w:rFonts w:hint="eastAsia" w:ascii="仿宋_GB2312"/>
          <w:color w:val="auto"/>
          <w:szCs w:val="32"/>
          <w:lang w:val="en-US" w:eastAsia="zh-CN"/>
        </w:rPr>
        <w:t>本单位经费增加</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1" w:name="_Toc16754"/>
      <w:bookmarkStart w:id="12" w:name="_Toc17404"/>
      <w:r>
        <w:rPr>
          <w:rFonts w:hint="eastAsia" w:ascii="仿宋" w:hAnsi="仿宋" w:eastAsia="仿宋" w:cs="仿宋"/>
          <w:b/>
          <w:bCs w:val="0"/>
          <w:color w:val="auto"/>
          <w:lang w:val="en-US" w:eastAsia="zh-CN"/>
        </w:rPr>
        <w:t>二、收入决算情况说明</w:t>
      </w:r>
      <w:bookmarkEnd w:id="11"/>
      <w:bookmarkEnd w:id="12"/>
    </w:p>
    <w:p>
      <w:pPr>
        <w:spacing w:line="580" w:lineRule="exact"/>
        <w:ind w:firstLine="640"/>
        <w:rPr>
          <w:rFonts w:hint="eastAsia" w:ascii="仿宋_GB2312" w:eastAsia="仿宋_GB2312"/>
          <w:color w:val="auto"/>
          <w:szCs w:val="32"/>
          <w:lang w:eastAsia="zh-CN"/>
        </w:rPr>
      </w:pPr>
      <w:r>
        <w:rPr>
          <w:rFonts w:hint="eastAsia" w:ascii="仿宋_GB2312"/>
          <w:color w:val="auto"/>
          <w:szCs w:val="32"/>
        </w:rPr>
        <w:t>本年收入合计</w:t>
      </w:r>
      <w:r>
        <w:rPr>
          <w:rFonts w:hint="eastAsia" w:ascii="仿宋_GB2312"/>
          <w:color w:val="auto"/>
          <w:szCs w:val="32"/>
          <w:lang w:val="en-US" w:eastAsia="zh-CN"/>
        </w:rPr>
        <w:t>53.38</w:t>
      </w:r>
      <w:r>
        <w:rPr>
          <w:rFonts w:hint="eastAsia" w:ascii="仿宋_GB2312"/>
          <w:color w:val="auto"/>
          <w:szCs w:val="32"/>
        </w:rPr>
        <w:t>万元，其中：财政拨款收入</w:t>
      </w:r>
      <w:r>
        <w:rPr>
          <w:rFonts w:hint="eastAsia" w:ascii="仿宋_GB2312"/>
          <w:color w:val="auto"/>
          <w:szCs w:val="32"/>
          <w:lang w:val="en-US" w:eastAsia="zh-CN"/>
        </w:rPr>
        <w:t>53.38</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13" w:name="_Toc22098"/>
      <w:bookmarkStart w:id="14" w:name="_Toc9596"/>
      <w:r>
        <w:rPr>
          <w:rFonts w:hint="eastAsia" w:ascii="仿宋" w:hAnsi="仿宋" w:eastAsia="仿宋" w:cs="仿宋"/>
          <w:b/>
          <w:bCs w:val="0"/>
          <w:color w:val="auto"/>
          <w:lang w:val="en-US" w:eastAsia="zh-CN"/>
        </w:rPr>
        <w:t>三、支出决算情况说明</w:t>
      </w:r>
      <w:bookmarkEnd w:id="13"/>
      <w:bookmarkEnd w:id="14"/>
    </w:p>
    <w:p>
      <w:pPr>
        <w:spacing w:line="580" w:lineRule="exact"/>
        <w:ind w:firstLine="640"/>
        <w:rPr>
          <w:rFonts w:hint="eastAsia" w:ascii="仿宋_GB2312"/>
          <w:color w:val="auto"/>
          <w:szCs w:val="32"/>
        </w:rPr>
      </w:pPr>
      <w:r>
        <w:rPr>
          <w:rFonts w:hint="eastAsia" w:ascii="仿宋_GB2312"/>
          <w:color w:val="auto"/>
          <w:szCs w:val="32"/>
        </w:rPr>
        <w:t>本年支出合计</w:t>
      </w:r>
      <w:r>
        <w:rPr>
          <w:rFonts w:hint="eastAsia" w:ascii="仿宋_GB2312"/>
          <w:color w:val="auto"/>
          <w:szCs w:val="32"/>
          <w:lang w:val="en-US" w:eastAsia="zh-CN"/>
        </w:rPr>
        <w:t>53.38</w:t>
      </w:r>
      <w:r>
        <w:rPr>
          <w:rFonts w:hint="eastAsia" w:ascii="仿宋_GB2312"/>
          <w:color w:val="auto"/>
          <w:szCs w:val="32"/>
        </w:rPr>
        <w:t>万元，其中：基本支出</w:t>
      </w:r>
      <w:r>
        <w:rPr>
          <w:rFonts w:hint="eastAsia" w:ascii="仿宋_GB2312"/>
          <w:color w:val="auto"/>
          <w:szCs w:val="32"/>
          <w:lang w:val="en-US" w:eastAsia="zh-CN"/>
        </w:rPr>
        <w:t>51.58</w:t>
      </w:r>
      <w:r>
        <w:rPr>
          <w:rFonts w:hint="eastAsia" w:ascii="仿宋_GB2312"/>
          <w:color w:val="auto"/>
          <w:szCs w:val="32"/>
        </w:rPr>
        <w:t>万元，占比</w:t>
      </w:r>
      <w:r>
        <w:rPr>
          <w:rFonts w:hint="eastAsia" w:ascii="仿宋_GB2312"/>
          <w:color w:val="auto"/>
          <w:szCs w:val="32"/>
          <w:lang w:val="en-US" w:eastAsia="zh-CN"/>
        </w:rPr>
        <w:t>96.63</w:t>
      </w:r>
      <w:r>
        <w:rPr>
          <w:rFonts w:hint="eastAsia" w:ascii="仿宋_GB2312"/>
          <w:color w:val="auto"/>
          <w:szCs w:val="32"/>
        </w:rPr>
        <w:t>%；项目支出</w:t>
      </w:r>
      <w:r>
        <w:rPr>
          <w:rFonts w:hint="eastAsia" w:ascii="仿宋_GB2312"/>
          <w:color w:val="auto"/>
          <w:szCs w:val="32"/>
          <w:lang w:val="en-US" w:eastAsia="zh-CN"/>
        </w:rPr>
        <w:t>1.80</w:t>
      </w:r>
      <w:r>
        <w:rPr>
          <w:rFonts w:hint="eastAsia" w:ascii="仿宋_GB2312"/>
          <w:color w:val="auto"/>
          <w:szCs w:val="32"/>
        </w:rPr>
        <w:t>万元，占比</w:t>
      </w:r>
      <w:r>
        <w:rPr>
          <w:rFonts w:hint="eastAsia" w:ascii="仿宋_GB2312"/>
          <w:color w:val="auto"/>
          <w:szCs w:val="32"/>
          <w:lang w:val="en-US" w:eastAsia="zh-CN"/>
        </w:rPr>
        <w:t>3.37</w:t>
      </w:r>
      <w:r>
        <w:rPr>
          <w:rFonts w:hint="eastAsia" w:ascii="仿宋_GB2312"/>
          <w:color w:val="auto"/>
          <w:szCs w:val="32"/>
        </w:rPr>
        <w:t>%</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15" w:name="_Toc2142"/>
      <w:bookmarkStart w:id="16" w:name="_Toc4614"/>
      <w:r>
        <w:rPr>
          <w:rFonts w:hint="eastAsia" w:ascii="仿宋" w:hAnsi="仿宋" w:eastAsia="仿宋" w:cs="仿宋"/>
          <w:b/>
          <w:bCs w:val="0"/>
          <w:color w:val="auto"/>
          <w:lang w:val="en-US" w:eastAsia="zh-CN"/>
        </w:rPr>
        <w:t>四、财政拨款收入支出决算总体情况说明</w:t>
      </w:r>
      <w:bookmarkEnd w:id="15"/>
      <w:bookmarkEnd w:id="16"/>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53.38</w:t>
      </w:r>
      <w:r>
        <w:rPr>
          <w:rFonts w:hint="eastAsia" w:ascii="仿宋_GB2312"/>
          <w:color w:val="auto"/>
          <w:szCs w:val="32"/>
        </w:rPr>
        <w:t>万元、支出总计</w:t>
      </w:r>
      <w:r>
        <w:rPr>
          <w:rFonts w:hint="eastAsia" w:ascii="仿宋_GB2312"/>
          <w:color w:val="auto"/>
          <w:szCs w:val="32"/>
          <w:lang w:val="en-US" w:eastAsia="zh-CN"/>
        </w:rPr>
        <w:t>53.38</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w:t>
      </w:r>
      <w:r>
        <w:rPr>
          <w:rFonts w:hint="eastAsia" w:ascii="仿宋_GB2312"/>
          <w:color w:val="auto"/>
          <w:szCs w:val="32"/>
          <w:lang w:val="en-US" w:eastAsia="zh-CN"/>
        </w:rPr>
        <w:t>增长4.41</w:t>
      </w:r>
      <w:r>
        <w:rPr>
          <w:rFonts w:hint="eastAsia" w:ascii="仿宋_GB2312"/>
          <w:color w:val="auto"/>
          <w:szCs w:val="32"/>
        </w:rPr>
        <w:t>万元，</w:t>
      </w:r>
      <w:r>
        <w:rPr>
          <w:rFonts w:hint="eastAsia" w:ascii="仿宋_GB2312"/>
          <w:color w:val="auto"/>
          <w:szCs w:val="32"/>
          <w:lang w:val="en-US" w:eastAsia="zh-CN"/>
        </w:rPr>
        <w:t>增长8.41</w:t>
      </w:r>
      <w:r>
        <w:rPr>
          <w:rFonts w:hint="eastAsia" w:ascii="仿宋_GB2312"/>
          <w:color w:val="auto"/>
          <w:szCs w:val="32"/>
        </w:rPr>
        <w:t>%，财政拨款支出总计</w:t>
      </w:r>
      <w:r>
        <w:rPr>
          <w:rFonts w:hint="eastAsia" w:ascii="仿宋_GB2312"/>
          <w:color w:val="auto"/>
          <w:szCs w:val="32"/>
          <w:lang w:val="en-US" w:eastAsia="zh-CN"/>
        </w:rPr>
        <w:t>增长4.41</w:t>
      </w:r>
      <w:r>
        <w:rPr>
          <w:rFonts w:hint="eastAsia" w:ascii="仿宋_GB2312"/>
          <w:color w:val="auto"/>
          <w:szCs w:val="32"/>
        </w:rPr>
        <w:t>万元</w:t>
      </w:r>
      <w:r>
        <w:rPr>
          <w:rFonts w:hint="eastAsia" w:ascii="仿宋_GB2312"/>
          <w:color w:val="auto"/>
          <w:szCs w:val="32"/>
          <w:lang w:eastAsia="zh-CN"/>
        </w:rPr>
        <w:t>，</w:t>
      </w:r>
      <w:r>
        <w:rPr>
          <w:rFonts w:hint="eastAsia" w:ascii="仿宋_GB2312"/>
          <w:color w:val="auto"/>
          <w:szCs w:val="32"/>
          <w:lang w:val="en-US" w:eastAsia="zh-CN"/>
        </w:rPr>
        <w:t>增长8.41</w:t>
      </w:r>
      <w:r>
        <w:rPr>
          <w:rFonts w:hint="eastAsia" w:ascii="仿宋_GB2312"/>
          <w:color w:val="auto"/>
          <w:szCs w:val="32"/>
        </w:rPr>
        <w:t>%。主要原因是</w:t>
      </w:r>
      <w:r>
        <w:rPr>
          <w:rFonts w:hint="eastAsia" w:ascii="仿宋_GB2312"/>
          <w:color w:val="auto"/>
          <w:szCs w:val="32"/>
          <w:lang w:val="en-US" w:eastAsia="zh-CN"/>
        </w:rPr>
        <w:t>本单位经费增加和工资增加</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7" w:name="_Toc6501"/>
      <w:bookmarkStart w:id="18" w:name="_Toc9341"/>
      <w:r>
        <w:rPr>
          <w:rFonts w:hint="eastAsia" w:ascii="仿宋" w:hAnsi="仿宋" w:eastAsia="仿宋" w:cs="仿宋"/>
          <w:b/>
          <w:bCs w:val="0"/>
          <w:color w:val="auto"/>
          <w:lang w:val="en-US" w:eastAsia="zh-CN"/>
        </w:rPr>
        <w:t>五、一般公共预算财政拨款支出决算情况说明</w:t>
      </w:r>
      <w:bookmarkEnd w:id="17"/>
      <w:bookmarkEnd w:id="18"/>
    </w:p>
    <w:p>
      <w:pPr>
        <w:spacing w:line="580" w:lineRule="exact"/>
        <w:ind w:firstLine="643"/>
        <w:rPr>
          <w:rFonts w:hint="eastAsia" w:ascii="仿宋_GB2312"/>
          <w:b/>
          <w:color w:val="auto"/>
          <w:szCs w:val="32"/>
        </w:rPr>
      </w:pPr>
      <w:r>
        <w:rPr>
          <w:rFonts w:hint="eastAsia" w:ascii="仿宋_GB2312"/>
          <w:b/>
          <w:color w:val="auto"/>
          <w:szCs w:val="32"/>
        </w:rPr>
        <w:t>（一）财政拨款支出决算总体情况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53.38</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w:t>
      </w:r>
      <w:r>
        <w:rPr>
          <w:rFonts w:hint="eastAsia" w:ascii="仿宋_GB2312"/>
          <w:color w:val="auto"/>
          <w:szCs w:val="32"/>
          <w:lang w:val="en-US" w:eastAsia="zh-CN"/>
        </w:rPr>
        <w:t>增加4.14</w:t>
      </w:r>
      <w:r>
        <w:rPr>
          <w:rFonts w:hint="eastAsia" w:ascii="仿宋_GB2312"/>
          <w:color w:val="auto"/>
          <w:szCs w:val="32"/>
        </w:rPr>
        <w:t>万元，</w:t>
      </w:r>
      <w:r>
        <w:rPr>
          <w:rFonts w:hint="eastAsia" w:ascii="仿宋_GB2312"/>
          <w:color w:val="auto"/>
          <w:szCs w:val="32"/>
          <w:lang w:val="en-US" w:eastAsia="zh-CN"/>
        </w:rPr>
        <w:t>增长8.41</w:t>
      </w:r>
      <w:r>
        <w:rPr>
          <w:rFonts w:hint="eastAsia" w:ascii="仿宋_GB2312"/>
          <w:color w:val="auto"/>
          <w:szCs w:val="32"/>
        </w:rPr>
        <w:t>%。主要原因</w:t>
      </w:r>
      <w:r>
        <w:rPr>
          <w:rFonts w:hint="eastAsia" w:ascii="仿宋_GB2312"/>
          <w:color w:val="auto"/>
          <w:szCs w:val="32"/>
          <w:lang w:val="en-US" w:eastAsia="zh-CN"/>
        </w:rPr>
        <w:t>经费支出增加工资增加</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53.38</w:t>
      </w:r>
      <w:r>
        <w:rPr>
          <w:rFonts w:hint="eastAsia" w:ascii="仿宋_GB2312"/>
          <w:color w:val="auto"/>
          <w:szCs w:val="32"/>
        </w:rPr>
        <w:t>万元</w:t>
      </w:r>
      <w:r>
        <w:rPr>
          <w:rFonts w:ascii="仿宋_GB2312"/>
          <w:color w:val="auto"/>
          <w:szCs w:val="32"/>
        </w:rPr>
        <w:t>，主要用于以下方面：</w:t>
      </w:r>
      <w:r>
        <w:rPr>
          <w:rFonts w:ascii="仿宋_GB2312"/>
          <w:b/>
          <w:color w:val="auto"/>
          <w:szCs w:val="32"/>
        </w:rPr>
        <w:t>一般公共服务（</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53.38</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eastAsia="zh-CN"/>
        </w:rPr>
        <w:t>。</w:t>
      </w:r>
      <w:bookmarkStart w:id="31" w:name="_GoBack"/>
      <w:bookmarkEnd w:id="31"/>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color w:val="auto"/>
          <w:szCs w:val="32"/>
          <w:lang w:val="en-US" w:eastAsia="zh-CN"/>
        </w:rPr>
        <w:t>53.40</w:t>
      </w:r>
      <w:r>
        <w:rPr>
          <w:rFonts w:hint="eastAsia"/>
          <w:color w:val="auto"/>
          <w:szCs w:val="32"/>
        </w:rPr>
        <w:t>万元，支出决算</w:t>
      </w:r>
      <w:r>
        <w:rPr>
          <w:rFonts w:hint="eastAsia"/>
          <w:color w:val="auto"/>
          <w:szCs w:val="32"/>
          <w:lang w:val="en-US" w:eastAsia="zh-CN"/>
        </w:rPr>
        <w:t>53.38</w:t>
      </w:r>
      <w:r>
        <w:rPr>
          <w:rFonts w:hint="eastAsia"/>
          <w:color w:val="auto"/>
          <w:szCs w:val="32"/>
        </w:rPr>
        <w:t>万元，完成年初预算的</w:t>
      </w:r>
      <w:r>
        <w:rPr>
          <w:rFonts w:hint="eastAsia"/>
          <w:color w:val="auto"/>
          <w:szCs w:val="32"/>
          <w:lang w:val="en-US" w:eastAsia="zh-CN"/>
        </w:rPr>
        <w:t>99.97</w:t>
      </w:r>
      <w:r>
        <w:rPr>
          <w:color w:val="auto"/>
          <w:szCs w:val="32"/>
        </w:rPr>
        <w:t>%</w:t>
      </w:r>
      <w:r>
        <w:rPr>
          <w:rFonts w:hint="eastAsia"/>
          <w:color w:val="auto"/>
          <w:szCs w:val="32"/>
        </w:rPr>
        <w:t>。</w:t>
      </w:r>
    </w:p>
    <w:p>
      <w:pPr>
        <w:numPr>
          <w:ilvl w:val="0"/>
          <w:numId w:val="0"/>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按功能科目分类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宋体" w:hAnsi="宋体" w:cs="Arial"/>
          <w:b/>
          <w:color w:val="auto"/>
          <w:kern w:val="0"/>
          <w:sz w:val="30"/>
          <w:szCs w:val="30"/>
        </w:rPr>
      </w:pPr>
      <w:r>
        <w:rPr>
          <w:rFonts w:hint="eastAsia" w:ascii="仿宋_GB2312" w:eastAsia="仿宋_GB2312"/>
          <w:color w:val="auto"/>
          <w:sz w:val="32"/>
          <w:szCs w:val="32"/>
        </w:rPr>
        <w:t xml:space="preserve"> </w:t>
      </w:r>
      <w:r>
        <w:rPr>
          <w:rFonts w:ascii="宋体" w:hAnsi="宋体" w:cs="Arial"/>
          <w:b/>
          <w:color w:val="auto"/>
          <w:kern w:val="0"/>
          <w:sz w:val="30"/>
          <w:szCs w:val="30"/>
        </w:rPr>
        <w:t>2</w:t>
      </w:r>
      <w:r>
        <w:rPr>
          <w:rFonts w:hint="eastAsia" w:ascii="宋体" w:hAnsi="宋体" w:cs="Arial"/>
          <w:b/>
          <w:color w:val="auto"/>
          <w:kern w:val="0"/>
          <w:sz w:val="30"/>
          <w:szCs w:val="30"/>
        </w:rPr>
        <w:t>0</w:t>
      </w:r>
      <w:r>
        <w:rPr>
          <w:rFonts w:hint="eastAsia" w:ascii="宋体" w:hAnsi="宋体" w:cs="Arial"/>
          <w:b/>
          <w:color w:val="auto"/>
          <w:kern w:val="0"/>
          <w:sz w:val="30"/>
          <w:szCs w:val="30"/>
          <w:lang w:val="en-US" w:eastAsia="zh-CN"/>
        </w:rPr>
        <w:t>21</w:t>
      </w:r>
      <w:r>
        <w:rPr>
          <w:rFonts w:hint="eastAsia" w:ascii="宋体" w:hAnsi="宋体" w:cs="Arial"/>
          <w:b/>
          <w:color w:val="auto"/>
          <w:kern w:val="0"/>
          <w:sz w:val="30"/>
          <w:szCs w:val="30"/>
        </w:rPr>
        <w:t>年度支出功能科目分类对比表    单位：</w:t>
      </w:r>
      <w:r>
        <w:rPr>
          <w:rFonts w:hint="eastAsia" w:ascii="宋体" w:hAnsi="宋体" w:cs="Arial"/>
          <w:b/>
          <w:color w:val="auto"/>
          <w:kern w:val="0"/>
          <w:sz w:val="30"/>
          <w:szCs w:val="30"/>
          <w:lang w:val="en-US" w:eastAsia="zh-CN"/>
        </w:rPr>
        <w:t>万</w:t>
      </w:r>
      <w:r>
        <w:rPr>
          <w:rFonts w:hint="eastAsia" w:ascii="宋体" w:hAnsi="宋体" w:cs="Arial"/>
          <w:b/>
          <w:color w:val="auto"/>
          <w:kern w:val="0"/>
          <w:sz w:val="30"/>
          <w:szCs w:val="30"/>
        </w:rPr>
        <w:t>元</w:t>
      </w:r>
    </w:p>
    <w:tbl>
      <w:tblPr>
        <w:tblStyle w:val="11"/>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auto"/>
                <w:kern w:val="0"/>
                <w:sz w:val="24"/>
                <w:szCs w:val="24"/>
              </w:rPr>
            </w:pPr>
            <w:r>
              <w:rPr>
                <w:rFonts w:hint="eastAsia" w:ascii="宋体" w:hAnsi="宋体" w:cs="Arial"/>
                <w:b/>
                <w:color w:val="auto"/>
                <w:kern w:val="0"/>
                <w:sz w:val="24"/>
                <w:szCs w:val="24"/>
              </w:rPr>
              <w:t>科目代码</w:t>
            </w:r>
          </w:p>
        </w:tc>
        <w:tc>
          <w:tcPr>
            <w:tcW w:w="2479" w:type="dxa"/>
            <w:vAlign w:val="top"/>
          </w:tcPr>
          <w:p>
            <w:pPr>
              <w:widowControl/>
              <w:jc w:val="both"/>
              <w:rPr>
                <w:rFonts w:hint="eastAsia" w:ascii="宋体" w:hAnsi="宋体" w:cs="Arial"/>
                <w:b/>
                <w:color w:val="auto"/>
                <w:kern w:val="0"/>
                <w:sz w:val="24"/>
                <w:szCs w:val="24"/>
              </w:rPr>
            </w:pPr>
            <w:r>
              <w:rPr>
                <w:rFonts w:hint="eastAsia" w:ascii="宋体" w:hAnsi="宋体" w:cs="Arial"/>
                <w:b/>
                <w:color w:val="auto"/>
                <w:kern w:val="0"/>
                <w:sz w:val="24"/>
                <w:szCs w:val="24"/>
              </w:rPr>
              <w:t>科目名称</w:t>
            </w:r>
          </w:p>
        </w:tc>
        <w:tc>
          <w:tcPr>
            <w:tcW w:w="1876" w:type="dxa"/>
            <w:vAlign w:val="top"/>
          </w:tcPr>
          <w:p>
            <w:pPr>
              <w:widowControl/>
              <w:jc w:val="left"/>
              <w:rPr>
                <w:rFonts w:hint="eastAsia" w:ascii="宋体" w:hAnsi="宋体" w:eastAsia="宋体" w:cs="Arial"/>
                <w:b/>
                <w:color w:val="auto"/>
                <w:kern w:val="0"/>
                <w:sz w:val="24"/>
                <w:szCs w:val="24"/>
                <w:lang w:val="en-US" w:eastAsia="zh-CN"/>
              </w:rPr>
            </w:pPr>
            <w:r>
              <w:rPr>
                <w:rFonts w:hint="eastAsia" w:ascii="宋体" w:hAnsi="宋体" w:cs="Arial"/>
                <w:b/>
                <w:color w:val="auto"/>
                <w:kern w:val="0"/>
                <w:sz w:val="24"/>
                <w:szCs w:val="24"/>
                <w:lang w:val="en-US" w:eastAsia="zh-CN"/>
              </w:rPr>
              <w:t>2020年</w:t>
            </w:r>
          </w:p>
        </w:tc>
        <w:tc>
          <w:tcPr>
            <w:tcW w:w="1684" w:type="dxa"/>
            <w:vAlign w:val="top"/>
          </w:tcPr>
          <w:p>
            <w:pPr>
              <w:widowControl/>
              <w:jc w:val="left"/>
              <w:rPr>
                <w:rFonts w:hint="default" w:ascii="宋体" w:hAnsi="宋体" w:eastAsia="宋体" w:cs="Arial"/>
                <w:b/>
                <w:color w:val="auto"/>
                <w:kern w:val="0"/>
                <w:sz w:val="24"/>
                <w:szCs w:val="24"/>
                <w:lang w:val="en-US" w:eastAsia="zh-CN"/>
              </w:rPr>
            </w:pPr>
            <w:r>
              <w:rPr>
                <w:rFonts w:hint="eastAsia" w:ascii="宋体" w:hAnsi="宋体" w:eastAsia="宋体" w:cs="Arial"/>
                <w:b/>
                <w:color w:val="auto"/>
                <w:kern w:val="0"/>
                <w:sz w:val="24"/>
                <w:szCs w:val="24"/>
                <w:lang w:val="en-US" w:eastAsia="zh-CN"/>
              </w:rPr>
              <w:t>2021年</w:t>
            </w:r>
          </w:p>
        </w:tc>
        <w:tc>
          <w:tcPr>
            <w:tcW w:w="1393" w:type="dxa"/>
            <w:vAlign w:val="top"/>
          </w:tcPr>
          <w:p>
            <w:pPr>
              <w:widowControl/>
              <w:ind w:left="0" w:leftChars="0" w:firstLine="0" w:firstLineChars="0"/>
              <w:jc w:val="left"/>
              <w:rPr>
                <w:rFonts w:hint="default" w:ascii="宋体" w:hAnsi="宋体" w:eastAsia="宋体" w:cs="Arial"/>
                <w:b/>
                <w:color w:val="auto"/>
                <w:kern w:val="0"/>
                <w:sz w:val="24"/>
                <w:szCs w:val="24"/>
                <w:lang w:val="en-US" w:eastAsia="zh-CN"/>
              </w:rPr>
            </w:pPr>
            <w:r>
              <w:rPr>
                <w:rFonts w:hint="eastAsia" w:ascii="宋体" w:hAnsi="宋体" w:cs="Arial"/>
                <w:b/>
                <w:color w:val="auto"/>
                <w:kern w:val="0"/>
                <w:sz w:val="24"/>
                <w:szCs w:val="24"/>
                <w:lang w:eastAsia="zh-CN"/>
              </w:rPr>
              <w:t>增减变化</w:t>
            </w:r>
            <w:r>
              <w:rPr>
                <w:rFonts w:hint="eastAsia" w:ascii="宋体" w:hAnsi="宋体" w:cs="Arial"/>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201</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一般公共服务支出</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49.24</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53.38</w:t>
            </w:r>
          </w:p>
        </w:tc>
        <w:tc>
          <w:tcPr>
            <w:tcW w:w="1393"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20103</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政府办公厅（室）及相关机构事务</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auto"/>
                <w:sz w:val="24"/>
                <w:szCs w:val="24"/>
              </w:rPr>
            </w:pPr>
          </w:p>
        </w:tc>
        <w:tc>
          <w:tcPr>
            <w:tcW w:w="1684"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3.8</w:t>
            </w:r>
          </w:p>
        </w:tc>
        <w:tc>
          <w:tcPr>
            <w:tcW w:w="1393" w:type="dxa"/>
            <w:vAlign w:val="top"/>
          </w:tcPr>
          <w:p>
            <w:pPr>
              <w:jc w:val="left"/>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2010350</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 xml:space="preserve">  事业运行</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p>
        </w:tc>
        <w:tc>
          <w:tcPr>
            <w:tcW w:w="1684"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3.8</w:t>
            </w:r>
          </w:p>
        </w:tc>
        <w:tc>
          <w:tcPr>
            <w:tcW w:w="1393" w:type="dxa"/>
            <w:vAlign w:val="top"/>
          </w:tcPr>
          <w:p>
            <w:pPr>
              <w:jc w:val="lef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20104</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发展与改革事务</w:t>
            </w:r>
          </w:p>
        </w:tc>
        <w:tc>
          <w:tcPr>
            <w:tcW w:w="1876" w:type="dxa"/>
            <w:vAlign w:val="top"/>
          </w:tcPr>
          <w:p>
            <w:pPr>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49.24</w:t>
            </w:r>
          </w:p>
        </w:tc>
        <w:tc>
          <w:tcPr>
            <w:tcW w:w="1684" w:type="dxa"/>
            <w:vAlign w:val="top"/>
          </w:tcPr>
          <w:p>
            <w:pPr>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49.58</w:t>
            </w:r>
          </w:p>
        </w:tc>
        <w:tc>
          <w:tcPr>
            <w:tcW w:w="1393"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2010407</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 xml:space="preserve">  经济体制改革研究</w:t>
            </w:r>
          </w:p>
        </w:tc>
        <w:tc>
          <w:tcPr>
            <w:tcW w:w="1876" w:type="dxa"/>
            <w:vAlign w:val="center"/>
          </w:tcPr>
          <w:p>
            <w:pPr>
              <w:keepNext w:val="0"/>
              <w:keepLines w:val="0"/>
              <w:widowControl/>
              <w:suppressLineNumbers w:val="0"/>
              <w:jc w:val="right"/>
              <w:textAlignment w:val="center"/>
              <w:rPr>
                <w:rFonts w:hint="default" w:ascii="仿宋" w:hAnsi="仿宋" w:eastAsia="仿宋" w:cs="仿宋"/>
                <w:i w:val="0"/>
                <w:color w:val="auto"/>
                <w:kern w:val="0"/>
                <w:sz w:val="22"/>
                <w:szCs w:val="22"/>
                <w:u w:val="none"/>
                <w:lang w:val="en-US" w:eastAsia="zh-CN" w:bidi="ar"/>
              </w:rPr>
            </w:pPr>
            <w:r>
              <w:rPr>
                <w:rFonts w:hint="eastAsia" w:ascii="仿宋" w:hAnsi="仿宋" w:eastAsia="仿宋" w:cs="仿宋"/>
                <w:i w:val="0"/>
                <w:color w:val="auto"/>
                <w:kern w:val="0"/>
                <w:sz w:val="22"/>
                <w:szCs w:val="22"/>
                <w:u w:val="none"/>
                <w:lang w:val="en-US" w:eastAsia="zh-CN" w:bidi="ar"/>
              </w:rPr>
              <w:t>49.24</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49.58</w:t>
            </w:r>
          </w:p>
        </w:tc>
        <w:tc>
          <w:tcPr>
            <w:tcW w:w="1393"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合计</w:t>
            </w:r>
          </w:p>
        </w:tc>
        <w:tc>
          <w:tcPr>
            <w:tcW w:w="2479" w:type="dxa"/>
            <w:vAlign w:val="top"/>
          </w:tcPr>
          <w:p>
            <w:pPr>
              <w:jc w:val="left"/>
              <w:rPr>
                <w:rFonts w:hint="eastAsia" w:ascii="仿宋" w:hAnsi="仿宋" w:eastAsia="仿宋" w:cs="仿宋"/>
                <w:color w:val="auto"/>
                <w:sz w:val="24"/>
                <w:szCs w:val="24"/>
                <w:lang w:val="en-US" w:eastAsia="zh-CN"/>
              </w:rPr>
            </w:pPr>
          </w:p>
        </w:tc>
        <w:tc>
          <w:tcPr>
            <w:tcW w:w="1876" w:type="dxa"/>
            <w:vAlign w:val="center"/>
          </w:tcPr>
          <w:p>
            <w:pPr>
              <w:keepNext w:val="0"/>
              <w:keepLines w:val="0"/>
              <w:widowControl/>
              <w:suppressLineNumbers w:val="0"/>
              <w:jc w:val="right"/>
              <w:textAlignment w:val="center"/>
              <w:rPr>
                <w:rFonts w:hint="default" w:ascii="仿宋" w:hAnsi="仿宋" w:eastAsia="仿宋" w:cs="仿宋"/>
                <w:i w:val="0"/>
                <w:color w:val="auto"/>
                <w:kern w:val="0"/>
                <w:sz w:val="22"/>
                <w:szCs w:val="22"/>
                <w:u w:val="none"/>
                <w:lang w:val="en-US" w:eastAsia="zh-CN" w:bidi="ar"/>
              </w:rPr>
            </w:pPr>
            <w:r>
              <w:rPr>
                <w:rFonts w:hint="eastAsia" w:ascii="仿宋" w:hAnsi="仿宋" w:eastAsia="仿宋" w:cs="仿宋"/>
                <w:i w:val="0"/>
                <w:color w:val="auto"/>
                <w:kern w:val="0"/>
                <w:sz w:val="22"/>
                <w:szCs w:val="22"/>
                <w:u w:val="none"/>
                <w:lang w:val="en-US" w:eastAsia="zh-CN" w:bidi="ar"/>
              </w:rPr>
              <w:t>49.24</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53.38</w:t>
            </w:r>
          </w:p>
        </w:tc>
        <w:tc>
          <w:tcPr>
            <w:tcW w:w="1393"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8.41</w:t>
            </w:r>
          </w:p>
        </w:tc>
      </w:tr>
    </w:tbl>
    <w:p>
      <w:pPr>
        <w:numPr>
          <w:ilvl w:val="0"/>
          <w:numId w:val="0"/>
        </w:numPr>
        <w:jc w:val="left"/>
        <w:rPr>
          <w:rFonts w:hint="eastAsia" w:ascii="仿宋" w:hAnsi="仿宋" w:eastAsia="仿宋" w:cs="仿宋"/>
          <w:color w:val="auto"/>
          <w:sz w:val="32"/>
          <w:szCs w:val="32"/>
        </w:rPr>
      </w:pPr>
    </w:p>
    <w:p>
      <w:pPr>
        <w:numPr>
          <w:ilvl w:val="0"/>
          <w:numId w:val="1"/>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按经济科目分类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仿宋" w:hAnsi="仿宋" w:eastAsia="仿宋" w:cs="仿宋"/>
          <w:color w:val="auto"/>
          <w:sz w:val="30"/>
          <w:szCs w:val="30"/>
        </w:rPr>
      </w:pPr>
      <w:r>
        <w:rPr>
          <w:rFonts w:hint="eastAsia" w:ascii="仿宋" w:hAnsi="仿宋" w:eastAsia="仿宋" w:cs="Arial"/>
          <w:b/>
          <w:color w:val="auto"/>
          <w:kern w:val="0"/>
          <w:sz w:val="30"/>
          <w:szCs w:val="30"/>
        </w:rPr>
        <w:t>20</w:t>
      </w:r>
      <w:r>
        <w:rPr>
          <w:rFonts w:hint="eastAsia" w:ascii="仿宋" w:hAnsi="仿宋" w:eastAsia="仿宋" w:cs="Arial"/>
          <w:b/>
          <w:color w:val="auto"/>
          <w:kern w:val="0"/>
          <w:sz w:val="30"/>
          <w:szCs w:val="30"/>
          <w:lang w:val="en-US" w:eastAsia="zh-CN"/>
        </w:rPr>
        <w:t>20</w:t>
      </w:r>
      <w:r>
        <w:rPr>
          <w:rFonts w:hint="eastAsia" w:ascii="仿宋" w:hAnsi="仿宋" w:eastAsia="仿宋" w:cs="Arial"/>
          <w:b/>
          <w:color w:val="auto"/>
          <w:kern w:val="0"/>
          <w:sz w:val="30"/>
          <w:szCs w:val="30"/>
        </w:rPr>
        <w:t xml:space="preserve">年度支出经济科目分类决算对比表  </w:t>
      </w:r>
      <w:r>
        <w:rPr>
          <w:rFonts w:hint="eastAsia" w:ascii="仿宋" w:hAnsi="仿宋" w:eastAsia="仿宋" w:cs="Arial"/>
          <w:b/>
          <w:color w:val="auto"/>
          <w:kern w:val="0"/>
          <w:sz w:val="30"/>
          <w:szCs w:val="30"/>
          <w:lang w:val="en-US" w:eastAsia="zh-CN"/>
        </w:rPr>
        <w:t xml:space="preserve"> </w:t>
      </w:r>
      <w:r>
        <w:rPr>
          <w:rFonts w:hint="eastAsia" w:ascii="仿宋" w:hAnsi="仿宋" w:eastAsia="仿宋" w:cs="Arial"/>
          <w:b/>
          <w:color w:val="auto"/>
          <w:kern w:val="0"/>
          <w:sz w:val="30"/>
          <w:szCs w:val="30"/>
        </w:rPr>
        <w:t xml:space="preserve">   单位：</w:t>
      </w:r>
      <w:r>
        <w:rPr>
          <w:rFonts w:hint="eastAsia" w:ascii="仿宋" w:hAnsi="仿宋" w:eastAsia="仿宋" w:cs="Arial"/>
          <w:b/>
          <w:color w:val="auto"/>
          <w:kern w:val="0"/>
          <w:sz w:val="30"/>
          <w:szCs w:val="30"/>
          <w:lang w:val="en-US" w:eastAsia="zh-CN"/>
        </w:rPr>
        <w:t>万</w:t>
      </w:r>
      <w:r>
        <w:rPr>
          <w:rFonts w:hint="eastAsia" w:ascii="仿宋" w:hAnsi="仿宋" w:eastAsia="仿宋" w:cs="Arial"/>
          <w:b/>
          <w:color w:val="auto"/>
          <w:kern w:val="0"/>
          <w:sz w:val="30"/>
          <w:szCs w:val="30"/>
        </w:rPr>
        <w:t>元</w:t>
      </w:r>
    </w:p>
    <w:tbl>
      <w:tblPr>
        <w:tblStyle w:val="11"/>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lang w:val="en-US" w:eastAsia="zh-CN"/>
              </w:rPr>
              <w:t>科目</w:t>
            </w:r>
            <w:r>
              <w:rPr>
                <w:rFonts w:hint="eastAsia" w:ascii="仿宋" w:hAnsi="仿宋" w:eastAsia="仿宋" w:cs="仿宋"/>
                <w:b/>
                <w:color w:val="auto"/>
                <w:kern w:val="0"/>
                <w:sz w:val="28"/>
                <w:szCs w:val="28"/>
              </w:rPr>
              <w:t>名称</w:t>
            </w:r>
          </w:p>
        </w:tc>
        <w:tc>
          <w:tcPr>
            <w:tcW w:w="1837"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2020年</w:t>
            </w:r>
          </w:p>
        </w:tc>
        <w:tc>
          <w:tcPr>
            <w:tcW w:w="2071"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2021年</w:t>
            </w:r>
          </w:p>
        </w:tc>
        <w:tc>
          <w:tcPr>
            <w:tcW w:w="1956" w:type="dxa"/>
            <w:vAlign w:val="top"/>
          </w:tcPr>
          <w:p>
            <w:pPr>
              <w:widowControl/>
              <w:jc w:val="left"/>
              <w:rPr>
                <w:rFonts w:hint="eastAsia" w:ascii="仿宋" w:hAnsi="仿宋" w:eastAsia="仿宋" w:cs="仿宋"/>
                <w:b/>
                <w:color w:val="auto"/>
                <w:kern w:val="0"/>
                <w:sz w:val="28"/>
                <w:szCs w:val="28"/>
                <w:lang w:val="en-US"/>
              </w:rPr>
            </w:pPr>
            <w:r>
              <w:rPr>
                <w:rFonts w:hint="eastAsia" w:ascii="仿宋" w:hAnsi="仿宋" w:eastAsia="仿宋" w:cs="仿宋"/>
                <w:b/>
                <w:color w:val="auto"/>
                <w:kern w:val="0"/>
                <w:sz w:val="24"/>
                <w:szCs w:val="24"/>
                <w:lang w:eastAsia="zh-CN"/>
              </w:rPr>
              <w:t>增减变化</w:t>
            </w:r>
            <w:r>
              <w:rPr>
                <w:rFonts w:hint="eastAsia" w:ascii="仿宋" w:hAnsi="仿宋" w:eastAsia="仿宋" w:cs="仿宋"/>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49.24</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53.38</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41.31</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42.65</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7.87</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10.69</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35.84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0.06</w:t>
            </w:r>
          </w:p>
        </w:tc>
        <w:tc>
          <w:tcPr>
            <w:tcW w:w="2071"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0.04</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-33.34</w:t>
            </w:r>
          </w:p>
        </w:tc>
      </w:tr>
    </w:tbl>
    <w:p>
      <w:pPr>
        <w:spacing w:line="580" w:lineRule="exact"/>
        <w:ind w:left="0" w:leftChars="0" w:firstLine="0" w:firstLineChars="0"/>
        <w:rPr>
          <w:rFonts w:hint="eastAsia"/>
          <w:color w:val="auto"/>
          <w:szCs w:val="32"/>
        </w:rPr>
      </w:pPr>
    </w:p>
    <w:p>
      <w:pPr>
        <w:pStyle w:val="3"/>
        <w:rPr>
          <w:rFonts w:hint="eastAsia" w:ascii="仿宋" w:hAnsi="仿宋" w:eastAsia="仿宋" w:cs="仿宋"/>
          <w:b/>
          <w:bCs w:val="0"/>
          <w:color w:val="auto"/>
          <w:lang w:val="en-US" w:eastAsia="zh-CN"/>
        </w:rPr>
      </w:pPr>
      <w:bookmarkStart w:id="19" w:name="_Toc17728"/>
      <w:bookmarkStart w:id="20" w:name="_Toc841"/>
      <w:r>
        <w:rPr>
          <w:rFonts w:hint="eastAsia" w:ascii="仿宋" w:hAnsi="仿宋" w:eastAsia="仿宋" w:cs="仿宋"/>
          <w:b/>
          <w:bCs w:val="0"/>
          <w:color w:val="auto"/>
          <w:lang w:val="en-US" w:eastAsia="zh-CN"/>
        </w:rPr>
        <w:t>六、一般公共预算财政拨款基本支出决算情况说明</w:t>
      </w:r>
      <w:bookmarkEnd w:id="19"/>
      <w:bookmarkEnd w:id="20"/>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53.38</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42.69</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color w:val="auto"/>
          <w:szCs w:val="32"/>
          <w:lang w:val="en-US" w:eastAsia="zh-CN"/>
        </w:rPr>
        <w:t>基本工资17.98万元；奖金1.32万元；津贴补贴12.89万元</w:t>
      </w:r>
      <w:r>
        <w:rPr>
          <w:rFonts w:ascii="仿宋_GB2312"/>
          <w:color w:val="auto"/>
          <w:szCs w:val="32"/>
        </w:rPr>
        <w:t>；</w:t>
      </w:r>
      <w:r>
        <w:rPr>
          <w:rFonts w:hint="eastAsia" w:ascii="仿宋_GB2312"/>
          <w:color w:val="auto"/>
          <w:szCs w:val="32"/>
        </w:rPr>
        <w:t>机关事业单位基本养老保险缴费</w:t>
      </w:r>
      <w:r>
        <w:rPr>
          <w:rFonts w:hint="eastAsia" w:ascii="仿宋_GB2312"/>
          <w:color w:val="auto"/>
          <w:szCs w:val="32"/>
          <w:lang w:val="en-US" w:eastAsia="zh-CN"/>
        </w:rPr>
        <w:t>6.72万元；职工基本医疗保险缴费1.27万元，其他社会保障缴费1万元；住房公积金1.47万元；</w:t>
      </w:r>
      <w:r>
        <w:rPr>
          <w:rFonts w:hint="eastAsia" w:ascii="仿宋_GB2312"/>
          <w:color w:val="auto"/>
          <w:szCs w:val="32"/>
        </w:rPr>
        <w:t>公用</w:t>
      </w:r>
      <w:r>
        <w:rPr>
          <w:rFonts w:ascii="仿宋_GB2312"/>
          <w:color w:val="auto"/>
          <w:szCs w:val="32"/>
        </w:rPr>
        <w:t>经</w:t>
      </w:r>
      <w:r>
        <w:rPr>
          <w:rFonts w:hint="eastAsia" w:ascii="仿宋_GB2312"/>
          <w:color w:val="auto"/>
          <w:szCs w:val="32"/>
          <w:lang w:val="en-US" w:eastAsia="zh-CN"/>
        </w:rPr>
        <w:t>10.69</w:t>
      </w:r>
      <w:r>
        <w:rPr>
          <w:rFonts w:hint="eastAsia" w:ascii="仿宋_GB2312"/>
          <w:color w:val="auto"/>
          <w:szCs w:val="32"/>
        </w:rPr>
        <w:t>万元</w:t>
      </w:r>
      <w:r>
        <w:rPr>
          <w:rFonts w:ascii="仿宋_GB2312"/>
          <w:color w:val="auto"/>
          <w:szCs w:val="32"/>
        </w:rPr>
        <w:t>，主要包括</w:t>
      </w:r>
      <w:r>
        <w:rPr>
          <w:rFonts w:hint="eastAsia" w:ascii="仿宋_GB2312"/>
          <w:color w:val="auto"/>
          <w:szCs w:val="32"/>
        </w:rPr>
        <w:t>办公费</w:t>
      </w:r>
      <w:r>
        <w:rPr>
          <w:rFonts w:hint="eastAsia" w:ascii="仿宋_GB2312"/>
          <w:color w:val="auto"/>
          <w:szCs w:val="32"/>
          <w:lang w:val="en-US" w:eastAsia="zh-CN"/>
        </w:rPr>
        <w:t>2.36万元；印刷费2.80万元，工会经费0.42万元；福利费1.21万元其他交通费用3.90万元奖励金0.04万元</w:t>
      </w:r>
      <w:r>
        <w:rPr>
          <w:rFonts w:ascii="仿宋_GB2312"/>
          <w:color w:val="auto"/>
          <w:szCs w:val="32"/>
        </w:rPr>
        <w:t>。</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lang w:val="en-US" w:eastAsia="zh-CN"/>
        </w:rPr>
        <w:t>1.80</w:t>
      </w:r>
      <w:r>
        <w:rPr>
          <w:rFonts w:hint="eastAsia" w:ascii="仿宋_GB2312"/>
          <w:color w:val="auto"/>
          <w:szCs w:val="32"/>
        </w:rPr>
        <w:t>万元</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21" w:name="_Toc26508"/>
      <w:bookmarkStart w:id="22" w:name="_Toc2304"/>
      <w:r>
        <w:rPr>
          <w:rFonts w:hint="eastAsia" w:ascii="仿宋" w:hAnsi="仿宋" w:eastAsia="仿宋" w:cs="仿宋"/>
          <w:b/>
          <w:bCs w:val="0"/>
          <w:color w:val="auto"/>
          <w:lang w:val="en-US" w:eastAsia="zh-CN"/>
        </w:rPr>
        <w:t>七、一般公共预算财政拨款“三公”经费支出决算情况说明</w:t>
      </w:r>
      <w:bookmarkEnd w:id="21"/>
      <w:bookmarkEnd w:id="22"/>
    </w:p>
    <w:p>
      <w:pPr>
        <w:spacing w:line="580" w:lineRule="exact"/>
        <w:ind w:firstLine="640"/>
        <w:rPr>
          <w:rFonts w:hint="eastAsia"/>
          <w:b/>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hint="eastAsia" w:ascii="仿宋_GB2312"/>
          <w:color w:val="auto"/>
          <w:szCs w:val="32"/>
          <w:lang w:val="en-US" w:eastAsia="zh-CN"/>
        </w:rPr>
        <w:t>本单位</w:t>
      </w:r>
      <w:r>
        <w:rPr>
          <w:rFonts w:hint="eastAsia"/>
          <w:b/>
          <w:color w:val="auto"/>
          <w:szCs w:val="32"/>
        </w:rPr>
        <w:t>无三公经费。</w:t>
      </w:r>
    </w:p>
    <w:p>
      <w:pPr>
        <w:pStyle w:val="9"/>
        <w:tabs>
          <w:tab w:val="left" w:pos="5760"/>
        </w:tabs>
        <w:spacing w:before="0" w:beforeAutospacing="0" w:after="0" w:afterAutospacing="0"/>
        <w:ind w:firstLine="640" w:firstLineChars="200"/>
        <w:rPr>
          <w:rFonts w:hint="eastAsia" w:ascii="仿宋_GB2312" w:hAnsi="宋体" w:eastAsia="仿宋_GB2312"/>
          <w:color w:val="auto"/>
          <w:sz w:val="32"/>
          <w:szCs w:val="32"/>
        </w:rPr>
      </w:pPr>
      <w:r>
        <w:rPr>
          <w:rFonts w:hint="eastAsia" w:ascii="仿宋_GB2312"/>
          <w:color w:val="auto"/>
          <w:sz w:val="32"/>
          <w:szCs w:val="32"/>
          <w:lang w:val="en-US" w:eastAsia="zh-CN"/>
        </w:rPr>
        <w:t>2021</w:t>
      </w:r>
      <w:r>
        <w:rPr>
          <w:rFonts w:hint="eastAsia" w:ascii="仿宋_GB2312" w:hAnsi="宋体" w:eastAsia="仿宋_GB2312"/>
          <w:color w:val="auto"/>
          <w:sz w:val="32"/>
          <w:szCs w:val="32"/>
        </w:rPr>
        <w:t>年“三公”经费支出情况，分三项和20</w:t>
      </w:r>
      <w:r>
        <w:rPr>
          <w:rFonts w:hint="eastAsia" w:ascii="仿宋_GB2312"/>
          <w:color w:val="auto"/>
          <w:sz w:val="32"/>
          <w:szCs w:val="32"/>
          <w:lang w:val="en-US" w:eastAsia="zh-CN"/>
        </w:rPr>
        <w:t>20</w:t>
      </w:r>
      <w:r>
        <w:rPr>
          <w:rFonts w:hint="eastAsia" w:ascii="仿宋_GB2312" w:hAnsi="宋体" w:eastAsia="仿宋_GB2312"/>
          <w:color w:val="auto"/>
          <w:sz w:val="32"/>
          <w:szCs w:val="32"/>
        </w:rPr>
        <w:t>年相比。</w:t>
      </w:r>
    </w:p>
    <w:tbl>
      <w:tblPr>
        <w:tblStyle w:val="11"/>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9"/>
              <w:spacing w:before="0" w:beforeAutospacing="0" w:after="0" w:afterAutospacing="0" w:line="300" w:lineRule="exact"/>
              <w:ind w:firstLine="2368" w:firstLineChars="1123"/>
              <w:rPr>
                <w:rFonts w:hint="eastAsia"/>
                <w:b/>
                <w:color w:val="auto"/>
                <w:sz w:val="21"/>
                <w:szCs w:val="21"/>
              </w:rPr>
            </w:pPr>
            <w:r>
              <w:rPr>
                <w:rFonts w:hint="eastAsia"/>
                <w:b/>
                <w:color w:val="auto"/>
                <w:sz w:val="21"/>
                <w:szCs w:val="21"/>
              </w:rPr>
              <w:t>年度</w:t>
            </w:r>
          </w:p>
          <w:p>
            <w:pPr>
              <w:pStyle w:val="9"/>
              <w:spacing w:before="0" w:beforeAutospacing="0" w:after="0" w:afterAutospacing="0" w:line="300" w:lineRule="exact"/>
              <w:ind w:firstLine="310" w:firstLineChars="147"/>
              <w:rPr>
                <w:rFonts w:hint="eastAsia"/>
                <w:b/>
                <w:color w:val="auto"/>
                <w:sz w:val="28"/>
                <w:szCs w:val="28"/>
              </w:rPr>
            </w:pPr>
            <w:r>
              <w:rPr>
                <w:rFonts w:hint="eastAsia"/>
                <w:b/>
                <w:color w:val="auto"/>
                <w:sz w:val="21"/>
                <w:szCs w:val="21"/>
              </w:rPr>
              <w:t>项目</w:t>
            </w:r>
          </w:p>
        </w:tc>
        <w:tc>
          <w:tcPr>
            <w:tcW w:w="1701" w:type="dxa"/>
            <w:vAlign w:val="top"/>
          </w:tcPr>
          <w:p>
            <w:pPr>
              <w:pStyle w:val="9"/>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20</w:t>
            </w:r>
            <w:r>
              <w:rPr>
                <w:rFonts w:hint="eastAsia"/>
                <w:b/>
                <w:color w:val="auto"/>
                <w:sz w:val="28"/>
                <w:szCs w:val="28"/>
              </w:rPr>
              <w:t>年</w:t>
            </w:r>
          </w:p>
        </w:tc>
        <w:tc>
          <w:tcPr>
            <w:tcW w:w="1701" w:type="dxa"/>
            <w:vAlign w:val="top"/>
          </w:tcPr>
          <w:p>
            <w:pPr>
              <w:pStyle w:val="9"/>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21</w:t>
            </w:r>
            <w:r>
              <w:rPr>
                <w:rFonts w:hint="eastAsia"/>
                <w:b/>
                <w:color w:val="auto"/>
                <w:sz w:val="28"/>
                <w:szCs w:val="28"/>
              </w:rPr>
              <w:t>年</w:t>
            </w:r>
          </w:p>
        </w:tc>
        <w:tc>
          <w:tcPr>
            <w:tcW w:w="1418" w:type="dxa"/>
            <w:vAlign w:val="top"/>
          </w:tcPr>
          <w:p>
            <w:pPr>
              <w:pStyle w:val="9"/>
              <w:ind w:left="0" w:leftChars="0" w:firstLine="0" w:firstLineChars="0"/>
              <w:jc w:val="both"/>
              <w:rPr>
                <w:rFonts w:hint="eastAsia"/>
                <w:b/>
                <w:color w:val="auto"/>
                <w:sz w:val="28"/>
                <w:szCs w:val="28"/>
              </w:rPr>
            </w:pPr>
            <w:r>
              <w:rPr>
                <w:rFonts w:hint="eastAsia"/>
                <w:b/>
                <w:color w:val="auto"/>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9"/>
              <w:rPr>
                <w:rFonts w:hint="eastAsia"/>
                <w:color w:val="auto"/>
                <w:sz w:val="28"/>
                <w:szCs w:val="28"/>
              </w:rPr>
            </w:pPr>
            <w:r>
              <w:rPr>
                <w:rFonts w:hint="eastAsia"/>
                <w:color w:val="auto"/>
                <w:sz w:val="28"/>
                <w:szCs w:val="28"/>
              </w:rPr>
              <w:t>因公出国（境）费</w:t>
            </w:r>
          </w:p>
        </w:tc>
        <w:tc>
          <w:tcPr>
            <w:tcW w:w="1701" w:type="dxa"/>
            <w:vAlign w:val="top"/>
          </w:tcPr>
          <w:p>
            <w:pPr>
              <w:pStyle w:val="9"/>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9"/>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9"/>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9"/>
              <w:rPr>
                <w:rFonts w:hint="eastAsia"/>
                <w:color w:val="auto"/>
                <w:sz w:val="28"/>
                <w:szCs w:val="28"/>
              </w:rPr>
            </w:pPr>
            <w:r>
              <w:rPr>
                <w:rFonts w:hint="eastAsia"/>
                <w:color w:val="auto"/>
                <w:sz w:val="28"/>
                <w:szCs w:val="28"/>
              </w:rPr>
              <w:t>公务接待费</w:t>
            </w:r>
          </w:p>
        </w:tc>
        <w:tc>
          <w:tcPr>
            <w:tcW w:w="1701" w:type="dxa"/>
            <w:vAlign w:val="top"/>
          </w:tcPr>
          <w:p>
            <w:pPr>
              <w:pStyle w:val="9"/>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9"/>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9"/>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9"/>
              <w:ind w:left="0" w:leftChars="0" w:firstLine="0" w:firstLineChars="0"/>
              <w:rPr>
                <w:rFonts w:hint="eastAsia"/>
                <w:color w:val="auto"/>
                <w:sz w:val="28"/>
                <w:szCs w:val="28"/>
              </w:rPr>
            </w:pPr>
            <w:r>
              <w:rPr>
                <w:rFonts w:hint="eastAsia"/>
                <w:color w:val="auto"/>
                <w:sz w:val="28"/>
                <w:szCs w:val="28"/>
              </w:rPr>
              <w:t>公务用车购置及运行维护费</w:t>
            </w:r>
          </w:p>
        </w:tc>
        <w:tc>
          <w:tcPr>
            <w:tcW w:w="1701" w:type="dxa"/>
            <w:vAlign w:val="top"/>
          </w:tcPr>
          <w:p>
            <w:pPr>
              <w:pStyle w:val="9"/>
              <w:jc w:val="right"/>
              <w:rPr>
                <w:rFonts w:hint="default" w:eastAsia="宋体"/>
                <w:color w:val="auto"/>
                <w:sz w:val="28"/>
                <w:szCs w:val="28"/>
                <w:lang w:val="en-US" w:eastAsia="zh-CN"/>
              </w:rPr>
            </w:pPr>
            <w:r>
              <w:rPr>
                <w:rFonts w:hint="eastAsia" w:eastAsia="宋体"/>
                <w:color w:val="auto"/>
                <w:sz w:val="28"/>
                <w:szCs w:val="28"/>
                <w:lang w:val="en-US" w:eastAsia="zh-CN"/>
              </w:rPr>
              <w:t>0</w:t>
            </w:r>
          </w:p>
        </w:tc>
        <w:tc>
          <w:tcPr>
            <w:tcW w:w="1701" w:type="dxa"/>
            <w:vAlign w:val="top"/>
          </w:tcPr>
          <w:p>
            <w:pPr>
              <w:pStyle w:val="9"/>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9"/>
              <w:jc w:val="right"/>
              <w:rPr>
                <w:rFonts w:hint="eastAsia" w:eastAsia="宋体"/>
                <w:color w:val="auto"/>
                <w:sz w:val="28"/>
                <w:szCs w:val="28"/>
                <w:lang w:val="en-US" w:eastAsia="zh-CN"/>
              </w:rPr>
            </w:pPr>
          </w:p>
        </w:tc>
      </w:tr>
    </w:tbl>
    <w:p>
      <w:pPr>
        <w:pStyle w:val="9"/>
        <w:spacing w:before="0" w:beforeAutospacing="0" w:after="0" w:afterAutospacing="0"/>
        <w:rPr>
          <w:rFonts w:hint="eastAsia"/>
          <w:b/>
          <w:color w:val="auto"/>
          <w:szCs w:val="32"/>
        </w:rPr>
      </w:pPr>
    </w:p>
    <w:p>
      <w:pPr>
        <w:pStyle w:val="3"/>
        <w:rPr>
          <w:rFonts w:hint="eastAsia" w:ascii="仿宋" w:hAnsi="仿宋" w:eastAsia="仿宋" w:cs="仿宋"/>
          <w:b/>
          <w:bCs w:val="0"/>
          <w:color w:val="auto"/>
          <w:lang w:val="en-US" w:eastAsia="zh-CN"/>
        </w:rPr>
      </w:pPr>
      <w:bookmarkStart w:id="23" w:name="_Toc9078"/>
      <w:bookmarkStart w:id="24" w:name="_Toc1792"/>
      <w:r>
        <w:rPr>
          <w:rFonts w:hint="eastAsia" w:ascii="仿宋" w:hAnsi="仿宋" w:eastAsia="仿宋" w:cs="仿宋"/>
          <w:b/>
          <w:bCs w:val="0"/>
          <w:color w:val="auto"/>
          <w:lang w:val="en-US" w:eastAsia="zh-CN"/>
        </w:rPr>
        <w:t>八、其他重要事项情况说明</w:t>
      </w:r>
      <w:bookmarkEnd w:id="23"/>
      <w:bookmarkEnd w:id="24"/>
    </w:p>
    <w:p>
      <w:pPr>
        <w:rPr>
          <w:rFonts w:hint="eastAsia"/>
          <w:b/>
          <w:bCs/>
          <w:color w:val="auto"/>
        </w:rPr>
      </w:pPr>
      <w:bookmarkStart w:id="25" w:name="_Toc23407"/>
      <w:r>
        <w:rPr>
          <w:rFonts w:hint="eastAsia"/>
          <w:b/>
          <w:bCs/>
          <w:color w:val="auto"/>
        </w:rPr>
        <w:t>（一）机关运行经费支出情况说明</w:t>
      </w:r>
      <w:bookmarkEnd w:id="25"/>
    </w:p>
    <w:p>
      <w:pPr>
        <w:spacing w:line="580" w:lineRule="exact"/>
        <w:ind w:firstLine="640"/>
        <w:rPr>
          <w:rFonts w:hint="default" w:eastAsia="仿宋_GB2312"/>
          <w:b/>
          <w:color w:val="auto"/>
          <w:szCs w:val="32"/>
          <w:lang w:val="en-US" w:eastAsia="zh-CN"/>
        </w:rPr>
      </w:pPr>
      <w:r>
        <w:rPr>
          <w:rFonts w:hint="eastAsia" w:ascii="仿宋_GB2312" w:hAnsi="宋体"/>
          <w:color w:val="auto"/>
          <w:szCs w:val="32"/>
        </w:rPr>
        <w:t>20</w:t>
      </w:r>
      <w:r>
        <w:rPr>
          <w:rFonts w:hint="eastAsia" w:ascii="仿宋_GB2312" w:hAnsi="宋体"/>
          <w:color w:val="auto"/>
          <w:szCs w:val="32"/>
          <w:lang w:val="en-US" w:eastAsia="zh-CN"/>
        </w:rPr>
        <w:t>21</w:t>
      </w:r>
      <w:r>
        <w:rPr>
          <w:rFonts w:hint="eastAsia" w:ascii="仿宋_GB2312" w:hAnsi="宋体"/>
          <w:color w:val="auto"/>
          <w:szCs w:val="32"/>
        </w:rPr>
        <w:t>年本</w:t>
      </w:r>
      <w:r>
        <w:rPr>
          <w:rFonts w:hint="eastAsia" w:ascii="仿宋_GB2312" w:hAnsi="宋体"/>
          <w:color w:val="auto"/>
          <w:szCs w:val="32"/>
          <w:lang w:val="en-US" w:eastAsia="zh-CN"/>
        </w:rPr>
        <w:t>单位</w:t>
      </w:r>
      <w:r>
        <w:rPr>
          <w:rFonts w:hint="eastAsia" w:ascii="仿宋_GB2312" w:hAnsi="宋体"/>
          <w:color w:val="auto"/>
          <w:szCs w:val="32"/>
        </w:rPr>
        <w:t>机关运行经费支出</w:t>
      </w:r>
      <w:r>
        <w:rPr>
          <w:rFonts w:hint="eastAsia" w:ascii="仿宋_GB2312" w:hAnsi="宋体"/>
          <w:color w:val="auto"/>
          <w:szCs w:val="32"/>
          <w:lang w:val="en-US" w:eastAsia="zh-CN"/>
        </w:rPr>
        <w:t>8.89</w:t>
      </w:r>
      <w:r>
        <w:rPr>
          <w:rFonts w:hint="eastAsia" w:ascii="仿宋_GB2312" w:hAnsi="宋体"/>
          <w:color w:val="auto"/>
          <w:szCs w:val="32"/>
        </w:rPr>
        <w:t>万元比20</w:t>
      </w:r>
      <w:r>
        <w:rPr>
          <w:rFonts w:hint="eastAsia" w:ascii="仿宋_GB2312" w:hAnsi="宋体"/>
          <w:color w:val="auto"/>
          <w:szCs w:val="32"/>
          <w:lang w:val="en-US" w:eastAsia="zh-CN"/>
        </w:rPr>
        <w:t>20</w:t>
      </w:r>
      <w:r>
        <w:rPr>
          <w:rFonts w:hint="eastAsia" w:ascii="仿宋_GB2312" w:hAnsi="宋体"/>
          <w:color w:val="auto"/>
          <w:szCs w:val="32"/>
        </w:rPr>
        <w:t>年增加</w:t>
      </w:r>
      <w:r>
        <w:rPr>
          <w:rFonts w:hint="eastAsia" w:ascii="仿宋_GB2312" w:hAnsi="宋体"/>
          <w:color w:val="auto"/>
          <w:szCs w:val="32"/>
          <w:lang w:val="en-US" w:eastAsia="zh-CN"/>
        </w:rPr>
        <w:t>1.02</w:t>
      </w:r>
      <w:r>
        <w:rPr>
          <w:rFonts w:hint="eastAsia" w:ascii="仿宋_GB2312" w:hAnsi="宋体"/>
          <w:color w:val="auto"/>
          <w:szCs w:val="32"/>
        </w:rPr>
        <w:t>万元，增长</w:t>
      </w:r>
      <w:r>
        <w:rPr>
          <w:rFonts w:hint="eastAsia" w:ascii="仿宋_GB2312" w:hAnsi="宋体"/>
          <w:color w:val="auto"/>
          <w:szCs w:val="32"/>
          <w:lang w:val="en-US" w:eastAsia="zh-CN"/>
        </w:rPr>
        <w:t>12.96</w:t>
      </w:r>
      <w:r>
        <w:rPr>
          <w:rFonts w:hint="eastAsia" w:ascii="仿宋_GB2312" w:hAnsi="宋体"/>
          <w:color w:val="auto"/>
          <w:szCs w:val="32"/>
        </w:rPr>
        <w:t>%。主要原因是：</w:t>
      </w:r>
      <w:r>
        <w:rPr>
          <w:rFonts w:hint="eastAsia" w:ascii="仿宋_GB2312" w:hAnsi="宋体"/>
          <w:color w:val="auto"/>
          <w:szCs w:val="32"/>
          <w:lang w:val="en-US" w:eastAsia="zh-CN"/>
        </w:rPr>
        <w:t>本单位经费增加。</w:t>
      </w:r>
    </w:p>
    <w:p>
      <w:pPr>
        <w:rPr>
          <w:rFonts w:hint="eastAsia"/>
          <w:b/>
          <w:bCs/>
          <w:color w:val="auto"/>
        </w:rPr>
      </w:pPr>
      <w:bookmarkStart w:id="26" w:name="_Toc16103"/>
      <w:r>
        <w:rPr>
          <w:rFonts w:hint="eastAsia"/>
          <w:b/>
          <w:bCs/>
          <w:color w:val="auto"/>
        </w:rPr>
        <w:t>（二）政府采购情况说明</w:t>
      </w:r>
      <w:bookmarkEnd w:id="26"/>
    </w:p>
    <w:p>
      <w:pPr>
        <w:rPr>
          <w:rFonts w:hint="eastAsia" w:ascii="仿宋_GB2312"/>
          <w:color w:val="auto"/>
          <w:szCs w:val="32"/>
          <w:lang w:eastAsia="zh-CN"/>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2.80</w:t>
      </w:r>
      <w:r>
        <w:rPr>
          <w:rFonts w:hint="eastAsia" w:ascii="仿宋_GB2312"/>
          <w:color w:val="auto"/>
          <w:szCs w:val="32"/>
        </w:rPr>
        <w:t>万元，其中：政府采购货物支出</w:t>
      </w:r>
      <w:r>
        <w:rPr>
          <w:rFonts w:hint="eastAsia" w:ascii="仿宋_GB2312"/>
          <w:color w:val="auto"/>
          <w:szCs w:val="32"/>
          <w:lang w:val="en-US" w:eastAsia="zh-CN"/>
        </w:rPr>
        <w:t>2.80</w:t>
      </w:r>
      <w:r>
        <w:rPr>
          <w:rFonts w:hint="eastAsia" w:ascii="仿宋_GB2312"/>
          <w:color w:val="auto"/>
          <w:szCs w:val="32"/>
        </w:rPr>
        <w:t>万元</w:t>
      </w:r>
      <w:r>
        <w:rPr>
          <w:rFonts w:hint="eastAsia" w:ascii="仿宋_GB2312"/>
          <w:color w:val="auto"/>
          <w:szCs w:val="32"/>
          <w:lang w:eastAsia="zh-CN"/>
        </w:rPr>
        <w:t>。</w:t>
      </w:r>
    </w:p>
    <w:p>
      <w:pPr>
        <w:rPr>
          <w:rFonts w:hint="eastAsia"/>
          <w:b/>
          <w:bCs/>
          <w:color w:val="auto"/>
        </w:rPr>
      </w:pPr>
      <w:bookmarkStart w:id="27" w:name="_Toc19975"/>
      <w:r>
        <w:rPr>
          <w:rFonts w:hint="eastAsia"/>
          <w:b/>
          <w:bCs/>
          <w:color w:val="auto"/>
        </w:rPr>
        <w:t>（三）国有资产占用情况说明</w:t>
      </w:r>
      <w:bookmarkEnd w:id="27"/>
    </w:p>
    <w:p>
      <w:pPr>
        <w:spacing w:line="580" w:lineRule="exact"/>
        <w:ind w:left="0" w:leftChars="0" w:firstLine="640" w:firstLineChars="20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年12月31日，本部门车</w:t>
      </w:r>
      <w:r>
        <w:rPr>
          <w:rFonts w:hint="eastAsia" w:ascii="仿宋_GB2312"/>
          <w:color w:val="auto"/>
          <w:szCs w:val="32"/>
          <w:lang w:val="en-US" w:eastAsia="zh-CN"/>
        </w:rPr>
        <w:t>无</w:t>
      </w:r>
      <w:r>
        <w:rPr>
          <w:rFonts w:hint="eastAsia" w:ascii="仿宋_GB2312"/>
          <w:color w:val="auto"/>
          <w:szCs w:val="32"/>
        </w:rPr>
        <w:t>辆。单价50万元（含）以上的通用设备</w:t>
      </w:r>
      <w:r>
        <w:rPr>
          <w:rFonts w:hint="eastAsia" w:ascii="仿宋_GB2312"/>
          <w:color w:val="auto"/>
          <w:szCs w:val="32"/>
          <w:lang w:val="en-US" w:eastAsia="zh-CN"/>
        </w:rPr>
        <w:t>无</w:t>
      </w:r>
      <w:r>
        <w:rPr>
          <w:rFonts w:hint="eastAsia" w:ascii="仿宋_GB2312"/>
          <w:color w:val="auto"/>
          <w:szCs w:val="32"/>
        </w:rPr>
        <w:t>，单价100万元（含）以上专用设备</w:t>
      </w:r>
      <w:r>
        <w:rPr>
          <w:rFonts w:hint="eastAsia" w:ascii="仿宋_GB2312"/>
          <w:color w:val="auto"/>
          <w:szCs w:val="32"/>
          <w:lang w:val="en-US" w:eastAsia="zh-CN"/>
        </w:rPr>
        <w:t>无</w:t>
      </w:r>
      <w:r>
        <w:rPr>
          <w:rFonts w:hint="eastAsia" w:ascii="仿宋_GB2312"/>
          <w:color w:val="auto"/>
          <w:szCs w:val="32"/>
        </w:rPr>
        <w:t>。</w:t>
      </w:r>
    </w:p>
    <w:p>
      <w:pPr>
        <w:rPr>
          <w:rFonts w:hint="eastAsia"/>
          <w:b/>
          <w:bCs/>
          <w:color w:val="auto"/>
        </w:rPr>
      </w:pPr>
      <w:r>
        <w:rPr>
          <w:rFonts w:hint="eastAsia"/>
          <w:b/>
          <w:bCs/>
          <w:color w:val="auto"/>
          <w:lang w:eastAsia="zh-CN"/>
        </w:rPr>
        <w:t>（</w:t>
      </w:r>
      <w:r>
        <w:rPr>
          <w:rFonts w:hint="eastAsia"/>
          <w:b/>
          <w:bCs/>
          <w:color w:val="auto"/>
          <w:lang w:val="en-US" w:eastAsia="zh-CN"/>
        </w:rPr>
        <w:t>四）</w:t>
      </w:r>
      <w:r>
        <w:rPr>
          <w:rFonts w:hint="eastAsia"/>
          <w:b/>
          <w:bCs/>
          <w:color w:val="auto"/>
        </w:rPr>
        <w:t>重点项目预算的绩效目标情况说明：</w:t>
      </w:r>
    </w:p>
    <w:p>
      <w:pPr>
        <w:numPr>
          <w:ilvl w:val="0"/>
          <w:numId w:val="0"/>
        </w:numPr>
        <w:ind w:firstLine="640" w:firstLineChars="200"/>
        <w:rPr>
          <w:rFonts w:hint="eastAsia" w:ascii="仿宋_GB2312"/>
          <w:color w:val="auto"/>
          <w:szCs w:val="32"/>
          <w:lang w:val="en-US" w:eastAsia="zh-CN"/>
        </w:rPr>
      </w:pPr>
      <w:bookmarkStart w:id="28" w:name="_Toc8450"/>
      <w:bookmarkStart w:id="29" w:name="_Toc28108"/>
      <w:r>
        <w:rPr>
          <w:rFonts w:hint="eastAsia" w:ascii="仿宋_GB2312"/>
          <w:color w:val="auto"/>
          <w:szCs w:val="32"/>
          <w:lang w:val="en-US" w:eastAsia="zh-CN"/>
        </w:rPr>
        <w:t>2021年本单位无专项资金类和200万以上经费补助类项目。</w:t>
      </w:r>
    </w:p>
    <w:p>
      <w:pPr>
        <w:numPr>
          <w:ilvl w:val="0"/>
          <w:numId w:val="2"/>
        </w:numPr>
        <w:spacing w:line="580" w:lineRule="exact"/>
        <w:ind w:firstLine="643" w:firstLineChars="200"/>
        <w:outlineLvl w:val="0"/>
        <w:rPr>
          <w:rFonts w:hint="eastAsia" w:ascii="仿宋_GB2312" w:eastAsia="仿宋_GB2312"/>
          <w:b/>
          <w:color w:val="auto"/>
          <w:szCs w:val="32"/>
          <w:lang w:val="en-US" w:eastAsia="zh-CN"/>
        </w:rPr>
      </w:pPr>
      <w:r>
        <w:rPr>
          <w:rFonts w:hint="eastAsia" w:ascii="仿宋_GB2312"/>
          <w:b/>
          <w:color w:val="auto"/>
          <w:szCs w:val="32"/>
        </w:rPr>
        <w:t>其他需要说明的事项</w:t>
      </w:r>
      <w:bookmarkEnd w:id="28"/>
      <w:bookmarkEnd w:id="29"/>
    </w:p>
    <w:p>
      <w:pPr>
        <w:numPr>
          <w:ilvl w:val="0"/>
          <w:numId w:val="0"/>
        </w:numPr>
        <w:spacing w:line="580" w:lineRule="exact"/>
        <w:outlineLvl w:val="0"/>
        <w:rPr>
          <w:rFonts w:hint="default" w:ascii="仿宋_GB2312" w:eastAsia="仿宋_GB2312"/>
          <w:b/>
          <w:color w:val="auto"/>
          <w:szCs w:val="32"/>
          <w:lang w:val="en-US" w:eastAsia="zh-CN"/>
        </w:rPr>
      </w:pPr>
      <w:r>
        <w:rPr>
          <w:rFonts w:hint="eastAsia" w:ascii="仿宋_GB2312"/>
          <w:b/>
          <w:color w:val="auto"/>
          <w:szCs w:val="32"/>
          <w:lang w:val="en-US" w:eastAsia="zh-CN"/>
        </w:rPr>
        <w:t xml:space="preserve">   </w:t>
      </w:r>
      <w:r>
        <w:rPr>
          <w:rFonts w:hint="eastAsia" w:ascii="仿宋_GB2312"/>
          <w:color w:val="auto"/>
          <w:szCs w:val="32"/>
          <w:lang w:val="en-US" w:eastAsia="zh-CN"/>
        </w:rPr>
        <w:t xml:space="preserve">    无</w:t>
      </w:r>
    </w:p>
    <w:p>
      <w:pPr>
        <w:pStyle w:val="2"/>
        <w:ind w:left="0" w:leftChars="0" w:firstLine="0" w:firstLineChars="0"/>
        <w:jc w:val="center"/>
        <w:rPr>
          <w:rFonts w:hint="eastAsia"/>
          <w:b/>
          <w:color w:val="auto"/>
          <w:sz w:val="36"/>
          <w:szCs w:val="36"/>
          <w:lang w:val="en-US" w:eastAsia="zh-CN"/>
        </w:rPr>
      </w:pPr>
      <w:bookmarkStart w:id="30" w:name="_Toc8545"/>
      <w:r>
        <w:rPr>
          <w:rFonts w:hint="eastAsia"/>
          <w:b/>
          <w:color w:val="auto"/>
          <w:sz w:val="36"/>
          <w:szCs w:val="36"/>
          <w:lang w:val="en-US" w:eastAsia="zh-CN"/>
        </w:rPr>
        <w:t>第四部分  名词解释</w:t>
      </w:r>
      <w:bookmarkEnd w:id="30"/>
    </w:p>
    <w:p>
      <w:pPr>
        <w:spacing w:line="580" w:lineRule="exact"/>
        <w:ind w:firstLine="640"/>
        <w:rPr>
          <w:rFonts w:hint="eastAsia"/>
          <w:color w:val="auto"/>
          <w:szCs w:val="32"/>
        </w:rPr>
      </w:pPr>
      <w:r>
        <w:rPr>
          <w:rFonts w:hint="eastAsia"/>
          <w:color w:val="auto"/>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一、</w:t>
      </w:r>
      <w:r>
        <w:rPr>
          <w:rFonts w:hint="eastAsia" w:ascii="仿宋_GB2312"/>
          <w:b/>
          <w:color w:val="auto"/>
          <w:szCs w:val="32"/>
        </w:rPr>
        <w:t>财政拨款收入：</w:t>
      </w:r>
      <w:r>
        <w:rPr>
          <w:rFonts w:hint="eastAsia" w:ascii="仿宋_GB2312"/>
          <w:color w:val="auto"/>
          <w:szCs w:val="32"/>
        </w:rPr>
        <w:t>指单位从同级财政部门取得的财政预算资金。</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二、</w:t>
      </w:r>
      <w:r>
        <w:rPr>
          <w:rFonts w:hint="eastAsia" w:ascii="仿宋_GB2312"/>
          <w:b/>
          <w:color w:val="auto"/>
          <w:szCs w:val="32"/>
        </w:rPr>
        <w:t>事业收入：</w:t>
      </w:r>
      <w:r>
        <w:rPr>
          <w:rFonts w:hint="eastAsia" w:ascii="仿宋_GB2312"/>
          <w:color w:val="auto"/>
          <w:szCs w:val="32"/>
        </w:rPr>
        <w:t>指事业单位开展专业业务活动及辅助活动取得的收入。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三、</w:t>
      </w:r>
      <w:r>
        <w:rPr>
          <w:rFonts w:hint="eastAsia" w:ascii="仿宋_GB2312"/>
          <w:b/>
          <w:color w:val="auto"/>
          <w:szCs w:val="32"/>
        </w:rPr>
        <w:t>经营收入：</w:t>
      </w:r>
      <w:r>
        <w:rPr>
          <w:rFonts w:hint="eastAsia" w:ascii="仿宋_GB2312"/>
          <w:color w:val="auto"/>
          <w:szCs w:val="32"/>
        </w:rPr>
        <w:t>指事业单位在专业业务活动及其辅助活动之外开展非独立核算经营活动取得的收入。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四、</w:t>
      </w:r>
      <w:r>
        <w:rPr>
          <w:rFonts w:hint="eastAsia" w:ascii="仿宋_GB2312"/>
          <w:b/>
          <w:color w:val="auto"/>
          <w:szCs w:val="32"/>
        </w:rPr>
        <w:t>其他收入：</w:t>
      </w:r>
      <w:r>
        <w:rPr>
          <w:rFonts w:hint="eastAsia" w:ascii="仿宋_GB2312"/>
          <w:color w:val="auto"/>
          <w:szCs w:val="32"/>
        </w:rPr>
        <w:t>指单位取得的除上述收入以外的各项收</w:t>
      </w:r>
    </w:p>
    <w:p>
      <w:pPr>
        <w:spacing w:line="580" w:lineRule="exact"/>
        <w:ind w:firstLineChars="0"/>
        <w:rPr>
          <w:rFonts w:hint="eastAsia" w:ascii="仿宋_GB2312"/>
          <w:color w:val="auto"/>
          <w:szCs w:val="32"/>
        </w:rPr>
      </w:pPr>
      <w:r>
        <w:rPr>
          <w:rFonts w:hint="eastAsia" w:ascii="仿宋_GB2312"/>
          <w:color w:val="auto"/>
          <w:szCs w:val="32"/>
        </w:rPr>
        <w:t>入。主要是按规定动用的售房收入、存款利息收入等。</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五、</w:t>
      </w:r>
      <w:r>
        <w:rPr>
          <w:rFonts w:hint="eastAsia" w:ascii="仿宋_GB2312"/>
          <w:b/>
          <w:color w:val="auto"/>
          <w:szCs w:val="32"/>
        </w:rPr>
        <w:t>年初结转和结余：</w:t>
      </w:r>
      <w:r>
        <w:rPr>
          <w:rFonts w:hint="eastAsia" w:ascii="仿宋_GB2312"/>
          <w:color w:val="auto"/>
          <w:szCs w:val="32"/>
        </w:rPr>
        <w:t>指单位以前年度尚未完成、结转到本年按有关规定继续使用的资金。</w:t>
      </w:r>
    </w:p>
    <w:p>
      <w:pPr>
        <w:spacing w:line="580" w:lineRule="exact"/>
        <w:ind w:firstLine="520" w:firstLineChars="162"/>
        <w:rPr>
          <w:rFonts w:ascii="仿宋_GB2312"/>
          <w:b/>
          <w:color w:val="auto"/>
          <w:szCs w:val="32"/>
        </w:rPr>
      </w:pPr>
      <w:r>
        <w:rPr>
          <w:rFonts w:hint="eastAsia" w:ascii="仿宋_GB2312"/>
          <w:b/>
          <w:color w:val="auto"/>
          <w:szCs w:val="32"/>
          <w:lang w:val="en-US" w:eastAsia="zh-CN"/>
        </w:rPr>
        <w:t>六、</w:t>
      </w:r>
      <w:r>
        <w:rPr>
          <w:rFonts w:hint="eastAsia" w:ascii="仿宋_GB2312"/>
          <w:b/>
          <w:color w:val="auto"/>
          <w:szCs w:val="32"/>
        </w:rPr>
        <w:t>基本支出：</w:t>
      </w:r>
      <w:r>
        <w:rPr>
          <w:rFonts w:hint="eastAsia" w:ascii="仿宋_GB2312"/>
          <w:color w:val="auto"/>
          <w:szCs w:val="32"/>
        </w:rPr>
        <w:t>指为保障机构正常运转、完成日常工作任务而发生的人员支出和公用支出。</w:t>
      </w:r>
    </w:p>
    <w:p>
      <w:pPr>
        <w:spacing w:line="580" w:lineRule="exact"/>
        <w:ind w:firstLine="520" w:firstLineChars="162"/>
        <w:rPr>
          <w:rFonts w:ascii="仿宋_GB2312"/>
          <w:color w:val="auto"/>
          <w:szCs w:val="32"/>
        </w:rPr>
      </w:pPr>
      <w:r>
        <w:rPr>
          <w:rFonts w:hint="eastAsia" w:ascii="仿宋_GB2312"/>
          <w:b/>
          <w:color w:val="auto"/>
          <w:szCs w:val="32"/>
        </w:rPr>
        <w:t>七、项目支出：</w:t>
      </w:r>
      <w:r>
        <w:rPr>
          <w:rFonts w:hint="eastAsia" w:ascii="仿宋_GB2312"/>
          <w:color w:val="auto"/>
          <w:szCs w:val="32"/>
        </w:rPr>
        <w:t>指在基本支出之外为完成特定行政任务和事业发展目标所发生的支出。</w:t>
      </w:r>
    </w:p>
    <w:p>
      <w:pPr>
        <w:spacing w:line="580" w:lineRule="exact"/>
        <w:ind w:firstLine="520" w:firstLineChars="162"/>
        <w:rPr>
          <w:rFonts w:ascii="仿宋_GB2312"/>
          <w:color w:val="auto"/>
          <w:szCs w:val="32"/>
        </w:rPr>
      </w:pPr>
      <w:r>
        <w:rPr>
          <w:rFonts w:hint="eastAsia" w:ascii="仿宋_GB2312"/>
          <w:b/>
          <w:color w:val="auto"/>
          <w:szCs w:val="32"/>
        </w:rPr>
        <w:t>八、“三公”经费：</w:t>
      </w:r>
      <w:r>
        <w:rPr>
          <w:rFonts w:hint="eastAsia" w:ascii="仿宋_GB2312"/>
          <w:color w:val="auto"/>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auto"/>
          <w:szCs w:val="32"/>
        </w:rPr>
      </w:pPr>
      <w:r>
        <w:rPr>
          <w:rFonts w:hint="eastAsia" w:ascii="仿宋_GB2312"/>
          <w:b/>
          <w:color w:val="auto"/>
          <w:szCs w:val="32"/>
        </w:rPr>
        <w:t>九、机关运行经费：</w:t>
      </w:r>
      <w:r>
        <w:rPr>
          <w:rFonts w:hint="eastAsia" w:ascii="仿宋_GB2312"/>
          <w:color w:val="auto"/>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640"/>
        <w:rPr>
          <w:rFonts w:hint="default" w:ascii="仿宋_GB2312" w:eastAsia="仿宋_GB2312"/>
          <w:color w:val="auto"/>
          <w:szCs w:val="32"/>
          <w:lang w:val="en-US" w:eastAsia="zh-CN"/>
        </w:rPr>
      </w:pPr>
      <w:r>
        <w:rPr>
          <w:rFonts w:hint="eastAsia" w:ascii="仿宋_GB2312"/>
          <w:color w:val="auto"/>
          <w:szCs w:val="32"/>
          <w:lang w:val="en-US" w:eastAsia="zh-CN"/>
        </w:rPr>
        <w:t xml:space="preserve">                   单位名称：静乐县发展研究中心</w:t>
      </w:r>
    </w:p>
    <w:p>
      <w:pPr>
        <w:ind w:firstLine="4800" w:firstLineChars="1500"/>
        <w:rPr>
          <w:rFonts w:hint="eastAsia" w:eastAsia="仿宋_GB2312"/>
          <w:color w:val="auto"/>
          <w:lang w:val="en-US" w:eastAsia="zh-CN"/>
        </w:rPr>
      </w:pPr>
      <w:r>
        <w:rPr>
          <w:rFonts w:hint="eastAsia"/>
          <w:color w:val="auto"/>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0A4DC26"/>
    <w:multiLevelType w:val="singleLevel"/>
    <w:tmpl w:val="60A4DC26"/>
    <w:lvl w:ilvl="0" w:tentative="0">
      <w:start w:val="4"/>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jOTY3MWIyNDAxYzU4MjkxMTEyYzhiYmQ0MjA1ZGIifQ=="/>
  </w:docVars>
  <w:rsids>
    <w:rsidRoot w:val="495520D0"/>
    <w:rsid w:val="03696819"/>
    <w:rsid w:val="04E438AD"/>
    <w:rsid w:val="057A357B"/>
    <w:rsid w:val="083F0483"/>
    <w:rsid w:val="08705AD0"/>
    <w:rsid w:val="0975776F"/>
    <w:rsid w:val="0A0B01D5"/>
    <w:rsid w:val="0C516B9F"/>
    <w:rsid w:val="0C6E6DD0"/>
    <w:rsid w:val="10FD320B"/>
    <w:rsid w:val="110307AC"/>
    <w:rsid w:val="16654CDD"/>
    <w:rsid w:val="19236C25"/>
    <w:rsid w:val="1A16125D"/>
    <w:rsid w:val="1A4A5C33"/>
    <w:rsid w:val="1A8D3920"/>
    <w:rsid w:val="1CF31CBD"/>
    <w:rsid w:val="1D63455E"/>
    <w:rsid w:val="25477DCD"/>
    <w:rsid w:val="2701594C"/>
    <w:rsid w:val="27426717"/>
    <w:rsid w:val="2E1921EB"/>
    <w:rsid w:val="31CE032E"/>
    <w:rsid w:val="37943B50"/>
    <w:rsid w:val="3821117E"/>
    <w:rsid w:val="3A96466D"/>
    <w:rsid w:val="41D92034"/>
    <w:rsid w:val="42C12CEC"/>
    <w:rsid w:val="43FE7412"/>
    <w:rsid w:val="44401A62"/>
    <w:rsid w:val="491A05E5"/>
    <w:rsid w:val="495520D0"/>
    <w:rsid w:val="49C65B46"/>
    <w:rsid w:val="4A012068"/>
    <w:rsid w:val="4BA05E8E"/>
    <w:rsid w:val="4F1A209E"/>
    <w:rsid w:val="53A30631"/>
    <w:rsid w:val="55DC211E"/>
    <w:rsid w:val="5EC01F6A"/>
    <w:rsid w:val="615F4725"/>
    <w:rsid w:val="6279395F"/>
    <w:rsid w:val="628A2E56"/>
    <w:rsid w:val="639604E7"/>
    <w:rsid w:val="63AB51DF"/>
    <w:rsid w:val="649C6DC9"/>
    <w:rsid w:val="6A3F2195"/>
    <w:rsid w:val="712B60DD"/>
    <w:rsid w:val="715A78E4"/>
    <w:rsid w:val="72FD58B0"/>
    <w:rsid w:val="749443A6"/>
    <w:rsid w:val="7761744D"/>
    <w:rsid w:val="79B878CD"/>
    <w:rsid w:val="7B372E0C"/>
    <w:rsid w:val="7BC134D8"/>
    <w:rsid w:val="7C115D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4">
    <w:name w:val="Body Text Indent 2"/>
    <w:basedOn w:val="1"/>
    <w:qFormat/>
    <w:uiPriority w:val="0"/>
    <w:pPr>
      <w:spacing w:after="120" w:line="480" w:lineRule="auto"/>
      <w:ind w:left="420" w:leftChars="200"/>
    </w:pPr>
  </w:style>
  <w:style w:type="paragraph" w:styleId="5">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6">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2766</Words>
  <Characters>3165</Characters>
  <Lines>0</Lines>
  <Paragraphs>0</Paragraphs>
  <TotalTime>0</TotalTime>
  <ScaleCrop>false</ScaleCrop>
  <LinksUpToDate>false</LinksUpToDate>
  <CharactersWithSpaces>3332</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2022-09-15T02:46:11Z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8732FDB43EB64094B3DBF8699CB21CE8</vt:lpwstr>
  </property>
</Properties>
</file>