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21118"/>
      <w:bookmarkStart w:id="1" w:name="_Toc32048"/>
      <w:bookmarkStart w:id="2" w:name="_Toc31071"/>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鹅城镇卫生院20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rPr>
      </w:pPr>
      <w:r>
        <w:rPr>
          <w:rFonts w:hint="eastAsia"/>
        </w:rPr>
        <w:t>主要为县域内城乡居民提供基本医疗服务、公共卫生服务，自然灾害和突发公共卫生事件的医疗救治。</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rPr>
      </w:pPr>
      <w:r>
        <w:rPr>
          <w:rFonts w:hint="eastAsia"/>
        </w:rPr>
        <w:t>向县域内居民提供体检，对居民健康进行动态分析、跟踪，建立居民档案。</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rPr>
      </w:pPr>
      <w:r>
        <w:rPr>
          <w:rFonts w:hint="eastAsia"/>
        </w:rPr>
        <w:t>为县域内居民提供预防接种服务、落实国家免疫规划。</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475.01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475.01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196.81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70.74</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196.81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70.74</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移民区人员增加</w:t>
      </w:r>
      <w:r>
        <w:rPr>
          <w:rFonts w:hint="eastAsia" w:ascii="仿宋_GB2312"/>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475.01</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475.01</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475.01</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475.01</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475.01</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475.01</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196.81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70.74</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196.81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70.74</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移民区人员增加</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475.01</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196.81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70.74</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移民区人员增加</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475.01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475.01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475.01</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475.01</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278.20</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475.01</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248.42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235.37</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29.78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239.64</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242.70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475.01</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197.58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210.14</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32.73</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187.83</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+473.88%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12.39</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77.04</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475.01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287.18</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187.83</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1.9</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1.9万元，占100%。比上年增长111%</w:t>
      </w:r>
      <w:bookmarkStart w:id="33" w:name="_GoBack"/>
      <w:bookmarkEnd w:id="33"/>
      <w:r>
        <w:rPr>
          <w:rFonts w:hint="eastAsia" w:ascii="仿宋_GB2312"/>
          <w:color w:val="000000" w:themeColor="text1"/>
          <w:szCs w:val="32"/>
          <w:lang w:val="en-US" w:eastAsia="zh-CN"/>
          <w14:textFill>
            <w14:solidFill>
              <w14:schemeClr w14:val="tx1"/>
            </w14:solidFill>
          </w14:textFill>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0.9</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1.9</w:t>
            </w:r>
          </w:p>
        </w:tc>
        <w:tc>
          <w:tcPr>
            <w:tcW w:w="1418" w:type="dxa"/>
            <w:vAlign w:val="top"/>
          </w:tcPr>
          <w:p>
            <w:pPr>
              <w:pStyle w:val="8"/>
              <w:ind w:left="0" w:leftChars="0" w:firstLine="0" w:firstLineChars="0"/>
              <w:jc w:val="both"/>
              <w:rPr>
                <w:rFonts w:hint="eastAsia" w:eastAsia="宋体"/>
                <w:color w:val="000000"/>
                <w:sz w:val="28"/>
                <w:szCs w:val="28"/>
                <w:lang w:val="en-US" w:eastAsia="zh-CN"/>
              </w:rPr>
            </w:pPr>
            <w:r>
              <w:rPr>
                <w:rFonts w:hint="eastAsia" w:eastAsia="宋体"/>
                <w:color w:val="000000"/>
                <w:sz w:val="28"/>
                <w:szCs w:val="28"/>
                <w:lang w:val="en-US" w:eastAsia="zh-CN"/>
              </w:rPr>
              <w:t>+111%</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单位名称：静乐县鹅城镇卫生院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477"/>
    <w:multiLevelType w:val="singleLevel"/>
    <w:tmpl w:val="6322E477"/>
    <w:lvl w:ilvl="0" w:tentative="0">
      <w:start w:val="1"/>
      <w:numFmt w:val="chineseCounting"/>
      <w:suff w:val="nothing"/>
      <w:lvlText w:val="%1、"/>
      <w:lvlJc w:val="left"/>
    </w:lvl>
  </w:abstractNum>
  <w:abstractNum w:abstractNumId="2">
    <w:nsid w:val="6322E4A4"/>
    <w:multiLevelType w:val="singleLevel"/>
    <w:tmpl w:val="6322E4A4"/>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09714CA6"/>
    <w:rsid w:val="16654CDD"/>
    <w:rsid w:val="1A4A5C33"/>
    <w:rsid w:val="1B7B2460"/>
    <w:rsid w:val="1E00542E"/>
    <w:rsid w:val="2701594C"/>
    <w:rsid w:val="27426717"/>
    <w:rsid w:val="28B25F58"/>
    <w:rsid w:val="2B61036E"/>
    <w:rsid w:val="2F1B1FF0"/>
    <w:rsid w:val="35BA40CD"/>
    <w:rsid w:val="374D44E3"/>
    <w:rsid w:val="37943B50"/>
    <w:rsid w:val="3821117E"/>
    <w:rsid w:val="3C1569BB"/>
    <w:rsid w:val="40A83EBB"/>
    <w:rsid w:val="420F2508"/>
    <w:rsid w:val="42C12CEC"/>
    <w:rsid w:val="44401A62"/>
    <w:rsid w:val="47A927BA"/>
    <w:rsid w:val="495520D0"/>
    <w:rsid w:val="4A012068"/>
    <w:rsid w:val="53A30631"/>
    <w:rsid w:val="57DA2ED9"/>
    <w:rsid w:val="5D020210"/>
    <w:rsid w:val="5EC01F6A"/>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2022-09-15T08:42:48Z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