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华文中宋" w:hAnsi="华文中宋" w:eastAsia="华文中宋"/>
          <w:color w:val="auto"/>
          <w:sz w:val="44"/>
          <w:szCs w:val="44"/>
        </w:rPr>
      </w:pPr>
      <w:bookmarkStart w:id="0" w:name="_Toc21118"/>
      <w:bookmarkStart w:id="1" w:name="_Toc31071"/>
      <w:bookmarkStart w:id="2" w:name="_Toc32048"/>
      <w:r>
        <w:rPr>
          <w:rFonts w:hint="eastAsia" w:ascii="华文中宋" w:hAnsi="华文中宋" w:eastAsia="华文中宋"/>
          <w:color w:val="auto"/>
          <w:sz w:val="44"/>
          <w:szCs w:val="44"/>
          <w:lang w:val="en-US" w:eastAsia="zh-CN"/>
        </w:rPr>
        <w:t>静乐县静乐县幼儿园</w:t>
      </w: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w:t>
      </w:r>
    </w:p>
    <w:p>
      <w:pPr>
        <w:pStyle w:val="2"/>
        <w:ind w:firstLine="2643" w:firstLineChars="600"/>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一、本部门职责</w:t>
      </w:r>
      <w:bookmarkEnd w:id="5"/>
      <w:bookmarkEnd w:id="6"/>
    </w:p>
    <w:p>
      <w:pPr>
        <w:ind w:firstLine="1280" w:firstLineChars="400"/>
        <w:rPr>
          <w:rFonts w:hint="eastAsia"/>
          <w:color w:val="auto"/>
        </w:rPr>
      </w:pPr>
      <w:r>
        <w:rPr>
          <w:rFonts w:hint="eastAsia" w:ascii="仿宋" w:hAnsi="仿宋" w:eastAsia="仿宋" w:cs="仿宋"/>
          <w:b w:val="0"/>
          <w:bCs w:val="0"/>
          <w:color w:val="auto"/>
          <w:sz w:val="32"/>
          <w:szCs w:val="32"/>
          <w:lang w:val="en-US" w:eastAsia="zh-CN"/>
        </w:rPr>
        <w:t>静乐县幼儿园主要职责：实施幼儿教育，完成幼儿教育。</w:t>
      </w:r>
    </w:p>
    <w:p>
      <w:pPr>
        <w:pStyle w:val="3"/>
        <w:numPr>
          <w:ilvl w:val="0"/>
          <w:numId w:val="1"/>
        </w:numPr>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机构设置情况</w:t>
      </w:r>
      <w:bookmarkEnd w:id="7"/>
      <w:bookmarkEnd w:id="8"/>
    </w:p>
    <w:p>
      <w:pPr>
        <w:ind w:firstLine="640" w:firstLineChars="200"/>
        <w:jc w:val="left"/>
        <w:rPr>
          <w:rFonts w:hint="default" w:eastAsia="仿宋_GB2312"/>
          <w:color w:val="auto"/>
          <w:lang w:val="en-US" w:eastAsia="zh-CN"/>
        </w:rPr>
      </w:pPr>
      <w:r>
        <w:rPr>
          <w:rFonts w:hint="eastAsia"/>
          <w:color w:val="auto"/>
          <w:lang w:val="en-US" w:eastAsia="zh-CN"/>
        </w:rPr>
        <w:t xml:space="preserve">  </w:t>
      </w:r>
      <w:r>
        <w:rPr>
          <w:rFonts w:hint="eastAsia" w:ascii="仿宋" w:hAnsi="仿宋" w:eastAsia="仿宋" w:cs="仿宋"/>
          <w:b w:val="0"/>
          <w:bCs w:val="0"/>
          <w:color w:val="auto"/>
          <w:sz w:val="32"/>
          <w:szCs w:val="32"/>
          <w:lang w:val="en-US" w:eastAsia="zh-CN"/>
        </w:rPr>
        <w:t>静乐县幼儿园人员编制18人，其中事业编制16人，工勤人员2人。单位实有人员30人，事业人员28人，工勤2人。</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293.23</w:t>
      </w:r>
      <w:r>
        <w:rPr>
          <w:rFonts w:hint="eastAsia" w:ascii="仿宋_GB2312"/>
          <w:color w:val="auto"/>
          <w:szCs w:val="32"/>
        </w:rPr>
        <w:t>万元、支出总计</w:t>
      </w:r>
      <w:r>
        <w:rPr>
          <w:rFonts w:hint="eastAsia" w:ascii="仿宋_GB2312"/>
          <w:color w:val="auto"/>
          <w:szCs w:val="32"/>
          <w:lang w:val="en-US" w:eastAsia="zh-CN"/>
        </w:rPr>
        <w:t>293.23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增长125.58</w:t>
      </w:r>
      <w:r>
        <w:rPr>
          <w:rFonts w:hint="eastAsia" w:ascii="仿宋_GB2312"/>
          <w:color w:val="auto"/>
          <w:szCs w:val="32"/>
        </w:rPr>
        <w:t>万元，</w:t>
      </w:r>
      <w:r>
        <w:rPr>
          <w:rFonts w:hint="eastAsia" w:ascii="仿宋_GB2312"/>
          <w:color w:val="auto"/>
          <w:szCs w:val="32"/>
          <w:lang w:val="en-US" w:eastAsia="zh-CN"/>
        </w:rPr>
        <w:t>增长74.9%</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增长125.58</w:t>
      </w:r>
      <w:r>
        <w:rPr>
          <w:rFonts w:hint="eastAsia" w:ascii="仿宋_GB2312"/>
          <w:color w:val="auto"/>
          <w:szCs w:val="32"/>
        </w:rPr>
        <w:t>万元，</w:t>
      </w:r>
      <w:r>
        <w:rPr>
          <w:rFonts w:hint="eastAsia" w:ascii="仿宋_GB2312"/>
          <w:color w:val="auto"/>
          <w:szCs w:val="32"/>
          <w:lang w:val="en-US" w:eastAsia="zh-CN"/>
        </w:rPr>
        <w:t>增长74.9%</w:t>
      </w:r>
      <w:r>
        <w:rPr>
          <w:rFonts w:hint="eastAsia" w:ascii="仿宋_GB2312"/>
          <w:color w:val="auto"/>
          <w:szCs w:val="32"/>
        </w:rPr>
        <w:t>。主要原因是</w:t>
      </w:r>
      <w:r>
        <w:rPr>
          <w:rFonts w:hint="eastAsia" w:ascii="仿宋_GB2312"/>
          <w:color w:val="auto"/>
          <w:szCs w:val="32"/>
          <w:lang w:val="en-US" w:eastAsia="zh-CN"/>
        </w:rPr>
        <w:t>新增人员12人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rPr>
        <w:t>本年收入合计</w:t>
      </w:r>
      <w:r>
        <w:rPr>
          <w:rFonts w:hint="eastAsia" w:ascii="仿宋_GB2312"/>
          <w:color w:val="auto"/>
          <w:szCs w:val="32"/>
          <w:lang w:val="en-US" w:eastAsia="zh-CN"/>
        </w:rPr>
        <w:t>293.23</w:t>
      </w:r>
      <w:r>
        <w:rPr>
          <w:rFonts w:hint="eastAsia" w:ascii="仿宋_GB2312"/>
          <w:color w:val="auto"/>
          <w:szCs w:val="32"/>
        </w:rPr>
        <w:t>万元，其中：财政拨款收入</w:t>
      </w:r>
      <w:r>
        <w:rPr>
          <w:rFonts w:hint="eastAsia" w:ascii="仿宋_GB2312"/>
          <w:color w:val="auto"/>
          <w:szCs w:val="32"/>
          <w:lang w:val="en-US" w:eastAsia="zh-CN"/>
        </w:rPr>
        <w:t>293.23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val="en-US" w:eastAsia="zh-CN"/>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293.23</w:t>
      </w:r>
      <w:r>
        <w:rPr>
          <w:rFonts w:hint="eastAsia" w:ascii="仿宋_GB2312"/>
          <w:color w:val="auto"/>
          <w:szCs w:val="32"/>
        </w:rPr>
        <w:t>万元，其中：基本支出</w:t>
      </w:r>
      <w:r>
        <w:rPr>
          <w:rFonts w:hint="eastAsia" w:ascii="仿宋_GB2312"/>
          <w:color w:val="auto"/>
          <w:szCs w:val="32"/>
          <w:lang w:val="en-US" w:eastAsia="zh-CN"/>
        </w:rPr>
        <w:t>293.23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293.23</w:t>
      </w:r>
      <w:r>
        <w:rPr>
          <w:rFonts w:hint="eastAsia" w:ascii="仿宋_GB2312"/>
          <w:color w:val="auto"/>
          <w:szCs w:val="32"/>
        </w:rPr>
        <w:t>万元、支出总计</w:t>
      </w:r>
      <w:r>
        <w:rPr>
          <w:rFonts w:hint="eastAsia" w:ascii="仿宋_GB2312"/>
          <w:color w:val="auto"/>
          <w:szCs w:val="32"/>
          <w:lang w:val="en-US" w:eastAsia="zh-CN"/>
        </w:rPr>
        <w:t>293.23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增长125.58</w:t>
      </w:r>
      <w:r>
        <w:rPr>
          <w:rFonts w:hint="eastAsia" w:ascii="仿宋_GB2312"/>
          <w:color w:val="auto"/>
          <w:szCs w:val="32"/>
        </w:rPr>
        <w:t>万元，</w:t>
      </w:r>
      <w:r>
        <w:rPr>
          <w:rFonts w:hint="eastAsia" w:ascii="仿宋_GB2312"/>
          <w:color w:val="auto"/>
          <w:szCs w:val="32"/>
          <w:lang w:val="en-US" w:eastAsia="zh-CN"/>
        </w:rPr>
        <w:t>增长74.9%</w:t>
      </w:r>
      <w:r>
        <w:rPr>
          <w:rFonts w:hint="eastAsia" w:ascii="仿宋_GB2312"/>
          <w:color w:val="auto"/>
          <w:szCs w:val="32"/>
        </w:rPr>
        <w:t>，财政拨款支出总计</w:t>
      </w:r>
      <w:r>
        <w:rPr>
          <w:rFonts w:hint="eastAsia" w:ascii="仿宋_GB2312"/>
          <w:color w:val="auto"/>
          <w:szCs w:val="32"/>
          <w:lang w:val="en-US" w:eastAsia="zh-CN"/>
        </w:rPr>
        <w:t>增长125.58</w:t>
      </w:r>
      <w:r>
        <w:rPr>
          <w:rFonts w:hint="eastAsia" w:ascii="仿宋_GB2312"/>
          <w:color w:val="auto"/>
          <w:szCs w:val="32"/>
        </w:rPr>
        <w:t>万元，</w:t>
      </w:r>
      <w:r>
        <w:rPr>
          <w:rFonts w:hint="eastAsia" w:ascii="仿宋_GB2312"/>
          <w:color w:val="auto"/>
          <w:szCs w:val="32"/>
          <w:lang w:val="en-US" w:eastAsia="zh-CN"/>
        </w:rPr>
        <w:t>增长74.9%</w:t>
      </w:r>
      <w:r>
        <w:rPr>
          <w:rFonts w:hint="eastAsia" w:ascii="仿宋_GB2312"/>
          <w:color w:val="auto"/>
          <w:szCs w:val="32"/>
        </w:rPr>
        <w:t>。主要原因是</w:t>
      </w:r>
      <w:r>
        <w:rPr>
          <w:rFonts w:hint="eastAsia" w:ascii="仿宋_GB2312"/>
          <w:color w:val="auto"/>
          <w:szCs w:val="32"/>
          <w:lang w:val="en-US" w:eastAsia="zh-CN"/>
        </w:rPr>
        <w:t>新增人员12人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293.23</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增长125.58</w:t>
      </w:r>
      <w:r>
        <w:rPr>
          <w:rFonts w:hint="eastAsia" w:ascii="仿宋_GB2312"/>
          <w:color w:val="auto"/>
          <w:szCs w:val="32"/>
        </w:rPr>
        <w:t>万元，</w:t>
      </w:r>
      <w:r>
        <w:rPr>
          <w:rFonts w:hint="eastAsia" w:ascii="仿宋_GB2312"/>
          <w:color w:val="auto"/>
          <w:szCs w:val="32"/>
          <w:lang w:val="en-US" w:eastAsia="zh-CN"/>
        </w:rPr>
        <w:t>增长74.9%</w:t>
      </w:r>
      <w:r>
        <w:rPr>
          <w:rFonts w:hint="eastAsia" w:ascii="仿宋_GB2312"/>
          <w:color w:val="auto"/>
          <w:szCs w:val="32"/>
        </w:rPr>
        <w:t>。主要原因是</w:t>
      </w:r>
      <w:r>
        <w:rPr>
          <w:rFonts w:hint="eastAsia" w:ascii="仿宋_GB2312"/>
          <w:color w:val="auto"/>
          <w:szCs w:val="32"/>
          <w:lang w:val="en-US" w:eastAsia="zh-CN"/>
        </w:rPr>
        <w:t>新增人员12人</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293.23</w:t>
      </w:r>
      <w:r>
        <w:rPr>
          <w:rFonts w:hint="eastAsia" w:ascii="仿宋_GB2312"/>
          <w:color w:val="auto"/>
          <w:szCs w:val="32"/>
        </w:rPr>
        <w:t>万元</w:t>
      </w:r>
      <w:r>
        <w:rPr>
          <w:rFonts w:ascii="仿宋_GB2312"/>
          <w:color w:val="auto"/>
          <w:szCs w:val="32"/>
        </w:rPr>
        <w:t>，主要用于以下方面：</w:t>
      </w:r>
      <w:r>
        <w:rPr>
          <w:rFonts w:hint="eastAsia" w:ascii="仿宋_GB2312"/>
          <w:b w:val="0"/>
          <w:bCs/>
          <w:color w:val="auto"/>
          <w:szCs w:val="32"/>
          <w:lang w:val="en-US" w:eastAsia="zh-CN"/>
        </w:rPr>
        <w:t>教育</w:t>
      </w:r>
      <w:r>
        <w:rPr>
          <w:rFonts w:hint="eastAsia" w:ascii="仿宋_GB2312"/>
          <w:color w:val="auto"/>
          <w:szCs w:val="32"/>
        </w:rPr>
        <w:t>支出</w:t>
      </w:r>
      <w:r>
        <w:rPr>
          <w:rFonts w:hint="eastAsia" w:ascii="仿宋_GB2312"/>
          <w:color w:val="auto"/>
          <w:szCs w:val="32"/>
          <w:lang w:val="en-US" w:eastAsia="zh-CN"/>
        </w:rPr>
        <w:t>293.23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ascii="仿宋_GB2312"/>
          <w:color w:val="auto"/>
          <w:szCs w:val="32"/>
          <w:lang w:val="en-US" w:eastAsia="zh-CN"/>
        </w:rPr>
        <w:t>293.23</w:t>
      </w:r>
      <w:r>
        <w:rPr>
          <w:rFonts w:hint="eastAsia"/>
          <w:color w:val="auto"/>
          <w:szCs w:val="32"/>
        </w:rPr>
        <w:t>万元，支出决算</w:t>
      </w:r>
      <w:r>
        <w:rPr>
          <w:rFonts w:hint="eastAsia" w:ascii="仿宋_GB2312"/>
          <w:color w:val="auto"/>
          <w:szCs w:val="32"/>
          <w:lang w:val="en-US" w:eastAsia="zh-CN"/>
        </w:rPr>
        <w:t>293.23</w:t>
      </w:r>
      <w:r>
        <w:rPr>
          <w:rFonts w:hint="eastAsia"/>
          <w:color w:val="auto"/>
          <w:szCs w:val="32"/>
        </w:rPr>
        <w:t>万元，完</w:t>
      </w:r>
      <w:bookmarkStart w:id="33" w:name="_GoBack"/>
      <w:bookmarkEnd w:id="33"/>
      <w:r>
        <w:rPr>
          <w:rFonts w:hint="eastAsia"/>
          <w:color w:val="auto"/>
          <w:szCs w:val="32"/>
        </w:rPr>
        <w:t>成年初预算的</w:t>
      </w:r>
      <w:r>
        <w:rPr>
          <w:rFonts w:hint="eastAsia"/>
          <w:color w:val="auto"/>
          <w:szCs w:val="32"/>
          <w:lang w:val="en-US" w:eastAsia="zh-CN"/>
        </w:rPr>
        <w:t>100%</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p>
        </w:tc>
        <w:tc>
          <w:tcPr>
            <w:tcW w:w="2479" w:type="dxa"/>
            <w:vAlign w:val="top"/>
          </w:tcPr>
          <w:p>
            <w:pPr>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财政事务</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2010601</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行政运行</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2010602</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一般行政管理事务</w:t>
            </w:r>
          </w:p>
        </w:tc>
        <w:tc>
          <w:tcPr>
            <w:tcW w:w="1876" w:type="dxa"/>
            <w:vAlign w:val="top"/>
          </w:tcPr>
          <w:p>
            <w:pPr>
              <w:jc w:val="left"/>
              <w:rPr>
                <w:rFonts w:hint="eastAsia" w:ascii="仿宋" w:hAnsi="仿宋" w:eastAsia="仿宋" w:cs="仿宋"/>
                <w:color w:val="auto"/>
                <w:sz w:val="24"/>
                <w:szCs w:val="24"/>
              </w:rPr>
            </w:pPr>
          </w:p>
        </w:tc>
        <w:tc>
          <w:tcPr>
            <w:tcW w:w="1684" w:type="dxa"/>
            <w:vAlign w:val="top"/>
          </w:tcPr>
          <w:p>
            <w:pPr>
              <w:ind w:firstLine="720" w:firstLineChars="300"/>
              <w:jc w:val="left"/>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5</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财政国库业务</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7</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信息化建设</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201060</w:t>
            </w:r>
            <w:r>
              <w:rPr>
                <w:rFonts w:hint="eastAsia" w:ascii="仿宋" w:hAnsi="仿宋" w:eastAsia="仿宋" w:cs="仿宋"/>
                <w:color w:val="auto"/>
                <w:sz w:val="24"/>
                <w:szCs w:val="24"/>
                <w:lang w:val="en-US" w:eastAsia="zh-CN"/>
              </w:rPr>
              <w:t>8</w:t>
            </w:r>
          </w:p>
        </w:tc>
        <w:tc>
          <w:tcPr>
            <w:tcW w:w="2479"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财政委托业务支出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20106</w:t>
            </w:r>
            <w:r>
              <w:rPr>
                <w:rFonts w:hint="eastAsia" w:ascii="仿宋" w:hAnsi="仿宋" w:eastAsia="仿宋" w:cs="仿宋"/>
                <w:color w:val="auto"/>
                <w:sz w:val="24"/>
                <w:szCs w:val="24"/>
                <w:lang w:val="en-US" w:eastAsia="zh-CN"/>
              </w:rPr>
              <w:t>50</w:t>
            </w:r>
          </w:p>
        </w:tc>
        <w:tc>
          <w:tcPr>
            <w:tcW w:w="2479"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财政事业运行</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167.65</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293.23</w:t>
            </w:r>
          </w:p>
        </w:tc>
        <w:tc>
          <w:tcPr>
            <w:tcW w:w="1393"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20504</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成人教育</w:t>
            </w:r>
          </w:p>
        </w:tc>
        <w:tc>
          <w:tcPr>
            <w:tcW w:w="1876" w:type="dxa"/>
            <w:vAlign w:val="top"/>
          </w:tcPr>
          <w:p>
            <w:pPr>
              <w:jc w:val="left"/>
              <w:rPr>
                <w:rFonts w:hint="eastAsia" w:ascii="仿宋" w:hAnsi="仿宋" w:eastAsia="仿宋" w:cs="仿宋"/>
                <w:color w:val="auto"/>
                <w:sz w:val="24"/>
                <w:szCs w:val="24"/>
              </w:rPr>
            </w:pPr>
          </w:p>
        </w:tc>
        <w:tc>
          <w:tcPr>
            <w:tcW w:w="1684" w:type="dxa"/>
            <w:vAlign w:val="top"/>
          </w:tcPr>
          <w:p>
            <w:pPr>
              <w:jc w:val="left"/>
              <w:rPr>
                <w:rFonts w:hint="eastAsia" w:ascii="仿宋" w:hAnsi="仿宋" w:eastAsia="仿宋" w:cs="仿宋"/>
                <w:color w:val="auto"/>
                <w:sz w:val="24"/>
                <w:szCs w:val="24"/>
              </w:rPr>
            </w:pPr>
          </w:p>
        </w:tc>
        <w:tc>
          <w:tcPr>
            <w:tcW w:w="1393" w:type="dxa"/>
            <w:vAlign w:val="top"/>
          </w:tcPr>
          <w:p>
            <w:pPr>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2050499</w:t>
            </w:r>
          </w:p>
        </w:tc>
        <w:tc>
          <w:tcPr>
            <w:tcW w:w="2479"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 其他成人教育支出</w:t>
            </w:r>
          </w:p>
        </w:tc>
        <w:tc>
          <w:tcPr>
            <w:tcW w:w="1876" w:type="dxa"/>
            <w:vAlign w:val="top"/>
          </w:tcPr>
          <w:p>
            <w:pPr>
              <w:jc w:val="left"/>
              <w:rPr>
                <w:rFonts w:hint="eastAsia" w:ascii="仿宋" w:hAnsi="仿宋" w:eastAsia="仿宋" w:cs="仿宋"/>
                <w:color w:val="auto"/>
                <w:sz w:val="24"/>
                <w:szCs w:val="24"/>
              </w:rPr>
            </w:pPr>
          </w:p>
        </w:tc>
        <w:tc>
          <w:tcPr>
            <w:tcW w:w="1684" w:type="dxa"/>
            <w:vAlign w:val="top"/>
          </w:tcPr>
          <w:p>
            <w:pPr>
              <w:jc w:val="left"/>
              <w:rPr>
                <w:rFonts w:hint="eastAsia" w:ascii="仿宋" w:hAnsi="仿宋" w:eastAsia="仿宋" w:cs="仿宋"/>
                <w:color w:val="auto"/>
                <w:sz w:val="24"/>
                <w:szCs w:val="24"/>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pPr>
              <w:jc w:val="left"/>
              <w:rPr>
                <w:rFonts w:hint="eastAsia" w:ascii="仿宋" w:hAnsi="仿宋" w:eastAsia="仿宋" w:cs="仿宋"/>
                <w:color w:val="auto"/>
                <w:sz w:val="24"/>
                <w:szCs w:val="24"/>
              </w:rPr>
            </w:pPr>
          </w:p>
        </w:tc>
        <w:tc>
          <w:tcPr>
            <w:tcW w:w="1684" w:type="dxa"/>
            <w:vAlign w:val="top"/>
          </w:tcPr>
          <w:p>
            <w:pPr>
              <w:jc w:val="left"/>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22999</w:t>
            </w:r>
          </w:p>
        </w:tc>
        <w:tc>
          <w:tcPr>
            <w:tcW w:w="2479"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rPr>
              <w:t>其他支出</w:t>
            </w:r>
          </w:p>
        </w:tc>
        <w:tc>
          <w:tcPr>
            <w:tcW w:w="1876" w:type="dxa"/>
            <w:vAlign w:val="top"/>
          </w:tcPr>
          <w:p>
            <w:pPr>
              <w:jc w:val="left"/>
              <w:rPr>
                <w:rFonts w:hint="eastAsia" w:ascii="仿宋" w:hAnsi="仿宋" w:eastAsia="仿宋" w:cs="仿宋"/>
                <w:color w:val="auto"/>
                <w:sz w:val="24"/>
                <w:szCs w:val="24"/>
              </w:rPr>
            </w:pPr>
          </w:p>
        </w:tc>
        <w:tc>
          <w:tcPr>
            <w:tcW w:w="1684" w:type="dxa"/>
            <w:vAlign w:val="top"/>
          </w:tcPr>
          <w:p>
            <w:pPr>
              <w:jc w:val="left"/>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rPr>
            </w:pP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167.65</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293.23</w:t>
            </w:r>
          </w:p>
        </w:tc>
        <w:tc>
          <w:tcPr>
            <w:tcW w:w="1956" w:type="dxa"/>
            <w:vAlign w:val="center"/>
          </w:tcPr>
          <w:p>
            <w:pPr>
              <w:widowControl/>
              <w:ind w:left="0" w:leftChars="0" w:firstLine="0" w:firstLineChars="0"/>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141.95</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256.78</w:t>
            </w:r>
          </w:p>
        </w:tc>
        <w:tc>
          <w:tcPr>
            <w:tcW w:w="1956"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16.72</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29.53</w:t>
            </w:r>
          </w:p>
        </w:tc>
        <w:tc>
          <w:tcPr>
            <w:tcW w:w="1956"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0.95</w:t>
            </w:r>
          </w:p>
        </w:tc>
        <w:tc>
          <w:tcPr>
            <w:tcW w:w="2071"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1956"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center"/>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8.03</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6.92</w:t>
            </w:r>
          </w:p>
        </w:tc>
        <w:tc>
          <w:tcPr>
            <w:tcW w:w="1956"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-13.85</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 w:hAnsi="仿宋" w:eastAsia="仿宋" w:cs="仿宋"/>
          <w:color w:val="auto"/>
          <w:kern w:val="0"/>
          <w:sz w:val="28"/>
          <w:szCs w:val="28"/>
          <w:lang w:val="en-US" w:eastAsia="zh-CN"/>
        </w:rPr>
        <w:t>293.23</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256.78</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人员工资204.67万元，事业单位养老保险24.7万元，医疗保险10.39万元，其它社会保障缴费1.46万元，住房公积金15.56万元</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36.46</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商品服务支出29.54万元，资本性支出6.92万元</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 w:hAnsi="仿宋" w:eastAsia="仿宋" w:cs="仿宋"/>
          <w:color w:val="auto"/>
          <w:kern w:val="0"/>
          <w:sz w:val="28"/>
          <w:szCs w:val="28"/>
          <w:lang w:val="en-US" w:eastAsia="zh-CN"/>
        </w:rPr>
        <w:t>293.23</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default" w:ascii="仿宋_GB2312"/>
          <w:color w:val="auto"/>
          <w:szCs w:val="32"/>
          <w:lang w:val="en-US" w:eastAsia="zh-CN"/>
        </w:rPr>
      </w:pPr>
      <w:r>
        <w:rPr>
          <w:rFonts w:hint="eastAsia" w:ascii="仿宋_GB2312"/>
          <w:color w:val="auto"/>
          <w:szCs w:val="32"/>
          <w:lang w:val="en-US" w:eastAsia="zh-CN"/>
        </w:rPr>
        <w:t>本单位无三公经费</w:t>
      </w: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rPr>
          <w:rFonts w:hint="eastAsia"/>
          <w:b w:val="0"/>
          <w:bCs w:val="0"/>
          <w:color w:val="auto"/>
          <w:lang w:val="en-US" w:eastAsia="zh-CN"/>
        </w:rPr>
      </w:pPr>
      <w:bookmarkStart w:id="28" w:name="_Toc16103"/>
      <w:r>
        <w:rPr>
          <w:rFonts w:hint="eastAsia"/>
          <w:b w:val="0"/>
          <w:bCs w:val="0"/>
          <w:color w:val="auto"/>
          <w:lang w:val="en-US" w:eastAsia="zh-CN"/>
        </w:rPr>
        <w:t>本单位无机关运行经费。</w:t>
      </w:r>
    </w:p>
    <w:p>
      <w:pPr>
        <w:rPr>
          <w:rFonts w:hint="eastAsia"/>
          <w:b/>
          <w:bCs/>
          <w:color w:val="auto"/>
        </w:rPr>
      </w:pPr>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1.326</w:t>
      </w:r>
      <w:r>
        <w:rPr>
          <w:rFonts w:hint="eastAsia" w:ascii="仿宋_GB2312"/>
          <w:color w:val="auto"/>
          <w:szCs w:val="32"/>
        </w:rPr>
        <w:t>万元，其中：政府采购货物支出</w:t>
      </w:r>
      <w:r>
        <w:rPr>
          <w:rFonts w:hint="eastAsia" w:ascii="仿宋_GB2312"/>
          <w:color w:val="auto"/>
          <w:szCs w:val="32"/>
          <w:lang w:val="en-US" w:eastAsia="zh-CN"/>
        </w:rPr>
        <w:t>1.326</w:t>
      </w:r>
      <w:r>
        <w:rPr>
          <w:rFonts w:hint="eastAsia" w:ascii="仿宋_GB2312"/>
          <w:color w:val="auto"/>
          <w:szCs w:val="32"/>
        </w:rPr>
        <w:t>万元</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default" w:ascii="仿宋_GB2312"/>
          <w:color w:val="auto"/>
          <w:szCs w:val="32"/>
          <w:lang w:val="en-US" w:eastAsia="zh-CN"/>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w:t>
      </w:r>
      <w:r>
        <w:rPr>
          <w:rFonts w:hint="eastAsia" w:ascii="仿宋_GB2312"/>
          <w:color w:val="auto"/>
          <w:szCs w:val="32"/>
          <w:lang w:val="en-US" w:eastAsia="zh-CN"/>
        </w:rPr>
        <w:t>本单位无车辆。</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2021年本单位无重点项目。</w:t>
      </w:r>
    </w:p>
    <w:p>
      <w:pPr>
        <w:numPr>
          <w:ilvl w:val="0"/>
          <w:numId w:val="0"/>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lang w:eastAsia="zh-CN"/>
        </w:rPr>
        <w:t>（</w:t>
      </w:r>
      <w:r>
        <w:rPr>
          <w:rFonts w:hint="eastAsia" w:ascii="仿宋_GB2312"/>
          <w:b/>
          <w:color w:val="auto"/>
          <w:szCs w:val="32"/>
          <w:lang w:val="en-US" w:eastAsia="zh-CN"/>
        </w:rPr>
        <w:t>五</w:t>
      </w:r>
      <w:r>
        <w:rPr>
          <w:rFonts w:hint="eastAsia" w:ascii="仿宋_GB2312"/>
          <w:b/>
          <w:color w:val="auto"/>
          <w:szCs w:val="32"/>
          <w:lang w:eastAsia="zh-CN"/>
        </w:rPr>
        <w:t>）</w:t>
      </w:r>
      <w:r>
        <w:rPr>
          <w:rFonts w:hint="eastAsia" w:ascii="仿宋_GB2312"/>
          <w:b/>
          <w:color w:val="auto"/>
          <w:szCs w:val="32"/>
        </w:rPr>
        <w:t>其他需要说明的事项</w:t>
      </w:r>
      <w:bookmarkEnd w:id="30"/>
      <w:bookmarkEnd w:id="31"/>
    </w:p>
    <w:p>
      <w:pPr>
        <w:numPr>
          <w:ilvl w:val="0"/>
          <w:numId w:val="0"/>
        </w:numPr>
        <w:spacing w:line="580" w:lineRule="exact"/>
        <w:outlineLvl w:val="0"/>
        <w:rPr>
          <w:rFonts w:hint="eastAsia" w:ascii="仿宋_GB2312" w:eastAsia="仿宋_GB2312"/>
          <w:b/>
          <w:color w:val="auto"/>
          <w:szCs w:val="32"/>
          <w:lang w:val="en-US" w:eastAsia="zh-CN"/>
        </w:rPr>
      </w:pPr>
    </w:p>
    <w:p>
      <w:pPr>
        <w:numPr>
          <w:ilvl w:val="0"/>
          <w:numId w:val="0"/>
        </w:numPr>
        <w:spacing w:line="580" w:lineRule="exact"/>
        <w:outlineLvl w:val="0"/>
        <w:rPr>
          <w:rFonts w:hint="eastAsia" w:ascii="仿宋_GB2312" w:eastAsia="仿宋_GB2312"/>
          <w:b/>
          <w:color w:val="auto"/>
          <w:szCs w:val="32"/>
          <w:lang w:val="en-US" w:eastAsia="zh-CN"/>
        </w:rPr>
      </w:pPr>
    </w:p>
    <w:p>
      <w:pPr>
        <w:numPr>
          <w:ilvl w:val="0"/>
          <w:numId w:val="0"/>
        </w:numPr>
        <w:spacing w:line="580" w:lineRule="exact"/>
        <w:outlineLvl w:val="0"/>
        <w:rPr>
          <w:rFonts w:hint="eastAsia" w:ascii="仿宋_GB2312" w:eastAsia="仿宋_GB2312"/>
          <w:b/>
          <w:color w:val="auto"/>
          <w:szCs w:val="32"/>
          <w:lang w:val="en-US" w:eastAsia="zh-CN"/>
        </w:rPr>
      </w:pPr>
    </w:p>
    <w:p>
      <w:pPr>
        <w:numPr>
          <w:ilvl w:val="0"/>
          <w:numId w:val="0"/>
        </w:numPr>
        <w:spacing w:line="580" w:lineRule="exact"/>
        <w:outlineLvl w:val="0"/>
        <w:rPr>
          <w:rFonts w:hint="eastAsia" w:ascii="仿宋_GB2312" w:eastAsia="仿宋_GB2312"/>
          <w:b/>
          <w:color w:val="auto"/>
          <w:szCs w:val="32"/>
          <w:lang w:val="en-US" w:eastAsia="zh-CN"/>
        </w:rPr>
      </w:pP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单位名称：静乐县幼儿园</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062526"/>
    <w:multiLevelType w:val="singleLevel"/>
    <w:tmpl w:val="F7062526"/>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0AD764E8"/>
    <w:rsid w:val="16654CDD"/>
    <w:rsid w:val="1A4A5C33"/>
    <w:rsid w:val="2701594C"/>
    <w:rsid w:val="27426717"/>
    <w:rsid w:val="36074288"/>
    <w:rsid w:val="37943B50"/>
    <w:rsid w:val="3821117E"/>
    <w:rsid w:val="42C12CEC"/>
    <w:rsid w:val="44401A62"/>
    <w:rsid w:val="495520D0"/>
    <w:rsid w:val="4A012068"/>
    <w:rsid w:val="51AA1752"/>
    <w:rsid w:val="53A30631"/>
    <w:rsid w:val="5EC01F6A"/>
    <w:rsid w:val="63AB51DF"/>
    <w:rsid w:val="649C6DC9"/>
    <w:rsid w:val="6CA207D4"/>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2126</Words>
  <Characters>2525</Characters>
  <Lines>0</Lines>
  <Paragraphs>0</Paragraphs>
  <ScaleCrop>false</ScaleCrop>
  <LinksUpToDate>false</LinksUpToDate>
  <CharactersWithSpaces>2635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2022-07-29T03:10:44Z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348965A0765D4BB2AE5481B507833C29</vt:lpwstr>
  </property>
</Properties>
</file>