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left="0" w:leftChars="0" w:firstLine="0" w:firstLineChars="0"/>
        <w:jc w:val="center"/>
        <w:rPr>
          <w:rFonts w:hint="eastAsia" w:ascii="华文中宋" w:hAnsi="华文中宋" w:eastAsia="华文中宋"/>
          <w:color w:val="auto"/>
          <w:sz w:val="44"/>
          <w:szCs w:val="44"/>
          <w:lang w:eastAsia="zh-CN"/>
        </w:rPr>
      </w:pPr>
      <w:bookmarkStart w:id="0" w:name="_Toc32048"/>
      <w:bookmarkStart w:id="1" w:name="_Toc21118"/>
      <w:bookmarkStart w:id="2" w:name="_Toc31071"/>
      <w:r>
        <w:rPr>
          <w:rFonts w:hint="eastAsia" w:ascii="华文中宋" w:hAnsi="华文中宋" w:eastAsia="华文中宋"/>
          <w:color w:val="auto"/>
          <w:sz w:val="44"/>
          <w:szCs w:val="44"/>
          <w:lang w:val="en-US" w:eastAsia="zh-CN"/>
        </w:rPr>
        <w:t>静乐县</w:t>
      </w:r>
      <w:r>
        <w:rPr>
          <w:rFonts w:hint="eastAsia" w:ascii="华文中宋" w:hAnsi="华文中宋" w:eastAsia="华文中宋"/>
          <w:color w:val="auto"/>
          <w:sz w:val="44"/>
          <w:szCs w:val="44"/>
          <w:lang w:eastAsia="zh-CN"/>
        </w:rPr>
        <w:t>第二幼儿园</w:t>
      </w:r>
    </w:p>
    <w:p>
      <w:pPr>
        <w:pStyle w:val="2"/>
        <w:ind w:left="0" w:leftChars="0" w:firstLine="0" w:firstLineChars="0"/>
        <w:jc w:val="center"/>
        <w:rPr>
          <w:rFonts w:hint="eastAsia" w:ascii="华文中宋" w:hAnsi="华文中宋" w:eastAsia="华文中宋"/>
          <w:color w:val="FF0000"/>
          <w:sz w:val="44"/>
          <w:szCs w:val="44"/>
          <w:lang w:val="en-US" w:eastAsia="zh-CN"/>
        </w:rPr>
      </w:pPr>
      <w:r>
        <w:rPr>
          <w:rFonts w:hint="eastAsia" w:ascii="华文中宋" w:hAnsi="华文中宋" w:eastAsia="华文中宋"/>
          <w:color w:val="auto"/>
          <w:sz w:val="44"/>
          <w:szCs w:val="44"/>
        </w:rPr>
        <w:t>20</w:t>
      </w:r>
      <w:r>
        <w:rPr>
          <w:rFonts w:hint="eastAsia" w:ascii="华文中宋" w:hAnsi="华文中宋" w:eastAsia="华文中宋"/>
          <w:color w:val="auto"/>
          <w:sz w:val="44"/>
          <w:szCs w:val="44"/>
          <w:lang w:val="en-US" w:eastAsia="zh-CN"/>
        </w:rPr>
        <w:t>21</w:t>
      </w:r>
      <w:r>
        <w:rPr>
          <w:rFonts w:hint="eastAsia" w:ascii="华文中宋" w:hAnsi="华文中宋" w:eastAsia="华文中宋"/>
          <w:color w:val="auto"/>
          <w:sz w:val="44"/>
          <w:szCs w:val="44"/>
        </w:rPr>
        <w:t>年度部门决算</w:t>
      </w:r>
      <w:r>
        <w:rPr>
          <w:rFonts w:hint="eastAsia" w:ascii="华文中宋" w:hAnsi="华文中宋" w:eastAsia="华文中宋"/>
          <w:color w:val="auto"/>
          <w:sz w:val="44"/>
          <w:szCs w:val="44"/>
          <w:lang w:val="en-US" w:eastAsia="zh-CN"/>
        </w:rPr>
        <w:t>公开说明</w:t>
      </w:r>
      <w:bookmarkEnd w:id="0"/>
      <w:bookmarkEnd w:id="1"/>
      <w:bookmarkEnd w:id="2"/>
    </w:p>
    <w:p>
      <w:pPr>
        <w:pStyle w:val="7"/>
        <w:tabs>
          <w:tab w:val="right" w:leader="dot" w:pos="8306"/>
        </w:tabs>
      </w:pPr>
      <w:r>
        <w:rPr>
          <w:rFonts w:hint="eastAsia" w:ascii="仿宋" w:hAnsi="仿宋" w:eastAsia="仿宋" w:cs="仿宋"/>
          <w:color w:val="000000"/>
          <w:sz w:val="32"/>
          <w:szCs w:val="32"/>
          <w:lang w:val="en-US" w:eastAsia="zh-CN"/>
        </w:rPr>
        <w:fldChar w:fldCharType="begin"/>
      </w:r>
      <w:r>
        <w:rPr>
          <w:rFonts w:hint="eastAsia" w:ascii="仿宋" w:hAnsi="仿宋" w:eastAsia="仿宋" w:cs="仿宋"/>
          <w:color w:val="000000"/>
          <w:sz w:val="32"/>
          <w:szCs w:val="32"/>
          <w:lang w:val="en-US" w:eastAsia="zh-CN"/>
        </w:rPr>
        <w:instrText xml:space="preserve">TOC \o "1-3" \h \u </w:instrText>
      </w:r>
      <w:r>
        <w:rPr>
          <w:rFonts w:hint="eastAsia" w:ascii="仿宋" w:hAnsi="仿宋" w:eastAsia="仿宋" w:cs="仿宋"/>
          <w:color w:val="000000"/>
          <w:sz w:val="32"/>
          <w:szCs w:val="32"/>
          <w:lang w:val="en-US" w:eastAsia="zh-CN"/>
        </w:rPr>
        <w:fldChar w:fldCharType="separate"/>
      </w: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_Toc31140 </w:instrText>
      </w:r>
      <w:r>
        <w:rPr>
          <w:rFonts w:hint="eastAsia" w:ascii="仿宋" w:hAnsi="仿宋" w:eastAsia="仿宋" w:cs="仿宋"/>
          <w:szCs w:val="32"/>
          <w:lang w:val="en-US" w:eastAsia="zh-CN"/>
        </w:rPr>
        <w:fldChar w:fldCharType="separate"/>
      </w:r>
      <w:r>
        <w:rPr>
          <w:rFonts w:hint="eastAsia"/>
          <w:szCs w:val="36"/>
        </w:rPr>
        <w:t>第一部分  概况</w:t>
      </w:r>
      <w:r>
        <w:tab/>
      </w:r>
      <w:r>
        <w:fldChar w:fldCharType="begin"/>
      </w:r>
      <w:r>
        <w:instrText xml:space="preserve"> PAGEREF _Toc31140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_Toc4461 </w:instrText>
      </w:r>
      <w:r>
        <w:rPr>
          <w:rFonts w:hint="eastAsia" w:ascii="仿宋" w:hAnsi="仿宋" w:eastAsia="仿宋" w:cs="仿宋"/>
          <w:szCs w:val="32"/>
          <w:lang w:val="en-US" w:eastAsia="zh-CN"/>
        </w:rPr>
        <w:fldChar w:fldCharType="separate"/>
      </w:r>
      <w:r>
        <w:rPr>
          <w:rFonts w:hint="eastAsia" w:ascii="仿宋" w:hAnsi="仿宋" w:eastAsia="仿宋" w:cs="仿宋"/>
          <w:bCs/>
        </w:rPr>
        <w:t>一、本部门职责</w:t>
      </w:r>
      <w:r>
        <w:tab/>
      </w:r>
      <w:r>
        <w:fldChar w:fldCharType="begin"/>
      </w:r>
      <w:r>
        <w:instrText xml:space="preserve"> PAGEREF _Toc4461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_Toc275 </w:instrText>
      </w:r>
      <w:r>
        <w:rPr>
          <w:rFonts w:hint="eastAsia" w:ascii="仿宋" w:hAnsi="仿宋" w:eastAsia="仿宋" w:cs="仿宋"/>
          <w:szCs w:val="32"/>
          <w:lang w:val="en-US" w:eastAsia="zh-CN"/>
        </w:rPr>
        <w:fldChar w:fldCharType="separate"/>
      </w:r>
      <w:r>
        <w:rPr>
          <w:rFonts w:hint="eastAsia" w:ascii="仿宋" w:hAnsi="仿宋" w:eastAsia="仿宋" w:cs="仿宋"/>
          <w:bCs/>
        </w:rPr>
        <w:t>二、机构设置情况</w:t>
      </w:r>
      <w:r>
        <w:tab/>
      </w:r>
      <w:r>
        <w:fldChar w:fldCharType="begin"/>
      </w:r>
      <w:r>
        <w:instrText xml:space="preserve"> PAGEREF _Toc275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_Toc12749 </w:instrText>
      </w:r>
      <w:r>
        <w:rPr>
          <w:rFonts w:hint="eastAsia" w:ascii="仿宋" w:hAnsi="仿宋" w:eastAsia="仿宋" w:cs="仿宋"/>
          <w:szCs w:val="32"/>
          <w:lang w:val="en-US" w:eastAsia="zh-CN"/>
        </w:rPr>
        <w:fldChar w:fldCharType="separate"/>
      </w:r>
      <w:r>
        <w:rPr>
          <w:rFonts w:hint="eastAsia"/>
          <w:szCs w:val="36"/>
          <w:lang w:val="en-US" w:eastAsia="zh-CN"/>
        </w:rPr>
        <w:t>第二部分  2021年度部门决算报表（附表）</w:t>
      </w:r>
      <w:r>
        <w:tab/>
      </w:r>
      <w:r>
        <w:fldChar w:fldCharType="begin"/>
      </w:r>
      <w:r>
        <w:instrText xml:space="preserve"> PAGEREF _Toc12749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_Toc29325 </w:instrText>
      </w:r>
      <w:r>
        <w:rPr>
          <w:rFonts w:hint="eastAsia" w:ascii="仿宋" w:hAnsi="仿宋" w:eastAsia="仿宋" w:cs="仿宋"/>
          <w:szCs w:val="32"/>
          <w:lang w:val="en-US" w:eastAsia="zh-CN"/>
        </w:rPr>
        <w:fldChar w:fldCharType="separate"/>
      </w:r>
      <w:r>
        <w:rPr>
          <w:rFonts w:hint="eastAsia"/>
          <w:szCs w:val="36"/>
          <w:lang w:val="en-US" w:eastAsia="zh-CN"/>
        </w:rPr>
        <w:t>第三部分  2021年度部门决算情况说明</w:t>
      </w:r>
      <w:r>
        <w:tab/>
      </w:r>
      <w:r>
        <w:fldChar w:fldCharType="begin"/>
      </w:r>
      <w:r>
        <w:instrText xml:space="preserve"> PAGEREF _Toc29325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_Toc437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一、收入支出决算总体情况说明</w:t>
      </w:r>
      <w:r>
        <w:tab/>
      </w:r>
      <w:r>
        <w:fldChar w:fldCharType="begin"/>
      </w:r>
      <w:r>
        <w:instrText xml:space="preserve"> PAGEREF _Toc437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_Toc16754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二、收入决算情况说明</w:t>
      </w:r>
      <w:r>
        <w:tab/>
      </w:r>
      <w:r>
        <w:fldChar w:fldCharType="begin"/>
      </w:r>
      <w:r>
        <w:instrText xml:space="preserve"> PAGEREF _Toc16754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_Toc22098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三、支出决算情况说明</w:t>
      </w:r>
      <w:r>
        <w:tab/>
      </w:r>
      <w:r>
        <w:fldChar w:fldCharType="begin"/>
      </w:r>
      <w:r>
        <w:instrText xml:space="preserve"> PAGEREF _Toc22098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_Toc2142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四、财政拨款收入支出决算总体情况说明</w:t>
      </w:r>
      <w:r>
        <w:tab/>
      </w:r>
      <w:r>
        <w:fldChar w:fldCharType="begin"/>
      </w:r>
      <w:r>
        <w:instrText xml:space="preserve"> PAGEREF _Toc2142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_Toc6501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五、一般公共预算财政拨款支出决算情况说明</w:t>
      </w:r>
      <w:r>
        <w:tab/>
      </w:r>
      <w:r>
        <w:fldChar w:fldCharType="begin"/>
      </w:r>
      <w:r>
        <w:instrText xml:space="preserve"> PAGEREF _Toc6501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_Toc17728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六、一般公共预算财政拨款基本支出决算情况说明</w:t>
      </w:r>
      <w:r>
        <w:tab/>
      </w:r>
      <w:r>
        <w:fldChar w:fldCharType="begin"/>
      </w:r>
      <w:r>
        <w:instrText xml:space="preserve"> PAGEREF _Toc17728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_Toc26508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七、一般公共预算财政拨款“三公”经费支出决算情况说明</w:t>
      </w:r>
      <w:r>
        <w:tab/>
      </w:r>
      <w:r>
        <w:fldChar w:fldCharType="begin"/>
      </w:r>
      <w:r>
        <w:instrText xml:space="preserve"> PAGEREF _Toc26508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8"/>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_Toc1792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八、其他重要事项情况说明</w:t>
      </w:r>
      <w:r>
        <w:tab/>
      </w:r>
      <w:r>
        <w:fldChar w:fldCharType="begin"/>
      </w:r>
      <w:r>
        <w:instrText xml:space="preserve"> PAGEREF _Toc1792 </w:instrText>
      </w:r>
      <w:r>
        <w:fldChar w:fldCharType="separate"/>
      </w:r>
      <w:r>
        <w:t>7</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_Toc28108 </w:instrText>
      </w:r>
      <w:r>
        <w:rPr>
          <w:rFonts w:hint="eastAsia" w:ascii="仿宋" w:hAnsi="仿宋" w:eastAsia="仿宋" w:cs="仿宋"/>
          <w:szCs w:val="32"/>
          <w:lang w:val="en-US" w:eastAsia="zh-CN"/>
        </w:rPr>
        <w:fldChar w:fldCharType="separate"/>
      </w:r>
      <w:r>
        <w:rPr>
          <w:rFonts w:hint="eastAsia" w:ascii="仿宋_GB2312" w:eastAsia="仿宋_GB2312"/>
          <w:szCs w:val="32"/>
          <w:lang w:val="en-US" w:eastAsia="zh-CN"/>
        </w:rPr>
        <w:t xml:space="preserve">（四） </w:t>
      </w:r>
      <w:r>
        <w:rPr>
          <w:rFonts w:hint="eastAsia" w:ascii="仿宋_GB2312"/>
          <w:szCs w:val="32"/>
        </w:rPr>
        <w:t>其他需要说明的事项</w:t>
      </w:r>
      <w:r>
        <w:tab/>
      </w:r>
      <w:r>
        <w:fldChar w:fldCharType="begin"/>
      </w:r>
      <w:r>
        <w:instrText xml:space="preserve"> PAGEREF _Toc28108 </w:instrText>
      </w:r>
      <w:r>
        <w:fldChar w:fldCharType="separate"/>
      </w:r>
      <w:r>
        <w:t>9</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_Toc8545 </w:instrText>
      </w:r>
      <w:r>
        <w:rPr>
          <w:rFonts w:hint="eastAsia" w:ascii="仿宋" w:hAnsi="仿宋" w:eastAsia="仿宋" w:cs="仿宋"/>
          <w:szCs w:val="32"/>
          <w:lang w:val="en-US" w:eastAsia="zh-CN"/>
        </w:rPr>
        <w:fldChar w:fldCharType="separate"/>
      </w:r>
      <w:r>
        <w:rPr>
          <w:rFonts w:hint="eastAsia"/>
          <w:szCs w:val="36"/>
          <w:lang w:val="en-US" w:eastAsia="zh-CN"/>
        </w:rPr>
        <w:t>第四部分  名词解释</w:t>
      </w:r>
      <w:r>
        <w:tab/>
      </w:r>
      <w:r>
        <w:fldChar w:fldCharType="begin"/>
      </w:r>
      <w:r>
        <w:instrText xml:space="preserve"> PAGEREF _Toc8545 </w:instrText>
      </w:r>
      <w:r>
        <w:fldChar w:fldCharType="separate"/>
      </w:r>
      <w:r>
        <w:t>9</w:t>
      </w:r>
      <w:r>
        <w:fldChar w:fldCharType="end"/>
      </w:r>
      <w:r>
        <w:rPr>
          <w:rFonts w:hint="eastAsia" w:ascii="仿宋" w:hAnsi="仿宋" w:eastAsia="仿宋" w:cs="仿宋"/>
          <w:color w:val="000000"/>
          <w:szCs w:val="32"/>
          <w:lang w:val="en-US" w:eastAsia="zh-CN"/>
        </w:rPr>
        <w:fldChar w:fldCharType="end"/>
      </w:r>
    </w:p>
    <w:p>
      <w:pPr>
        <w:ind w:firstLine="880"/>
        <w:jc w:val="center"/>
        <w:rPr>
          <w:rFonts w:hint="eastAsia" w:ascii="仿宋" w:hAnsi="仿宋" w:eastAsia="仿宋" w:cs="仿宋"/>
          <w:color w:val="000000"/>
          <w:sz w:val="32"/>
          <w:szCs w:val="32"/>
          <w:lang w:val="en-US" w:eastAsia="zh-CN"/>
        </w:rPr>
      </w:pPr>
      <w:r>
        <w:rPr>
          <w:rFonts w:hint="eastAsia" w:ascii="仿宋" w:hAnsi="仿宋" w:eastAsia="仿宋" w:cs="仿宋"/>
          <w:color w:val="000000"/>
          <w:szCs w:val="32"/>
          <w:lang w:val="en-US" w:eastAsia="zh-CN"/>
        </w:rPr>
        <w:fldChar w:fldCharType="end"/>
      </w:r>
    </w:p>
    <w:p>
      <w:pPr>
        <w:pStyle w:val="2"/>
        <w:ind w:left="0" w:leftChars="0" w:firstLine="0" w:firstLineChars="0"/>
        <w:jc w:val="center"/>
        <w:rPr>
          <w:rFonts w:hint="eastAsia"/>
          <w:b/>
          <w:bCs w:val="0"/>
          <w:szCs w:val="36"/>
        </w:rPr>
      </w:pPr>
      <w:bookmarkStart w:id="3" w:name="_Toc31140"/>
      <w:bookmarkStart w:id="4" w:name="_Toc23288"/>
      <w:r>
        <w:rPr>
          <w:rFonts w:hint="eastAsia"/>
          <w:sz w:val="36"/>
          <w:szCs w:val="36"/>
        </w:rPr>
        <w:t>第一部分  概况</w:t>
      </w:r>
      <w:bookmarkEnd w:id="3"/>
      <w:bookmarkEnd w:id="4"/>
    </w:p>
    <w:p>
      <w:pPr>
        <w:pStyle w:val="3"/>
        <w:rPr>
          <w:rFonts w:hint="eastAsia" w:ascii="仿宋" w:hAnsi="仿宋" w:eastAsia="仿宋" w:cs="仿宋"/>
          <w:b w:val="0"/>
          <w:bCs/>
        </w:rPr>
      </w:pPr>
      <w:bookmarkStart w:id="5" w:name="_Toc4461"/>
      <w:bookmarkStart w:id="6" w:name="_Toc24066"/>
      <w:r>
        <w:rPr>
          <w:rFonts w:hint="eastAsia" w:ascii="仿宋" w:hAnsi="仿宋" w:eastAsia="仿宋" w:cs="仿宋"/>
          <w:b w:val="0"/>
          <w:bCs/>
        </w:rPr>
        <w:t>一、本部门职责</w:t>
      </w:r>
      <w:bookmarkEnd w:id="5"/>
      <w:bookmarkEnd w:id="6"/>
    </w:p>
    <w:p>
      <w:pPr>
        <w:rPr>
          <w:rFonts w:hint="eastAsia"/>
        </w:rPr>
      </w:pPr>
      <w:r>
        <w:rPr>
          <w:rFonts w:hint="eastAsia"/>
        </w:rPr>
        <w:t>1.负责贯彻党的教育方针，坚持社会主义办学方向，实行教育与生产劳动相结合，对学生进行德育、智育、体育、美育和劳动等方面的教育。</w:t>
      </w:r>
    </w:p>
    <w:p>
      <w:pPr>
        <w:rPr>
          <w:rFonts w:hint="eastAsia"/>
        </w:rPr>
      </w:pPr>
      <w:r>
        <w:rPr>
          <w:rFonts w:hint="eastAsia"/>
        </w:rPr>
        <w:t>2.负责依法制定学校章程，并按照章程自主管理。</w:t>
      </w:r>
    </w:p>
    <w:p>
      <w:pPr>
        <w:rPr>
          <w:rFonts w:hint="eastAsia"/>
        </w:rPr>
      </w:pPr>
      <w:r>
        <w:rPr>
          <w:rFonts w:hint="eastAsia"/>
        </w:rPr>
        <w:t>3.负责配合各级人民政府依法动员、组织适龄儿童、少年入学，严格控制学生辍学，依法保证适龄儿童、少年接受</w:t>
      </w:r>
      <w:r>
        <w:rPr>
          <w:rFonts w:hint="eastAsia"/>
          <w:lang w:eastAsia="zh-CN"/>
        </w:rPr>
        <w:t>学前</w:t>
      </w:r>
      <w:r>
        <w:rPr>
          <w:rFonts w:hint="eastAsia"/>
        </w:rPr>
        <w:t>教育。</w:t>
      </w:r>
    </w:p>
    <w:p>
      <w:pPr>
        <w:rPr>
          <w:rFonts w:hint="eastAsia"/>
        </w:rPr>
      </w:pPr>
      <w:r>
        <w:rPr>
          <w:rFonts w:hint="eastAsia"/>
        </w:rPr>
        <w:t>4.负责制定学校教育发展规划，并抓好组织实施和落实工作。</w:t>
      </w:r>
    </w:p>
    <w:p>
      <w:pPr>
        <w:rPr>
          <w:rFonts w:hint="eastAsia"/>
        </w:rPr>
      </w:pPr>
      <w:r>
        <w:rPr>
          <w:rFonts w:hint="eastAsia"/>
        </w:rPr>
        <w:t>5.负责按照教育主管部门发布的指导性教学计划、教学大纲，组织实施教育教学活动。负责依据国家教育主管部门有关教学计划、课程设置等方面的规定，决定和实施本校的教学计划，组织教学评比、集体备课，对学生进行统一考核等。</w:t>
      </w:r>
    </w:p>
    <w:p>
      <w:pPr>
        <w:rPr>
          <w:rFonts w:hint="eastAsia"/>
        </w:rPr>
      </w:pPr>
      <w:r>
        <w:rPr>
          <w:rFonts w:hint="eastAsia"/>
        </w:rPr>
        <w:t>6.负责学籍管理并对学生实施奖励或处分。</w:t>
      </w:r>
    </w:p>
    <w:p>
      <w:pPr>
        <w:rPr>
          <w:rFonts w:hint="eastAsia"/>
        </w:rPr>
      </w:pPr>
      <w:r>
        <w:rPr>
          <w:rFonts w:hint="eastAsia"/>
        </w:rPr>
        <w:t>7.负责依法制定本校教师及其他职工聘任办法并对教师及其他员工实施包括奖励、处分在内的具体管理活动，依法聘任、解聘有关教师和其他职工。</w:t>
      </w:r>
    </w:p>
    <w:p>
      <w:pPr>
        <w:rPr>
          <w:rFonts w:hint="eastAsia"/>
        </w:rPr>
      </w:pPr>
      <w:r>
        <w:rPr>
          <w:rFonts w:hint="eastAsia"/>
        </w:rPr>
        <w:t>8.负责聘任、培训、考核教师，依法奖励或处分教师和其他职工。</w:t>
      </w:r>
    </w:p>
    <w:p>
      <w:pPr>
        <w:rPr>
          <w:rFonts w:hint="eastAsia"/>
        </w:rPr>
      </w:pPr>
      <w:r>
        <w:rPr>
          <w:rFonts w:hint="eastAsia"/>
        </w:rPr>
        <w:t>9.负责科学管理、合理使用学校的设施和经费，并积极筹措资金，改善办学条件。</w:t>
      </w:r>
    </w:p>
    <w:p>
      <w:pPr>
        <w:rPr>
          <w:rFonts w:hint="eastAsia"/>
        </w:rPr>
      </w:pPr>
      <w:r>
        <w:rPr>
          <w:rFonts w:hint="eastAsia"/>
        </w:rPr>
        <w:t>10.负责维护学校、师生的合法权益，有权拒绝任何组织和个人对教育教学活动进行非法干涉。</w:t>
      </w:r>
    </w:p>
    <w:p>
      <w:pPr>
        <w:rPr>
          <w:rFonts w:hint="eastAsia"/>
        </w:rPr>
      </w:pPr>
      <w:r>
        <w:rPr>
          <w:rFonts w:hint="eastAsia"/>
        </w:rPr>
        <w:t>11.依法接受各级教育行政部门的检查指导和人民群众的监督。</w:t>
      </w:r>
    </w:p>
    <w:p>
      <w:pPr>
        <w:pStyle w:val="3"/>
        <w:numPr>
          <w:ilvl w:val="0"/>
          <w:numId w:val="1"/>
        </w:numPr>
        <w:rPr>
          <w:rFonts w:hint="eastAsia" w:ascii="仿宋" w:hAnsi="仿宋" w:eastAsia="仿宋" w:cs="仿宋"/>
          <w:b w:val="0"/>
          <w:bCs/>
        </w:rPr>
      </w:pPr>
      <w:bookmarkStart w:id="7" w:name="_Toc275"/>
      <w:bookmarkStart w:id="8" w:name="_Toc9155"/>
      <w:r>
        <w:rPr>
          <w:rFonts w:hint="eastAsia" w:ascii="仿宋" w:hAnsi="仿宋" w:eastAsia="仿宋" w:cs="仿宋"/>
          <w:b w:val="0"/>
          <w:bCs/>
        </w:rPr>
        <w:t>机构设置情况</w:t>
      </w:r>
      <w:bookmarkEnd w:id="7"/>
      <w:bookmarkEnd w:id="8"/>
    </w:p>
    <w:p>
      <w:pPr>
        <w:numPr>
          <w:ilvl w:val="0"/>
          <w:numId w:val="0"/>
        </w:numPr>
        <w:ind w:firstLine="640" w:firstLineChars="200"/>
        <w:rPr>
          <w:rFonts w:hint="eastAsia"/>
        </w:rPr>
      </w:pPr>
      <w:r>
        <w:rPr>
          <w:rFonts w:hint="eastAsia"/>
        </w:rPr>
        <w:t>内设科室有：（1）教导处 （2）后勤处（3）办公室（4）教研室（</w:t>
      </w:r>
      <w:r>
        <w:rPr>
          <w:rFonts w:hint="eastAsia"/>
          <w:lang w:val="en-US" w:eastAsia="zh-CN"/>
        </w:rPr>
        <w:t>5</w:t>
      </w:r>
      <w:r>
        <w:rPr>
          <w:rFonts w:hint="eastAsia"/>
        </w:rPr>
        <w:t>）财务室。</w:t>
      </w:r>
    </w:p>
    <w:p>
      <w:pPr>
        <w:pStyle w:val="2"/>
        <w:rPr>
          <w:rFonts w:hint="eastAsia"/>
          <w:b/>
          <w:bCs w:val="0"/>
          <w:sz w:val="36"/>
          <w:szCs w:val="36"/>
          <w:lang w:val="en-US" w:eastAsia="zh-CN"/>
        </w:rPr>
      </w:pPr>
      <w:bookmarkStart w:id="9" w:name="_Toc12749"/>
      <w:r>
        <w:rPr>
          <w:rFonts w:hint="eastAsia"/>
          <w:b/>
          <w:sz w:val="36"/>
          <w:szCs w:val="36"/>
          <w:lang w:val="en-US" w:eastAsia="zh-CN"/>
        </w:rPr>
        <w:t>第二部分  2021年度部门决算报表（附表）</w:t>
      </w:r>
      <w:bookmarkEnd w:id="9"/>
    </w:p>
    <w:p>
      <w:pPr>
        <w:ind w:firstLine="640"/>
        <w:rPr>
          <w:rFonts w:hint="eastAsia" w:ascii="仿宋_GB2312" w:hAnsi="楷体"/>
          <w:szCs w:val="32"/>
        </w:rPr>
      </w:pPr>
      <w:r>
        <w:rPr>
          <w:rFonts w:hint="eastAsia" w:ascii="仿宋_GB2312" w:hAnsi="楷体"/>
          <w:szCs w:val="32"/>
        </w:rPr>
        <w:t>一、收入支出决算总表</w:t>
      </w:r>
    </w:p>
    <w:p>
      <w:pPr>
        <w:ind w:firstLine="640"/>
        <w:rPr>
          <w:rFonts w:hint="eastAsia" w:ascii="仿宋_GB2312" w:hAnsi="楷体"/>
          <w:szCs w:val="32"/>
        </w:rPr>
      </w:pPr>
      <w:r>
        <w:rPr>
          <w:rFonts w:hint="eastAsia" w:ascii="仿宋_GB2312" w:hAnsi="楷体"/>
          <w:szCs w:val="32"/>
        </w:rPr>
        <w:t>二、收入决算表</w:t>
      </w:r>
    </w:p>
    <w:p>
      <w:pPr>
        <w:ind w:firstLine="640"/>
        <w:rPr>
          <w:rFonts w:hint="eastAsia" w:ascii="仿宋_GB2312" w:hAnsi="楷体"/>
          <w:szCs w:val="32"/>
        </w:rPr>
      </w:pPr>
      <w:r>
        <w:rPr>
          <w:rFonts w:hint="eastAsia" w:ascii="仿宋_GB2312" w:hAnsi="楷体"/>
          <w:szCs w:val="32"/>
        </w:rPr>
        <w:t>三、支出决算表</w:t>
      </w:r>
    </w:p>
    <w:p>
      <w:pPr>
        <w:ind w:firstLine="640"/>
        <w:rPr>
          <w:rFonts w:hint="eastAsia" w:ascii="仿宋_GB2312" w:hAnsi="楷体"/>
          <w:szCs w:val="32"/>
        </w:rPr>
      </w:pPr>
      <w:r>
        <w:rPr>
          <w:rFonts w:hint="eastAsia" w:ascii="仿宋_GB2312" w:hAnsi="楷体"/>
          <w:szCs w:val="32"/>
        </w:rPr>
        <w:t>四、财政拨款收入支出决算总表</w:t>
      </w:r>
    </w:p>
    <w:p>
      <w:pPr>
        <w:ind w:firstLine="640"/>
        <w:rPr>
          <w:rFonts w:hint="eastAsia" w:ascii="仿宋_GB2312" w:hAnsi="楷体"/>
          <w:szCs w:val="32"/>
        </w:rPr>
      </w:pPr>
      <w:r>
        <w:rPr>
          <w:rFonts w:hint="eastAsia" w:ascii="仿宋_GB2312" w:hAnsi="楷体"/>
          <w:szCs w:val="32"/>
        </w:rPr>
        <w:t>五、一般公共预算财政拨款支出决算表（一）</w:t>
      </w:r>
    </w:p>
    <w:p>
      <w:pPr>
        <w:ind w:firstLine="640"/>
        <w:rPr>
          <w:rFonts w:hint="eastAsia" w:ascii="仿宋_GB2312" w:hAnsi="楷体"/>
          <w:szCs w:val="32"/>
        </w:rPr>
      </w:pPr>
      <w:r>
        <w:rPr>
          <w:rFonts w:hint="eastAsia" w:ascii="仿宋_GB2312" w:hAnsi="楷体"/>
          <w:szCs w:val="32"/>
        </w:rPr>
        <w:t>六、一般公共预算财政拨款支出决算表（二）</w:t>
      </w:r>
    </w:p>
    <w:p>
      <w:pPr>
        <w:ind w:firstLine="640"/>
        <w:rPr>
          <w:rFonts w:hint="eastAsia" w:ascii="仿宋_GB2312" w:hAnsi="楷体"/>
          <w:szCs w:val="32"/>
        </w:rPr>
      </w:pPr>
      <w:r>
        <w:rPr>
          <w:rFonts w:hint="eastAsia" w:ascii="仿宋_GB2312" w:hAnsi="楷体"/>
          <w:szCs w:val="32"/>
        </w:rPr>
        <w:t>七、一般公共预算财政拨款“三公”经费支出决算表</w:t>
      </w:r>
    </w:p>
    <w:p>
      <w:pPr>
        <w:ind w:firstLine="640"/>
        <w:rPr>
          <w:rFonts w:ascii="仿宋_GB2312" w:hAnsi="楷体"/>
          <w:szCs w:val="32"/>
        </w:rPr>
      </w:pPr>
      <w:r>
        <w:rPr>
          <w:rFonts w:hint="eastAsia" w:ascii="仿宋_GB2312" w:hAnsi="楷体"/>
          <w:szCs w:val="32"/>
        </w:rPr>
        <w:t>八、政府性基金预算财政拨款收入支出决算表</w:t>
      </w:r>
    </w:p>
    <w:p>
      <w:pPr>
        <w:ind w:firstLine="640"/>
        <w:rPr>
          <w:rFonts w:hint="eastAsia" w:ascii="仿宋_GB2312" w:hAnsi="楷体"/>
          <w:szCs w:val="32"/>
        </w:rPr>
      </w:pPr>
      <w:r>
        <w:rPr>
          <w:rFonts w:hint="eastAsia" w:ascii="仿宋_GB2312" w:hAnsi="楷体"/>
          <w:szCs w:val="32"/>
        </w:rPr>
        <w:t>九、国有资本经营预算财政拨款支出决算表</w:t>
      </w:r>
    </w:p>
    <w:p>
      <w:pPr>
        <w:ind w:firstLine="640"/>
        <w:rPr>
          <w:rFonts w:hint="eastAsia" w:ascii="仿宋_GB2312" w:hAnsi="楷体"/>
          <w:szCs w:val="32"/>
        </w:rPr>
      </w:pPr>
      <w:r>
        <w:rPr>
          <w:rFonts w:hint="eastAsia" w:ascii="仿宋_GB2312" w:hAnsi="楷体"/>
          <w:szCs w:val="32"/>
        </w:rPr>
        <w:t>十、部门决算公开相关信息统计表</w:t>
      </w:r>
    </w:p>
    <w:p>
      <w:pPr>
        <w:pStyle w:val="2"/>
        <w:ind w:left="0" w:leftChars="0" w:firstLine="0" w:firstLineChars="0"/>
        <w:jc w:val="center"/>
        <w:rPr>
          <w:rFonts w:hint="eastAsia"/>
          <w:b/>
          <w:sz w:val="36"/>
          <w:szCs w:val="36"/>
          <w:lang w:val="en-US" w:eastAsia="zh-CN"/>
        </w:rPr>
      </w:pPr>
      <w:bookmarkStart w:id="10" w:name="_Toc29325"/>
      <w:r>
        <w:rPr>
          <w:rFonts w:hint="eastAsia"/>
          <w:b/>
          <w:sz w:val="36"/>
          <w:szCs w:val="36"/>
          <w:lang w:val="en-US" w:eastAsia="zh-CN"/>
        </w:rPr>
        <w:t>第三部分  2021年度部门决算情况说明</w:t>
      </w:r>
      <w:bookmarkEnd w:id="10"/>
    </w:p>
    <w:p>
      <w:pPr>
        <w:pStyle w:val="3"/>
        <w:rPr>
          <w:rFonts w:hint="eastAsia" w:ascii="仿宋" w:hAnsi="仿宋" w:eastAsia="仿宋" w:cs="仿宋"/>
          <w:b/>
          <w:bCs w:val="0"/>
          <w:lang w:val="en-US" w:eastAsia="zh-CN"/>
        </w:rPr>
      </w:pPr>
      <w:bookmarkStart w:id="11" w:name="_Toc8717"/>
      <w:bookmarkStart w:id="12" w:name="_Toc437"/>
      <w:r>
        <w:rPr>
          <w:rFonts w:hint="eastAsia" w:ascii="仿宋" w:hAnsi="仿宋" w:eastAsia="仿宋" w:cs="仿宋"/>
          <w:b/>
          <w:bCs w:val="0"/>
          <w:lang w:val="en-US" w:eastAsia="zh-CN"/>
        </w:rPr>
        <w:t>一、收入支出决算总体情况说明</w:t>
      </w:r>
      <w:bookmarkEnd w:id="11"/>
      <w:bookmarkEnd w:id="12"/>
    </w:p>
    <w:p>
      <w:pPr>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年度收入</w:t>
      </w:r>
      <w:r>
        <w:rPr>
          <w:rFonts w:ascii="仿宋_GB2312"/>
          <w:color w:val="auto"/>
          <w:szCs w:val="32"/>
        </w:rPr>
        <w:t>总计</w:t>
      </w:r>
      <w:r>
        <w:rPr>
          <w:rFonts w:hint="eastAsia" w:ascii="仿宋_GB2312"/>
          <w:color w:val="auto"/>
          <w:szCs w:val="32"/>
          <w:lang w:val="en-US" w:eastAsia="zh-CN"/>
        </w:rPr>
        <w:t>692.93</w:t>
      </w:r>
      <w:r>
        <w:rPr>
          <w:rFonts w:hint="eastAsia" w:ascii="仿宋_GB2312"/>
          <w:color w:val="auto"/>
          <w:szCs w:val="32"/>
        </w:rPr>
        <w:t>万元、支出总计</w:t>
      </w:r>
      <w:r>
        <w:rPr>
          <w:rFonts w:hint="eastAsia" w:ascii="仿宋_GB2312"/>
          <w:color w:val="auto"/>
          <w:szCs w:val="32"/>
          <w:lang w:val="en-US" w:eastAsia="zh-CN"/>
        </w:rPr>
        <w:t>692.93</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年相比，收入总计</w:t>
      </w:r>
      <w:r>
        <w:rPr>
          <w:rFonts w:hint="eastAsia" w:ascii="仿宋_GB2312"/>
          <w:color w:val="auto"/>
          <w:szCs w:val="32"/>
          <w:lang w:val="en-US" w:eastAsia="zh-CN"/>
        </w:rPr>
        <w:t>增长561.9</w:t>
      </w:r>
      <w:r>
        <w:rPr>
          <w:rFonts w:hint="eastAsia" w:ascii="仿宋_GB2312"/>
          <w:color w:val="auto"/>
          <w:szCs w:val="32"/>
        </w:rPr>
        <w:t>万元，</w:t>
      </w:r>
      <w:r>
        <w:rPr>
          <w:rFonts w:hint="eastAsia" w:ascii="仿宋_GB2312"/>
          <w:color w:val="auto"/>
          <w:szCs w:val="32"/>
          <w:lang w:val="en-US" w:eastAsia="zh-CN"/>
        </w:rPr>
        <w:t>增长428.85</w:t>
      </w:r>
      <w:r>
        <w:rPr>
          <w:rFonts w:hint="eastAsia" w:ascii="仿宋_GB2312"/>
          <w:color w:val="auto"/>
          <w:szCs w:val="32"/>
        </w:rPr>
        <w:t>%，</w:t>
      </w:r>
      <w:r>
        <w:rPr>
          <w:rFonts w:ascii="仿宋_GB2312"/>
          <w:color w:val="auto"/>
          <w:szCs w:val="32"/>
        </w:rPr>
        <w:t>支出总计</w:t>
      </w:r>
      <w:r>
        <w:rPr>
          <w:rFonts w:hint="eastAsia" w:ascii="仿宋_GB2312"/>
          <w:color w:val="auto"/>
          <w:szCs w:val="32"/>
          <w:lang w:val="en-US" w:eastAsia="zh-CN"/>
        </w:rPr>
        <w:t>增长561.9</w:t>
      </w:r>
      <w:r>
        <w:rPr>
          <w:rFonts w:hint="eastAsia" w:ascii="仿宋_GB2312"/>
          <w:color w:val="auto"/>
          <w:szCs w:val="32"/>
        </w:rPr>
        <w:t>万元</w:t>
      </w:r>
      <w:r>
        <w:rPr>
          <w:rFonts w:ascii="仿宋_GB2312"/>
          <w:color w:val="auto"/>
          <w:szCs w:val="32"/>
        </w:rPr>
        <w:t>，</w:t>
      </w:r>
      <w:r>
        <w:rPr>
          <w:rFonts w:hint="eastAsia" w:ascii="仿宋_GB2312"/>
          <w:color w:val="auto"/>
          <w:szCs w:val="32"/>
          <w:lang w:val="en-US" w:eastAsia="zh-CN"/>
        </w:rPr>
        <w:t>增长428.85</w:t>
      </w:r>
      <w:r>
        <w:rPr>
          <w:rFonts w:ascii="仿宋_GB2312"/>
          <w:color w:val="auto"/>
          <w:szCs w:val="32"/>
        </w:rPr>
        <w:t>%</w:t>
      </w:r>
      <w:r>
        <w:rPr>
          <w:rFonts w:hint="eastAsia" w:ascii="仿宋_GB2312"/>
          <w:color w:val="auto"/>
          <w:szCs w:val="32"/>
        </w:rPr>
        <w:t>。主要原因是本年度退休1人，新招聘76人导致。</w:t>
      </w:r>
    </w:p>
    <w:p>
      <w:pPr>
        <w:pStyle w:val="3"/>
        <w:rPr>
          <w:rFonts w:hint="eastAsia" w:ascii="仿宋" w:hAnsi="仿宋" w:eastAsia="仿宋" w:cs="仿宋"/>
          <w:b/>
          <w:bCs w:val="0"/>
          <w:color w:val="auto"/>
          <w:lang w:val="en-US" w:eastAsia="zh-CN"/>
        </w:rPr>
      </w:pPr>
      <w:bookmarkStart w:id="13" w:name="_Toc17404"/>
      <w:bookmarkStart w:id="14" w:name="_Toc16754"/>
      <w:r>
        <w:rPr>
          <w:rFonts w:hint="eastAsia" w:ascii="仿宋" w:hAnsi="仿宋" w:eastAsia="仿宋" w:cs="仿宋"/>
          <w:b/>
          <w:bCs w:val="0"/>
          <w:color w:val="auto"/>
          <w:lang w:val="en-US" w:eastAsia="zh-CN"/>
        </w:rPr>
        <w:t>二、收入决算情况说明</w:t>
      </w:r>
      <w:bookmarkEnd w:id="13"/>
      <w:bookmarkEnd w:id="14"/>
    </w:p>
    <w:p>
      <w:pPr>
        <w:spacing w:line="580" w:lineRule="exact"/>
        <w:ind w:firstLine="640"/>
        <w:rPr>
          <w:rFonts w:hint="eastAsia" w:ascii="仿宋_GB2312"/>
          <w:color w:val="auto"/>
          <w:szCs w:val="32"/>
        </w:rPr>
      </w:pPr>
      <w:r>
        <w:rPr>
          <w:rFonts w:hint="eastAsia" w:ascii="仿宋_GB2312"/>
          <w:color w:val="auto"/>
          <w:szCs w:val="32"/>
        </w:rPr>
        <w:t>本年收入合计</w:t>
      </w:r>
      <w:r>
        <w:rPr>
          <w:rFonts w:hint="eastAsia" w:ascii="仿宋_GB2312"/>
          <w:color w:val="auto"/>
          <w:szCs w:val="32"/>
          <w:lang w:val="en-US" w:eastAsia="zh-CN"/>
        </w:rPr>
        <w:t>692.93</w:t>
      </w:r>
      <w:r>
        <w:rPr>
          <w:rFonts w:hint="eastAsia" w:ascii="仿宋_GB2312"/>
          <w:color w:val="auto"/>
          <w:szCs w:val="32"/>
        </w:rPr>
        <w:t>万元，其中：财政拨款收入</w:t>
      </w:r>
      <w:r>
        <w:rPr>
          <w:rFonts w:hint="eastAsia" w:ascii="仿宋_GB2312"/>
          <w:color w:val="auto"/>
          <w:szCs w:val="32"/>
          <w:lang w:val="en-US" w:eastAsia="zh-CN"/>
        </w:rPr>
        <w:t>692.93</w:t>
      </w:r>
      <w:r>
        <w:rPr>
          <w:rFonts w:hint="eastAsia" w:ascii="仿宋_GB2312"/>
          <w:color w:val="auto"/>
          <w:szCs w:val="32"/>
        </w:rPr>
        <w:t>万元，占比</w:t>
      </w:r>
      <w:r>
        <w:rPr>
          <w:rFonts w:hint="eastAsia" w:ascii="仿宋_GB2312"/>
          <w:color w:val="auto"/>
          <w:szCs w:val="32"/>
          <w:lang w:val="en-US" w:eastAsia="zh-CN"/>
        </w:rPr>
        <w:t>100</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5" w:name="_Toc22098"/>
      <w:bookmarkStart w:id="16" w:name="_Toc9596"/>
      <w:r>
        <w:rPr>
          <w:rFonts w:hint="eastAsia" w:ascii="仿宋" w:hAnsi="仿宋" w:eastAsia="仿宋" w:cs="仿宋"/>
          <w:b/>
          <w:bCs w:val="0"/>
          <w:color w:val="auto"/>
          <w:lang w:val="en-US" w:eastAsia="zh-CN"/>
        </w:rPr>
        <w:t>三、支出决算情况说明</w:t>
      </w:r>
      <w:bookmarkEnd w:id="15"/>
      <w:bookmarkEnd w:id="16"/>
    </w:p>
    <w:p>
      <w:pPr>
        <w:spacing w:line="580" w:lineRule="exact"/>
        <w:ind w:firstLine="640"/>
        <w:rPr>
          <w:rFonts w:hint="eastAsia" w:ascii="仿宋_GB2312"/>
          <w:color w:val="auto"/>
          <w:szCs w:val="32"/>
        </w:rPr>
      </w:pPr>
      <w:r>
        <w:rPr>
          <w:rFonts w:hint="eastAsia" w:ascii="仿宋_GB2312"/>
          <w:color w:val="auto"/>
          <w:szCs w:val="32"/>
        </w:rPr>
        <w:t>本年支出合计</w:t>
      </w:r>
      <w:r>
        <w:rPr>
          <w:rFonts w:hint="eastAsia" w:ascii="仿宋_GB2312"/>
          <w:color w:val="auto"/>
          <w:szCs w:val="32"/>
          <w:lang w:val="en-US" w:eastAsia="zh-CN"/>
        </w:rPr>
        <w:t>692.93</w:t>
      </w:r>
      <w:r>
        <w:rPr>
          <w:rFonts w:hint="eastAsia" w:ascii="仿宋_GB2312"/>
          <w:color w:val="auto"/>
          <w:szCs w:val="32"/>
        </w:rPr>
        <w:t>万元，其中：基本支出</w:t>
      </w:r>
      <w:r>
        <w:rPr>
          <w:rFonts w:hint="eastAsia" w:ascii="仿宋_GB2312"/>
          <w:color w:val="auto"/>
          <w:szCs w:val="32"/>
          <w:lang w:val="en-US" w:eastAsia="zh-CN"/>
        </w:rPr>
        <w:t>669.93</w:t>
      </w:r>
      <w:r>
        <w:rPr>
          <w:rFonts w:hint="eastAsia" w:ascii="仿宋_GB2312"/>
          <w:color w:val="auto"/>
          <w:szCs w:val="32"/>
        </w:rPr>
        <w:t>万元，占比</w:t>
      </w:r>
      <w:r>
        <w:rPr>
          <w:rFonts w:hint="eastAsia" w:ascii="仿宋_GB2312"/>
          <w:color w:val="auto"/>
          <w:szCs w:val="32"/>
          <w:lang w:val="en-US" w:eastAsia="zh-CN"/>
        </w:rPr>
        <w:t>96.54</w:t>
      </w:r>
      <w:r>
        <w:rPr>
          <w:rFonts w:hint="eastAsia" w:ascii="仿宋_GB2312"/>
          <w:color w:val="auto"/>
          <w:szCs w:val="32"/>
        </w:rPr>
        <w:t>%；项目支出</w:t>
      </w:r>
      <w:r>
        <w:rPr>
          <w:rFonts w:hint="eastAsia" w:ascii="仿宋_GB2312"/>
          <w:color w:val="auto"/>
          <w:szCs w:val="32"/>
          <w:lang w:val="en-US" w:eastAsia="zh-CN"/>
        </w:rPr>
        <w:t>24</w:t>
      </w:r>
      <w:r>
        <w:rPr>
          <w:rFonts w:hint="eastAsia" w:ascii="仿宋_GB2312"/>
          <w:color w:val="auto"/>
          <w:szCs w:val="32"/>
        </w:rPr>
        <w:t>万元，占比</w:t>
      </w:r>
      <w:r>
        <w:rPr>
          <w:rFonts w:hint="eastAsia" w:ascii="仿宋_GB2312"/>
          <w:color w:val="auto"/>
          <w:szCs w:val="32"/>
          <w:lang w:val="en-US" w:eastAsia="zh-CN"/>
        </w:rPr>
        <w:t>3.46</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7" w:name="_Toc4614"/>
      <w:bookmarkStart w:id="18" w:name="_Toc2142"/>
      <w:r>
        <w:rPr>
          <w:rFonts w:hint="eastAsia" w:ascii="仿宋" w:hAnsi="仿宋" w:eastAsia="仿宋" w:cs="仿宋"/>
          <w:b/>
          <w:bCs w:val="0"/>
          <w:color w:val="auto"/>
          <w:lang w:val="en-US" w:eastAsia="zh-CN"/>
        </w:rPr>
        <w:t>四、财政拨款收入支出决算总体情况说明</w:t>
      </w:r>
      <w:bookmarkEnd w:id="17"/>
      <w:bookmarkEnd w:id="18"/>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年度财政拨款收入</w:t>
      </w:r>
      <w:r>
        <w:rPr>
          <w:rFonts w:ascii="仿宋_GB2312"/>
          <w:color w:val="auto"/>
          <w:szCs w:val="32"/>
        </w:rPr>
        <w:t>总计</w:t>
      </w:r>
      <w:r>
        <w:rPr>
          <w:rFonts w:hint="eastAsia" w:ascii="仿宋_GB2312"/>
          <w:color w:val="auto"/>
          <w:szCs w:val="32"/>
          <w:lang w:val="en-US" w:eastAsia="zh-CN"/>
        </w:rPr>
        <w:t>692.93</w:t>
      </w:r>
      <w:r>
        <w:rPr>
          <w:rFonts w:hint="eastAsia" w:ascii="仿宋_GB2312"/>
          <w:color w:val="auto"/>
          <w:szCs w:val="32"/>
        </w:rPr>
        <w:t>万元、支出总计</w:t>
      </w:r>
      <w:r>
        <w:rPr>
          <w:rFonts w:hint="eastAsia" w:ascii="仿宋_GB2312"/>
          <w:color w:val="auto"/>
          <w:szCs w:val="32"/>
          <w:lang w:val="en-US" w:eastAsia="zh-CN"/>
        </w:rPr>
        <w:t>692.93</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年相比，财政拨款收入总计</w:t>
      </w:r>
      <w:r>
        <w:rPr>
          <w:rFonts w:hint="eastAsia" w:ascii="仿宋_GB2312"/>
          <w:color w:val="auto"/>
          <w:szCs w:val="32"/>
          <w:lang w:val="en-US" w:eastAsia="zh-CN"/>
        </w:rPr>
        <w:t>增长561.9</w:t>
      </w:r>
      <w:r>
        <w:rPr>
          <w:rFonts w:hint="eastAsia" w:ascii="仿宋_GB2312"/>
          <w:color w:val="auto"/>
          <w:szCs w:val="32"/>
        </w:rPr>
        <w:t>万元，</w:t>
      </w:r>
      <w:r>
        <w:rPr>
          <w:rFonts w:hint="eastAsia" w:ascii="仿宋_GB2312"/>
          <w:color w:val="auto"/>
          <w:szCs w:val="32"/>
          <w:lang w:val="en-US" w:eastAsia="zh-CN"/>
        </w:rPr>
        <w:t>增长428.85</w:t>
      </w:r>
      <w:r>
        <w:rPr>
          <w:rFonts w:hint="eastAsia" w:ascii="仿宋_GB2312"/>
          <w:color w:val="auto"/>
          <w:szCs w:val="32"/>
        </w:rPr>
        <w:t>%，财政拨款支出总计</w:t>
      </w:r>
      <w:r>
        <w:rPr>
          <w:rFonts w:hint="eastAsia" w:ascii="仿宋_GB2312"/>
          <w:color w:val="auto"/>
          <w:szCs w:val="32"/>
          <w:lang w:val="en-US" w:eastAsia="zh-CN"/>
        </w:rPr>
        <w:t>增长561.9</w:t>
      </w:r>
      <w:r>
        <w:rPr>
          <w:rFonts w:hint="eastAsia" w:ascii="仿宋_GB2312"/>
          <w:color w:val="auto"/>
          <w:szCs w:val="32"/>
        </w:rPr>
        <w:t>万元，</w:t>
      </w:r>
      <w:r>
        <w:rPr>
          <w:rFonts w:hint="eastAsia" w:ascii="仿宋_GB2312"/>
          <w:color w:val="auto"/>
          <w:szCs w:val="32"/>
          <w:lang w:val="en-US" w:eastAsia="zh-CN"/>
        </w:rPr>
        <w:t>增长428.85</w:t>
      </w:r>
      <w:r>
        <w:rPr>
          <w:rFonts w:hint="eastAsia" w:ascii="仿宋_GB2312"/>
          <w:color w:val="auto"/>
          <w:szCs w:val="32"/>
        </w:rPr>
        <w:t>%。主要原因是本年度退休1人，新招聘76人导致。</w:t>
      </w:r>
    </w:p>
    <w:p>
      <w:pPr>
        <w:pStyle w:val="3"/>
        <w:rPr>
          <w:rFonts w:hint="eastAsia" w:ascii="仿宋" w:hAnsi="仿宋" w:eastAsia="仿宋" w:cs="仿宋"/>
          <w:b/>
          <w:bCs w:val="0"/>
          <w:color w:val="auto"/>
          <w:lang w:val="en-US" w:eastAsia="zh-CN"/>
        </w:rPr>
      </w:pPr>
      <w:bookmarkStart w:id="19" w:name="_Toc9341"/>
      <w:bookmarkStart w:id="20" w:name="_Toc6501"/>
      <w:r>
        <w:rPr>
          <w:rFonts w:hint="eastAsia" w:ascii="仿宋" w:hAnsi="仿宋" w:eastAsia="仿宋" w:cs="仿宋"/>
          <w:b/>
          <w:bCs w:val="0"/>
          <w:color w:val="auto"/>
          <w:lang w:val="en-US" w:eastAsia="zh-CN"/>
        </w:rPr>
        <w:t>五、一般公共预算财政拨款支出决算情况说明</w:t>
      </w:r>
      <w:bookmarkEnd w:id="19"/>
      <w:bookmarkEnd w:id="20"/>
    </w:p>
    <w:p>
      <w:pPr>
        <w:spacing w:line="580" w:lineRule="exact"/>
        <w:ind w:firstLine="643"/>
        <w:rPr>
          <w:rFonts w:hint="eastAsia" w:ascii="仿宋_GB2312"/>
          <w:b/>
          <w:color w:val="auto"/>
          <w:szCs w:val="32"/>
        </w:rPr>
      </w:pPr>
      <w:r>
        <w:rPr>
          <w:rFonts w:hint="eastAsia" w:ascii="仿宋_GB2312"/>
          <w:b/>
          <w:color w:val="auto"/>
          <w:szCs w:val="32"/>
        </w:rPr>
        <w:t>（一）财政拨款支出决算总体情况</w:t>
      </w:r>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年度财政拨款支出</w:t>
      </w:r>
      <w:r>
        <w:rPr>
          <w:rFonts w:hint="eastAsia" w:ascii="仿宋_GB2312"/>
          <w:color w:val="auto"/>
          <w:szCs w:val="32"/>
          <w:lang w:val="en-US" w:eastAsia="zh-CN"/>
        </w:rPr>
        <w:t>692.93</w:t>
      </w:r>
      <w:r>
        <w:rPr>
          <w:rFonts w:hint="eastAsia" w:ascii="仿宋_GB2312"/>
          <w:color w:val="auto"/>
          <w:szCs w:val="32"/>
        </w:rPr>
        <w:t>万元，占本年支出合计的</w:t>
      </w:r>
      <w:r>
        <w:rPr>
          <w:rFonts w:hint="eastAsia" w:ascii="仿宋_GB2312"/>
          <w:color w:val="auto"/>
          <w:szCs w:val="32"/>
          <w:lang w:val="en-US" w:eastAsia="zh-CN"/>
        </w:rPr>
        <w:t>100</w:t>
      </w:r>
      <w:r>
        <w:rPr>
          <w:rFonts w:hint="eastAsia" w:ascii="仿宋_GB2312"/>
          <w:color w:val="auto"/>
          <w:szCs w:val="32"/>
        </w:rPr>
        <w:t>%。与20</w:t>
      </w:r>
      <w:r>
        <w:rPr>
          <w:rFonts w:hint="eastAsia" w:ascii="仿宋_GB2312"/>
          <w:color w:val="auto"/>
          <w:szCs w:val="32"/>
          <w:lang w:val="en-US" w:eastAsia="zh-CN"/>
        </w:rPr>
        <w:t>20</w:t>
      </w:r>
      <w:r>
        <w:rPr>
          <w:rFonts w:hint="eastAsia" w:ascii="仿宋_GB2312"/>
          <w:color w:val="auto"/>
          <w:szCs w:val="32"/>
        </w:rPr>
        <w:t>年相比，财政拨款支出</w:t>
      </w:r>
      <w:r>
        <w:rPr>
          <w:rFonts w:hint="eastAsia" w:ascii="仿宋_GB2312"/>
          <w:color w:val="auto"/>
          <w:szCs w:val="32"/>
          <w:lang w:val="en-US" w:eastAsia="zh-CN"/>
        </w:rPr>
        <w:t>增加561.9</w:t>
      </w:r>
      <w:r>
        <w:rPr>
          <w:rFonts w:hint="eastAsia" w:ascii="仿宋_GB2312"/>
          <w:color w:val="auto"/>
          <w:szCs w:val="32"/>
        </w:rPr>
        <w:t>万元，</w:t>
      </w:r>
      <w:r>
        <w:rPr>
          <w:rFonts w:hint="eastAsia" w:ascii="仿宋_GB2312"/>
          <w:color w:val="auto"/>
          <w:szCs w:val="32"/>
          <w:lang w:val="en-US" w:eastAsia="zh-CN"/>
        </w:rPr>
        <w:t>增长428.85</w:t>
      </w:r>
      <w:r>
        <w:rPr>
          <w:rFonts w:hint="eastAsia" w:ascii="仿宋_GB2312"/>
          <w:color w:val="auto"/>
          <w:szCs w:val="32"/>
        </w:rPr>
        <w:t>%。主要原因是本年度退休1人，新招聘76人导致。其中，</w:t>
      </w:r>
      <w:r>
        <w:rPr>
          <w:rFonts w:hint="eastAsia" w:ascii="仿宋_GB2312"/>
          <w:color w:val="auto"/>
          <w:szCs w:val="32"/>
          <w:lang w:val="en-US" w:eastAsia="zh-CN"/>
        </w:rPr>
        <w:t>政府性基金预算支出0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w:t>
      </w:r>
    </w:p>
    <w:p>
      <w:pPr>
        <w:spacing w:line="580" w:lineRule="exact"/>
        <w:ind w:firstLine="643"/>
        <w:rPr>
          <w:rFonts w:ascii="仿宋_GB2312"/>
          <w:b/>
          <w:color w:val="auto"/>
          <w:szCs w:val="32"/>
        </w:rPr>
      </w:pPr>
      <w:r>
        <w:rPr>
          <w:rFonts w:hint="eastAsia" w:ascii="仿宋_GB2312"/>
          <w:b/>
          <w:color w:val="auto"/>
          <w:szCs w:val="32"/>
        </w:rPr>
        <w:t>（二）财政拨款</w:t>
      </w:r>
      <w:r>
        <w:rPr>
          <w:rFonts w:ascii="仿宋_GB2312"/>
          <w:b/>
          <w:color w:val="auto"/>
          <w:szCs w:val="32"/>
        </w:rPr>
        <w:t>支出决算结构情况</w:t>
      </w:r>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财政拨款支出</w:t>
      </w:r>
      <w:r>
        <w:rPr>
          <w:rFonts w:hint="eastAsia" w:ascii="仿宋_GB2312"/>
          <w:color w:val="auto"/>
          <w:szCs w:val="32"/>
          <w:lang w:val="en-US" w:eastAsia="zh-CN"/>
        </w:rPr>
        <w:t>692.93</w:t>
      </w:r>
      <w:r>
        <w:rPr>
          <w:rFonts w:hint="eastAsia" w:ascii="仿宋_GB2312"/>
          <w:color w:val="auto"/>
          <w:szCs w:val="32"/>
        </w:rPr>
        <w:t>万元</w:t>
      </w:r>
      <w:r>
        <w:rPr>
          <w:rFonts w:ascii="仿宋_GB2312"/>
          <w:color w:val="auto"/>
          <w:szCs w:val="32"/>
        </w:rPr>
        <w:t>，主要用于以下方面：</w:t>
      </w:r>
      <w:r>
        <w:rPr>
          <w:rFonts w:hint="eastAsia" w:ascii="仿宋_GB2312"/>
          <w:b/>
          <w:color w:val="auto"/>
          <w:szCs w:val="32"/>
        </w:rPr>
        <w:t>教育</w:t>
      </w:r>
      <w:r>
        <w:rPr>
          <w:rFonts w:ascii="仿宋_GB2312"/>
          <w:b/>
          <w:color w:val="auto"/>
          <w:szCs w:val="32"/>
        </w:rPr>
        <w:t>（</w:t>
      </w:r>
      <w:r>
        <w:rPr>
          <w:rFonts w:hint="eastAsia" w:ascii="仿宋_GB2312"/>
          <w:b/>
          <w:color w:val="auto"/>
          <w:szCs w:val="32"/>
        </w:rPr>
        <w:t>类</w:t>
      </w:r>
      <w:r>
        <w:rPr>
          <w:rFonts w:ascii="仿宋_GB2312"/>
          <w:b/>
          <w:color w:val="auto"/>
          <w:szCs w:val="32"/>
        </w:rPr>
        <w:t>）</w:t>
      </w:r>
      <w:r>
        <w:rPr>
          <w:rFonts w:hint="eastAsia" w:ascii="仿宋_GB2312"/>
          <w:color w:val="auto"/>
          <w:szCs w:val="32"/>
        </w:rPr>
        <w:t>支出</w:t>
      </w:r>
      <w:r>
        <w:rPr>
          <w:rFonts w:hint="eastAsia" w:ascii="仿宋_GB2312"/>
          <w:color w:val="auto"/>
          <w:szCs w:val="32"/>
          <w:lang w:val="en-US" w:eastAsia="zh-CN"/>
        </w:rPr>
        <w:t>692.93</w:t>
      </w:r>
      <w:r>
        <w:rPr>
          <w:rFonts w:hint="eastAsia" w:ascii="仿宋_GB2312"/>
          <w:color w:val="auto"/>
          <w:szCs w:val="32"/>
        </w:rPr>
        <w:t>万元</w:t>
      </w:r>
      <w:r>
        <w:rPr>
          <w:rFonts w:ascii="仿宋_GB2312"/>
          <w:color w:val="auto"/>
          <w:szCs w:val="32"/>
        </w:rPr>
        <w:t>，占</w:t>
      </w:r>
      <w:r>
        <w:rPr>
          <w:rFonts w:hint="eastAsia" w:ascii="仿宋_GB2312"/>
          <w:color w:val="auto"/>
          <w:szCs w:val="32"/>
          <w:lang w:val="en-US" w:eastAsia="zh-CN"/>
        </w:rPr>
        <w:t>100</w:t>
      </w:r>
      <w:r>
        <w:rPr>
          <w:rFonts w:ascii="仿宋_GB2312"/>
          <w:color w:val="auto"/>
          <w:szCs w:val="32"/>
        </w:rPr>
        <w:t>%</w:t>
      </w:r>
      <w:r>
        <w:rPr>
          <w:rFonts w:hint="eastAsia" w:ascii="仿宋_GB2312"/>
          <w:color w:val="auto"/>
          <w:szCs w:val="32"/>
        </w:rPr>
        <w:t>。</w:t>
      </w:r>
    </w:p>
    <w:p>
      <w:pPr>
        <w:spacing w:line="580" w:lineRule="exact"/>
        <w:ind w:firstLine="643"/>
        <w:rPr>
          <w:rFonts w:hint="eastAsia" w:ascii="仿宋_GB2312"/>
          <w:b/>
          <w:color w:val="auto"/>
          <w:szCs w:val="32"/>
        </w:rPr>
      </w:pPr>
      <w:r>
        <w:rPr>
          <w:rFonts w:hint="eastAsia" w:ascii="仿宋_GB2312"/>
          <w:b/>
          <w:color w:val="auto"/>
          <w:szCs w:val="32"/>
        </w:rPr>
        <w:t>（三）财政拨款支出决算具体情况</w:t>
      </w:r>
    </w:p>
    <w:p>
      <w:pPr>
        <w:spacing w:line="580" w:lineRule="exact"/>
        <w:ind w:firstLine="640"/>
        <w:rPr>
          <w:rFonts w:hint="eastAsia" w:ascii="仿宋" w:hAnsi="仿宋" w:eastAsia="仿宋" w:cs="仿宋"/>
          <w:color w:val="auto"/>
          <w:sz w:val="32"/>
          <w:szCs w:val="32"/>
          <w:lang w:eastAsia="zh-CN"/>
        </w:rPr>
      </w:pPr>
      <w:r>
        <w:rPr>
          <w:rFonts w:hint="eastAsia"/>
          <w:color w:val="auto"/>
          <w:szCs w:val="32"/>
        </w:rPr>
        <w:t>2</w:t>
      </w:r>
      <w:r>
        <w:rPr>
          <w:color w:val="auto"/>
          <w:szCs w:val="32"/>
        </w:rPr>
        <w:t>02</w:t>
      </w:r>
      <w:r>
        <w:rPr>
          <w:rFonts w:hint="eastAsia"/>
          <w:color w:val="auto"/>
          <w:szCs w:val="32"/>
          <w:lang w:val="en-US" w:eastAsia="zh-CN"/>
        </w:rPr>
        <w:t>1</w:t>
      </w:r>
      <w:r>
        <w:rPr>
          <w:rFonts w:hint="eastAsia"/>
          <w:color w:val="auto"/>
          <w:szCs w:val="32"/>
        </w:rPr>
        <w:t>年度财政拨款支出年初预算</w:t>
      </w:r>
      <w:r>
        <w:rPr>
          <w:rFonts w:hint="eastAsia"/>
          <w:color w:val="auto"/>
          <w:szCs w:val="32"/>
          <w:lang w:val="en-US" w:eastAsia="zh-CN"/>
        </w:rPr>
        <w:t>692.93</w:t>
      </w:r>
      <w:r>
        <w:rPr>
          <w:rFonts w:hint="eastAsia"/>
          <w:color w:val="auto"/>
          <w:szCs w:val="32"/>
        </w:rPr>
        <w:t>万元，支出决算</w:t>
      </w:r>
      <w:r>
        <w:rPr>
          <w:rFonts w:hint="eastAsia"/>
          <w:color w:val="auto"/>
          <w:szCs w:val="32"/>
          <w:lang w:val="en-US" w:eastAsia="zh-CN"/>
        </w:rPr>
        <w:t>692.93</w:t>
      </w:r>
      <w:r>
        <w:rPr>
          <w:rFonts w:hint="eastAsia"/>
          <w:color w:val="auto"/>
          <w:szCs w:val="32"/>
        </w:rPr>
        <w:t>万元，完成年初预算的</w:t>
      </w:r>
      <w:r>
        <w:rPr>
          <w:rFonts w:hint="eastAsia"/>
          <w:color w:val="auto"/>
          <w:szCs w:val="32"/>
          <w:lang w:val="en-US" w:eastAsia="zh-CN"/>
        </w:rPr>
        <w:t>100</w:t>
      </w:r>
      <w:r>
        <w:rPr>
          <w:color w:val="auto"/>
          <w:szCs w:val="32"/>
        </w:rPr>
        <w:t>%</w:t>
      </w:r>
      <w:r>
        <w:rPr>
          <w:rFonts w:hint="eastAsia"/>
          <w:color w:val="auto"/>
          <w:szCs w:val="32"/>
        </w:rPr>
        <w:t>。其中：</w:t>
      </w:r>
    </w:p>
    <w:p>
      <w:pPr>
        <w:numPr>
          <w:ilvl w:val="0"/>
          <w:numId w:val="0"/>
        </w:numPr>
        <w:ind w:firstLine="640" w:firstLineChars="200"/>
        <w:jc w:val="left"/>
        <w:rPr>
          <w:rFonts w:hint="eastAsia" w:ascii="仿宋" w:hAnsi="仿宋" w:eastAsia="仿宋" w:cs="仿宋"/>
          <w:color w:val="auto"/>
          <w:sz w:val="32"/>
          <w:szCs w:val="32"/>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rPr>
        <w:t>按功能科目分类</w:t>
      </w:r>
      <w:r>
        <w:rPr>
          <w:rFonts w:hint="eastAsia" w:ascii="仿宋" w:hAnsi="仿宋" w:eastAsia="仿宋" w:cs="仿宋"/>
          <w:color w:val="auto"/>
          <w:sz w:val="32"/>
          <w:szCs w:val="32"/>
          <w:lang w:val="en-US" w:eastAsia="zh-CN"/>
        </w:rPr>
        <w:t>对比</w:t>
      </w:r>
      <w:r>
        <w:rPr>
          <w:rFonts w:hint="eastAsia" w:ascii="仿宋" w:hAnsi="仿宋" w:eastAsia="仿宋" w:cs="仿宋"/>
          <w:color w:val="auto"/>
          <w:sz w:val="32"/>
          <w:szCs w:val="32"/>
        </w:rPr>
        <w:t>如下：</w:t>
      </w:r>
    </w:p>
    <w:p>
      <w:pPr>
        <w:jc w:val="left"/>
        <w:rPr>
          <w:rFonts w:hint="eastAsia" w:ascii="宋体" w:hAnsi="宋体" w:cs="Arial"/>
          <w:b/>
          <w:color w:val="auto"/>
          <w:kern w:val="0"/>
          <w:sz w:val="30"/>
          <w:szCs w:val="30"/>
        </w:rPr>
      </w:pPr>
      <w:r>
        <w:rPr>
          <w:rFonts w:hint="eastAsia" w:ascii="仿宋_GB2312" w:eastAsia="仿宋_GB2312"/>
          <w:color w:val="auto"/>
          <w:sz w:val="32"/>
          <w:szCs w:val="32"/>
        </w:rPr>
        <w:t xml:space="preserve"> </w:t>
      </w:r>
      <w:r>
        <w:rPr>
          <w:rFonts w:ascii="宋体" w:hAnsi="宋体" w:cs="Arial"/>
          <w:b/>
          <w:color w:val="auto"/>
          <w:kern w:val="0"/>
          <w:sz w:val="30"/>
          <w:szCs w:val="30"/>
        </w:rPr>
        <w:t>2</w:t>
      </w:r>
      <w:r>
        <w:rPr>
          <w:rFonts w:hint="eastAsia" w:ascii="宋体" w:hAnsi="宋体" w:cs="Arial"/>
          <w:b/>
          <w:color w:val="auto"/>
          <w:kern w:val="0"/>
          <w:sz w:val="30"/>
          <w:szCs w:val="30"/>
        </w:rPr>
        <w:t>0</w:t>
      </w:r>
      <w:r>
        <w:rPr>
          <w:rFonts w:hint="eastAsia" w:ascii="宋体" w:hAnsi="宋体" w:cs="Arial"/>
          <w:b/>
          <w:color w:val="auto"/>
          <w:kern w:val="0"/>
          <w:sz w:val="30"/>
          <w:szCs w:val="30"/>
          <w:lang w:val="en-US" w:eastAsia="zh-CN"/>
        </w:rPr>
        <w:t>21</w:t>
      </w:r>
      <w:r>
        <w:rPr>
          <w:rFonts w:hint="eastAsia" w:ascii="宋体" w:hAnsi="宋体" w:cs="Arial"/>
          <w:b/>
          <w:color w:val="auto"/>
          <w:kern w:val="0"/>
          <w:sz w:val="30"/>
          <w:szCs w:val="30"/>
        </w:rPr>
        <w:t>年度支出功能科目分类对比表    单位：</w:t>
      </w:r>
      <w:r>
        <w:rPr>
          <w:rFonts w:hint="eastAsia" w:ascii="宋体" w:hAnsi="宋体" w:cs="Arial"/>
          <w:b/>
          <w:color w:val="auto"/>
          <w:kern w:val="0"/>
          <w:sz w:val="30"/>
          <w:szCs w:val="30"/>
          <w:lang w:val="en-US" w:eastAsia="zh-CN"/>
        </w:rPr>
        <w:t>万</w:t>
      </w:r>
      <w:r>
        <w:rPr>
          <w:rFonts w:hint="eastAsia" w:ascii="宋体" w:hAnsi="宋体" w:cs="Arial"/>
          <w:b/>
          <w:color w:val="auto"/>
          <w:kern w:val="0"/>
          <w:sz w:val="30"/>
          <w:szCs w:val="30"/>
        </w:rPr>
        <w:t>元</w:t>
      </w:r>
    </w:p>
    <w:tbl>
      <w:tblPr>
        <w:tblStyle w:val="10"/>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479"/>
        <w:gridCol w:w="1876"/>
        <w:gridCol w:w="1684"/>
        <w:gridCol w:w="1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widowControl/>
              <w:ind w:left="0" w:leftChars="0" w:firstLine="0" w:firstLineChars="0"/>
              <w:jc w:val="both"/>
              <w:rPr>
                <w:rFonts w:hint="eastAsia" w:ascii="宋体" w:hAnsi="宋体" w:cs="Arial"/>
                <w:b/>
                <w:color w:val="auto"/>
                <w:kern w:val="0"/>
                <w:sz w:val="24"/>
                <w:szCs w:val="24"/>
              </w:rPr>
            </w:pPr>
            <w:r>
              <w:rPr>
                <w:rFonts w:hint="eastAsia" w:ascii="宋体" w:hAnsi="宋体" w:cs="Arial"/>
                <w:b/>
                <w:color w:val="auto"/>
                <w:kern w:val="0"/>
                <w:sz w:val="24"/>
                <w:szCs w:val="24"/>
              </w:rPr>
              <w:t>科目代码</w:t>
            </w:r>
          </w:p>
        </w:tc>
        <w:tc>
          <w:tcPr>
            <w:tcW w:w="2479" w:type="dxa"/>
            <w:vAlign w:val="top"/>
          </w:tcPr>
          <w:p>
            <w:pPr>
              <w:widowControl/>
              <w:jc w:val="both"/>
              <w:rPr>
                <w:rFonts w:hint="eastAsia" w:ascii="宋体" w:hAnsi="宋体" w:cs="Arial"/>
                <w:b/>
                <w:color w:val="auto"/>
                <w:kern w:val="0"/>
                <w:sz w:val="24"/>
                <w:szCs w:val="24"/>
              </w:rPr>
            </w:pPr>
            <w:r>
              <w:rPr>
                <w:rFonts w:hint="eastAsia" w:ascii="宋体" w:hAnsi="宋体" w:cs="Arial"/>
                <w:b/>
                <w:color w:val="auto"/>
                <w:kern w:val="0"/>
                <w:sz w:val="24"/>
                <w:szCs w:val="24"/>
              </w:rPr>
              <w:t>科目名称</w:t>
            </w:r>
          </w:p>
        </w:tc>
        <w:tc>
          <w:tcPr>
            <w:tcW w:w="1876" w:type="dxa"/>
            <w:vAlign w:val="top"/>
          </w:tcPr>
          <w:p>
            <w:pPr>
              <w:widowControl/>
              <w:jc w:val="left"/>
              <w:rPr>
                <w:rFonts w:hint="eastAsia" w:ascii="宋体" w:hAnsi="宋体" w:eastAsia="宋体" w:cs="Arial"/>
                <w:b/>
                <w:color w:val="auto"/>
                <w:kern w:val="0"/>
                <w:sz w:val="24"/>
                <w:szCs w:val="24"/>
                <w:lang w:val="en-US" w:eastAsia="zh-CN"/>
              </w:rPr>
            </w:pPr>
            <w:r>
              <w:rPr>
                <w:rFonts w:hint="eastAsia" w:ascii="宋体" w:hAnsi="宋体" w:cs="Arial"/>
                <w:b/>
                <w:color w:val="auto"/>
                <w:kern w:val="0"/>
                <w:sz w:val="24"/>
                <w:szCs w:val="24"/>
                <w:lang w:val="en-US" w:eastAsia="zh-CN"/>
              </w:rPr>
              <w:t>2020年</w:t>
            </w:r>
          </w:p>
        </w:tc>
        <w:tc>
          <w:tcPr>
            <w:tcW w:w="1684" w:type="dxa"/>
            <w:vAlign w:val="top"/>
          </w:tcPr>
          <w:p>
            <w:pPr>
              <w:widowControl/>
              <w:jc w:val="left"/>
              <w:rPr>
                <w:rFonts w:hint="default" w:ascii="宋体" w:hAnsi="宋体" w:eastAsia="宋体" w:cs="Arial"/>
                <w:b/>
                <w:color w:val="auto"/>
                <w:kern w:val="0"/>
                <w:sz w:val="24"/>
                <w:szCs w:val="24"/>
                <w:lang w:val="en-US" w:eastAsia="zh-CN"/>
              </w:rPr>
            </w:pPr>
            <w:r>
              <w:rPr>
                <w:rFonts w:hint="eastAsia" w:ascii="宋体" w:hAnsi="宋体" w:eastAsia="宋体" w:cs="Arial"/>
                <w:b/>
                <w:color w:val="auto"/>
                <w:kern w:val="0"/>
                <w:sz w:val="24"/>
                <w:szCs w:val="24"/>
                <w:lang w:val="en-US" w:eastAsia="zh-CN"/>
              </w:rPr>
              <w:t>2021年</w:t>
            </w:r>
          </w:p>
        </w:tc>
        <w:tc>
          <w:tcPr>
            <w:tcW w:w="1393" w:type="dxa"/>
            <w:vAlign w:val="top"/>
          </w:tcPr>
          <w:p>
            <w:pPr>
              <w:widowControl/>
              <w:ind w:left="0" w:leftChars="0" w:firstLine="0" w:firstLineChars="0"/>
              <w:jc w:val="left"/>
              <w:rPr>
                <w:rFonts w:hint="eastAsia" w:ascii="宋体" w:hAnsi="宋体" w:eastAsia="宋体" w:cs="Arial"/>
                <w:b/>
                <w:color w:val="auto"/>
                <w:kern w:val="0"/>
                <w:sz w:val="24"/>
                <w:szCs w:val="24"/>
                <w:lang w:eastAsia="zh-CN"/>
              </w:rPr>
            </w:pPr>
            <w:r>
              <w:rPr>
                <w:rFonts w:hint="eastAsia" w:ascii="宋体" w:hAnsi="宋体" w:cs="Arial"/>
                <w:b/>
                <w:color w:val="auto"/>
                <w:kern w:val="0"/>
                <w:sz w:val="24"/>
                <w:szCs w:val="24"/>
                <w:lang w:eastAsia="zh-CN"/>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88" w:type="dxa"/>
            <w:vAlign w:val="center"/>
          </w:tcPr>
          <w:p>
            <w:pPr>
              <w:keepNext w:val="0"/>
              <w:keepLines w:val="0"/>
              <w:widowControl/>
              <w:suppressLineNumbers w:val="0"/>
              <w:ind w:firstLine="400" w:firstLineChars="200"/>
              <w:jc w:val="left"/>
              <w:textAlignment w:val="center"/>
              <w:rPr>
                <w:rFonts w:hint="eastAsia" w:ascii="仿宋" w:hAnsi="仿宋" w:eastAsia="仿宋" w:cs="仿宋"/>
                <w:color w:val="auto"/>
                <w:sz w:val="21"/>
                <w:szCs w:val="21"/>
              </w:rPr>
            </w:pPr>
            <w:r>
              <w:rPr>
                <w:rFonts w:hint="eastAsia" w:ascii="宋体" w:hAnsi="宋体" w:eastAsia="宋体" w:cs="宋体"/>
                <w:i w:val="0"/>
                <w:iCs w:val="0"/>
                <w:color w:val="auto"/>
                <w:kern w:val="0"/>
                <w:sz w:val="20"/>
                <w:szCs w:val="20"/>
                <w:u w:val="none"/>
                <w:lang w:val="en-US" w:eastAsia="zh-CN" w:bidi="ar"/>
              </w:rPr>
              <w:t>205</w:t>
            </w:r>
          </w:p>
        </w:tc>
        <w:tc>
          <w:tcPr>
            <w:tcW w:w="2479" w:type="dxa"/>
            <w:vAlign w:val="center"/>
          </w:tcPr>
          <w:p>
            <w:pPr>
              <w:keepNext w:val="0"/>
              <w:keepLines w:val="0"/>
              <w:widowControl/>
              <w:suppressLineNumbers w:val="0"/>
              <w:ind w:firstLine="400" w:firstLineChars="200"/>
              <w:jc w:val="left"/>
              <w:textAlignment w:val="center"/>
              <w:rPr>
                <w:rFonts w:hint="eastAsia" w:ascii="仿宋" w:hAnsi="仿宋" w:eastAsia="仿宋" w:cs="仿宋"/>
                <w:color w:val="auto"/>
                <w:sz w:val="21"/>
                <w:szCs w:val="21"/>
              </w:rPr>
            </w:pPr>
            <w:r>
              <w:rPr>
                <w:rFonts w:hint="eastAsia" w:ascii="宋体" w:hAnsi="宋体" w:eastAsia="宋体" w:cs="宋体"/>
                <w:i w:val="0"/>
                <w:iCs w:val="0"/>
                <w:color w:val="auto"/>
                <w:kern w:val="0"/>
                <w:sz w:val="20"/>
                <w:szCs w:val="20"/>
                <w:u w:val="none"/>
                <w:lang w:val="en-US" w:eastAsia="zh-CN" w:bidi="ar"/>
              </w:rPr>
              <w:t>教育支出</w:t>
            </w:r>
          </w:p>
        </w:tc>
        <w:tc>
          <w:tcPr>
            <w:tcW w:w="1876" w:type="dxa"/>
            <w:vAlign w:val="center"/>
          </w:tcPr>
          <w:p>
            <w:pPr>
              <w:keepNext w:val="0"/>
              <w:keepLines w:val="0"/>
              <w:widowControl/>
              <w:suppressLineNumbers w:val="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131.03</w:t>
            </w:r>
          </w:p>
        </w:tc>
        <w:tc>
          <w:tcPr>
            <w:tcW w:w="1684" w:type="dxa"/>
            <w:vAlign w:val="center"/>
          </w:tcPr>
          <w:p>
            <w:pPr>
              <w:keepNext w:val="0"/>
              <w:keepLines w:val="0"/>
              <w:widowControl/>
              <w:suppressLineNumbers w:val="0"/>
              <w:jc w:val="right"/>
              <w:textAlignment w:val="center"/>
              <w:rPr>
                <w:rFonts w:hint="eastAsia" w:ascii="仿宋" w:hAnsi="仿宋" w:eastAsia="仿宋" w:cs="仿宋"/>
                <w:color w:val="auto"/>
                <w:sz w:val="24"/>
                <w:szCs w:val="24"/>
              </w:rPr>
            </w:pPr>
            <w:r>
              <w:rPr>
                <w:rFonts w:hint="eastAsia" w:ascii="宋体" w:hAnsi="宋体" w:eastAsia="宋体" w:cs="宋体"/>
                <w:i w:val="0"/>
                <w:iCs w:val="0"/>
                <w:color w:val="auto"/>
                <w:kern w:val="0"/>
                <w:sz w:val="18"/>
                <w:szCs w:val="18"/>
                <w:u w:val="none"/>
                <w:lang w:val="en-US" w:eastAsia="zh-CN" w:bidi="ar"/>
              </w:rPr>
              <w:t>692.93</w:t>
            </w:r>
          </w:p>
        </w:tc>
        <w:tc>
          <w:tcPr>
            <w:tcW w:w="1393" w:type="dxa"/>
            <w:vAlign w:val="top"/>
          </w:tcPr>
          <w:p>
            <w:pPr>
              <w:jc w:val="left"/>
              <w:rPr>
                <w:rFonts w:hint="default" w:ascii="仿宋" w:hAnsi="仿宋" w:eastAsia="仿宋" w:cs="仿宋"/>
                <w:color w:val="auto"/>
                <w:sz w:val="24"/>
                <w:szCs w:val="24"/>
                <w:lang w:val="en-US" w:eastAsia="zh-CN"/>
              </w:rPr>
            </w:pPr>
            <w:r>
              <w:rPr>
                <w:rFonts w:hint="eastAsia" w:ascii="仿宋" w:hAnsi="仿宋" w:eastAsia="仿宋" w:cs="仿宋"/>
                <w:color w:val="auto"/>
                <w:sz w:val="21"/>
                <w:szCs w:val="21"/>
                <w:lang w:val="en-US" w:eastAsia="zh-CN"/>
              </w:rPr>
              <w:t>428.85%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00" w:firstLineChars="200"/>
              <w:jc w:val="left"/>
              <w:textAlignment w:val="center"/>
              <w:rPr>
                <w:rFonts w:hint="eastAsia" w:ascii="仿宋" w:hAnsi="仿宋" w:eastAsia="仿宋" w:cs="仿宋"/>
                <w:color w:val="auto"/>
                <w:sz w:val="21"/>
                <w:szCs w:val="21"/>
              </w:rPr>
            </w:pPr>
            <w:r>
              <w:rPr>
                <w:rFonts w:hint="eastAsia" w:ascii="宋体" w:hAnsi="宋体" w:eastAsia="宋体" w:cs="宋体"/>
                <w:i w:val="0"/>
                <w:iCs w:val="0"/>
                <w:color w:val="auto"/>
                <w:kern w:val="0"/>
                <w:sz w:val="20"/>
                <w:szCs w:val="20"/>
                <w:u w:val="none"/>
                <w:lang w:val="en-US" w:eastAsia="zh-CN" w:bidi="ar"/>
              </w:rPr>
              <w:t>20502</w:t>
            </w:r>
          </w:p>
        </w:tc>
        <w:tc>
          <w:tcPr>
            <w:tcW w:w="2479" w:type="dxa"/>
            <w:vAlign w:val="center"/>
          </w:tcPr>
          <w:p>
            <w:pPr>
              <w:keepNext w:val="0"/>
              <w:keepLines w:val="0"/>
              <w:widowControl/>
              <w:suppressLineNumbers w:val="0"/>
              <w:ind w:firstLine="400" w:firstLineChars="200"/>
              <w:jc w:val="left"/>
              <w:textAlignment w:val="center"/>
              <w:rPr>
                <w:rFonts w:hint="eastAsia" w:ascii="仿宋" w:hAnsi="仿宋" w:eastAsia="仿宋" w:cs="仿宋"/>
                <w:color w:val="auto"/>
                <w:sz w:val="21"/>
                <w:szCs w:val="21"/>
              </w:rPr>
            </w:pPr>
            <w:r>
              <w:rPr>
                <w:rFonts w:hint="eastAsia" w:ascii="宋体" w:hAnsi="宋体" w:eastAsia="宋体" w:cs="宋体"/>
                <w:i w:val="0"/>
                <w:iCs w:val="0"/>
                <w:color w:val="auto"/>
                <w:kern w:val="0"/>
                <w:sz w:val="20"/>
                <w:szCs w:val="20"/>
                <w:u w:val="none"/>
                <w:lang w:val="en-US" w:eastAsia="zh-CN" w:bidi="ar"/>
              </w:rPr>
              <w:t>普通教育</w:t>
            </w:r>
          </w:p>
        </w:tc>
        <w:tc>
          <w:tcPr>
            <w:tcW w:w="1876" w:type="dxa"/>
            <w:vAlign w:val="center"/>
          </w:tcPr>
          <w:p>
            <w:pPr>
              <w:keepNext w:val="0"/>
              <w:keepLines w:val="0"/>
              <w:widowControl/>
              <w:suppressLineNumbers w:val="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131.03</w:t>
            </w:r>
          </w:p>
        </w:tc>
        <w:tc>
          <w:tcPr>
            <w:tcW w:w="1684" w:type="dxa"/>
            <w:vAlign w:val="center"/>
          </w:tcPr>
          <w:p>
            <w:pPr>
              <w:keepNext w:val="0"/>
              <w:keepLines w:val="0"/>
              <w:widowControl/>
              <w:suppressLineNumbers w:val="0"/>
              <w:jc w:val="right"/>
              <w:textAlignment w:val="center"/>
              <w:rPr>
                <w:rFonts w:hint="eastAsia" w:ascii="仿宋" w:hAnsi="仿宋" w:eastAsia="仿宋" w:cs="仿宋"/>
                <w:color w:val="auto"/>
                <w:sz w:val="24"/>
                <w:szCs w:val="24"/>
                <w:lang w:val="en-US" w:eastAsia="zh-CN"/>
              </w:rPr>
            </w:pPr>
            <w:r>
              <w:rPr>
                <w:rFonts w:hint="eastAsia" w:ascii="宋体" w:hAnsi="宋体" w:eastAsia="宋体" w:cs="宋体"/>
                <w:i w:val="0"/>
                <w:iCs w:val="0"/>
                <w:color w:val="auto"/>
                <w:kern w:val="0"/>
                <w:sz w:val="18"/>
                <w:szCs w:val="18"/>
                <w:u w:val="none"/>
                <w:lang w:val="en-US" w:eastAsia="zh-CN" w:bidi="ar"/>
              </w:rPr>
              <w:t>692.93</w:t>
            </w:r>
          </w:p>
        </w:tc>
        <w:tc>
          <w:tcPr>
            <w:tcW w:w="1393"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1"/>
                <w:szCs w:val="21"/>
                <w:lang w:val="en-US" w:eastAsia="zh-CN"/>
              </w:rPr>
              <w:t>428.85%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00" w:firstLineChars="200"/>
              <w:jc w:val="left"/>
              <w:textAlignment w:val="center"/>
              <w:rPr>
                <w:rFonts w:hint="eastAsia" w:ascii="仿宋" w:hAnsi="仿宋" w:eastAsia="仿宋" w:cs="仿宋"/>
                <w:color w:val="auto"/>
                <w:sz w:val="21"/>
                <w:szCs w:val="21"/>
              </w:rPr>
            </w:pPr>
            <w:r>
              <w:rPr>
                <w:rFonts w:hint="eastAsia" w:ascii="宋体" w:hAnsi="宋体" w:eastAsia="宋体" w:cs="宋体"/>
                <w:i w:val="0"/>
                <w:iCs w:val="0"/>
                <w:color w:val="auto"/>
                <w:kern w:val="0"/>
                <w:sz w:val="20"/>
                <w:szCs w:val="20"/>
                <w:u w:val="none"/>
                <w:lang w:val="en-US" w:eastAsia="zh-CN" w:bidi="ar"/>
              </w:rPr>
              <w:t>2050201</w:t>
            </w:r>
          </w:p>
        </w:tc>
        <w:tc>
          <w:tcPr>
            <w:tcW w:w="2479" w:type="dxa"/>
            <w:vAlign w:val="center"/>
          </w:tcPr>
          <w:p>
            <w:pPr>
              <w:keepNext w:val="0"/>
              <w:keepLines w:val="0"/>
              <w:widowControl/>
              <w:suppressLineNumbers w:val="0"/>
              <w:ind w:firstLine="400" w:firstLineChars="200"/>
              <w:jc w:val="left"/>
              <w:textAlignment w:val="center"/>
              <w:rPr>
                <w:rFonts w:hint="eastAsia" w:ascii="仿宋" w:hAnsi="仿宋" w:eastAsia="仿宋" w:cs="仿宋"/>
                <w:color w:val="auto"/>
                <w:sz w:val="21"/>
                <w:szCs w:val="21"/>
              </w:rPr>
            </w:pPr>
            <w:r>
              <w:rPr>
                <w:rFonts w:hint="eastAsia" w:ascii="宋体" w:hAnsi="宋体" w:eastAsia="宋体" w:cs="宋体"/>
                <w:i w:val="0"/>
                <w:iCs w:val="0"/>
                <w:color w:val="auto"/>
                <w:kern w:val="0"/>
                <w:sz w:val="20"/>
                <w:szCs w:val="20"/>
                <w:u w:val="none"/>
                <w:lang w:val="en-US" w:eastAsia="zh-CN" w:bidi="ar"/>
              </w:rPr>
              <w:t xml:space="preserve">  学前教育</w:t>
            </w:r>
          </w:p>
        </w:tc>
        <w:tc>
          <w:tcPr>
            <w:tcW w:w="1876" w:type="dxa"/>
            <w:vAlign w:val="center"/>
          </w:tcPr>
          <w:p>
            <w:pPr>
              <w:keepNext w:val="0"/>
              <w:keepLines w:val="0"/>
              <w:widowControl/>
              <w:suppressLineNumbers w:val="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131.03</w:t>
            </w:r>
          </w:p>
        </w:tc>
        <w:tc>
          <w:tcPr>
            <w:tcW w:w="1684" w:type="dxa"/>
            <w:vAlign w:val="center"/>
          </w:tcPr>
          <w:p>
            <w:pPr>
              <w:keepNext w:val="0"/>
              <w:keepLines w:val="0"/>
              <w:widowControl/>
              <w:suppressLineNumbers w:val="0"/>
              <w:ind w:firstLine="360" w:firstLineChars="200"/>
              <w:jc w:val="right"/>
              <w:textAlignment w:val="center"/>
              <w:rPr>
                <w:rFonts w:hint="default"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692.93</w:t>
            </w:r>
          </w:p>
        </w:tc>
        <w:tc>
          <w:tcPr>
            <w:tcW w:w="1393" w:type="dxa"/>
            <w:vAlign w:val="top"/>
          </w:tcPr>
          <w:p>
            <w:pPr>
              <w:jc w:val="left"/>
              <w:rPr>
                <w:rFonts w:hint="eastAsia" w:ascii="仿宋" w:hAnsi="仿宋" w:eastAsia="仿宋" w:cs="仿宋"/>
                <w:color w:val="auto"/>
                <w:sz w:val="24"/>
                <w:szCs w:val="24"/>
                <w:lang w:val="en-US" w:eastAsia="zh-CN"/>
              </w:rPr>
            </w:pPr>
            <w:r>
              <w:rPr>
                <w:rFonts w:hint="eastAsia" w:ascii="仿宋" w:hAnsi="仿宋" w:eastAsia="仿宋" w:cs="仿宋"/>
                <w:color w:val="auto"/>
                <w:sz w:val="21"/>
                <w:szCs w:val="21"/>
                <w:lang w:val="en-US" w:eastAsia="zh-CN"/>
              </w:rPr>
              <w:t>428.85%</w:t>
            </w:r>
          </w:p>
        </w:tc>
      </w:tr>
    </w:tbl>
    <w:p>
      <w:pPr>
        <w:numPr>
          <w:ilvl w:val="0"/>
          <w:numId w:val="2"/>
        </w:numPr>
        <w:ind w:firstLine="640" w:firstLineChars="200"/>
        <w:jc w:val="left"/>
        <w:rPr>
          <w:rFonts w:hint="eastAsia" w:ascii="仿宋" w:hAnsi="仿宋" w:eastAsia="仿宋" w:cs="仿宋"/>
          <w:color w:val="auto"/>
          <w:sz w:val="32"/>
          <w:szCs w:val="32"/>
        </w:rPr>
      </w:pPr>
      <w:r>
        <w:rPr>
          <w:rFonts w:hint="eastAsia" w:ascii="仿宋" w:hAnsi="仿宋" w:eastAsia="仿宋" w:cs="仿宋"/>
          <w:color w:val="auto"/>
          <w:sz w:val="32"/>
          <w:szCs w:val="32"/>
        </w:rPr>
        <w:t>按经济科目分类</w:t>
      </w:r>
      <w:r>
        <w:rPr>
          <w:rFonts w:hint="eastAsia" w:ascii="仿宋" w:hAnsi="仿宋" w:eastAsia="仿宋" w:cs="仿宋"/>
          <w:color w:val="auto"/>
          <w:sz w:val="32"/>
          <w:szCs w:val="32"/>
          <w:lang w:val="en-US" w:eastAsia="zh-CN"/>
        </w:rPr>
        <w:t>对比</w:t>
      </w:r>
      <w:r>
        <w:rPr>
          <w:rFonts w:hint="eastAsia" w:ascii="仿宋" w:hAnsi="仿宋" w:eastAsia="仿宋" w:cs="仿宋"/>
          <w:color w:val="auto"/>
          <w:sz w:val="32"/>
          <w:szCs w:val="32"/>
        </w:rPr>
        <w:t>如下：</w:t>
      </w:r>
    </w:p>
    <w:p>
      <w:pPr>
        <w:jc w:val="left"/>
        <w:rPr>
          <w:rFonts w:hint="eastAsia" w:ascii="仿宋" w:hAnsi="仿宋" w:eastAsia="仿宋" w:cs="仿宋"/>
          <w:color w:val="auto"/>
          <w:sz w:val="30"/>
          <w:szCs w:val="30"/>
        </w:rPr>
      </w:pPr>
      <w:r>
        <w:rPr>
          <w:rFonts w:hint="eastAsia" w:ascii="仿宋" w:hAnsi="仿宋" w:eastAsia="仿宋" w:cs="Arial"/>
          <w:b/>
          <w:color w:val="auto"/>
          <w:kern w:val="0"/>
          <w:sz w:val="30"/>
          <w:szCs w:val="30"/>
        </w:rPr>
        <w:t>20</w:t>
      </w:r>
      <w:r>
        <w:rPr>
          <w:rFonts w:hint="eastAsia" w:ascii="仿宋" w:hAnsi="仿宋" w:eastAsia="仿宋" w:cs="Arial"/>
          <w:b/>
          <w:color w:val="auto"/>
          <w:kern w:val="0"/>
          <w:sz w:val="30"/>
          <w:szCs w:val="30"/>
          <w:lang w:val="en-US" w:eastAsia="zh-CN"/>
        </w:rPr>
        <w:t>20</w:t>
      </w:r>
      <w:r>
        <w:rPr>
          <w:rFonts w:hint="eastAsia" w:ascii="仿宋" w:hAnsi="仿宋" w:eastAsia="仿宋" w:cs="Arial"/>
          <w:b/>
          <w:color w:val="auto"/>
          <w:kern w:val="0"/>
          <w:sz w:val="30"/>
          <w:szCs w:val="30"/>
        </w:rPr>
        <w:t xml:space="preserve">年度支出经济科目分类决算对比表  </w:t>
      </w:r>
      <w:r>
        <w:rPr>
          <w:rFonts w:hint="eastAsia" w:ascii="仿宋" w:hAnsi="仿宋" w:eastAsia="仿宋" w:cs="Arial"/>
          <w:b/>
          <w:color w:val="auto"/>
          <w:kern w:val="0"/>
          <w:sz w:val="30"/>
          <w:szCs w:val="30"/>
          <w:lang w:val="en-US" w:eastAsia="zh-CN"/>
        </w:rPr>
        <w:t xml:space="preserve"> </w:t>
      </w:r>
      <w:r>
        <w:rPr>
          <w:rFonts w:hint="eastAsia" w:ascii="仿宋" w:hAnsi="仿宋" w:eastAsia="仿宋" w:cs="Arial"/>
          <w:b/>
          <w:color w:val="auto"/>
          <w:kern w:val="0"/>
          <w:sz w:val="30"/>
          <w:szCs w:val="30"/>
        </w:rPr>
        <w:t xml:space="preserve">   单位：</w:t>
      </w:r>
      <w:r>
        <w:rPr>
          <w:rFonts w:hint="eastAsia" w:ascii="仿宋" w:hAnsi="仿宋" w:eastAsia="仿宋" w:cs="Arial"/>
          <w:b/>
          <w:color w:val="auto"/>
          <w:kern w:val="0"/>
          <w:sz w:val="30"/>
          <w:szCs w:val="30"/>
          <w:lang w:val="en-US" w:eastAsia="zh-CN"/>
        </w:rPr>
        <w:t>万</w:t>
      </w:r>
      <w:r>
        <w:rPr>
          <w:rFonts w:hint="eastAsia" w:ascii="仿宋" w:hAnsi="仿宋" w:eastAsia="仿宋" w:cs="Arial"/>
          <w:b/>
          <w:color w:val="auto"/>
          <w:kern w:val="0"/>
          <w:sz w:val="30"/>
          <w:szCs w:val="30"/>
        </w:rPr>
        <w:t>元</w:t>
      </w:r>
    </w:p>
    <w:tbl>
      <w:tblPr>
        <w:tblStyle w:val="10"/>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2876" w:type="dxa"/>
            <w:vAlign w:val="center"/>
          </w:tcPr>
          <w:p>
            <w:pPr>
              <w:widowControl/>
              <w:jc w:val="both"/>
              <w:rPr>
                <w:rFonts w:hint="eastAsia" w:ascii="仿宋" w:hAnsi="仿宋" w:eastAsia="仿宋" w:cs="仿宋"/>
                <w:b/>
                <w:color w:val="auto"/>
                <w:kern w:val="0"/>
                <w:sz w:val="28"/>
                <w:szCs w:val="28"/>
              </w:rPr>
            </w:pPr>
            <w:r>
              <w:rPr>
                <w:rFonts w:hint="eastAsia" w:ascii="仿宋" w:hAnsi="仿宋" w:eastAsia="仿宋" w:cs="仿宋"/>
                <w:b/>
                <w:color w:val="auto"/>
                <w:kern w:val="0"/>
                <w:sz w:val="28"/>
                <w:szCs w:val="28"/>
                <w:lang w:val="en-US" w:eastAsia="zh-CN"/>
              </w:rPr>
              <w:t>科目</w:t>
            </w:r>
            <w:r>
              <w:rPr>
                <w:rFonts w:hint="eastAsia" w:ascii="仿宋" w:hAnsi="仿宋" w:eastAsia="仿宋" w:cs="仿宋"/>
                <w:b/>
                <w:color w:val="auto"/>
                <w:kern w:val="0"/>
                <w:sz w:val="28"/>
                <w:szCs w:val="28"/>
              </w:rPr>
              <w:t>名称</w:t>
            </w:r>
          </w:p>
        </w:tc>
        <w:tc>
          <w:tcPr>
            <w:tcW w:w="1837" w:type="dxa"/>
            <w:vAlign w:val="top"/>
          </w:tcPr>
          <w:p>
            <w:pPr>
              <w:widowControl/>
              <w:jc w:val="left"/>
              <w:rPr>
                <w:rFonts w:hint="eastAsia" w:ascii="仿宋" w:hAnsi="仿宋" w:eastAsia="仿宋" w:cs="仿宋"/>
                <w:b/>
                <w:color w:val="auto"/>
                <w:kern w:val="0"/>
                <w:sz w:val="28"/>
                <w:szCs w:val="28"/>
              </w:rPr>
            </w:pPr>
            <w:r>
              <w:rPr>
                <w:rFonts w:hint="eastAsia" w:ascii="仿宋" w:hAnsi="仿宋" w:eastAsia="仿宋" w:cs="仿宋"/>
                <w:b/>
                <w:color w:val="auto"/>
                <w:kern w:val="0"/>
                <w:sz w:val="24"/>
                <w:szCs w:val="24"/>
                <w:lang w:val="en-US" w:eastAsia="zh-CN"/>
              </w:rPr>
              <w:t>2020年</w:t>
            </w:r>
          </w:p>
        </w:tc>
        <w:tc>
          <w:tcPr>
            <w:tcW w:w="2071" w:type="dxa"/>
            <w:vAlign w:val="top"/>
          </w:tcPr>
          <w:p>
            <w:pPr>
              <w:widowControl/>
              <w:jc w:val="left"/>
              <w:rPr>
                <w:rFonts w:hint="eastAsia" w:ascii="仿宋" w:hAnsi="仿宋" w:eastAsia="仿宋" w:cs="仿宋"/>
                <w:b/>
                <w:color w:val="auto"/>
                <w:kern w:val="0"/>
                <w:sz w:val="28"/>
                <w:szCs w:val="28"/>
              </w:rPr>
            </w:pPr>
            <w:r>
              <w:rPr>
                <w:rFonts w:hint="eastAsia" w:ascii="仿宋" w:hAnsi="仿宋" w:eastAsia="仿宋" w:cs="仿宋"/>
                <w:b/>
                <w:color w:val="auto"/>
                <w:kern w:val="0"/>
                <w:sz w:val="24"/>
                <w:szCs w:val="24"/>
                <w:lang w:val="en-US" w:eastAsia="zh-CN"/>
              </w:rPr>
              <w:t>2021年</w:t>
            </w:r>
          </w:p>
        </w:tc>
        <w:tc>
          <w:tcPr>
            <w:tcW w:w="1956" w:type="dxa"/>
            <w:vAlign w:val="top"/>
          </w:tcPr>
          <w:p>
            <w:pPr>
              <w:widowControl/>
              <w:jc w:val="left"/>
              <w:rPr>
                <w:rFonts w:hint="eastAsia" w:ascii="仿宋" w:hAnsi="仿宋" w:eastAsia="仿宋" w:cs="仿宋"/>
                <w:b/>
                <w:color w:val="auto"/>
                <w:kern w:val="0"/>
                <w:sz w:val="28"/>
                <w:szCs w:val="28"/>
                <w:lang w:val="en-US"/>
              </w:rPr>
            </w:pPr>
            <w:r>
              <w:rPr>
                <w:rFonts w:hint="eastAsia" w:ascii="仿宋" w:hAnsi="仿宋" w:eastAsia="仿宋" w:cs="仿宋"/>
                <w:b/>
                <w:color w:val="auto"/>
                <w:kern w:val="0"/>
                <w:sz w:val="24"/>
                <w:szCs w:val="24"/>
                <w:lang w:eastAsia="zh-CN"/>
              </w:rPr>
              <w:t>增减变化</w:t>
            </w:r>
            <w:r>
              <w:rPr>
                <w:rFonts w:hint="eastAsia" w:ascii="仿宋" w:hAnsi="仿宋" w:eastAsia="仿宋" w:cs="仿宋"/>
                <w:b/>
                <w:color w:val="auto"/>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trPr>
        <w:tc>
          <w:tcPr>
            <w:tcW w:w="2876" w:type="dxa"/>
            <w:vAlign w:val="center"/>
          </w:tcPr>
          <w:p>
            <w:pPr>
              <w:widowControl/>
              <w:jc w:val="both"/>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合  计</w:t>
            </w:r>
          </w:p>
        </w:tc>
        <w:tc>
          <w:tcPr>
            <w:tcW w:w="1837"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131.03</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692.93</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428.85%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工资福利支出</w:t>
            </w:r>
          </w:p>
        </w:tc>
        <w:tc>
          <w:tcPr>
            <w:tcW w:w="1837"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53.17</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564.15</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961.05%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商品服务支出</w:t>
            </w:r>
          </w:p>
        </w:tc>
        <w:tc>
          <w:tcPr>
            <w:tcW w:w="1837"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77.86</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82.96</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6.55%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widowControl/>
              <w:ind w:left="0" w:leftChars="0" w:firstLine="0" w:firstLineChars="0"/>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对个人和家庭的补助</w:t>
            </w:r>
          </w:p>
        </w:tc>
        <w:tc>
          <w:tcPr>
            <w:tcW w:w="1837" w:type="dxa"/>
            <w:vAlign w:val="center"/>
          </w:tcPr>
          <w:p>
            <w:pPr>
              <w:widowControl/>
              <w:jc w:val="righ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0</w:t>
            </w:r>
          </w:p>
        </w:tc>
        <w:tc>
          <w:tcPr>
            <w:tcW w:w="2071" w:type="dxa"/>
            <w:vAlign w:val="center"/>
          </w:tcPr>
          <w:p>
            <w:pPr>
              <w:widowControl/>
              <w:jc w:val="righ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0</w:t>
            </w:r>
          </w:p>
        </w:tc>
        <w:tc>
          <w:tcPr>
            <w:tcW w:w="1956" w:type="dxa"/>
            <w:vAlign w:val="center"/>
          </w:tcPr>
          <w:p>
            <w:pPr>
              <w:widowControl/>
              <w:jc w:val="right"/>
              <w:rPr>
                <w:rFonts w:hint="eastAsia" w:ascii="仿宋" w:hAnsi="仿宋" w:eastAsia="仿宋" w:cs="仿宋"/>
                <w:color w:val="auto"/>
                <w:kern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2876" w:type="dxa"/>
            <w:vAlign w:val="center"/>
          </w:tcPr>
          <w:p>
            <w:pPr>
              <w:widowControl/>
              <w:jc w:val="left"/>
              <w:rPr>
                <w:rFonts w:hint="eastAsia" w:ascii="仿宋" w:hAnsi="仿宋" w:eastAsia="仿宋" w:cs="仿宋"/>
                <w:b/>
                <w:bCs/>
                <w:color w:val="auto"/>
                <w:kern w:val="0"/>
                <w:sz w:val="28"/>
                <w:szCs w:val="28"/>
                <w:lang w:eastAsia="zh-CN"/>
              </w:rPr>
            </w:pPr>
            <w:r>
              <w:rPr>
                <w:rFonts w:hint="eastAsia" w:ascii="仿宋" w:hAnsi="仿宋" w:eastAsia="仿宋" w:cs="仿宋"/>
                <w:color w:val="auto"/>
                <w:kern w:val="0"/>
                <w:sz w:val="28"/>
                <w:szCs w:val="28"/>
                <w:lang w:val="en-US" w:eastAsia="zh-CN"/>
              </w:rPr>
              <w:t>资本性支出</w:t>
            </w:r>
          </w:p>
        </w:tc>
        <w:tc>
          <w:tcPr>
            <w:tcW w:w="1837" w:type="dxa"/>
            <w:vAlign w:val="center"/>
          </w:tcPr>
          <w:p>
            <w:pPr>
              <w:widowControl/>
              <w:jc w:val="right"/>
              <w:rPr>
                <w:rFonts w:hint="eastAsia" w:ascii="仿宋" w:hAnsi="仿宋" w:eastAsia="仿宋" w:cs="仿宋"/>
                <w:color w:val="auto"/>
                <w:kern w:val="0"/>
                <w:sz w:val="28"/>
                <w:szCs w:val="28"/>
              </w:rPr>
            </w:pP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lang w:val="en-US" w:eastAsia="zh-CN"/>
              </w:rPr>
            </w:pPr>
            <w:r>
              <w:rPr>
                <w:rFonts w:hint="eastAsia" w:ascii="仿宋" w:hAnsi="仿宋" w:eastAsia="仿宋" w:cs="仿宋"/>
                <w:color w:val="auto"/>
                <w:lang w:val="en-US" w:eastAsia="zh-CN"/>
              </w:rPr>
              <w:t>45.82</w:t>
            </w:r>
          </w:p>
        </w:tc>
        <w:tc>
          <w:tcPr>
            <w:tcW w:w="1956" w:type="dxa"/>
            <w:vAlign w:val="center"/>
          </w:tcPr>
          <w:p>
            <w:pPr>
              <w:widowControl/>
              <w:jc w:val="right"/>
              <w:rPr>
                <w:rFonts w:hint="eastAsia" w:ascii="仿宋" w:hAnsi="仿宋" w:eastAsia="仿宋" w:cs="仿宋"/>
                <w:color w:val="auto"/>
                <w:kern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2876" w:type="dxa"/>
            <w:vAlign w:val="center"/>
          </w:tcPr>
          <w:p>
            <w:pPr>
              <w:widowControl/>
              <w:ind w:firstLine="562" w:firstLineChars="200"/>
              <w:jc w:val="left"/>
              <w:rPr>
                <w:rFonts w:hint="eastAsia" w:ascii="仿宋" w:hAnsi="仿宋" w:eastAsia="仿宋" w:cs="仿宋"/>
                <w:b/>
                <w:bCs/>
                <w:color w:val="auto"/>
                <w:kern w:val="0"/>
                <w:sz w:val="28"/>
                <w:szCs w:val="28"/>
                <w:lang w:val="en-US" w:eastAsia="zh-CN"/>
              </w:rPr>
            </w:pPr>
          </w:p>
        </w:tc>
        <w:tc>
          <w:tcPr>
            <w:tcW w:w="1837" w:type="dxa"/>
            <w:vAlign w:val="center"/>
          </w:tcPr>
          <w:p>
            <w:pPr>
              <w:widowControl/>
              <w:jc w:val="right"/>
              <w:rPr>
                <w:rFonts w:hint="eastAsia" w:ascii="仿宋" w:hAnsi="仿宋" w:eastAsia="仿宋" w:cs="仿宋"/>
                <w:color w:val="auto"/>
                <w:kern w:val="0"/>
                <w:sz w:val="28"/>
                <w:szCs w:val="28"/>
              </w:rPr>
            </w:pPr>
          </w:p>
        </w:tc>
        <w:tc>
          <w:tcPr>
            <w:tcW w:w="2071" w:type="dxa"/>
            <w:vAlign w:val="center"/>
          </w:tcPr>
          <w:p>
            <w:pPr>
              <w:keepNext w:val="0"/>
              <w:keepLines w:val="0"/>
              <w:widowControl/>
              <w:suppressLineNumbers w:val="0"/>
              <w:jc w:val="right"/>
              <w:textAlignment w:val="center"/>
              <w:rPr>
                <w:rFonts w:hint="eastAsia" w:ascii="仿宋" w:hAnsi="仿宋" w:eastAsia="仿宋" w:cs="仿宋"/>
                <w:color w:val="auto"/>
                <w:lang w:val="en-US" w:eastAsia="zh-CN"/>
              </w:rPr>
            </w:pPr>
          </w:p>
        </w:tc>
        <w:tc>
          <w:tcPr>
            <w:tcW w:w="1956" w:type="dxa"/>
            <w:vAlign w:val="center"/>
          </w:tcPr>
          <w:p>
            <w:pPr>
              <w:widowControl/>
              <w:jc w:val="right"/>
              <w:rPr>
                <w:rFonts w:hint="eastAsia" w:ascii="仿宋" w:hAnsi="仿宋" w:eastAsia="仿宋" w:cs="仿宋"/>
                <w:color w:val="auto"/>
                <w:kern w:val="0"/>
                <w:sz w:val="28"/>
                <w:szCs w:val="28"/>
                <w:lang w:val="en-US" w:eastAsia="zh-CN"/>
              </w:rPr>
            </w:pPr>
          </w:p>
        </w:tc>
      </w:tr>
    </w:tbl>
    <w:p>
      <w:pPr>
        <w:spacing w:line="580" w:lineRule="exact"/>
        <w:ind w:left="0" w:leftChars="0" w:firstLine="0" w:firstLineChars="0"/>
        <w:rPr>
          <w:rFonts w:hint="eastAsia"/>
          <w:color w:val="auto"/>
          <w:szCs w:val="32"/>
        </w:rPr>
      </w:pPr>
    </w:p>
    <w:p>
      <w:pPr>
        <w:pStyle w:val="3"/>
        <w:rPr>
          <w:rFonts w:hint="eastAsia" w:ascii="仿宋" w:hAnsi="仿宋" w:eastAsia="仿宋" w:cs="仿宋"/>
          <w:b/>
          <w:bCs w:val="0"/>
          <w:color w:val="auto"/>
          <w:lang w:val="en-US" w:eastAsia="zh-CN"/>
        </w:rPr>
      </w:pPr>
      <w:bookmarkStart w:id="21" w:name="_Toc841"/>
      <w:bookmarkStart w:id="22" w:name="_Toc17728"/>
      <w:r>
        <w:rPr>
          <w:rFonts w:hint="eastAsia" w:ascii="仿宋" w:hAnsi="仿宋" w:eastAsia="仿宋" w:cs="仿宋"/>
          <w:b/>
          <w:bCs w:val="0"/>
          <w:color w:val="auto"/>
          <w:lang w:val="en-US" w:eastAsia="zh-CN"/>
        </w:rPr>
        <w:t>六、一般公共预算财政拨款基本支出决算情况说明</w:t>
      </w:r>
      <w:bookmarkEnd w:id="21"/>
      <w:bookmarkEnd w:id="22"/>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w:t>
      </w:r>
      <w:r>
        <w:rPr>
          <w:rFonts w:hint="eastAsia" w:ascii="仿宋_GB2312"/>
          <w:color w:val="auto"/>
          <w:szCs w:val="32"/>
        </w:rPr>
        <w:t>基本</w:t>
      </w:r>
      <w:r>
        <w:rPr>
          <w:rFonts w:ascii="仿宋_GB2312"/>
          <w:color w:val="auto"/>
          <w:szCs w:val="32"/>
        </w:rPr>
        <w:t>支出</w:t>
      </w:r>
      <w:r>
        <w:rPr>
          <w:rFonts w:hint="eastAsia" w:ascii="仿宋_GB2312"/>
          <w:color w:val="auto"/>
          <w:szCs w:val="32"/>
          <w:lang w:val="en-US" w:eastAsia="zh-CN"/>
        </w:rPr>
        <w:t>668.93</w:t>
      </w:r>
      <w:r>
        <w:rPr>
          <w:rFonts w:hint="eastAsia" w:ascii="仿宋_GB2312"/>
          <w:color w:val="auto"/>
          <w:szCs w:val="32"/>
        </w:rPr>
        <w:t>万元</w:t>
      </w:r>
      <w:r>
        <w:rPr>
          <w:rFonts w:ascii="仿宋_GB2312"/>
          <w:color w:val="auto"/>
          <w:szCs w:val="32"/>
        </w:rPr>
        <w:t>，其中</w:t>
      </w:r>
      <w:r>
        <w:rPr>
          <w:rFonts w:hint="eastAsia" w:ascii="仿宋_GB2312"/>
          <w:color w:val="auto"/>
          <w:szCs w:val="32"/>
        </w:rPr>
        <w:t>：人员</w:t>
      </w:r>
      <w:r>
        <w:rPr>
          <w:rFonts w:ascii="仿宋_GB2312"/>
          <w:color w:val="auto"/>
          <w:szCs w:val="32"/>
        </w:rPr>
        <w:t>经费</w:t>
      </w:r>
      <w:r>
        <w:rPr>
          <w:rFonts w:hint="eastAsia" w:ascii="仿宋_GB2312"/>
          <w:color w:val="auto"/>
          <w:szCs w:val="32"/>
          <w:lang w:val="en-US" w:eastAsia="zh-CN"/>
        </w:rPr>
        <w:t>564.15</w:t>
      </w:r>
      <w:r>
        <w:rPr>
          <w:rFonts w:hint="eastAsia" w:ascii="仿宋_GB2312"/>
          <w:color w:val="auto"/>
          <w:szCs w:val="32"/>
        </w:rPr>
        <w:t>万元</w:t>
      </w:r>
      <w:r>
        <w:rPr>
          <w:rFonts w:ascii="仿宋_GB2312"/>
          <w:color w:val="auto"/>
          <w:szCs w:val="32"/>
        </w:rPr>
        <w:t>，</w:t>
      </w:r>
      <w:r>
        <w:rPr>
          <w:rFonts w:hint="eastAsia" w:ascii="仿宋_GB2312"/>
          <w:color w:val="auto"/>
          <w:szCs w:val="32"/>
        </w:rPr>
        <w:t>主要</w:t>
      </w:r>
      <w:r>
        <w:rPr>
          <w:rFonts w:ascii="仿宋_GB2312"/>
          <w:color w:val="auto"/>
          <w:szCs w:val="32"/>
        </w:rPr>
        <w:t>包括</w:t>
      </w:r>
      <w:r>
        <w:rPr>
          <w:rFonts w:hint="eastAsia" w:ascii="仿宋_GB2312"/>
          <w:color w:val="auto"/>
          <w:szCs w:val="32"/>
          <w:lang w:eastAsia="zh-CN"/>
        </w:rPr>
        <w:t>工资福利支出</w:t>
      </w:r>
      <w:r>
        <w:rPr>
          <w:rFonts w:hint="eastAsia" w:ascii="仿宋_GB2312"/>
          <w:color w:val="auto"/>
          <w:szCs w:val="32"/>
          <w:lang w:val="en-US" w:eastAsia="zh-CN"/>
        </w:rPr>
        <w:t>564.15万元</w:t>
      </w:r>
      <w:r>
        <w:rPr>
          <w:rFonts w:ascii="仿宋_GB2312"/>
          <w:color w:val="auto"/>
          <w:szCs w:val="32"/>
        </w:rPr>
        <w:t>；</w:t>
      </w:r>
      <w:r>
        <w:rPr>
          <w:rFonts w:hint="eastAsia" w:ascii="仿宋_GB2312"/>
          <w:color w:val="auto"/>
          <w:szCs w:val="32"/>
        </w:rPr>
        <w:t>公用</w:t>
      </w:r>
      <w:r>
        <w:rPr>
          <w:rFonts w:ascii="仿宋_GB2312"/>
          <w:color w:val="auto"/>
          <w:szCs w:val="32"/>
        </w:rPr>
        <w:t>经费</w:t>
      </w:r>
      <w:r>
        <w:rPr>
          <w:rFonts w:hint="eastAsia" w:ascii="仿宋_GB2312"/>
          <w:color w:val="auto"/>
          <w:szCs w:val="32"/>
          <w:lang w:val="en-US" w:eastAsia="zh-CN"/>
        </w:rPr>
        <w:t>104.78</w:t>
      </w:r>
      <w:r>
        <w:rPr>
          <w:rFonts w:hint="eastAsia" w:ascii="仿宋_GB2312"/>
          <w:color w:val="auto"/>
          <w:szCs w:val="32"/>
        </w:rPr>
        <w:t>万元</w:t>
      </w:r>
      <w:r>
        <w:rPr>
          <w:rFonts w:ascii="仿宋_GB2312"/>
          <w:color w:val="auto"/>
          <w:szCs w:val="32"/>
        </w:rPr>
        <w:t>，主要包括</w:t>
      </w:r>
      <w:r>
        <w:rPr>
          <w:rFonts w:hint="eastAsia" w:ascii="仿宋_GB2312"/>
          <w:color w:val="auto"/>
          <w:szCs w:val="32"/>
          <w:lang w:eastAsia="zh-CN"/>
        </w:rPr>
        <w:t>商品和服务支出</w:t>
      </w:r>
      <w:r>
        <w:rPr>
          <w:rFonts w:hint="eastAsia" w:ascii="仿宋_GB2312"/>
          <w:color w:val="auto"/>
          <w:szCs w:val="32"/>
          <w:lang w:val="en-US" w:eastAsia="zh-CN"/>
        </w:rPr>
        <w:t>82.96万元和资本性支出21.82万元</w:t>
      </w:r>
      <w:r>
        <w:rPr>
          <w:rFonts w:ascii="仿宋_GB2312"/>
          <w:color w:val="auto"/>
          <w:szCs w:val="32"/>
        </w:rPr>
        <w:t>。</w:t>
      </w: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w:t>
      </w:r>
      <w:r>
        <w:rPr>
          <w:rFonts w:hint="eastAsia" w:ascii="仿宋_GB2312"/>
          <w:color w:val="auto"/>
          <w:szCs w:val="32"/>
          <w:lang w:val="en-US" w:eastAsia="zh-CN"/>
        </w:rPr>
        <w:t>项目</w:t>
      </w:r>
      <w:r>
        <w:rPr>
          <w:rFonts w:ascii="仿宋_GB2312"/>
          <w:color w:val="auto"/>
          <w:szCs w:val="32"/>
        </w:rPr>
        <w:t>支出</w:t>
      </w:r>
      <w:r>
        <w:rPr>
          <w:rFonts w:hint="eastAsia" w:ascii="仿宋_GB2312"/>
          <w:color w:val="auto"/>
          <w:szCs w:val="32"/>
          <w:lang w:val="en-US" w:eastAsia="zh-CN"/>
        </w:rPr>
        <w:t>24</w:t>
      </w:r>
      <w:r>
        <w:rPr>
          <w:rFonts w:hint="eastAsia" w:ascii="仿宋_GB2312"/>
          <w:color w:val="auto"/>
          <w:szCs w:val="32"/>
        </w:rPr>
        <w:t>万元</w:t>
      </w:r>
      <w:r>
        <w:rPr>
          <w:rFonts w:hint="eastAsia" w:ascii="仿宋_GB2312"/>
          <w:color w:val="auto"/>
          <w:szCs w:val="32"/>
          <w:lang w:eastAsia="zh-CN"/>
        </w:rPr>
        <w:t>。</w:t>
      </w:r>
    </w:p>
    <w:p>
      <w:pPr>
        <w:pStyle w:val="3"/>
        <w:rPr>
          <w:rFonts w:hint="eastAsia" w:ascii="仿宋" w:hAnsi="仿宋" w:eastAsia="仿宋" w:cs="仿宋"/>
          <w:b/>
          <w:bCs w:val="0"/>
          <w:color w:val="auto"/>
          <w:lang w:val="en-US" w:eastAsia="zh-CN"/>
        </w:rPr>
      </w:pPr>
      <w:bookmarkStart w:id="23" w:name="_Toc2304"/>
      <w:bookmarkStart w:id="24" w:name="_Toc26508"/>
      <w:r>
        <w:rPr>
          <w:rFonts w:hint="eastAsia" w:ascii="仿宋" w:hAnsi="仿宋" w:eastAsia="仿宋" w:cs="仿宋"/>
          <w:b/>
          <w:bCs w:val="0"/>
          <w:color w:val="auto"/>
          <w:lang w:val="en-US" w:eastAsia="zh-CN"/>
        </w:rPr>
        <w:t>七、一般公共预算财政拨款“三公”经费支出决算情况说明</w:t>
      </w:r>
      <w:bookmarkEnd w:id="23"/>
      <w:bookmarkEnd w:id="24"/>
    </w:p>
    <w:p>
      <w:pPr>
        <w:spacing w:line="580" w:lineRule="exact"/>
        <w:ind w:firstLine="640"/>
        <w:rPr>
          <w:rFonts w:hint="eastAsia"/>
          <w:b/>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年度，“三公”经费财政拨款支出决算为</w:t>
      </w:r>
      <w:r>
        <w:rPr>
          <w:rFonts w:hint="eastAsia" w:ascii="仿宋_GB2312"/>
          <w:color w:val="auto"/>
          <w:szCs w:val="32"/>
          <w:lang w:val="en-US" w:eastAsia="zh-CN"/>
        </w:rPr>
        <w:t>0</w:t>
      </w:r>
      <w:r>
        <w:rPr>
          <w:rFonts w:hint="eastAsia" w:ascii="仿宋_GB2312"/>
          <w:color w:val="auto"/>
          <w:szCs w:val="32"/>
        </w:rPr>
        <w:t>万元，</w:t>
      </w:r>
      <w:r>
        <w:rPr>
          <w:rFonts w:hint="eastAsia"/>
          <w:b/>
          <w:color w:val="auto"/>
          <w:szCs w:val="32"/>
        </w:rPr>
        <w:t>无三公经费</w:t>
      </w:r>
      <w:r>
        <w:rPr>
          <w:rFonts w:hint="eastAsia"/>
          <w:b/>
          <w:color w:val="auto"/>
          <w:szCs w:val="32"/>
          <w:lang w:eastAsia="zh-CN"/>
        </w:rPr>
        <w:t>支出</w:t>
      </w:r>
      <w:r>
        <w:rPr>
          <w:rFonts w:hint="eastAsia"/>
          <w:b/>
          <w:color w:val="auto"/>
          <w:szCs w:val="32"/>
        </w:rPr>
        <w:t>。</w:t>
      </w:r>
    </w:p>
    <w:p>
      <w:pPr>
        <w:pStyle w:val="9"/>
        <w:tabs>
          <w:tab w:val="left" w:pos="5760"/>
        </w:tabs>
        <w:spacing w:before="0" w:beforeAutospacing="0" w:after="0" w:afterAutospacing="0"/>
        <w:ind w:firstLine="640" w:firstLineChars="200"/>
        <w:rPr>
          <w:rFonts w:hint="eastAsia" w:ascii="仿宋_GB2312" w:hAnsi="宋体" w:eastAsia="仿宋_GB2312"/>
          <w:color w:val="auto"/>
          <w:sz w:val="32"/>
          <w:szCs w:val="32"/>
        </w:rPr>
      </w:pPr>
      <w:r>
        <w:rPr>
          <w:rFonts w:hint="eastAsia" w:ascii="仿宋_GB2312"/>
          <w:color w:val="auto"/>
          <w:sz w:val="32"/>
          <w:szCs w:val="32"/>
          <w:lang w:val="en-US" w:eastAsia="zh-CN"/>
        </w:rPr>
        <w:t>2021</w:t>
      </w:r>
      <w:r>
        <w:rPr>
          <w:rFonts w:hint="eastAsia" w:ascii="仿宋_GB2312" w:hAnsi="宋体" w:eastAsia="仿宋_GB2312"/>
          <w:color w:val="auto"/>
          <w:sz w:val="32"/>
          <w:szCs w:val="32"/>
        </w:rPr>
        <w:t>年“三公”经费支出情况，分三项和20</w:t>
      </w:r>
      <w:r>
        <w:rPr>
          <w:rFonts w:hint="eastAsia" w:ascii="仿宋_GB2312"/>
          <w:color w:val="auto"/>
          <w:sz w:val="32"/>
          <w:szCs w:val="32"/>
          <w:lang w:val="en-US" w:eastAsia="zh-CN"/>
        </w:rPr>
        <w:t>20</w:t>
      </w:r>
      <w:r>
        <w:rPr>
          <w:rFonts w:hint="eastAsia" w:ascii="仿宋_GB2312" w:hAnsi="宋体" w:eastAsia="仿宋_GB2312"/>
          <w:color w:val="auto"/>
          <w:sz w:val="32"/>
          <w:szCs w:val="32"/>
        </w:rPr>
        <w:t>年相比。</w:t>
      </w:r>
    </w:p>
    <w:tbl>
      <w:tblPr>
        <w:tblStyle w:val="10"/>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9"/>
              <w:spacing w:before="0" w:beforeAutospacing="0" w:after="0" w:afterAutospacing="0" w:line="300" w:lineRule="exact"/>
              <w:ind w:firstLine="2368" w:firstLineChars="1123"/>
              <w:rPr>
                <w:rFonts w:hint="eastAsia"/>
                <w:b/>
                <w:color w:val="auto"/>
                <w:sz w:val="21"/>
                <w:szCs w:val="21"/>
              </w:rPr>
            </w:pPr>
            <w:r>
              <w:rPr>
                <w:rFonts w:hint="eastAsia"/>
                <w:b/>
                <w:color w:val="auto"/>
                <w:sz w:val="21"/>
                <w:szCs w:val="21"/>
              </w:rPr>
              <w:t>年度</w:t>
            </w:r>
          </w:p>
          <w:p>
            <w:pPr>
              <w:pStyle w:val="9"/>
              <w:spacing w:before="0" w:beforeAutospacing="0" w:after="0" w:afterAutospacing="0" w:line="300" w:lineRule="exact"/>
              <w:ind w:firstLine="310" w:firstLineChars="147"/>
              <w:rPr>
                <w:rFonts w:hint="eastAsia"/>
                <w:b/>
                <w:color w:val="auto"/>
                <w:sz w:val="28"/>
                <w:szCs w:val="28"/>
              </w:rPr>
            </w:pPr>
            <w:r>
              <w:rPr>
                <w:rFonts w:hint="eastAsia"/>
                <w:b/>
                <w:color w:val="auto"/>
                <w:sz w:val="21"/>
                <w:szCs w:val="21"/>
              </w:rPr>
              <w:t>项目</w:t>
            </w:r>
          </w:p>
        </w:tc>
        <w:tc>
          <w:tcPr>
            <w:tcW w:w="1701" w:type="dxa"/>
            <w:vAlign w:val="top"/>
          </w:tcPr>
          <w:p>
            <w:pPr>
              <w:pStyle w:val="9"/>
              <w:jc w:val="center"/>
              <w:rPr>
                <w:rFonts w:hint="eastAsia"/>
                <w:b/>
                <w:color w:val="auto"/>
                <w:sz w:val="28"/>
                <w:szCs w:val="28"/>
              </w:rPr>
            </w:pPr>
            <w:r>
              <w:rPr>
                <w:rFonts w:hint="eastAsia"/>
                <w:b/>
                <w:color w:val="auto"/>
                <w:sz w:val="28"/>
                <w:szCs w:val="28"/>
              </w:rPr>
              <w:t>20</w:t>
            </w:r>
            <w:r>
              <w:rPr>
                <w:rFonts w:hint="eastAsia"/>
                <w:b/>
                <w:color w:val="auto"/>
                <w:sz w:val="28"/>
                <w:szCs w:val="28"/>
                <w:lang w:val="en-US" w:eastAsia="zh-CN"/>
              </w:rPr>
              <w:t>20</w:t>
            </w:r>
            <w:r>
              <w:rPr>
                <w:rFonts w:hint="eastAsia"/>
                <w:b/>
                <w:color w:val="auto"/>
                <w:sz w:val="28"/>
                <w:szCs w:val="28"/>
              </w:rPr>
              <w:t>年</w:t>
            </w:r>
          </w:p>
        </w:tc>
        <w:tc>
          <w:tcPr>
            <w:tcW w:w="1701" w:type="dxa"/>
            <w:vAlign w:val="top"/>
          </w:tcPr>
          <w:p>
            <w:pPr>
              <w:pStyle w:val="9"/>
              <w:jc w:val="center"/>
              <w:rPr>
                <w:rFonts w:hint="eastAsia"/>
                <w:b/>
                <w:color w:val="auto"/>
                <w:sz w:val="28"/>
                <w:szCs w:val="28"/>
              </w:rPr>
            </w:pPr>
            <w:r>
              <w:rPr>
                <w:rFonts w:hint="eastAsia"/>
                <w:b/>
                <w:color w:val="auto"/>
                <w:sz w:val="28"/>
                <w:szCs w:val="28"/>
              </w:rPr>
              <w:t>20</w:t>
            </w:r>
            <w:r>
              <w:rPr>
                <w:rFonts w:hint="eastAsia"/>
                <w:b/>
                <w:color w:val="auto"/>
                <w:sz w:val="28"/>
                <w:szCs w:val="28"/>
                <w:lang w:val="en-US" w:eastAsia="zh-CN"/>
              </w:rPr>
              <w:t>21</w:t>
            </w:r>
            <w:r>
              <w:rPr>
                <w:rFonts w:hint="eastAsia"/>
                <w:b/>
                <w:color w:val="auto"/>
                <w:sz w:val="28"/>
                <w:szCs w:val="28"/>
              </w:rPr>
              <w:t>年</w:t>
            </w:r>
          </w:p>
        </w:tc>
        <w:tc>
          <w:tcPr>
            <w:tcW w:w="1418" w:type="dxa"/>
            <w:vAlign w:val="top"/>
          </w:tcPr>
          <w:p>
            <w:pPr>
              <w:pStyle w:val="9"/>
              <w:ind w:left="0" w:leftChars="0" w:firstLine="0" w:firstLineChars="0"/>
              <w:jc w:val="both"/>
              <w:rPr>
                <w:rFonts w:hint="eastAsia"/>
                <w:b/>
                <w:color w:val="auto"/>
                <w:sz w:val="28"/>
                <w:szCs w:val="28"/>
              </w:rPr>
            </w:pPr>
            <w:r>
              <w:rPr>
                <w:rFonts w:hint="eastAsia"/>
                <w:b/>
                <w:color w:val="auto"/>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9"/>
              <w:rPr>
                <w:rFonts w:hint="eastAsia"/>
                <w:color w:val="auto"/>
                <w:sz w:val="28"/>
                <w:szCs w:val="28"/>
              </w:rPr>
            </w:pPr>
            <w:r>
              <w:rPr>
                <w:rFonts w:hint="eastAsia"/>
                <w:color w:val="auto"/>
                <w:sz w:val="28"/>
                <w:szCs w:val="28"/>
              </w:rPr>
              <w:t>因公出国（境）费</w:t>
            </w:r>
          </w:p>
        </w:tc>
        <w:tc>
          <w:tcPr>
            <w:tcW w:w="1701" w:type="dxa"/>
            <w:vAlign w:val="top"/>
          </w:tcPr>
          <w:p>
            <w:pPr>
              <w:pStyle w:val="9"/>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701" w:type="dxa"/>
            <w:vAlign w:val="top"/>
          </w:tcPr>
          <w:p>
            <w:pPr>
              <w:pStyle w:val="9"/>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418" w:type="dxa"/>
            <w:vAlign w:val="top"/>
          </w:tcPr>
          <w:p>
            <w:pPr>
              <w:pStyle w:val="9"/>
              <w:jc w:val="right"/>
              <w:rPr>
                <w:rFonts w:hint="eastAsia"/>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111" w:type="dxa"/>
            <w:vAlign w:val="top"/>
          </w:tcPr>
          <w:p>
            <w:pPr>
              <w:pStyle w:val="9"/>
              <w:rPr>
                <w:rFonts w:hint="eastAsia"/>
                <w:color w:val="auto"/>
                <w:sz w:val="28"/>
                <w:szCs w:val="28"/>
              </w:rPr>
            </w:pPr>
            <w:r>
              <w:rPr>
                <w:rFonts w:hint="eastAsia"/>
                <w:color w:val="auto"/>
                <w:sz w:val="28"/>
                <w:szCs w:val="28"/>
              </w:rPr>
              <w:t>公务接待费</w:t>
            </w:r>
          </w:p>
        </w:tc>
        <w:tc>
          <w:tcPr>
            <w:tcW w:w="1701" w:type="dxa"/>
            <w:vAlign w:val="top"/>
          </w:tcPr>
          <w:p>
            <w:pPr>
              <w:pStyle w:val="9"/>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701" w:type="dxa"/>
            <w:vAlign w:val="top"/>
          </w:tcPr>
          <w:p>
            <w:pPr>
              <w:pStyle w:val="9"/>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418" w:type="dxa"/>
            <w:vAlign w:val="top"/>
          </w:tcPr>
          <w:p>
            <w:pPr>
              <w:pStyle w:val="9"/>
              <w:jc w:val="right"/>
              <w:rPr>
                <w:rFonts w:hint="eastAsia"/>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111" w:type="dxa"/>
            <w:vAlign w:val="top"/>
          </w:tcPr>
          <w:p>
            <w:pPr>
              <w:pStyle w:val="9"/>
              <w:ind w:left="0" w:leftChars="0" w:firstLine="0" w:firstLineChars="0"/>
              <w:rPr>
                <w:rFonts w:hint="eastAsia"/>
                <w:color w:val="auto"/>
                <w:sz w:val="28"/>
                <w:szCs w:val="28"/>
              </w:rPr>
            </w:pPr>
            <w:r>
              <w:rPr>
                <w:rFonts w:hint="eastAsia"/>
                <w:color w:val="auto"/>
                <w:sz w:val="28"/>
                <w:szCs w:val="28"/>
              </w:rPr>
              <w:t>公务用车购置及运行维护费</w:t>
            </w:r>
          </w:p>
        </w:tc>
        <w:tc>
          <w:tcPr>
            <w:tcW w:w="1701" w:type="dxa"/>
            <w:vAlign w:val="top"/>
          </w:tcPr>
          <w:p>
            <w:pPr>
              <w:pStyle w:val="9"/>
              <w:jc w:val="right"/>
              <w:rPr>
                <w:rFonts w:hint="default" w:eastAsia="宋体"/>
                <w:color w:val="auto"/>
                <w:sz w:val="28"/>
                <w:szCs w:val="28"/>
                <w:lang w:val="en-US" w:eastAsia="zh-CN"/>
              </w:rPr>
            </w:pPr>
            <w:r>
              <w:rPr>
                <w:rFonts w:hint="eastAsia" w:eastAsia="宋体"/>
                <w:color w:val="auto"/>
                <w:sz w:val="28"/>
                <w:szCs w:val="28"/>
                <w:lang w:val="en-US" w:eastAsia="zh-CN"/>
              </w:rPr>
              <w:t>0</w:t>
            </w:r>
          </w:p>
        </w:tc>
        <w:tc>
          <w:tcPr>
            <w:tcW w:w="1701" w:type="dxa"/>
            <w:vAlign w:val="top"/>
          </w:tcPr>
          <w:p>
            <w:pPr>
              <w:pStyle w:val="9"/>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418" w:type="dxa"/>
            <w:vAlign w:val="top"/>
          </w:tcPr>
          <w:p>
            <w:pPr>
              <w:pStyle w:val="9"/>
              <w:jc w:val="right"/>
              <w:rPr>
                <w:rFonts w:hint="eastAsia" w:eastAsia="宋体"/>
                <w:color w:val="auto"/>
                <w:sz w:val="28"/>
                <w:szCs w:val="28"/>
                <w:lang w:val="en-US" w:eastAsia="zh-CN"/>
              </w:rPr>
            </w:pPr>
          </w:p>
        </w:tc>
      </w:tr>
    </w:tbl>
    <w:p>
      <w:pPr>
        <w:pStyle w:val="9"/>
        <w:spacing w:before="0" w:beforeAutospacing="0" w:after="0" w:afterAutospacing="0"/>
        <w:rPr>
          <w:rFonts w:hint="eastAsia"/>
          <w:b/>
          <w:color w:val="auto"/>
          <w:szCs w:val="32"/>
        </w:rPr>
      </w:pPr>
    </w:p>
    <w:p>
      <w:pPr>
        <w:pStyle w:val="3"/>
        <w:rPr>
          <w:rFonts w:hint="eastAsia" w:ascii="仿宋" w:hAnsi="仿宋" w:eastAsia="仿宋" w:cs="仿宋"/>
          <w:b/>
          <w:bCs w:val="0"/>
          <w:color w:val="auto"/>
          <w:lang w:val="en-US" w:eastAsia="zh-CN"/>
        </w:rPr>
      </w:pPr>
      <w:bookmarkStart w:id="25" w:name="_Toc1792"/>
      <w:bookmarkStart w:id="26" w:name="_Toc9078"/>
      <w:r>
        <w:rPr>
          <w:rFonts w:hint="eastAsia" w:ascii="仿宋" w:hAnsi="仿宋" w:eastAsia="仿宋" w:cs="仿宋"/>
          <w:b/>
          <w:bCs w:val="0"/>
          <w:color w:val="auto"/>
          <w:lang w:val="en-US" w:eastAsia="zh-CN"/>
        </w:rPr>
        <w:t>八、其他重要事项情况说明</w:t>
      </w:r>
      <w:bookmarkEnd w:id="25"/>
      <w:bookmarkEnd w:id="26"/>
    </w:p>
    <w:p>
      <w:pPr>
        <w:rPr>
          <w:rFonts w:hint="eastAsia"/>
          <w:b/>
          <w:bCs/>
          <w:color w:val="auto"/>
        </w:rPr>
      </w:pPr>
      <w:bookmarkStart w:id="27" w:name="_Toc23407"/>
      <w:r>
        <w:rPr>
          <w:rFonts w:hint="eastAsia"/>
          <w:b/>
          <w:bCs/>
          <w:color w:val="auto"/>
        </w:rPr>
        <w:t>（一）机关运行经费支出情况说明</w:t>
      </w:r>
      <w:bookmarkEnd w:id="27"/>
    </w:p>
    <w:p>
      <w:pPr>
        <w:spacing w:line="580" w:lineRule="exact"/>
        <w:ind w:firstLine="640"/>
        <w:rPr>
          <w:rFonts w:hint="eastAsia"/>
          <w:b/>
          <w:color w:val="auto"/>
          <w:szCs w:val="32"/>
        </w:rPr>
      </w:pPr>
      <w:r>
        <w:rPr>
          <w:rFonts w:hint="eastAsia" w:ascii="仿宋_GB2312" w:hAnsi="宋体"/>
          <w:color w:val="auto"/>
          <w:szCs w:val="32"/>
        </w:rPr>
        <w:t>20</w:t>
      </w:r>
      <w:r>
        <w:rPr>
          <w:rFonts w:hint="eastAsia" w:ascii="仿宋_GB2312" w:hAnsi="宋体"/>
          <w:color w:val="auto"/>
          <w:szCs w:val="32"/>
          <w:lang w:val="en-US" w:eastAsia="zh-CN"/>
        </w:rPr>
        <w:t>21</w:t>
      </w:r>
      <w:r>
        <w:rPr>
          <w:rFonts w:hint="eastAsia" w:ascii="仿宋_GB2312" w:hAnsi="宋体"/>
          <w:color w:val="auto"/>
          <w:szCs w:val="32"/>
        </w:rPr>
        <w:t>年本</w:t>
      </w:r>
      <w:r>
        <w:rPr>
          <w:rFonts w:hint="eastAsia" w:ascii="仿宋_GB2312" w:hAnsi="宋体"/>
          <w:color w:val="auto"/>
          <w:szCs w:val="32"/>
          <w:lang w:val="en-US" w:eastAsia="zh-CN"/>
        </w:rPr>
        <w:t>单位</w:t>
      </w:r>
      <w:r>
        <w:rPr>
          <w:rFonts w:hint="eastAsia" w:ascii="仿宋_GB2312" w:hAnsi="宋体"/>
          <w:color w:val="auto"/>
          <w:szCs w:val="32"/>
        </w:rPr>
        <w:t>机关运行经费支出</w:t>
      </w:r>
      <w:r>
        <w:rPr>
          <w:rFonts w:hint="eastAsia" w:ascii="仿宋_GB2312" w:hAnsi="宋体"/>
          <w:color w:val="auto"/>
          <w:szCs w:val="32"/>
          <w:lang w:val="en-US" w:eastAsia="zh-CN"/>
        </w:rPr>
        <w:t>0</w:t>
      </w:r>
      <w:r>
        <w:rPr>
          <w:rFonts w:hint="eastAsia" w:ascii="仿宋_GB2312" w:hAnsi="宋体"/>
          <w:color w:val="auto"/>
          <w:szCs w:val="32"/>
        </w:rPr>
        <w:t>万元</w:t>
      </w:r>
      <w:r>
        <w:rPr>
          <w:rFonts w:hint="eastAsia" w:ascii="仿宋_GB2312" w:hAnsi="宋体"/>
          <w:color w:val="auto"/>
          <w:szCs w:val="32"/>
          <w:lang w:eastAsia="zh-CN"/>
        </w:rPr>
        <w:t>，</w:t>
      </w:r>
      <w:r>
        <w:rPr>
          <w:rFonts w:hint="eastAsia"/>
          <w:b/>
          <w:color w:val="auto"/>
          <w:szCs w:val="32"/>
        </w:rPr>
        <w:t>无机关运行经费</w:t>
      </w:r>
      <w:r>
        <w:rPr>
          <w:rFonts w:hint="eastAsia"/>
          <w:b/>
          <w:color w:val="auto"/>
          <w:szCs w:val="32"/>
          <w:lang w:eastAsia="zh-CN"/>
        </w:rPr>
        <w:t>支出</w:t>
      </w:r>
      <w:r>
        <w:rPr>
          <w:rFonts w:hint="eastAsia"/>
          <w:b/>
          <w:color w:val="auto"/>
          <w:szCs w:val="32"/>
        </w:rPr>
        <w:t>。</w:t>
      </w:r>
    </w:p>
    <w:p>
      <w:pPr>
        <w:rPr>
          <w:rFonts w:hint="eastAsia"/>
          <w:b/>
          <w:bCs/>
          <w:color w:val="auto"/>
        </w:rPr>
      </w:pPr>
      <w:bookmarkStart w:id="28" w:name="_Toc16103"/>
      <w:r>
        <w:rPr>
          <w:rFonts w:hint="eastAsia"/>
          <w:b/>
          <w:bCs/>
          <w:color w:val="auto"/>
        </w:rPr>
        <w:t>（二）政府采购情况说明</w:t>
      </w:r>
      <w:bookmarkEnd w:id="28"/>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年度，政府采购支出总额</w:t>
      </w:r>
      <w:r>
        <w:rPr>
          <w:rFonts w:hint="eastAsia" w:ascii="仿宋_GB2312"/>
          <w:color w:val="auto"/>
          <w:szCs w:val="32"/>
          <w:lang w:val="en-US" w:eastAsia="zh-CN"/>
        </w:rPr>
        <w:t>18.71</w:t>
      </w:r>
      <w:r>
        <w:rPr>
          <w:rFonts w:hint="eastAsia" w:ascii="仿宋_GB2312"/>
          <w:color w:val="auto"/>
          <w:szCs w:val="32"/>
        </w:rPr>
        <w:t>万元，其中：政府采购货物支出</w:t>
      </w:r>
      <w:r>
        <w:rPr>
          <w:rFonts w:hint="eastAsia" w:ascii="仿宋_GB2312"/>
          <w:color w:val="auto"/>
          <w:szCs w:val="32"/>
          <w:lang w:val="en-US" w:eastAsia="zh-CN"/>
        </w:rPr>
        <w:t>18.71</w:t>
      </w:r>
      <w:r>
        <w:rPr>
          <w:rFonts w:hint="eastAsia" w:ascii="仿宋_GB2312"/>
          <w:color w:val="auto"/>
          <w:szCs w:val="32"/>
        </w:rPr>
        <w:t>万元、政府采购工程支出</w:t>
      </w:r>
      <w:r>
        <w:rPr>
          <w:rFonts w:hint="eastAsia" w:ascii="仿宋_GB2312"/>
          <w:color w:val="auto"/>
          <w:szCs w:val="32"/>
          <w:lang w:val="en-US" w:eastAsia="zh-CN"/>
        </w:rPr>
        <w:t>0</w:t>
      </w:r>
      <w:r>
        <w:rPr>
          <w:rFonts w:hint="eastAsia" w:ascii="仿宋_GB2312"/>
          <w:color w:val="auto"/>
          <w:szCs w:val="32"/>
        </w:rPr>
        <w:t>万元、政府采购服务支出</w:t>
      </w:r>
      <w:r>
        <w:rPr>
          <w:rFonts w:hint="eastAsia" w:ascii="仿宋_GB2312"/>
          <w:color w:val="auto"/>
          <w:szCs w:val="32"/>
          <w:lang w:val="en-US" w:eastAsia="zh-CN"/>
        </w:rPr>
        <w:t>0</w:t>
      </w:r>
      <w:r>
        <w:rPr>
          <w:rFonts w:hint="eastAsia" w:ascii="仿宋_GB2312"/>
          <w:color w:val="auto"/>
          <w:szCs w:val="32"/>
        </w:rPr>
        <w:t>万元。</w:t>
      </w:r>
    </w:p>
    <w:p>
      <w:pPr>
        <w:rPr>
          <w:rFonts w:hint="eastAsia"/>
          <w:b/>
          <w:bCs/>
          <w:color w:val="auto"/>
        </w:rPr>
      </w:pPr>
      <w:bookmarkStart w:id="29" w:name="_Toc19975"/>
      <w:r>
        <w:rPr>
          <w:rFonts w:hint="eastAsia"/>
          <w:b/>
          <w:bCs/>
          <w:color w:val="auto"/>
        </w:rPr>
        <w:t>（三）国有资产占用情况说明</w:t>
      </w:r>
      <w:bookmarkEnd w:id="29"/>
    </w:p>
    <w:p>
      <w:pPr>
        <w:spacing w:line="580" w:lineRule="exact"/>
        <w:ind w:firstLine="640"/>
        <w:rPr>
          <w:rFonts w:hint="eastAsia" w:ascii="仿宋_GB2312"/>
          <w:color w:val="auto"/>
          <w:szCs w:val="32"/>
        </w:rPr>
      </w:pPr>
      <w:r>
        <w:rPr>
          <w:rFonts w:hint="eastAsia" w:ascii="仿宋_GB2312"/>
          <w:color w:val="auto"/>
          <w:szCs w:val="32"/>
        </w:rPr>
        <w:t>截至20</w:t>
      </w:r>
      <w:r>
        <w:rPr>
          <w:rFonts w:hint="eastAsia" w:ascii="仿宋_GB2312"/>
          <w:color w:val="auto"/>
          <w:szCs w:val="32"/>
          <w:lang w:val="en-US" w:eastAsia="zh-CN"/>
        </w:rPr>
        <w:t>21</w:t>
      </w:r>
      <w:r>
        <w:rPr>
          <w:rFonts w:hint="eastAsia" w:ascii="仿宋_GB2312"/>
          <w:color w:val="auto"/>
          <w:szCs w:val="32"/>
        </w:rPr>
        <w:t>年12月31日，本部门共有车辆</w:t>
      </w:r>
      <w:r>
        <w:rPr>
          <w:rFonts w:hint="eastAsia" w:ascii="仿宋_GB2312"/>
          <w:color w:val="auto"/>
          <w:szCs w:val="32"/>
          <w:lang w:val="en-US" w:eastAsia="zh-CN"/>
        </w:rPr>
        <w:t>0</w:t>
      </w:r>
      <w:r>
        <w:rPr>
          <w:rFonts w:hint="eastAsia" w:ascii="仿宋_GB2312"/>
          <w:color w:val="auto"/>
          <w:szCs w:val="32"/>
        </w:rPr>
        <w:t>辆。单价50万元（含）以上的通用设备</w:t>
      </w:r>
      <w:r>
        <w:rPr>
          <w:rFonts w:hint="eastAsia" w:ascii="仿宋_GB2312"/>
          <w:color w:val="auto"/>
          <w:szCs w:val="32"/>
          <w:lang w:val="en-US" w:eastAsia="zh-CN"/>
        </w:rPr>
        <w:t>0</w:t>
      </w:r>
      <w:r>
        <w:rPr>
          <w:rFonts w:hint="eastAsia" w:ascii="仿宋_GB2312"/>
          <w:color w:val="auto"/>
          <w:szCs w:val="32"/>
        </w:rPr>
        <w:t>台（套），单价100万元（含）以上专用设备</w:t>
      </w:r>
      <w:r>
        <w:rPr>
          <w:rFonts w:hint="eastAsia" w:ascii="仿宋_GB2312"/>
          <w:color w:val="auto"/>
          <w:szCs w:val="32"/>
          <w:lang w:val="en-US" w:eastAsia="zh-CN"/>
        </w:rPr>
        <w:t>0</w:t>
      </w:r>
      <w:r>
        <w:rPr>
          <w:rFonts w:hint="eastAsia" w:ascii="仿宋_GB2312"/>
          <w:color w:val="auto"/>
          <w:szCs w:val="32"/>
        </w:rPr>
        <w:t>台（套）。</w:t>
      </w:r>
    </w:p>
    <w:p>
      <w:pPr>
        <w:rPr>
          <w:rFonts w:hint="eastAsia"/>
          <w:b/>
          <w:bCs/>
          <w:color w:val="auto"/>
        </w:rPr>
      </w:pPr>
      <w:r>
        <w:rPr>
          <w:rFonts w:hint="eastAsia"/>
          <w:b/>
          <w:bCs/>
          <w:color w:val="auto"/>
          <w:lang w:eastAsia="zh-CN"/>
        </w:rPr>
        <w:t>（</w:t>
      </w:r>
      <w:r>
        <w:rPr>
          <w:rFonts w:hint="eastAsia"/>
          <w:b/>
          <w:bCs/>
          <w:color w:val="auto"/>
          <w:lang w:val="en-US" w:eastAsia="zh-CN"/>
        </w:rPr>
        <w:t>四）</w:t>
      </w:r>
      <w:r>
        <w:rPr>
          <w:rFonts w:hint="eastAsia"/>
          <w:b/>
          <w:bCs/>
          <w:color w:val="auto"/>
        </w:rPr>
        <w:t>重点项目预算的绩效目标情况说明：</w:t>
      </w:r>
    </w:p>
    <w:p>
      <w:pPr>
        <w:numPr>
          <w:ilvl w:val="0"/>
          <w:numId w:val="3"/>
        </w:numPr>
        <w:ind w:firstLine="643"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预算绩效管理工作开展情况。</w:t>
      </w:r>
      <w:r>
        <w:rPr>
          <w:rFonts w:hint="eastAsia" w:ascii="仿宋_GB2312" w:hAnsi="仿宋_GB2312" w:eastAsia="仿宋_GB2312" w:cs="仿宋_GB2312"/>
          <w:color w:val="auto"/>
          <w:sz w:val="32"/>
          <w:szCs w:val="32"/>
          <w:lang w:val="en-US" w:eastAsia="zh-CN"/>
        </w:rPr>
        <w:t>根据预算绩效管理要求，</w:t>
      </w:r>
      <w:r>
        <w:rPr>
          <w:rFonts w:hint="eastAsia" w:ascii="仿宋_GB2312" w:hAnsi="仿宋_GB2312" w:cs="仿宋_GB2312"/>
          <w:color w:val="auto"/>
          <w:sz w:val="32"/>
          <w:szCs w:val="32"/>
          <w:lang w:val="en-US" w:eastAsia="zh-CN"/>
        </w:rPr>
        <w:t>我单位</w:t>
      </w:r>
      <w:r>
        <w:rPr>
          <w:rFonts w:hint="eastAsia" w:ascii="仿宋_GB2312" w:hAnsi="仿宋_GB2312" w:eastAsia="仿宋_GB2312" w:cs="仿宋_GB2312"/>
          <w:color w:val="auto"/>
          <w:sz w:val="32"/>
          <w:szCs w:val="32"/>
          <w:lang w:val="en-US" w:eastAsia="zh-CN"/>
        </w:rPr>
        <w:t>202</w:t>
      </w:r>
      <w:r>
        <w:rPr>
          <w:rFonts w:hint="eastAsia" w:ascii="仿宋_GB2312" w:hAnsi="仿宋_GB2312" w:cs="仿宋_GB2312"/>
          <w:color w:val="auto"/>
          <w:sz w:val="32"/>
          <w:szCs w:val="32"/>
          <w:lang w:val="en-US" w:eastAsia="zh-CN"/>
        </w:rPr>
        <w:t>1</w:t>
      </w:r>
      <w:r>
        <w:rPr>
          <w:rFonts w:hint="eastAsia" w:ascii="仿宋_GB2312" w:hAnsi="仿宋_GB2312" w:eastAsia="仿宋_GB2312" w:cs="仿宋_GB2312"/>
          <w:color w:val="auto"/>
          <w:sz w:val="32"/>
          <w:szCs w:val="32"/>
          <w:lang w:val="en-US" w:eastAsia="zh-CN"/>
        </w:rPr>
        <w:t>年度</w:t>
      </w:r>
      <w:r>
        <w:rPr>
          <w:rFonts w:hint="eastAsia" w:ascii="仿宋_GB2312" w:hAnsi="仿宋_GB2312" w:cs="仿宋_GB2312"/>
          <w:color w:val="auto"/>
          <w:sz w:val="32"/>
          <w:szCs w:val="32"/>
          <w:lang w:val="en-US" w:eastAsia="zh-CN"/>
        </w:rPr>
        <w:t>县</w:t>
      </w:r>
      <w:r>
        <w:rPr>
          <w:rFonts w:hint="eastAsia" w:ascii="仿宋_GB2312" w:hAnsi="仿宋_GB2312" w:eastAsia="仿宋_GB2312" w:cs="仿宋_GB2312"/>
          <w:color w:val="auto"/>
          <w:sz w:val="32"/>
          <w:szCs w:val="32"/>
          <w:lang w:val="en-US" w:eastAsia="zh-CN"/>
        </w:rPr>
        <w:t>级财政预算安排的经费补助类2个项目支出</w:t>
      </w:r>
      <w:r>
        <w:rPr>
          <w:rFonts w:hint="eastAsia" w:ascii="仿宋_GB2312" w:hAnsi="仿宋_GB2312" w:cs="仿宋_GB2312"/>
          <w:color w:val="auto"/>
          <w:sz w:val="32"/>
          <w:szCs w:val="32"/>
          <w:lang w:val="en-US" w:eastAsia="zh-CN"/>
        </w:rPr>
        <w:t>在一体化系统中进行绩效自评，</w:t>
      </w:r>
      <w:r>
        <w:rPr>
          <w:rFonts w:hint="eastAsia" w:ascii="仿宋_GB2312" w:hAnsi="仿宋_GB2312" w:eastAsia="仿宋_GB2312" w:cs="仿宋_GB2312"/>
          <w:color w:val="auto"/>
          <w:sz w:val="32"/>
          <w:szCs w:val="32"/>
          <w:lang w:val="en-US" w:eastAsia="zh-CN"/>
        </w:rPr>
        <w:t>涉及预算资金</w:t>
      </w:r>
      <w:r>
        <w:rPr>
          <w:rFonts w:hint="eastAsia" w:ascii="仿宋_GB2312" w:hAnsi="仿宋_GB2312" w:cs="仿宋_GB2312"/>
          <w:color w:val="auto"/>
          <w:sz w:val="32"/>
          <w:szCs w:val="32"/>
          <w:lang w:val="en-US" w:eastAsia="zh-CN"/>
        </w:rPr>
        <w:t>126.89</w:t>
      </w:r>
      <w:r>
        <w:rPr>
          <w:rFonts w:hint="eastAsia" w:ascii="仿宋_GB2312" w:hAnsi="仿宋_GB2312" w:eastAsia="仿宋_GB2312" w:cs="仿宋_GB2312"/>
          <w:color w:val="auto"/>
          <w:sz w:val="32"/>
          <w:szCs w:val="32"/>
          <w:lang w:val="en-US" w:eastAsia="zh-CN"/>
        </w:rPr>
        <w:t>万元，占一般公共预算项目支出总额的</w:t>
      </w:r>
      <w:r>
        <w:rPr>
          <w:rFonts w:hint="eastAsia" w:ascii="仿宋_GB2312" w:hAnsi="仿宋_GB2312" w:cs="仿宋_GB2312"/>
          <w:color w:val="auto"/>
          <w:sz w:val="32"/>
          <w:szCs w:val="32"/>
          <w:lang w:val="en-US" w:eastAsia="zh-CN"/>
        </w:rPr>
        <w:t>18.31</w:t>
      </w:r>
      <w:r>
        <w:rPr>
          <w:rFonts w:hint="eastAsia" w:ascii="仿宋_GB2312" w:hAnsi="仿宋_GB2312" w:eastAsia="仿宋_GB2312" w:cs="仿宋_GB2312"/>
          <w:color w:val="auto"/>
          <w:sz w:val="32"/>
          <w:szCs w:val="32"/>
          <w:lang w:val="en-US" w:eastAsia="zh-CN"/>
        </w:rPr>
        <w:t>%。</w:t>
      </w:r>
      <w:r>
        <w:rPr>
          <w:rFonts w:hint="eastAsia" w:ascii="仿宋_GB2312" w:hAnsi="仿宋_GB2312" w:cs="仿宋_GB2312"/>
          <w:color w:val="auto"/>
          <w:sz w:val="32"/>
          <w:szCs w:val="32"/>
          <w:lang w:val="en-US" w:eastAsia="zh-CN"/>
        </w:rPr>
        <w:t>我单位2021年度无县级财政预算安排的专项资金和200万元以上的经费补助类重点项目。</w:t>
      </w:r>
    </w:p>
    <w:p>
      <w:pPr>
        <w:numPr>
          <w:ilvl w:val="0"/>
          <w:numId w:val="3"/>
        </w:numPr>
        <w:ind w:left="0" w:leftChars="0" w:firstLine="643" w:firstLineChars="200"/>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部门决算中项目绩效自评结果。</w:t>
      </w:r>
    </w:p>
    <w:p>
      <w:pPr>
        <w:numPr>
          <w:numId w:val="0"/>
        </w:numPr>
        <w:ind w:leftChars="200" w:firstLine="960" w:firstLineChars="300"/>
        <w:rPr>
          <w:rFonts w:hint="eastAsia" w:ascii="仿宋_GB2312" w:hAnsi="仿宋_GB2312" w:eastAsia="仿宋_GB2312" w:cs="仿宋_GB2312"/>
          <w:sz w:val="32"/>
          <w:szCs w:val="32"/>
          <w:lang w:val="en-US" w:eastAsia="zh-CN"/>
        </w:rPr>
      </w:pPr>
      <w:r>
        <w:rPr>
          <w:rFonts w:hint="eastAsia" w:ascii="仿宋_GB2312" w:hAnsi="仿宋_GB2312" w:cs="仿宋_GB2312"/>
          <w:color w:val="auto"/>
          <w:sz w:val="32"/>
          <w:szCs w:val="32"/>
          <w:lang w:val="en-US" w:eastAsia="zh-CN"/>
        </w:rPr>
        <w:t>本单位无重点</w:t>
      </w:r>
      <w:r>
        <w:rPr>
          <w:rFonts w:hint="eastAsia" w:ascii="仿宋_GB2312" w:hAnsi="仿宋_GB2312" w:eastAsia="仿宋_GB2312" w:cs="仿宋_GB2312"/>
          <w:sz w:val="32"/>
          <w:szCs w:val="32"/>
          <w:lang w:val="en-US" w:eastAsia="zh-CN"/>
        </w:rPr>
        <w:t>项目向社会公开。</w:t>
      </w:r>
    </w:p>
    <w:p>
      <w:pPr>
        <w:numPr>
          <w:ilvl w:val="0"/>
          <w:numId w:val="3"/>
        </w:numPr>
        <w:ind w:left="0" w:leftChars="0" w:firstLine="643" w:firstLineChars="20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部门评价项目绩效评价结果。</w:t>
      </w:r>
    </w:p>
    <w:p>
      <w:pPr>
        <w:numPr>
          <w:numId w:val="0"/>
        </w:numPr>
        <w:ind w:leftChars="200" w:firstLine="960" w:firstLineChars="300"/>
        <w:rPr>
          <w:rFonts w:hint="eastAsia" w:ascii="仿宋_GB2312" w:hAnsi="仿宋_GB2312" w:eastAsia="仿宋_GB2312" w:cs="仿宋_GB2312"/>
          <w:sz w:val="32"/>
          <w:szCs w:val="32"/>
          <w:lang w:val="en-US" w:eastAsia="zh-CN"/>
        </w:rPr>
      </w:pPr>
      <w:r>
        <w:rPr>
          <w:rFonts w:hint="eastAsia" w:ascii="仿宋_GB2312" w:hAnsi="仿宋_GB2312" w:cs="仿宋_GB2312"/>
          <w:b w:val="0"/>
          <w:bCs w:val="0"/>
          <w:sz w:val="32"/>
          <w:szCs w:val="32"/>
          <w:lang w:val="en-US" w:eastAsia="zh-CN"/>
        </w:rPr>
        <w:t>本单位无重点项目</w:t>
      </w:r>
      <w:r>
        <w:rPr>
          <w:rFonts w:hint="eastAsia" w:ascii="仿宋_GB2312" w:hAnsi="仿宋_GB2312" w:eastAsia="仿宋_GB2312" w:cs="仿宋_GB2312"/>
          <w:sz w:val="32"/>
          <w:szCs w:val="32"/>
          <w:lang w:val="en-US" w:eastAsia="zh-CN"/>
        </w:rPr>
        <w:t>评价报告向社会公开。</w:t>
      </w:r>
    </w:p>
    <w:p>
      <w:pPr>
        <w:numPr>
          <w:ilvl w:val="0"/>
          <w:numId w:val="4"/>
        </w:numPr>
        <w:spacing w:line="580" w:lineRule="exact"/>
        <w:ind w:firstLine="643" w:firstLineChars="200"/>
        <w:outlineLvl w:val="0"/>
        <w:rPr>
          <w:rFonts w:hint="eastAsia" w:ascii="仿宋_GB2312" w:eastAsia="仿宋_GB2312"/>
          <w:b/>
          <w:szCs w:val="32"/>
          <w:lang w:val="en-US" w:eastAsia="zh-CN"/>
        </w:rPr>
      </w:pPr>
      <w:bookmarkStart w:id="30" w:name="_Toc8450"/>
      <w:bookmarkStart w:id="31" w:name="_Toc28108"/>
      <w:r>
        <w:rPr>
          <w:rFonts w:hint="eastAsia" w:ascii="仿宋_GB2312"/>
          <w:b/>
          <w:szCs w:val="32"/>
        </w:rPr>
        <w:t>其他需要说明的事项</w:t>
      </w:r>
      <w:bookmarkEnd w:id="30"/>
      <w:bookmarkEnd w:id="31"/>
    </w:p>
    <w:p>
      <w:pPr>
        <w:numPr>
          <w:ilvl w:val="0"/>
          <w:numId w:val="0"/>
        </w:numPr>
        <w:spacing w:line="580" w:lineRule="exact"/>
        <w:outlineLvl w:val="0"/>
        <w:rPr>
          <w:rFonts w:hint="default" w:ascii="仿宋_GB2312" w:eastAsia="仿宋_GB2312"/>
          <w:b w:val="0"/>
          <w:bCs/>
          <w:szCs w:val="32"/>
          <w:lang w:val="en-US" w:eastAsia="zh-CN"/>
        </w:rPr>
      </w:pPr>
      <w:r>
        <w:rPr>
          <w:rFonts w:hint="eastAsia" w:ascii="仿宋_GB2312"/>
          <w:b/>
          <w:szCs w:val="32"/>
          <w:lang w:val="en-US" w:eastAsia="zh-CN"/>
        </w:rPr>
        <w:t xml:space="preserve">        </w:t>
      </w:r>
      <w:bookmarkStart w:id="33" w:name="_GoBack"/>
      <w:bookmarkEnd w:id="33"/>
      <w:r>
        <w:rPr>
          <w:rFonts w:hint="eastAsia" w:ascii="仿宋_GB2312"/>
          <w:b w:val="0"/>
          <w:bCs/>
          <w:szCs w:val="32"/>
          <w:lang w:val="en-US" w:eastAsia="zh-CN"/>
        </w:rPr>
        <w:t xml:space="preserve"> 无</w:t>
      </w:r>
    </w:p>
    <w:p>
      <w:pPr>
        <w:pStyle w:val="2"/>
        <w:ind w:left="0" w:leftChars="0" w:firstLine="0" w:firstLineChars="0"/>
        <w:jc w:val="center"/>
        <w:rPr>
          <w:rFonts w:hint="eastAsia"/>
          <w:b/>
          <w:sz w:val="36"/>
          <w:szCs w:val="36"/>
          <w:lang w:val="en-US" w:eastAsia="zh-CN"/>
        </w:rPr>
      </w:pPr>
      <w:bookmarkStart w:id="32" w:name="_Toc8545"/>
      <w:r>
        <w:rPr>
          <w:rFonts w:hint="eastAsia"/>
          <w:b/>
          <w:sz w:val="36"/>
          <w:szCs w:val="36"/>
          <w:lang w:val="en-US" w:eastAsia="zh-CN"/>
        </w:rPr>
        <w:t>第四部分  名词解释</w:t>
      </w:r>
      <w:bookmarkEnd w:id="32"/>
    </w:p>
    <w:p>
      <w:pPr>
        <w:spacing w:line="580" w:lineRule="exact"/>
        <w:ind w:firstLine="640"/>
        <w:rPr>
          <w:rFonts w:hint="eastAsia"/>
          <w:szCs w:val="32"/>
        </w:rPr>
      </w:pPr>
      <w:r>
        <w:rPr>
          <w:rFonts w:hint="eastAsia"/>
          <w:szCs w:val="32"/>
        </w:rPr>
        <w:t>部门应当按照部门预算管理要求，对本部门涉及的专业名词进行解释。（以下模板仅供参考，以单位实际为准）</w:t>
      </w:r>
    </w:p>
    <w:p>
      <w:pPr>
        <w:spacing w:line="580" w:lineRule="exact"/>
        <w:ind w:firstLine="520" w:firstLineChars="162"/>
        <w:rPr>
          <w:rFonts w:hint="eastAsia" w:ascii="仿宋_GB2312"/>
          <w:szCs w:val="32"/>
        </w:rPr>
      </w:pPr>
      <w:r>
        <w:rPr>
          <w:rFonts w:hint="eastAsia" w:ascii="仿宋_GB2312"/>
          <w:b/>
          <w:szCs w:val="32"/>
          <w:lang w:val="en-US" w:eastAsia="zh-CN"/>
        </w:rPr>
        <w:t>一、</w:t>
      </w:r>
      <w:r>
        <w:rPr>
          <w:rFonts w:hint="eastAsia" w:ascii="仿宋_GB2312"/>
          <w:b/>
          <w:szCs w:val="32"/>
        </w:rPr>
        <w:t>财政拨款收入：</w:t>
      </w:r>
      <w:r>
        <w:rPr>
          <w:rFonts w:hint="eastAsia" w:ascii="仿宋_GB2312"/>
          <w:szCs w:val="32"/>
        </w:rPr>
        <w:t>指单位从同级财政部门取得的财政预算资金。</w:t>
      </w:r>
    </w:p>
    <w:p>
      <w:pPr>
        <w:spacing w:line="580" w:lineRule="exact"/>
        <w:ind w:firstLine="520" w:firstLineChars="162"/>
        <w:rPr>
          <w:rFonts w:hint="eastAsia" w:ascii="仿宋_GB2312"/>
          <w:szCs w:val="32"/>
        </w:rPr>
      </w:pPr>
      <w:r>
        <w:rPr>
          <w:rFonts w:hint="eastAsia" w:ascii="仿宋_GB2312"/>
          <w:b/>
          <w:szCs w:val="32"/>
          <w:lang w:val="en-US" w:eastAsia="zh-CN"/>
        </w:rPr>
        <w:t>二、</w:t>
      </w:r>
      <w:r>
        <w:rPr>
          <w:rFonts w:hint="eastAsia" w:ascii="仿宋_GB2312"/>
          <w:b/>
          <w:szCs w:val="32"/>
        </w:rPr>
        <w:t>事业收入：</w:t>
      </w:r>
      <w:r>
        <w:rPr>
          <w:rFonts w:hint="eastAsia" w:ascii="仿宋_GB2312"/>
          <w:szCs w:val="32"/>
        </w:rPr>
        <w:t>指事业单位开展专业业务活动及辅助活动取得的收入。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三、</w:t>
      </w:r>
      <w:r>
        <w:rPr>
          <w:rFonts w:hint="eastAsia" w:ascii="仿宋_GB2312"/>
          <w:b/>
          <w:szCs w:val="32"/>
        </w:rPr>
        <w:t>经营收入：</w:t>
      </w:r>
      <w:r>
        <w:rPr>
          <w:rFonts w:hint="eastAsia" w:ascii="仿宋_GB2312"/>
          <w:szCs w:val="32"/>
        </w:rPr>
        <w:t>指事业单位在专业业务活动及其辅助活动之外开展非独立核算经营活动取得的收入。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四、</w:t>
      </w:r>
      <w:r>
        <w:rPr>
          <w:rFonts w:hint="eastAsia" w:ascii="仿宋_GB2312"/>
          <w:b/>
          <w:szCs w:val="32"/>
        </w:rPr>
        <w:t>其他收入：</w:t>
      </w:r>
      <w:r>
        <w:rPr>
          <w:rFonts w:hint="eastAsia" w:ascii="仿宋_GB2312"/>
          <w:szCs w:val="32"/>
        </w:rPr>
        <w:t>指单位取得的除上述收入以外的各项收</w:t>
      </w:r>
    </w:p>
    <w:p>
      <w:pPr>
        <w:spacing w:line="580" w:lineRule="exact"/>
        <w:ind w:firstLineChars="0"/>
        <w:rPr>
          <w:rFonts w:hint="eastAsia" w:ascii="仿宋_GB2312"/>
          <w:szCs w:val="32"/>
        </w:rPr>
      </w:pPr>
      <w:r>
        <w:rPr>
          <w:rFonts w:hint="eastAsia" w:ascii="仿宋_GB2312"/>
          <w:szCs w:val="32"/>
        </w:rPr>
        <w:t>入。主要是按规定动用的售房收入、存款利息收入等。</w:t>
      </w:r>
    </w:p>
    <w:p>
      <w:pPr>
        <w:spacing w:line="580" w:lineRule="exact"/>
        <w:ind w:firstLine="520" w:firstLineChars="162"/>
        <w:rPr>
          <w:rFonts w:hint="eastAsia" w:ascii="仿宋_GB2312"/>
          <w:szCs w:val="32"/>
        </w:rPr>
      </w:pPr>
      <w:r>
        <w:rPr>
          <w:rFonts w:hint="eastAsia" w:ascii="仿宋_GB2312"/>
          <w:b/>
          <w:szCs w:val="32"/>
          <w:lang w:val="en-US" w:eastAsia="zh-CN"/>
        </w:rPr>
        <w:t>五、</w:t>
      </w:r>
      <w:r>
        <w:rPr>
          <w:rFonts w:hint="eastAsia" w:ascii="仿宋_GB2312"/>
          <w:b/>
          <w:szCs w:val="32"/>
        </w:rPr>
        <w:t>年初结转和结余：</w:t>
      </w:r>
      <w:r>
        <w:rPr>
          <w:rFonts w:hint="eastAsia" w:ascii="仿宋_GB2312"/>
          <w:szCs w:val="32"/>
        </w:rPr>
        <w:t>指单位以前年度尚未完成、结转到本年按有关规定继续使用的资金。</w:t>
      </w:r>
    </w:p>
    <w:p>
      <w:pPr>
        <w:spacing w:line="580" w:lineRule="exact"/>
        <w:ind w:firstLine="520" w:firstLineChars="162"/>
        <w:rPr>
          <w:rFonts w:ascii="仿宋_GB2312"/>
          <w:b/>
          <w:szCs w:val="32"/>
        </w:rPr>
      </w:pPr>
      <w:r>
        <w:rPr>
          <w:rFonts w:hint="eastAsia" w:ascii="仿宋_GB2312"/>
          <w:b/>
          <w:szCs w:val="32"/>
          <w:lang w:val="en-US" w:eastAsia="zh-CN"/>
        </w:rPr>
        <w:t>六、</w:t>
      </w:r>
      <w:r>
        <w:rPr>
          <w:rFonts w:hint="eastAsia" w:ascii="仿宋_GB2312"/>
          <w:b/>
          <w:szCs w:val="32"/>
        </w:rPr>
        <w:t>基本支出：</w:t>
      </w:r>
      <w:r>
        <w:rPr>
          <w:rFonts w:hint="eastAsia" w:ascii="仿宋_GB2312"/>
          <w:szCs w:val="32"/>
        </w:rPr>
        <w:t>指为保障机构正常运转、完成日常工作任务而发生的人员支出和公用支出。</w:t>
      </w:r>
    </w:p>
    <w:p>
      <w:pPr>
        <w:spacing w:line="580" w:lineRule="exact"/>
        <w:ind w:firstLine="520" w:firstLineChars="162"/>
        <w:rPr>
          <w:rFonts w:ascii="仿宋_GB2312"/>
          <w:szCs w:val="32"/>
        </w:rPr>
      </w:pPr>
      <w:r>
        <w:rPr>
          <w:rFonts w:hint="eastAsia" w:ascii="仿宋_GB2312"/>
          <w:b/>
          <w:szCs w:val="32"/>
        </w:rPr>
        <w:t>七、项目支出：</w:t>
      </w:r>
      <w:r>
        <w:rPr>
          <w:rFonts w:hint="eastAsia" w:ascii="仿宋_GB2312"/>
          <w:szCs w:val="32"/>
        </w:rPr>
        <w:t>指在基本支出之外为完成特定行政任务和事业发展目标所发生的支出。</w:t>
      </w:r>
    </w:p>
    <w:p>
      <w:pPr>
        <w:spacing w:line="580" w:lineRule="exact"/>
        <w:ind w:firstLine="520" w:firstLineChars="162"/>
        <w:rPr>
          <w:rFonts w:ascii="仿宋_GB2312"/>
          <w:szCs w:val="32"/>
        </w:rPr>
      </w:pPr>
      <w:r>
        <w:rPr>
          <w:rFonts w:hint="eastAsia" w:ascii="仿宋_GB2312"/>
          <w:b/>
          <w:szCs w:val="32"/>
        </w:rPr>
        <w:t>八、“三公”经费：</w:t>
      </w:r>
      <w:r>
        <w:rPr>
          <w:rFonts w:hint="eastAsia" w:ascii="仿宋_GB2312"/>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szCs w:val="32"/>
        </w:rPr>
      </w:pPr>
      <w:r>
        <w:rPr>
          <w:rFonts w:hint="eastAsia" w:ascii="仿宋_GB2312"/>
          <w:b/>
          <w:szCs w:val="32"/>
        </w:rPr>
        <w:t>九、机关运行经费：</w:t>
      </w:r>
      <w:r>
        <w:rPr>
          <w:rFonts w:hint="eastAsia" w:ascii="仿宋_GB2312"/>
          <w:szCs w:val="32"/>
        </w:rPr>
        <w:t>指行政单位和参照公务员法管理的事业单位使用一般公共预算安排的基本支出中的日常公用经费支出。</w:t>
      </w: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640"/>
        <w:rPr>
          <w:rFonts w:hint="eastAsia" w:ascii="仿宋_GB2312" w:eastAsia="仿宋_GB2312"/>
          <w:szCs w:val="32"/>
          <w:lang w:val="en-US" w:eastAsia="zh-CN"/>
        </w:rPr>
      </w:pPr>
      <w:r>
        <w:rPr>
          <w:rFonts w:hint="eastAsia" w:ascii="仿宋_GB2312"/>
          <w:szCs w:val="32"/>
          <w:lang w:val="en-US" w:eastAsia="zh-CN"/>
        </w:rPr>
        <w:t xml:space="preserve">                      单位名称：静乐县第二幼儿园</w:t>
      </w:r>
    </w:p>
    <w:p>
      <w:pPr>
        <w:ind w:firstLine="4800" w:firstLineChars="1500"/>
        <w:rPr>
          <w:rFonts w:hint="eastAsia" w:eastAsia="仿宋_GB2312"/>
          <w:lang w:val="en-US" w:eastAsia="zh-CN"/>
        </w:rPr>
      </w:pPr>
      <w:r>
        <w:rPr>
          <w:rFonts w:hint="eastAsia"/>
          <w:lang w:val="en-US" w:eastAsia="zh-CN"/>
        </w:rPr>
        <w:t>二〇二二年六月六日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D795CA"/>
    <w:multiLevelType w:val="singleLevel"/>
    <w:tmpl w:val="83D795CA"/>
    <w:lvl w:ilvl="0" w:tentative="0">
      <w:start w:val="2"/>
      <w:numFmt w:val="chineseCounting"/>
      <w:suff w:val="nothing"/>
      <w:lvlText w:val="%1、"/>
      <w:lvlJc w:val="left"/>
      <w:rPr>
        <w:rFonts w:hint="eastAsia"/>
      </w:rPr>
    </w:lvl>
  </w:abstractNum>
  <w:abstractNum w:abstractNumId="1">
    <w:nsid w:val="2998496D"/>
    <w:multiLevelType w:val="singleLevel"/>
    <w:tmpl w:val="2998496D"/>
    <w:lvl w:ilvl="0" w:tentative="0">
      <w:start w:val="1"/>
      <w:numFmt w:val="decimal"/>
      <w:suff w:val="nothing"/>
      <w:lvlText w:val="（%1）"/>
      <w:lvlJc w:val="left"/>
    </w:lvl>
  </w:abstractNum>
  <w:abstractNum w:abstractNumId="2">
    <w:nsid w:val="60A4CC00"/>
    <w:multiLevelType w:val="singleLevel"/>
    <w:tmpl w:val="60A4CC00"/>
    <w:lvl w:ilvl="0" w:tentative="0">
      <w:start w:val="2"/>
      <w:numFmt w:val="decimal"/>
      <w:suff w:val="nothing"/>
      <w:lvlText w:val="（%1）"/>
      <w:lvlJc w:val="left"/>
    </w:lvl>
  </w:abstractNum>
  <w:abstractNum w:abstractNumId="3">
    <w:nsid w:val="60A4DC26"/>
    <w:multiLevelType w:val="singleLevel"/>
    <w:tmpl w:val="60A4DC26"/>
    <w:lvl w:ilvl="0" w:tentative="0">
      <w:start w:val="4"/>
      <w:numFmt w:val="chineseCounting"/>
      <w:suff w:val="nothing"/>
      <w:lvlText w:val="（%1）"/>
      <w:lvlJc w:val="left"/>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ZjOTY3MWIyNDAxYzU4MjkxMTEyYzhiYmQ0MjA1ZGIifQ=="/>
  </w:docVars>
  <w:rsids>
    <w:rsidRoot w:val="495520D0"/>
    <w:rsid w:val="02DA1636"/>
    <w:rsid w:val="03696819"/>
    <w:rsid w:val="038742AE"/>
    <w:rsid w:val="03992A2D"/>
    <w:rsid w:val="07B0310A"/>
    <w:rsid w:val="09C65A58"/>
    <w:rsid w:val="09D825A3"/>
    <w:rsid w:val="0A46375F"/>
    <w:rsid w:val="0A4B1B08"/>
    <w:rsid w:val="0C4D30AF"/>
    <w:rsid w:val="0D7078E9"/>
    <w:rsid w:val="0DC3019B"/>
    <w:rsid w:val="16654CDD"/>
    <w:rsid w:val="187C23C8"/>
    <w:rsid w:val="1A4A5C33"/>
    <w:rsid w:val="25DA5C31"/>
    <w:rsid w:val="2701594C"/>
    <w:rsid w:val="27426717"/>
    <w:rsid w:val="2ED94C7A"/>
    <w:rsid w:val="304E5B92"/>
    <w:rsid w:val="35887450"/>
    <w:rsid w:val="37943B50"/>
    <w:rsid w:val="3821117E"/>
    <w:rsid w:val="3EAB6853"/>
    <w:rsid w:val="409D6291"/>
    <w:rsid w:val="42C12CEC"/>
    <w:rsid w:val="44401A62"/>
    <w:rsid w:val="46C67DD9"/>
    <w:rsid w:val="48E26FF5"/>
    <w:rsid w:val="4916221B"/>
    <w:rsid w:val="495520D0"/>
    <w:rsid w:val="4A012068"/>
    <w:rsid w:val="53A30631"/>
    <w:rsid w:val="56392E30"/>
    <w:rsid w:val="59173FC6"/>
    <w:rsid w:val="5D596539"/>
    <w:rsid w:val="5D871EE2"/>
    <w:rsid w:val="5EC01F6A"/>
    <w:rsid w:val="5ED877BD"/>
    <w:rsid w:val="63AB51DF"/>
    <w:rsid w:val="649C6DC9"/>
    <w:rsid w:val="663E7774"/>
    <w:rsid w:val="6D0C2AB9"/>
    <w:rsid w:val="6DED7D4E"/>
    <w:rsid w:val="6E9D3265"/>
    <w:rsid w:val="6EFF2BBA"/>
    <w:rsid w:val="715A78E4"/>
    <w:rsid w:val="7761744D"/>
    <w:rsid w:val="798D00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4"/>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1">
    <w:name w:val="Default Paragraph Font"/>
    <w:semiHidden/>
    <w:uiPriority w:val="0"/>
  </w:style>
  <w:style w:type="table" w:default="1" w:styleId="10">
    <w:name w:val="Normal Table"/>
    <w:semiHidden/>
    <w:qFormat/>
    <w:uiPriority w:val="0"/>
    <w:tblPr>
      <w:tblCellMar>
        <w:top w:w="0" w:type="dxa"/>
        <w:left w:w="108" w:type="dxa"/>
        <w:bottom w:w="0" w:type="dxa"/>
        <w:right w:w="108" w:type="dxa"/>
      </w:tblCellMar>
    </w:tblPr>
  </w:style>
  <w:style w:type="paragraph" w:customStyle="1" w:styleId="4">
    <w:name w:val="No Spacing"/>
    <w:qFormat/>
    <w:uiPriority w:val="1"/>
    <w:pPr>
      <w:widowControl w:val="0"/>
      <w:ind w:firstLine="600" w:firstLineChars="200"/>
      <w:jc w:val="both"/>
    </w:pPr>
    <w:rPr>
      <w:rFonts w:ascii="Calibri" w:hAnsi="Calibri" w:eastAsia="仿宋_GB2312" w:cs="黑体"/>
      <w:kern w:val="2"/>
      <w:sz w:val="28"/>
      <w:szCs w:val="22"/>
      <w:lang w:val="en-US" w:eastAsia="zh-CN" w:bidi="ar-SA"/>
    </w:rPr>
  </w:style>
  <w:style w:type="paragraph" w:styleId="5">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6">
    <w:name w:val="header"/>
    <w:basedOn w:val="1"/>
    <w:qFormat/>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12">
    <w:name w:val="闻政-正文段落文字"/>
    <w:basedOn w:val="1"/>
    <w:qFormat/>
    <w:uiPriority w:val="3"/>
    <w:pPr>
      <w:spacing w:line="500" w:lineRule="exact"/>
      <w:ind w:firstLine="200"/>
    </w:pPr>
    <w:rPr>
      <w:rFonts w:ascii="Times New Roman" w:hAnsi="Times New Roman" w:cs="Times New Roman"/>
      <w:kern w:val="0"/>
      <w:szCs w:val="28"/>
      <w:lang w:val="zh-CN" w:eastAsia="zh-CN"/>
    </w:rPr>
  </w:style>
  <w:style w:type="paragraph" w:customStyle="1" w:styleId="13">
    <w:name w:val="闻政-正文二级标题"/>
    <w:basedOn w:val="3"/>
    <w:next w:val="12"/>
    <w:qFormat/>
    <w:uiPriority w:val="3"/>
    <w:pPr>
      <w:spacing w:before="120" w:after="60" w:line="500" w:lineRule="exact"/>
      <w:ind w:left="200" w:leftChars="200" w:firstLine="0" w:firstLineChars="0"/>
    </w:pPr>
    <w:rPr>
      <w:rFonts w:ascii="Times New Roman" w:hAnsi="Times New Roman"/>
      <w:sz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3621</Words>
  <Characters>4204</Characters>
  <Lines>0</Lines>
  <Paragraphs>0</Paragraphs>
  <TotalTime>20</TotalTime>
  <ScaleCrop>false</ScaleCrop>
  <LinksUpToDate>false</LinksUpToDate>
  <CharactersWithSpaces>4281</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晴</cp:lastModifiedBy>
  <dcterms:modified xsi:type="dcterms:W3CDTF">2022-07-27T08:34:41Z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F0F98F0F4D43454BB3762A618422AA67</vt:lpwstr>
  </property>
</Properties>
</file>