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bookmarkStart w:id="17" w:name="_GoBack"/>
      <w:bookmarkEnd w:id="17"/>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eastAsia="仿宋_GB2312" w:cs="仿宋_GB2312"/>
          <w:color w:val="auto"/>
          <w:sz w:val="32"/>
          <w:u w:val="none"/>
        </w:rPr>
        <w:t>静乐县助力乡村振兴项目</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eastAsia="仿宋_GB2312" w:cs="仿宋_GB2312"/>
          <w:color w:val="auto"/>
          <w:sz w:val="32"/>
          <w:u w:val="none"/>
        </w:rPr>
        <w:t>静乐县科学技术协会</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eastAsia="仿宋_GB2312" w:cs="仿宋_GB2312"/>
          <w:color w:val="auto"/>
          <w:sz w:val="32"/>
          <w:u w:val="none"/>
        </w:rPr>
        <w:t>静乐县科学技术协会-044</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通过实施脱毒马铃薯旱作节水高产培训项目，以引进新品种、新技术为切入点，以节水灌溉为突破口，通过培训机械深松、起垄、配方施肥、有机硅浸种、合理密植、机械除草等配套技术，助力我县乡村振兴。</w:t>
      </w:r>
    </w:p>
    <w:p>
      <w:pPr>
        <w:pStyle w:val="44"/>
        <w:ind w:left="280" w:firstLine="562"/>
        <w:rPr>
          <w:lang w:eastAsia="zh-CN"/>
        </w:rPr>
      </w:pPr>
      <w:r>
        <w:rPr>
          <w:rFonts w:hint="eastAsia"/>
          <w:b/>
          <w:bCs/>
          <w:lang w:val="en-US" w:eastAsia="zh-CN"/>
        </w:rPr>
        <w:t>立项依据：</w:t>
      </w:r>
      <w:r>
        <w:rPr>
          <w:rFonts w:hint="eastAsia"/>
          <w:lang w:eastAsia="zh-CN"/>
        </w:rPr>
        <w:t>山西省科学技术协会晋科协发[2019]34号《山西省关于公布2019年山西省农村科普示范基地认定结果》的通知，认定忻州市静乐县双新特色小杂粮种植科普示范基地为山西省农村科普示范基地。为加快推进农业农村现代化，全面推进乡村振兴，依靠科技创新助力农业农村现代化，加强科普信息化建设、改善科普工作设施、提升科普公共服务能力，特申报此项目。</w:t>
      </w:r>
    </w:p>
    <w:p>
      <w:pPr>
        <w:pStyle w:val="44"/>
        <w:ind w:left="280" w:firstLine="562"/>
        <w:rPr>
          <w:lang w:eastAsia="zh-CN"/>
        </w:rPr>
      </w:pPr>
      <w:r>
        <w:rPr>
          <w:rFonts w:hint="eastAsia"/>
          <w:b/>
          <w:bCs/>
          <w:lang w:val="en-US" w:eastAsia="zh-CN"/>
        </w:rPr>
        <w:t>设立的必要性：</w:t>
      </w:r>
      <w:r>
        <w:rPr>
          <w:rFonts w:hint="eastAsia"/>
          <w:lang w:eastAsia="zh-CN"/>
        </w:rPr>
        <w:t>我县的气候特点是：十年九春旱、伏旱加秋旱，耕种特点是：靠天吃饭。另一方面，我县是富水县，以汾河为首的八大河流纵贯全县，人均占有2040立方米。由于土地不平、渠系、机井电力不配套等原因，无法进行灌溉，基本上是雨养农业。再加上缺乏好的项目带动，致使我县唯一的高产作物马铃薯概不增产、也不增收，严重创伤了农民种田积极性。 通过实施脱毒马铃薯旱作节水高产示范培训项目，在马铃薯现蕾期及薯块膨大期使用微灌、滴灌补水，保证了马铃薯关键生长期的需水。此期补水可使马铃薯薯块迅速膨大，增产幅度在30%—50%以上，从而提高产量。薯块大而均匀，大薯率可达到85%以上，商品性状好，可大幅度提高产值。</w:t>
      </w:r>
    </w:p>
    <w:p>
      <w:pPr>
        <w:pStyle w:val="44"/>
        <w:ind w:left="280" w:firstLine="562"/>
        <w:rPr>
          <w:lang w:eastAsia="zh-CN"/>
        </w:rPr>
      </w:pPr>
      <w:r>
        <w:rPr>
          <w:rFonts w:hint="eastAsia"/>
          <w:b/>
          <w:bCs/>
          <w:lang w:val="en-US" w:eastAsia="zh-CN"/>
        </w:rPr>
        <w:t>保证项目实施的措施与制度：</w:t>
      </w:r>
      <w:r>
        <w:rPr>
          <w:rFonts w:hint="eastAsia"/>
          <w:lang w:eastAsia="zh-CN"/>
        </w:rPr>
        <w:t>为保证项目的顺利实施，特制定以下制度和措施 1、以山西省农科院高寒作物所为技术依托，建立起产、学、研合作制度，生产微型薯，然后，在我县北部高寒山区进行隔离繁殖。为农民提供脱毒马铃薯种薯为基础，良种良法配套，十分利于马铃薯旱作节水项目的实施。 2、由省劳动模范、农艺师辛栓玉为组长，专门负责此项工作。吸收农业、水利、农机、农技等多名技术人员参与，初步形成了脱毒马铃薯良种繁育和旱作节水示范推广体系。 3、按照县科协的安排建立了科普惠农服务站，以“服务农民、培训农民、提高农民、富裕农民”为宗旨，建立完善了“站、室、栏、员”等机构，并建立健全各项规章制度，使科普工作逐渐制度化、社会化、经常化的轨道。 4、计划编写《脱毒马铃薯旱作节水高产栽培技术》资料1000本，发放到种植专业合作社和培训农户手中，种植户根据技术规程规范种植，能起到了很好的指导作用，为项目的实施打下了好的基础。</w:t>
      </w:r>
    </w:p>
    <w:p>
      <w:pPr>
        <w:pStyle w:val="44"/>
        <w:ind w:left="280" w:firstLine="562"/>
        <w:rPr>
          <w:lang w:eastAsia="zh-CN"/>
        </w:rPr>
      </w:pPr>
      <w:r>
        <w:rPr>
          <w:rFonts w:hint="eastAsia"/>
          <w:b/>
          <w:bCs/>
          <w:lang w:val="en-US" w:eastAsia="zh-CN"/>
        </w:rPr>
        <w:t>项目实施计划：</w:t>
      </w:r>
      <w:r>
        <w:rPr>
          <w:rFonts w:hint="eastAsia"/>
          <w:lang w:eastAsia="zh-CN"/>
        </w:rPr>
        <w:t>1、购联想笔记本电脑1台。2、便携式投影仪1套。3、耗材。4、印刷脱毒马铃薯旱作节水培训书籍</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blPrEx>
          <w:tblCellMar>
            <w:top w:w="0" w:type="dxa"/>
            <w:left w:w="30" w:type="dxa"/>
            <w:bottom w:w="0" w:type="dxa"/>
            <w:right w:w="30" w:type="dxa"/>
          </w:tblCellMar>
        </w:tblPrEx>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2</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2</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100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2021年4月  立项及筹备工作；</w:t>
      </w:r>
      <w:r>
        <w:rPr>
          <w:lang w:eastAsia="zh-CN"/>
        </w:rPr>
        <w:br w:type="textWrapping"/>
      </w:r>
      <w:r>
        <w:rPr>
          <w:lang w:eastAsia="zh-CN"/>
        </w:rPr>
        <w:t>2021年5月-7月  编撰《脱毒马铃薯旱作节水高产栽培技术》书籍，开展脱毒马铃薯旱作节水高产栽培技术培训3场400余人次；</w:t>
      </w:r>
      <w:r>
        <w:rPr>
          <w:lang w:eastAsia="zh-CN"/>
        </w:rPr>
        <w:br w:type="textWrapping"/>
      </w:r>
      <w:r>
        <w:rPr>
          <w:lang w:eastAsia="zh-CN"/>
        </w:rPr>
        <w:t>2021年8月-10月  开展脱毒马铃薯旱作节水高产栽培技术科普宣传，发放科普资料；</w:t>
      </w:r>
      <w:r>
        <w:rPr>
          <w:lang w:eastAsia="zh-CN"/>
        </w:rPr>
        <w:br w:type="textWrapping"/>
      </w:r>
      <w:r>
        <w:rPr>
          <w:lang w:eastAsia="zh-CN"/>
        </w:rPr>
        <w:t>2021年11月-12月  开展绩效自评及工作总结。</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通过实施脱毒马铃薯旱作节水高产示范项目培训，产生较好的经济效益：平均亩纯收入达到3000元。较对照增收1600元幅度为53%。通过实施脱毒马铃薯旱作节水高产示范项目、会产生较好的社会效益：人均种植1亩地膜覆盖马铃薯，人均纯收入可达3000元。通过实施脱毒马铃薯旱作节水高产示范项目会产生较好的生态效益：马铃薯旱作节水高产示范项目，一是采用深耕蓄水、增施有机肥、秸秆还田等配套实用技术，做到用地养地相结合。二是采用农业综合防治，减少农药的用药量，对维护田间生态平衡。保护当地生态环境，促进农业可持续发展具有十分重要的意义。</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auto"/>
          <w:u w:val="none"/>
        </w:rPr>
        <w:t>静乐县助力乡村振兴项目</w:t>
      </w:r>
      <w:r>
        <w:rPr>
          <w:rFonts w:hint="eastAsia"/>
          <w:lang w:eastAsia="zh-CN"/>
        </w:rPr>
        <w:t>项目绩效自评价结果为:总得分</w:t>
      </w:r>
      <w:r>
        <w:rPr>
          <w:color w:val="auto"/>
          <w:u w:val="none"/>
        </w:rPr>
        <w:t>99.8</w:t>
      </w:r>
      <w:r>
        <w:rPr>
          <w:rFonts w:hint="eastAsia"/>
          <w:lang w:eastAsia="zh-CN"/>
        </w:rPr>
        <w:t>分，属于"</w:t>
      </w:r>
      <w:r>
        <w:rPr>
          <w:color w:val="auto"/>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培训场次（场）</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宣传资料印刷册数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1000册</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CellMar>
            <w:top w:w="0" w:type="dxa"/>
            <w:left w:w="108" w:type="dxa"/>
            <w:bottom w:w="0" w:type="dxa"/>
            <w:right w:w="108" w:type="dxa"/>
          </w:tblCellMar>
        </w:tblPrEx>
        <w:trPr>
          <w:trHeight w:val="728" w:hRule="atLeast"/>
          <w:jc w:val="center"/>
        </w:trPr>
        <w:tc>
          <w:tcPr>
            <w:tcW w:w="1404"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宣传资料发放完成率（册）</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CellMar>
            <w:top w:w="0" w:type="dxa"/>
            <w:left w:w="108" w:type="dxa"/>
            <w:bottom w:w="0" w:type="dxa"/>
            <w:right w:w="108" w:type="dxa"/>
          </w:tblCellMar>
        </w:tblPrEx>
        <w:trPr>
          <w:trHeight w:val="728" w:hRule="atLeast"/>
          <w:jc w:val="center"/>
        </w:trPr>
        <w:tc>
          <w:tcPr>
            <w:tcW w:w="140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培训场次完成率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宣传活动完成及时性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宣传活动群众参与人次增长率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跟踪反馈机制健全性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r>
      <w:tr>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档案管理机制健全性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2021年“乡村振兴脱毒马铃薯旱作节水高产培训项目”专项资金项目使用合计2万元。</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静乐县科协举办了“乡村振兴——脱毒马铃薯旱作节水栽培技术”培训活动共三场，共计400余人。活动现场为参训人员发放了《脱毒马铃薯旱作节水高产栽培技术》等贴近农村群众生产生活的图书和宣传资料，活动还邀请到了马铃薯种植方面的专家辛栓玉为现场群众答疑解惑，辛老师结合自身丰富种植经验为参训人员细致讲解了脱毒马铃薯旱作节水高产栽培技术。</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马铃薯旱作节水高产示范项目，一是采用深耕蓄水、增施有机肥、秸秆还田等配套实用技术，做到用地养地相结合。二是采用农业综合防治，减少农药的用药量，对维护田间生态平衡，同时保护当地生态环境，对促进农业可持续发展具有十分重要的意义。</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静乐县科协严格按照马铃薯旱作节水高产示范项目，考核指标要求，扎扎实实完成对相关目标人群的培训任务，明确任务目标、制定工作方案、强化责任落实、确保落实培训任务。按照培训总体要求，结合当地实际，针对培训对象的特点，科学合理设置培训课程，课程内容接地气，聘请的乡土专家，善于用农民听懂的的语言，可以理解接受的方式授课，受到了农民学员的一致好评。两次培训后随访50人，经统计满意度为95%。</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静乐县科协实施的“马铃薯旱作节水高产示范项目”，坚持因地制宜、循序渐进，培养懂农业、爱农村、爱农民的“三农”工作队伍，推动科技创新成果及科学普及活动，提高了农民素质，为实施乡村振兴战略提供人才支撑和智力保障具有重要意义。</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项目管理中未存在问题</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静乐县科协实施的“马铃薯旱作节水高产示范项目”，坚持因地制宜、循序渐进，培养懂农业、爱农村、爱农民的“三农”工作队伍，推动科技创新成果及科学普及活动，提高了农民素质，为实施乡村振兴战略提供人才支撑和智力保障具有重要意义。</w:t>
      </w:r>
    </w:p>
    <w:p>
      <w:pPr>
        <w:pStyle w:val="44"/>
        <w:ind w:firstLine="560"/>
        <w:rPr>
          <w:lang w:eastAsia="zh-CN"/>
        </w:rPr>
        <w:sectPr>
          <w:footerReference r:id="rId11"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培训场次（场）</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3场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宣传资料印刷册数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1000册</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宣传资料发放完成率（册）</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培训场次完成率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宣传活动完成及时性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宣传活动群众参与人次增长率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20%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可持续影响指标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r>
      <w:tr>
        <w:tblPrEx>
          <w:tblCellMar>
            <w:top w:w="0" w:type="dxa"/>
            <w:left w:w="0" w:type="dxa"/>
            <w:bottom w:w="0" w:type="dxa"/>
            <w:right w:w="0" w:type="dxa"/>
          </w:tblCellMar>
        </w:tblPrEx>
        <w:trPr>
          <w:trHeight w:val="394" w:hRule="atLeast"/>
        </w:trPr>
        <w:tc>
          <w:tcPr>
            <w:tcW w:w="1754" w:type="dxa"/>
            <w:vMerge w:val="restart"/>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档案管理机制健全性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未健全</w:t>
            </w:r>
          </w:p>
        </w:tc>
      </w:tr>
      <w:tr>
        <w:tblPrEx>
          <w:tblCellMar>
            <w:top w:w="0" w:type="dxa"/>
            <w:left w:w="0" w:type="dxa"/>
            <w:bottom w:w="0" w:type="dxa"/>
            <w:right w:w="0" w:type="dxa"/>
          </w:tblCellMar>
        </w:tblPrEx>
        <w:trPr>
          <w:trHeight w:val="394" w:hRule="atLeast"/>
        </w:trPr>
        <w:tc>
          <w:tcPr>
            <w:tcW w:w="1754" w:type="dxa"/>
            <w:vMerge w:val="continue"/>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4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跟踪反馈机制健全性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健全</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未健全</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2"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5" w:type="first"/>
      <w:footerReference r:id="rId18" w:type="first"/>
      <w:headerReference r:id="rId13" w:type="default"/>
      <w:footerReference r:id="rId16" w:type="default"/>
      <w:headerReference r:id="rId14" w:type="even"/>
      <w:footerReference r:id="rId17" w:type="even"/>
      <w:pgSz w:w="16838" w:h="11906" w:orient="landscape"/>
      <w:pgMar w:top="1800" w:right="1440" w:bottom="1800" w:left="144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A00002EF" w:usb1="40000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4C9713A"/>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qFormat="1" w:uiPriority="39" w:semiHidden="0" w:name="toc 4"/>
    <w:lsdException w:uiPriority="39" w:semiHidden="0" w:name="toc 5"/>
    <w:lsdException w:qFormat="1" w:uiPriority="39" w:semiHidden="0" w:name="toc 6"/>
    <w:lsdException w:qFormat="1"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qFormat/>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qFormat/>
    <w:uiPriority w:val="39"/>
    <w:pPr>
      <w:ind w:left="840"/>
      <w:jc w:val="left"/>
    </w:pPr>
    <w:rPr>
      <w:rFonts w:cs="Calibri"/>
      <w:sz w:val="18"/>
      <w:szCs w:val="18"/>
    </w:rPr>
  </w:style>
  <w:style w:type="paragraph" w:styleId="20">
    <w:name w:val="toc 6"/>
    <w:basedOn w:val="1"/>
    <w:next w:val="1"/>
    <w:unhideWhenUsed/>
    <w:qFormat/>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qFormat/>
    <w:uiPriority w:val="99"/>
    <w:rPr>
      <w:b/>
      <w:bCs/>
    </w:rPr>
  </w:style>
  <w:style w:type="table" w:styleId="25">
    <w:name w:val="Table Grid"/>
    <w:basedOn w:val="24"/>
    <w:qFormat/>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qFormat/>
    <w:uiPriority w:val="99"/>
    <w:rPr>
      <w:color w:val="0000FF"/>
      <w:u w:val="single"/>
    </w:rPr>
  </w:style>
  <w:style w:type="character" w:styleId="28">
    <w:name w:val="annotation reference"/>
    <w:semiHidden/>
    <w:unhideWhenUsed/>
    <w:qFormat/>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qFormat/>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qFormat/>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qFormat/>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qFormat/>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qFormat/>
    <w:uiPriority w:val="99"/>
    <w:rPr>
      <w:rFonts w:ascii="宋体" w:hAnsi="Calibri" w:eastAsia="宋体" w:cs="Times New Roman"/>
      <w:kern w:val="0"/>
      <w:sz w:val="18"/>
      <w:szCs w:val="18"/>
      <w:lang w:val="zh-CN" w:eastAsia="zh-CN"/>
    </w:rPr>
  </w:style>
  <w:style w:type="character" w:customStyle="1" w:styleId="43">
    <w:name w:val="无间隔 Char"/>
    <w:link w:val="6"/>
    <w:qFormat/>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qFormat/>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qFormat/>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3261</Words>
  <Characters>3566</Characters>
  <Lines>21</Lines>
  <Paragraphs>5</Paragraphs>
  <TotalTime>2898</TotalTime>
  <ScaleCrop>false</ScaleCrop>
  <LinksUpToDate>false</LinksUpToDate>
  <CharactersWithSpaces>3604</CharactersWithSpaces>
  <Application>WPS Office_11.1.0.11805_F1E327BC-269C-435d-A152-05C5408002CA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2020-07-13T07:59:00Z</dcterms:created>
  <dc:creator>qq</dc:creator>
  <cp:lastModifiedBy>Xu</cp:lastModifiedBy>
  <dcterms:modified xsi:type="dcterms:W3CDTF">2022-06-20T01:29:24Z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B0FE71A79D6C4EE38078362E9D3262D6</vt:lpwstr>
  </property>
</Properties>
</file>