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eastAsia="zh-CN"/>
        </w:rPr>
      </w:pPr>
      <w:bookmarkStart w:id="0" w:name="_Toc31071"/>
      <w:bookmarkStart w:id="1" w:name="_Toc21118"/>
      <w:bookmarkStart w:id="2" w:name="_Toc32048"/>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段家寨乡联合学区</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8"/>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ind w:firstLine="640"/>
        <w:rPr>
          <w:rFonts w:hint="eastAsia" w:ascii="仿宋_GB2312" w:hAnsi="楷体"/>
          <w:szCs w:val="32"/>
        </w:rPr>
      </w:pPr>
      <w:bookmarkStart w:id="5" w:name="_Toc4461"/>
      <w:bookmarkStart w:id="6" w:name="_Toc24066"/>
      <w:r>
        <w:rPr>
          <w:rFonts w:hint="eastAsia" w:ascii="仿宋_GB2312" w:hAnsi="楷体"/>
          <w:szCs w:val="32"/>
          <w:lang w:val="en-US" w:eastAsia="zh-CN"/>
        </w:rPr>
        <w:t>一、本部门职责</w:t>
      </w:r>
      <w:bookmarkEnd w:id="5"/>
      <w:bookmarkEnd w:id="6"/>
    </w:p>
    <w:p>
      <w:pPr>
        <w:pStyle w:val="10"/>
        <w:spacing w:before="0" w:beforeAutospacing="0" w:after="0" w:afterAutospacing="0"/>
        <w:ind w:firstLine="832" w:firstLineChars="260"/>
        <w:rPr>
          <w:rFonts w:ascii="仿宋" w:eastAsia="仿宋" w:cs="仿宋"/>
          <w:sz w:val="32"/>
          <w:szCs w:val="32"/>
        </w:rPr>
      </w:pPr>
      <w:r>
        <w:rPr>
          <w:rFonts w:hint="eastAsia" w:ascii="仿宋" w:eastAsia="仿宋" w:cs="仿宋"/>
          <w:sz w:val="32"/>
          <w:szCs w:val="32"/>
        </w:rPr>
        <w:t>①、执行上级教育主管部门的各项决定；</w:t>
      </w:r>
    </w:p>
    <w:p>
      <w:pPr>
        <w:pStyle w:val="10"/>
        <w:spacing w:before="0" w:beforeAutospacing="0" w:after="0" w:afterAutospacing="0"/>
        <w:ind w:firstLine="832" w:firstLineChars="260"/>
        <w:rPr>
          <w:rFonts w:ascii="仿宋" w:eastAsia="仿宋" w:cs="仿宋"/>
          <w:sz w:val="32"/>
          <w:szCs w:val="32"/>
        </w:rPr>
      </w:pPr>
      <w:r>
        <w:rPr>
          <w:rFonts w:hint="eastAsia" w:ascii="仿宋" w:eastAsia="仿宋" w:cs="仿宋"/>
          <w:sz w:val="32"/>
          <w:szCs w:val="32"/>
        </w:rPr>
        <w:t>②、实施发展规划，拟订年度工作计划、</w:t>
      </w:r>
      <w:r>
        <w:fldChar w:fldCharType="begin"/>
      </w:r>
      <w:r>
        <w:instrText xml:space="preserve"> HYPERLINK "https://www.baidu.com/s?wd=%E8%B4%A2%E5%8A%A1%E9%A2%84%E7%AE%97&amp;from=1012015a&amp;fenlei=mv6quAkxTZn0IZRqIHckPjm4nH00T1Y4PAwhn1u-PAD3uhDzPyc10ZwV5Hcvrjm3rH6sPfKWUMw85HfYnjn4nH6sgvPsT6KdThsqpZwYTjCEQLGCpyw9Uz4Bmy-bIi4WUvYETgN-TLwGUv3En1RzPWnzPW0d" \t "https://zhidao.baidu.com/question/_blank" </w:instrText>
      </w:r>
      <w:r>
        <w:fldChar w:fldCharType="separate"/>
      </w:r>
      <w:r>
        <w:rPr>
          <w:rFonts w:hint="eastAsia" w:ascii="仿宋" w:eastAsia="仿宋" w:cs="仿宋"/>
          <w:sz w:val="32"/>
          <w:szCs w:val="32"/>
        </w:rPr>
        <w:t>财务预算</w:t>
      </w:r>
      <w:r>
        <w:rPr>
          <w:rFonts w:hint="eastAsia" w:ascii="仿宋" w:eastAsia="仿宋" w:cs="仿宋"/>
          <w:sz w:val="32"/>
          <w:szCs w:val="32"/>
        </w:rPr>
        <w:fldChar w:fldCharType="end"/>
      </w:r>
      <w:r>
        <w:rPr>
          <w:rFonts w:hint="eastAsia" w:ascii="仿宋" w:eastAsia="仿宋" w:cs="仿宋"/>
          <w:sz w:val="32"/>
          <w:szCs w:val="32"/>
        </w:rPr>
        <w:t>和学校规章制度；</w:t>
      </w:r>
    </w:p>
    <w:p>
      <w:pPr>
        <w:pStyle w:val="10"/>
        <w:spacing w:before="0" w:beforeAutospacing="0" w:after="0" w:afterAutospacing="0"/>
        <w:ind w:firstLine="832" w:firstLineChars="260"/>
        <w:rPr>
          <w:rFonts w:ascii="仿宋" w:eastAsia="仿宋" w:cs="仿宋"/>
          <w:sz w:val="32"/>
          <w:szCs w:val="32"/>
        </w:rPr>
      </w:pPr>
      <w:r>
        <w:rPr>
          <w:rFonts w:hint="eastAsia" w:ascii="仿宋" w:eastAsia="仿宋" w:cs="仿宋"/>
          <w:sz w:val="32"/>
          <w:szCs w:val="32"/>
        </w:rPr>
        <w:t>③、聘任和解聘学校工作人员，实施奖惩；</w:t>
      </w:r>
    </w:p>
    <w:p>
      <w:pPr>
        <w:pStyle w:val="10"/>
        <w:spacing w:before="0" w:beforeAutospacing="0" w:after="0" w:afterAutospacing="0"/>
        <w:ind w:firstLine="832" w:firstLineChars="260"/>
        <w:rPr>
          <w:rFonts w:ascii="仿宋" w:eastAsia="仿宋" w:cs="仿宋"/>
          <w:sz w:val="32"/>
          <w:szCs w:val="32"/>
        </w:rPr>
      </w:pPr>
      <w:r>
        <w:rPr>
          <w:rFonts w:hint="eastAsia" w:ascii="仿宋" w:eastAsia="仿宋" w:cs="仿宋"/>
          <w:sz w:val="32"/>
          <w:szCs w:val="32"/>
        </w:rPr>
        <w:t xml:space="preserve">④、组织教育教学、科学研究活动，保证教育教学质量； </w:t>
      </w:r>
    </w:p>
    <w:p>
      <w:pPr>
        <w:pStyle w:val="10"/>
        <w:spacing w:before="0" w:beforeAutospacing="0" w:after="0" w:afterAutospacing="0"/>
        <w:ind w:left="0" w:leftChars="0" w:firstLine="960" w:firstLineChars="300"/>
        <w:rPr>
          <w:rFonts w:ascii="仿宋" w:eastAsia="仿宋" w:cs="仿宋"/>
          <w:sz w:val="32"/>
          <w:szCs w:val="32"/>
        </w:rPr>
      </w:pPr>
      <w:r>
        <w:rPr>
          <w:rFonts w:hint="eastAsia" w:ascii="仿宋" w:eastAsia="仿宋" w:cs="仿宋"/>
          <w:sz w:val="32"/>
          <w:szCs w:val="32"/>
        </w:rPr>
        <w:t>⑤、负责学校日常管理工作；</w:t>
      </w:r>
    </w:p>
    <w:p>
      <w:pPr>
        <w:pStyle w:val="10"/>
        <w:spacing w:before="0" w:beforeAutospacing="0" w:after="0" w:afterAutospacing="0"/>
        <w:ind w:left="243" w:leftChars="76" w:firstLine="672" w:firstLineChars="210"/>
        <w:rPr>
          <w:rFonts w:ascii="仿宋" w:eastAsia="仿宋" w:cs="仿宋"/>
          <w:sz w:val="32"/>
          <w:szCs w:val="32"/>
        </w:rPr>
      </w:pPr>
      <w:r>
        <w:rPr>
          <w:rFonts w:hint="eastAsia" w:ascii="仿宋" w:eastAsia="仿宋" w:cs="仿宋"/>
          <w:sz w:val="32"/>
          <w:szCs w:val="32"/>
        </w:rPr>
        <w:t>⑥、坚持依法办学，遵守学校章程，维护学校利益；</w:t>
      </w:r>
    </w:p>
    <w:p>
      <w:pPr>
        <w:pStyle w:val="10"/>
        <w:spacing w:before="0" w:beforeAutospacing="0" w:after="0" w:afterAutospacing="0"/>
        <w:ind w:left="243" w:leftChars="76" w:firstLine="672" w:firstLineChars="210"/>
        <w:rPr>
          <w:rFonts w:ascii="仿宋" w:eastAsia="仿宋" w:cs="仿宋"/>
          <w:sz w:val="32"/>
          <w:szCs w:val="32"/>
        </w:rPr>
      </w:pPr>
      <w:r>
        <w:rPr>
          <w:rFonts w:hint="eastAsia" w:ascii="仿宋" w:eastAsia="仿宋" w:cs="仿宋"/>
          <w:sz w:val="32"/>
          <w:szCs w:val="32"/>
        </w:rPr>
        <w:t>⑦、合理配置学校“人、财、物、信息”资源，有效行使学校</w:t>
      </w:r>
      <w:r>
        <w:fldChar w:fldCharType="begin"/>
      </w:r>
      <w:r>
        <w:instrText xml:space="preserve"> HYPERLINK "https://www.baidu.com/s?wd=%E9%87%8D%E5%A4%A7%E4%BA%8B%E9%A1%B9&amp;from=1012015a&amp;fenlei=mv6quAkxTZn0IZRqIHckPjm4nH00T1Y4PAwhn1u-PAD3uhDzPyc10ZwV5Hcvrjm3rH6sPfKWUMw85HfYnjn4nH6sgvPsT6KdThsqpZwYTjCEQLGCpyw9Uz4Bmy-bIi4WUvYETgN-TLwGUv3En1RzPWnzPW0d" \t "https://zhidao.baidu.com/question/_blank" </w:instrText>
      </w:r>
      <w:r>
        <w:fldChar w:fldCharType="separate"/>
      </w:r>
      <w:r>
        <w:rPr>
          <w:rFonts w:hint="eastAsia" w:ascii="仿宋" w:eastAsia="仿宋" w:cs="仿宋"/>
          <w:sz w:val="32"/>
          <w:szCs w:val="32"/>
        </w:rPr>
        <w:t>重大事项</w:t>
      </w:r>
      <w:r>
        <w:rPr>
          <w:rFonts w:hint="eastAsia" w:ascii="仿宋" w:eastAsia="仿宋" w:cs="仿宋"/>
          <w:sz w:val="32"/>
          <w:szCs w:val="32"/>
        </w:rPr>
        <w:fldChar w:fldCharType="end"/>
      </w:r>
      <w:r>
        <w:rPr>
          <w:rFonts w:hint="eastAsia" w:ascii="仿宋" w:eastAsia="仿宋" w:cs="仿宋"/>
          <w:sz w:val="32"/>
          <w:szCs w:val="32"/>
        </w:rPr>
        <w:t>和重大改革措施的决策权；</w:t>
      </w:r>
    </w:p>
    <w:p>
      <w:pPr>
        <w:pStyle w:val="10"/>
        <w:spacing w:before="0" w:beforeAutospacing="0" w:after="0" w:afterAutospacing="0"/>
        <w:ind w:firstLine="832" w:firstLineChars="260"/>
        <w:rPr>
          <w:rFonts w:ascii="仿宋" w:eastAsia="仿宋" w:cs="仿宋"/>
          <w:sz w:val="32"/>
          <w:szCs w:val="32"/>
        </w:rPr>
      </w:pPr>
      <w:r>
        <w:rPr>
          <w:rFonts w:hint="eastAsia" w:ascii="仿宋" w:eastAsia="仿宋" w:cs="仿宋"/>
          <w:sz w:val="32"/>
          <w:szCs w:val="32"/>
        </w:rPr>
        <w:t>⑧、及时向上级</w:t>
      </w:r>
      <w:r>
        <w:fldChar w:fldCharType="begin"/>
      </w:r>
      <w:r>
        <w:instrText xml:space="preserve"> HYPERLINK "https://www.baidu.com/s?wd=%E6%95%99%E8%82%B2%E8%A1%8C%E6%94%BF%E9%83%A8%E9%97%A8&amp;from=1012015a&amp;fenlei=mv6quAkxTZn0IZRqIHckPjm4nH00T1Y4PAwhn1u-PAD3uhDzPyc10ZwV5Hcvrjm3rH6sPfKWUMw85HfYnjn4nH6sgvPsT6KdThsqpZwYTjCEQLGCpyw9Uz4Bmy-bIi4WUvYETgN-TLwGUv3En1RzPWnzPW0d" \t "https://zhidao.baidu.com/question/_blank" </w:instrText>
      </w:r>
      <w:r>
        <w:fldChar w:fldCharType="separate"/>
      </w:r>
      <w:r>
        <w:rPr>
          <w:rFonts w:hint="eastAsia" w:ascii="仿宋" w:eastAsia="仿宋" w:cs="仿宋"/>
          <w:sz w:val="32"/>
          <w:szCs w:val="32"/>
        </w:rPr>
        <w:t>教育行政部门</w:t>
      </w:r>
      <w:r>
        <w:rPr>
          <w:rFonts w:hint="eastAsia" w:ascii="仿宋" w:eastAsia="仿宋" w:cs="仿宋"/>
          <w:sz w:val="32"/>
          <w:szCs w:val="32"/>
        </w:rPr>
        <w:fldChar w:fldCharType="end"/>
      </w:r>
      <w:r>
        <w:rPr>
          <w:rFonts w:hint="eastAsia" w:ascii="仿宋" w:eastAsia="仿宋" w:cs="仿宋"/>
          <w:sz w:val="32"/>
          <w:szCs w:val="32"/>
        </w:rPr>
        <w:t>汇报学校工作；</w:t>
      </w:r>
    </w:p>
    <w:p>
      <w:pPr>
        <w:pStyle w:val="10"/>
        <w:spacing w:before="0" w:beforeAutospacing="0" w:after="0" w:afterAutospacing="0"/>
        <w:ind w:firstLine="832" w:firstLineChars="260"/>
        <w:rPr>
          <w:rFonts w:ascii="仿宋" w:eastAsia="仿宋" w:cs="仿宋"/>
          <w:sz w:val="32"/>
          <w:szCs w:val="32"/>
        </w:rPr>
      </w:pPr>
      <w:r>
        <w:rPr>
          <w:rFonts w:hint="eastAsia" w:ascii="仿宋" w:eastAsia="仿宋" w:cs="仿宋"/>
          <w:sz w:val="32"/>
          <w:szCs w:val="32"/>
        </w:rPr>
        <w:t>⑨、维护教职工利益，保障教职工合法权益，以教职工和学生的人生幸福和</w:t>
      </w:r>
      <w:r>
        <w:fldChar w:fldCharType="begin"/>
      </w:r>
      <w:r>
        <w:instrText xml:space="preserve"> HYPERLINK "https://www.baidu.com/s?wd=%E7%94%9F%E5%91%BD%E8%B4%A8%E9%87%8F&amp;from=1012015a&amp;fenlei=mv6quAkxTZn0IZRqIHckPjm4nH00T1Y4PAwhn1u-PAD3uhDzPyc10ZwV5Hcvrjm3rH6sPfKWUMw85HfYnjn4nH6sgvPsT6KdThsqpZwYTjCEQLGCpyw9Uz4Bmy-bIi4WUvYETgN-TLwGUv3En1RzPWnzPW0d" \t "https://zhidao.baidu.com/question/_blank" </w:instrText>
      </w:r>
      <w:r>
        <w:fldChar w:fldCharType="separate"/>
      </w:r>
      <w:r>
        <w:rPr>
          <w:rFonts w:hint="eastAsia" w:ascii="仿宋" w:eastAsia="仿宋" w:cs="仿宋"/>
          <w:sz w:val="32"/>
          <w:szCs w:val="32"/>
        </w:rPr>
        <w:t>生命质量</w:t>
      </w:r>
      <w:r>
        <w:rPr>
          <w:rFonts w:hint="eastAsia" w:ascii="仿宋" w:eastAsia="仿宋" w:cs="仿宋"/>
          <w:sz w:val="32"/>
          <w:szCs w:val="32"/>
        </w:rPr>
        <w:fldChar w:fldCharType="end"/>
      </w:r>
      <w:r>
        <w:rPr>
          <w:rFonts w:hint="eastAsia" w:ascii="仿宋" w:eastAsia="仿宋" w:cs="仿宋"/>
          <w:sz w:val="32"/>
          <w:szCs w:val="32"/>
        </w:rPr>
        <w:t>作为关注焦点，建立信任，消除焦虑；</w:t>
      </w:r>
    </w:p>
    <w:p>
      <w:pPr>
        <w:pStyle w:val="10"/>
        <w:spacing w:before="0" w:beforeAutospacing="0" w:after="0" w:afterAutospacing="0"/>
        <w:ind w:firstLine="832" w:firstLineChars="260"/>
        <w:rPr>
          <w:rFonts w:hint="eastAsia" w:ascii="仿宋" w:eastAsia="仿宋" w:cs="仿宋"/>
          <w:sz w:val="32"/>
          <w:szCs w:val="32"/>
        </w:rPr>
      </w:pPr>
      <w:r>
        <w:rPr>
          <w:rFonts w:hint="eastAsia" w:ascii="仿宋" w:eastAsia="仿宋" w:cs="仿宋"/>
          <w:sz w:val="32"/>
          <w:szCs w:val="32"/>
        </w:rPr>
        <w:t>⑩、尊重教职工的主人翁地位和民主管理、民主监督的权利，团结和依靠教职工办好学校。</w:t>
      </w:r>
      <w:bookmarkStart w:id="7" w:name="_Toc275"/>
      <w:bookmarkStart w:id="8" w:name="_Toc9155"/>
    </w:p>
    <w:p>
      <w:pPr>
        <w:ind w:firstLine="640"/>
        <w:rPr>
          <w:rFonts w:hint="eastAsia" w:ascii="仿宋_GB2312" w:hAnsi="楷体"/>
          <w:szCs w:val="32"/>
        </w:rPr>
      </w:pPr>
      <w:r>
        <w:rPr>
          <w:rFonts w:hint="eastAsia" w:ascii="仿宋_GB2312" w:hAnsi="楷体"/>
          <w:szCs w:val="32"/>
        </w:rPr>
        <w:t>二、机构设置情况</w:t>
      </w:r>
      <w:bookmarkEnd w:id="7"/>
      <w:bookmarkEnd w:id="8"/>
    </w:p>
    <w:p>
      <w:pPr>
        <w:pStyle w:val="10"/>
        <w:widowControl w:val="0"/>
        <w:spacing w:before="0" w:beforeAutospacing="0" w:after="0" w:afterAutospacing="0"/>
        <w:ind w:firstLine="640"/>
        <w:rPr>
          <w:rFonts w:hint="eastAsia" w:ascii="仿宋" w:eastAsia="仿宋" w:cs="仿宋"/>
          <w:sz w:val="32"/>
          <w:szCs w:val="32"/>
          <w:lang w:eastAsia="zh-CN"/>
        </w:rPr>
      </w:pPr>
      <w:r>
        <w:rPr>
          <w:rFonts w:hint="eastAsia" w:ascii="仿宋" w:eastAsia="仿宋" w:cs="仿宋"/>
          <w:sz w:val="32"/>
          <w:szCs w:val="32"/>
          <w:lang w:eastAsia="zh-CN"/>
        </w:rPr>
        <w:t>本单位部门决算是学区和中学合并编报。</w:t>
      </w:r>
      <w:r>
        <w:rPr>
          <w:rFonts w:hint="eastAsia" w:ascii="仿宋" w:eastAsia="仿宋" w:cs="仿宋"/>
          <w:sz w:val="32"/>
          <w:szCs w:val="32"/>
        </w:rPr>
        <w:t>学区</w:t>
      </w:r>
      <w:r>
        <w:rPr>
          <w:rFonts w:hint="eastAsia" w:ascii="仿宋" w:eastAsia="仿宋" w:cs="仿宋"/>
          <w:sz w:val="32"/>
          <w:szCs w:val="32"/>
          <w:lang w:eastAsia="zh-CN"/>
        </w:rPr>
        <w:t>即小学，学区编制</w:t>
      </w:r>
      <w:r>
        <w:rPr>
          <w:rFonts w:hint="eastAsia" w:ascii="仿宋" w:eastAsia="仿宋" w:cs="仿宋"/>
          <w:sz w:val="32"/>
          <w:szCs w:val="32"/>
          <w:lang w:val="en-US" w:eastAsia="zh-CN"/>
        </w:rPr>
        <w:t>60</w:t>
      </w:r>
      <w:r>
        <w:rPr>
          <w:rFonts w:hint="eastAsia" w:ascii="仿宋" w:eastAsia="仿宋" w:cs="仿宋"/>
          <w:sz w:val="32"/>
          <w:szCs w:val="32"/>
        </w:rPr>
        <w:t>人，</w:t>
      </w:r>
      <w:r>
        <w:rPr>
          <w:rFonts w:hint="eastAsia" w:ascii="仿宋" w:eastAsia="仿宋" w:cs="仿宋"/>
          <w:sz w:val="32"/>
          <w:szCs w:val="32"/>
          <w:lang w:eastAsia="zh-CN"/>
        </w:rPr>
        <w:t>初中编制</w:t>
      </w:r>
      <w:r>
        <w:rPr>
          <w:rFonts w:hint="eastAsia" w:ascii="仿宋" w:eastAsia="仿宋" w:cs="仿宋"/>
          <w:sz w:val="32"/>
          <w:szCs w:val="32"/>
          <w:lang w:val="en-US" w:eastAsia="zh-CN"/>
        </w:rPr>
        <w:t>34</w:t>
      </w:r>
      <w:r>
        <w:rPr>
          <w:rFonts w:hint="eastAsia" w:ascii="仿宋" w:eastAsia="仿宋" w:cs="仿宋"/>
          <w:sz w:val="32"/>
          <w:szCs w:val="32"/>
          <w:lang w:eastAsia="zh-CN"/>
        </w:rPr>
        <w:t>人。</w:t>
      </w:r>
      <w:r>
        <w:rPr>
          <w:rFonts w:hint="eastAsia" w:ascii="仿宋" w:eastAsia="仿宋" w:cs="仿宋"/>
          <w:sz w:val="32"/>
          <w:szCs w:val="32"/>
        </w:rPr>
        <w:t>实有</w:t>
      </w:r>
      <w:r>
        <w:rPr>
          <w:rFonts w:hint="eastAsia" w:ascii="仿宋" w:eastAsia="仿宋" w:cs="仿宋"/>
          <w:sz w:val="32"/>
          <w:szCs w:val="32"/>
          <w:lang w:eastAsia="zh-CN"/>
        </w:rPr>
        <w:t>小学</w:t>
      </w:r>
      <w:r>
        <w:rPr>
          <w:rFonts w:hint="eastAsia" w:ascii="仿宋" w:eastAsia="仿宋" w:cs="仿宋"/>
          <w:sz w:val="32"/>
          <w:szCs w:val="32"/>
          <w:lang w:val="en-US" w:eastAsia="zh-CN"/>
        </w:rPr>
        <w:t>48</w:t>
      </w:r>
      <w:r>
        <w:rPr>
          <w:rFonts w:hint="eastAsia" w:ascii="仿宋" w:eastAsia="仿宋" w:cs="仿宋"/>
          <w:sz w:val="32"/>
          <w:szCs w:val="32"/>
        </w:rPr>
        <w:t>人</w:t>
      </w:r>
      <w:r>
        <w:rPr>
          <w:rFonts w:hint="eastAsia" w:ascii="仿宋" w:eastAsia="仿宋" w:cs="仿宋"/>
          <w:sz w:val="32"/>
          <w:szCs w:val="32"/>
          <w:lang w:eastAsia="zh-CN"/>
        </w:rPr>
        <w:t>（含民办</w:t>
      </w:r>
      <w:r>
        <w:rPr>
          <w:rFonts w:hint="eastAsia" w:ascii="仿宋" w:eastAsia="仿宋" w:cs="仿宋"/>
          <w:sz w:val="32"/>
          <w:szCs w:val="32"/>
          <w:lang w:val="en-US" w:eastAsia="zh-CN"/>
        </w:rPr>
        <w:t>1人</w:t>
      </w:r>
      <w:r>
        <w:rPr>
          <w:rFonts w:hint="eastAsia" w:ascii="仿宋" w:eastAsia="仿宋" w:cs="仿宋"/>
          <w:sz w:val="32"/>
          <w:szCs w:val="32"/>
          <w:lang w:eastAsia="zh-CN"/>
        </w:rPr>
        <w:t>）；初中</w:t>
      </w:r>
      <w:r>
        <w:rPr>
          <w:rFonts w:hint="eastAsia" w:ascii="仿宋" w:eastAsia="仿宋" w:cs="仿宋"/>
          <w:sz w:val="32"/>
          <w:szCs w:val="32"/>
          <w:lang w:val="en-US" w:eastAsia="zh-CN"/>
        </w:rPr>
        <w:t>26人；共74人（含民办1人）。</w:t>
      </w:r>
      <w:r>
        <w:rPr>
          <w:rFonts w:hint="eastAsia" w:ascii="仿宋" w:eastAsia="仿宋" w:cs="仿宋"/>
          <w:sz w:val="32"/>
          <w:szCs w:val="32"/>
        </w:rPr>
        <w:t>学区现管辖</w:t>
      </w:r>
      <w:r>
        <w:rPr>
          <w:rFonts w:hint="eastAsia" w:ascii="仿宋" w:eastAsia="仿宋" w:cs="仿宋"/>
          <w:sz w:val="32"/>
          <w:szCs w:val="32"/>
          <w:lang w:val="en-US" w:eastAsia="zh-CN"/>
        </w:rPr>
        <w:t>3</w:t>
      </w:r>
      <w:r>
        <w:rPr>
          <w:rFonts w:hint="eastAsia" w:ascii="仿宋" w:eastAsia="仿宋" w:cs="仿宋"/>
          <w:sz w:val="32"/>
          <w:szCs w:val="32"/>
        </w:rPr>
        <w:t>个学校：分别是</w:t>
      </w:r>
      <w:r>
        <w:rPr>
          <w:rFonts w:hint="eastAsia" w:ascii="仿宋" w:eastAsia="仿宋" w:cs="仿宋"/>
          <w:sz w:val="32"/>
          <w:szCs w:val="32"/>
          <w:lang w:eastAsia="zh-CN"/>
        </w:rPr>
        <w:t>段家寨</w:t>
      </w:r>
      <w:r>
        <w:rPr>
          <w:rFonts w:hint="eastAsia" w:ascii="仿宋" w:eastAsia="仿宋" w:cs="仿宋"/>
          <w:sz w:val="32"/>
          <w:szCs w:val="32"/>
        </w:rPr>
        <w:t>小学、</w:t>
      </w:r>
      <w:r>
        <w:rPr>
          <w:rFonts w:hint="eastAsia" w:ascii="仿宋" w:eastAsia="仿宋" w:cs="仿宋"/>
          <w:sz w:val="32"/>
          <w:szCs w:val="32"/>
          <w:lang w:eastAsia="zh-CN"/>
        </w:rPr>
        <w:t>五家庄</w:t>
      </w:r>
      <w:r>
        <w:rPr>
          <w:rFonts w:hint="eastAsia" w:ascii="仿宋" w:eastAsia="仿宋" w:cs="仿宋"/>
          <w:sz w:val="32"/>
          <w:szCs w:val="32"/>
        </w:rPr>
        <w:t>小学、</w:t>
      </w:r>
      <w:r>
        <w:rPr>
          <w:rFonts w:hint="eastAsia" w:ascii="仿宋" w:eastAsia="仿宋" w:cs="仿宋"/>
          <w:sz w:val="32"/>
          <w:szCs w:val="32"/>
          <w:lang w:eastAsia="zh-CN"/>
        </w:rPr>
        <w:t>段家寨</w:t>
      </w:r>
      <w:r>
        <w:rPr>
          <w:rFonts w:hint="eastAsia" w:ascii="仿宋" w:eastAsia="仿宋" w:cs="仿宋"/>
          <w:sz w:val="32"/>
          <w:szCs w:val="32"/>
        </w:rPr>
        <w:t>小学</w:t>
      </w:r>
      <w:r>
        <w:rPr>
          <w:rFonts w:hint="eastAsia" w:ascii="仿宋" w:eastAsia="仿宋" w:cs="仿宋"/>
          <w:sz w:val="32"/>
          <w:szCs w:val="32"/>
          <w:lang w:eastAsia="zh-CN"/>
        </w:rPr>
        <w:t>永安镇</w:t>
      </w:r>
      <w:r>
        <w:rPr>
          <w:rFonts w:hint="eastAsia" w:ascii="仿宋" w:eastAsia="仿宋" w:cs="仿宋"/>
          <w:sz w:val="32"/>
          <w:szCs w:val="32"/>
        </w:rPr>
        <w:t>教学点。</w:t>
      </w:r>
      <w:bookmarkStart w:id="9" w:name="_Toc12749"/>
      <w:r>
        <w:rPr>
          <w:rFonts w:hint="eastAsia" w:ascii="仿宋" w:eastAsia="仿宋" w:cs="仿宋"/>
          <w:sz w:val="32"/>
          <w:szCs w:val="32"/>
          <w:lang w:eastAsia="zh-CN"/>
        </w:rPr>
        <w:t>初中管辖的是段家寨中学。</w:t>
      </w:r>
    </w:p>
    <w:p>
      <w:pPr>
        <w:pStyle w:val="10"/>
        <w:widowControl w:val="0"/>
        <w:spacing w:before="0" w:beforeAutospacing="0" w:after="0" w:afterAutospacing="0"/>
        <w:ind w:firstLine="640"/>
        <w:jc w:val="center"/>
        <w:rPr>
          <w:rFonts w:hint="eastAsia"/>
          <w:b/>
          <w:sz w:val="36"/>
          <w:szCs w:val="36"/>
          <w:lang w:val="en-US" w:eastAsia="zh-CN"/>
        </w:rPr>
      </w:pPr>
    </w:p>
    <w:p>
      <w:pPr>
        <w:pStyle w:val="10"/>
        <w:widowControl w:val="0"/>
        <w:spacing w:before="0" w:beforeAutospacing="0" w:after="0" w:afterAutospacing="0"/>
        <w:ind w:firstLine="640"/>
        <w:jc w:val="center"/>
        <w:rPr>
          <w:rFonts w:hint="eastAsia"/>
          <w:b/>
          <w:bCs w:val="0"/>
          <w:sz w:val="36"/>
          <w:szCs w:val="36"/>
          <w:lang w:val="en-US" w:eastAsia="zh-CN"/>
        </w:rPr>
      </w:pPr>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hAnsi="楷体"/>
          <w:szCs w:val="32"/>
        </w:rPr>
      </w:pPr>
      <w:r>
        <w:rPr>
          <w:rFonts w:hint="eastAsia" w:ascii="仿宋_GB2312" w:hAnsi="楷体"/>
          <w:szCs w:val="32"/>
        </w:rPr>
        <w:t>20</w:t>
      </w:r>
      <w:r>
        <w:rPr>
          <w:rFonts w:hint="eastAsia" w:ascii="仿宋_GB2312" w:hAnsi="楷体"/>
          <w:szCs w:val="32"/>
          <w:lang w:val="en-US" w:eastAsia="zh-CN"/>
        </w:rPr>
        <w:t>21</w:t>
      </w:r>
      <w:r>
        <w:rPr>
          <w:rFonts w:hint="eastAsia" w:ascii="仿宋_GB2312" w:hAnsi="楷体"/>
          <w:szCs w:val="32"/>
        </w:rPr>
        <w:t>年度收入总计1</w:t>
      </w:r>
      <w:r>
        <w:rPr>
          <w:rFonts w:hint="eastAsia" w:ascii="仿宋_GB2312" w:hAnsi="楷体"/>
          <w:szCs w:val="32"/>
          <w:lang w:val="en-US" w:eastAsia="zh-CN"/>
        </w:rPr>
        <w:t>110.54</w:t>
      </w:r>
      <w:r>
        <w:rPr>
          <w:rFonts w:hint="eastAsia" w:ascii="仿宋_GB2312" w:hAnsi="楷体"/>
          <w:szCs w:val="32"/>
        </w:rPr>
        <w:t>万元、支出总计</w:t>
      </w:r>
      <w:r>
        <w:rPr>
          <w:rFonts w:hint="eastAsia" w:ascii="仿宋_GB2312" w:hAnsi="楷体"/>
          <w:szCs w:val="32"/>
          <w:lang w:val="en-US" w:eastAsia="zh-CN"/>
        </w:rPr>
        <w:t>1110.54</w:t>
      </w:r>
      <w:r>
        <w:rPr>
          <w:rFonts w:hint="eastAsia" w:ascii="仿宋_GB2312" w:hAnsi="楷体"/>
          <w:szCs w:val="32"/>
        </w:rPr>
        <w:t>万元。与20</w:t>
      </w:r>
      <w:r>
        <w:rPr>
          <w:rFonts w:hint="eastAsia" w:ascii="仿宋_GB2312" w:hAnsi="楷体"/>
          <w:szCs w:val="32"/>
          <w:lang w:val="en-US" w:eastAsia="zh-CN"/>
        </w:rPr>
        <w:t>20</w:t>
      </w:r>
      <w:r>
        <w:rPr>
          <w:rFonts w:hint="eastAsia" w:ascii="仿宋_GB2312" w:hAnsi="楷体"/>
          <w:szCs w:val="32"/>
        </w:rPr>
        <w:t>年相比，收入总计</w:t>
      </w:r>
      <w:r>
        <w:rPr>
          <w:rFonts w:hint="eastAsia" w:ascii="仿宋_GB2312" w:hAnsi="楷体"/>
          <w:szCs w:val="32"/>
          <w:lang w:val="en-US" w:eastAsia="zh-CN"/>
        </w:rPr>
        <w:t>增长</w:t>
      </w:r>
      <w:r>
        <w:rPr>
          <w:rFonts w:hint="eastAsia" w:ascii="仿宋_GB2312" w:hAnsi="楷体"/>
          <w:szCs w:val="32"/>
        </w:rPr>
        <w:t>11</w:t>
      </w:r>
      <w:r>
        <w:rPr>
          <w:rFonts w:hint="eastAsia" w:ascii="仿宋_GB2312" w:hAnsi="楷体"/>
          <w:szCs w:val="32"/>
          <w:lang w:val="en-US" w:eastAsia="zh-CN"/>
        </w:rPr>
        <w:t>7.81</w:t>
      </w:r>
      <w:r>
        <w:rPr>
          <w:rFonts w:hint="eastAsia" w:ascii="仿宋_GB2312" w:hAnsi="楷体"/>
          <w:szCs w:val="32"/>
        </w:rPr>
        <w:t>万元，</w:t>
      </w:r>
      <w:r>
        <w:rPr>
          <w:rFonts w:hint="eastAsia" w:ascii="仿宋_GB2312" w:hAnsi="楷体"/>
          <w:szCs w:val="32"/>
          <w:lang w:val="en-US" w:eastAsia="zh-CN"/>
        </w:rPr>
        <w:t>增长11.87</w:t>
      </w:r>
      <w:r>
        <w:rPr>
          <w:rFonts w:hint="eastAsia" w:ascii="仿宋_GB2312" w:hAnsi="楷体"/>
          <w:szCs w:val="32"/>
        </w:rPr>
        <w:t>%，支出总计</w:t>
      </w:r>
      <w:r>
        <w:rPr>
          <w:rFonts w:hint="eastAsia" w:ascii="仿宋_GB2312" w:hAnsi="楷体"/>
          <w:szCs w:val="32"/>
          <w:lang w:val="en-US" w:eastAsia="zh-CN"/>
        </w:rPr>
        <w:t>增长117.81</w:t>
      </w:r>
      <w:r>
        <w:rPr>
          <w:rFonts w:hint="eastAsia" w:ascii="仿宋_GB2312" w:hAnsi="楷体"/>
          <w:szCs w:val="32"/>
        </w:rPr>
        <w:t>万元，</w:t>
      </w:r>
      <w:r>
        <w:rPr>
          <w:rFonts w:hint="eastAsia" w:ascii="仿宋_GB2312" w:hAnsi="楷体"/>
          <w:szCs w:val="32"/>
          <w:lang w:val="en-US" w:eastAsia="zh-CN"/>
        </w:rPr>
        <w:t>增长11.87</w:t>
      </w:r>
      <w:r>
        <w:rPr>
          <w:rFonts w:hint="eastAsia" w:ascii="仿宋_GB2312" w:hAnsi="楷体"/>
          <w:szCs w:val="32"/>
        </w:rPr>
        <w:t>%。主要原因</w:t>
      </w:r>
      <w:r>
        <w:rPr>
          <w:rFonts w:hint="eastAsia" w:ascii="仿宋_GB2312" w:hAnsi="楷体"/>
          <w:szCs w:val="32"/>
          <w:lang w:eastAsia="zh-CN"/>
        </w:rPr>
        <w:t>是虽然</w:t>
      </w:r>
      <w:r>
        <w:rPr>
          <w:rFonts w:hint="eastAsia" w:ascii="仿宋_GB2312" w:hAnsi="楷体"/>
          <w:szCs w:val="32"/>
          <w:lang w:val="en-US" w:eastAsia="zh-CN"/>
        </w:rPr>
        <w:t>2021年</w:t>
      </w:r>
      <w:r>
        <w:rPr>
          <w:rFonts w:hint="eastAsia" w:ascii="仿宋_GB2312" w:hAnsi="楷体"/>
          <w:szCs w:val="32"/>
        </w:rPr>
        <w:t>彩票公益金拨款减少</w:t>
      </w:r>
      <w:r>
        <w:rPr>
          <w:rFonts w:hint="eastAsia" w:ascii="仿宋_GB2312" w:hAnsi="楷体"/>
          <w:szCs w:val="32"/>
          <w:lang w:eastAsia="zh-CN"/>
        </w:rPr>
        <w:t>，但是</w:t>
      </w:r>
      <w:r>
        <w:rPr>
          <w:rFonts w:hint="eastAsia" w:ascii="仿宋_GB2312" w:hAnsi="楷体"/>
          <w:szCs w:val="32"/>
          <w:lang w:val="en-US" w:eastAsia="zh-CN"/>
        </w:rPr>
        <w:t>2021</w:t>
      </w:r>
      <w:r>
        <w:rPr>
          <w:rFonts w:hint="eastAsia" w:ascii="仿宋_GB2312" w:hAnsi="楷体"/>
          <w:szCs w:val="32"/>
        </w:rPr>
        <w:t>年度住房公积金</w:t>
      </w:r>
      <w:r>
        <w:rPr>
          <w:rFonts w:hint="eastAsia" w:ascii="仿宋_GB2312" w:hAnsi="楷体"/>
          <w:szCs w:val="32"/>
          <w:lang w:eastAsia="zh-CN"/>
        </w:rPr>
        <w:t>单位部分拨入单位账户</w:t>
      </w:r>
      <w:r>
        <w:rPr>
          <w:rFonts w:hint="eastAsia" w:ascii="仿宋_GB2312" w:hAnsi="楷体"/>
          <w:szCs w:val="32"/>
        </w:rPr>
        <w:t>导致。</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ind w:firstLine="640"/>
        <w:rPr>
          <w:rFonts w:hint="eastAsia" w:ascii="仿宋_GB2312" w:hAnsi="楷体"/>
          <w:szCs w:val="32"/>
        </w:rPr>
      </w:pPr>
      <w:r>
        <w:rPr>
          <w:rFonts w:hint="eastAsia" w:ascii="仿宋_GB2312" w:hAnsi="楷体"/>
          <w:szCs w:val="32"/>
        </w:rPr>
        <w:t>本年收入合计1</w:t>
      </w:r>
      <w:r>
        <w:rPr>
          <w:rFonts w:hint="eastAsia" w:ascii="仿宋_GB2312" w:hAnsi="楷体"/>
          <w:szCs w:val="32"/>
          <w:lang w:val="en-US" w:eastAsia="zh-CN"/>
        </w:rPr>
        <w:t>110.54</w:t>
      </w:r>
      <w:r>
        <w:rPr>
          <w:rFonts w:hint="eastAsia" w:ascii="仿宋_GB2312" w:hAnsi="楷体"/>
          <w:szCs w:val="32"/>
        </w:rPr>
        <w:t>万元，其中：</w:t>
      </w:r>
      <w:r>
        <w:rPr>
          <w:rFonts w:hint="eastAsia" w:ascii="仿宋_GB2312" w:hAnsi="楷体"/>
          <w:szCs w:val="32"/>
          <w:lang w:eastAsia="zh-CN"/>
        </w:rPr>
        <w:t>公共预算</w:t>
      </w:r>
      <w:r>
        <w:rPr>
          <w:rFonts w:hint="eastAsia" w:ascii="仿宋_GB2312" w:hAnsi="楷体"/>
          <w:szCs w:val="32"/>
        </w:rPr>
        <w:t>财政拨款收入</w:t>
      </w:r>
      <w:r>
        <w:rPr>
          <w:rFonts w:hint="eastAsia" w:ascii="仿宋_GB2312" w:hAnsi="楷体"/>
          <w:szCs w:val="32"/>
          <w:lang w:val="en-US" w:eastAsia="zh-CN"/>
        </w:rPr>
        <w:t>1109.04</w:t>
      </w:r>
      <w:r>
        <w:rPr>
          <w:rFonts w:hint="eastAsia" w:ascii="仿宋_GB2312" w:hAnsi="楷体"/>
          <w:szCs w:val="32"/>
        </w:rPr>
        <w:t>万元，占比</w:t>
      </w:r>
      <w:r>
        <w:rPr>
          <w:rFonts w:hint="eastAsia" w:ascii="仿宋_GB2312" w:hAnsi="楷体"/>
          <w:szCs w:val="32"/>
          <w:lang w:val="en-US" w:eastAsia="zh-CN"/>
        </w:rPr>
        <w:t>99.86</w:t>
      </w:r>
      <w:r>
        <w:rPr>
          <w:rFonts w:hint="eastAsia" w:ascii="仿宋_GB2312" w:hAnsi="楷体"/>
          <w:szCs w:val="32"/>
        </w:rPr>
        <w:t>%；</w:t>
      </w:r>
      <w:r>
        <w:rPr>
          <w:rFonts w:hint="eastAsia" w:ascii="仿宋_GB2312" w:hAnsi="楷体"/>
          <w:szCs w:val="32"/>
          <w:lang w:eastAsia="zh-CN"/>
        </w:rPr>
        <w:t>政府性基金预算财政拨款收入</w:t>
      </w:r>
      <w:r>
        <w:rPr>
          <w:rFonts w:hint="eastAsia" w:ascii="仿宋_GB2312" w:hAnsi="楷体"/>
          <w:szCs w:val="32"/>
          <w:lang w:val="en-US" w:eastAsia="zh-CN"/>
        </w:rPr>
        <w:t>1.5万元，</w:t>
      </w:r>
      <w:r>
        <w:rPr>
          <w:rFonts w:hint="eastAsia" w:ascii="仿宋_GB2312" w:hAnsi="楷体"/>
          <w:szCs w:val="32"/>
        </w:rPr>
        <w:t>占比</w:t>
      </w:r>
      <w:r>
        <w:rPr>
          <w:rFonts w:hint="eastAsia" w:ascii="仿宋_GB2312" w:hAnsi="楷体"/>
          <w:szCs w:val="32"/>
          <w:lang w:val="en-US" w:eastAsia="zh-CN"/>
        </w:rPr>
        <w:t>0.14</w:t>
      </w:r>
      <w:r>
        <w:rPr>
          <w:rFonts w:hint="eastAsia" w:ascii="仿宋_GB2312" w:hAnsi="楷体"/>
          <w:szCs w:val="32"/>
        </w:rPr>
        <w:t>%；上级补助收入</w:t>
      </w:r>
      <w:r>
        <w:rPr>
          <w:rFonts w:hint="eastAsia" w:ascii="仿宋_GB2312" w:hAnsi="楷体"/>
          <w:szCs w:val="32"/>
          <w:lang w:val="en-US" w:eastAsia="zh-CN"/>
        </w:rPr>
        <w:t>0</w:t>
      </w:r>
      <w:r>
        <w:rPr>
          <w:rFonts w:hint="eastAsia" w:ascii="仿宋_GB2312" w:hAnsi="楷体"/>
          <w:szCs w:val="32"/>
        </w:rPr>
        <w:t>万元，占比</w:t>
      </w:r>
      <w:r>
        <w:rPr>
          <w:rFonts w:hint="eastAsia" w:ascii="仿宋_GB2312" w:hAnsi="楷体"/>
          <w:szCs w:val="32"/>
          <w:lang w:val="en-US" w:eastAsia="zh-CN"/>
        </w:rPr>
        <w:t>0</w:t>
      </w:r>
      <w:r>
        <w:rPr>
          <w:rFonts w:hint="eastAsia" w:ascii="仿宋_GB2312" w:hAnsi="楷体"/>
          <w:szCs w:val="32"/>
        </w:rPr>
        <w:t>%；事业收入</w:t>
      </w:r>
      <w:r>
        <w:rPr>
          <w:rFonts w:hint="eastAsia" w:ascii="仿宋_GB2312" w:hAnsi="楷体"/>
          <w:szCs w:val="32"/>
          <w:lang w:val="en-US" w:eastAsia="zh-CN"/>
        </w:rPr>
        <w:t>0</w:t>
      </w:r>
      <w:r>
        <w:rPr>
          <w:rFonts w:hint="eastAsia" w:ascii="仿宋_GB2312" w:hAnsi="楷体"/>
          <w:szCs w:val="32"/>
        </w:rPr>
        <w:t>万元，占比</w:t>
      </w:r>
      <w:r>
        <w:rPr>
          <w:rFonts w:hint="eastAsia" w:ascii="仿宋_GB2312" w:hAnsi="楷体"/>
          <w:szCs w:val="32"/>
          <w:lang w:val="en-US" w:eastAsia="zh-CN"/>
        </w:rPr>
        <w:t>0</w:t>
      </w:r>
      <w:r>
        <w:rPr>
          <w:rFonts w:hint="eastAsia" w:ascii="仿宋_GB2312" w:hAnsi="楷体"/>
          <w:szCs w:val="32"/>
        </w:rPr>
        <w:t>%；经营收入</w:t>
      </w:r>
      <w:r>
        <w:rPr>
          <w:rFonts w:hint="eastAsia" w:ascii="仿宋_GB2312" w:hAnsi="楷体"/>
          <w:szCs w:val="32"/>
          <w:lang w:val="en-US" w:eastAsia="zh-CN"/>
        </w:rPr>
        <w:t>0</w:t>
      </w:r>
      <w:r>
        <w:rPr>
          <w:rFonts w:hint="eastAsia" w:ascii="仿宋_GB2312" w:hAnsi="楷体"/>
          <w:szCs w:val="32"/>
        </w:rPr>
        <w:t>万元，占比</w:t>
      </w:r>
      <w:r>
        <w:rPr>
          <w:rFonts w:hint="eastAsia" w:ascii="仿宋_GB2312" w:hAnsi="楷体"/>
          <w:szCs w:val="32"/>
          <w:lang w:val="en-US" w:eastAsia="zh-CN"/>
        </w:rPr>
        <w:t>0</w:t>
      </w:r>
      <w:r>
        <w:rPr>
          <w:rFonts w:hint="eastAsia" w:ascii="仿宋_GB2312" w:hAnsi="楷体"/>
          <w:szCs w:val="32"/>
        </w:rPr>
        <w:t>%</w:t>
      </w:r>
      <w:r>
        <w:rPr>
          <w:rFonts w:hint="eastAsia" w:ascii="仿宋_GB2312" w:hAnsi="楷体"/>
          <w:szCs w:val="32"/>
          <w:lang w:eastAsia="zh-CN"/>
        </w:rPr>
        <w:t>。</w:t>
      </w:r>
      <w:r>
        <w:rPr>
          <w:rFonts w:hint="eastAsia" w:ascii="仿宋_GB2312" w:hAnsi="楷体"/>
          <w:szCs w:val="32"/>
        </w:rPr>
        <w:t>附属单位上缴收入</w:t>
      </w:r>
      <w:r>
        <w:rPr>
          <w:rFonts w:hint="eastAsia" w:ascii="仿宋_GB2312" w:hAnsi="楷体"/>
          <w:szCs w:val="32"/>
          <w:lang w:val="en-US" w:eastAsia="zh-CN"/>
        </w:rPr>
        <w:t>0</w:t>
      </w:r>
      <w:r>
        <w:rPr>
          <w:rFonts w:hint="eastAsia" w:ascii="仿宋_GB2312" w:hAnsi="楷体"/>
          <w:szCs w:val="32"/>
        </w:rPr>
        <w:t>万元，占比</w:t>
      </w:r>
      <w:r>
        <w:rPr>
          <w:rFonts w:hint="eastAsia" w:ascii="仿宋_GB2312" w:hAnsi="楷体"/>
          <w:szCs w:val="32"/>
          <w:lang w:val="en-US" w:eastAsia="zh-CN"/>
        </w:rPr>
        <w:t>0</w:t>
      </w:r>
      <w:r>
        <w:rPr>
          <w:rFonts w:hint="eastAsia" w:ascii="仿宋_GB2312" w:hAnsi="楷体"/>
          <w:szCs w:val="32"/>
        </w:rPr>
        <w:t>%；其他收入</w:t>
      </w:r>
      <w:r>
        <w:rPr>
          <w:rFonts w:hint="eastAsia" w:ascii="仿宋_GB2312" w:hAnsi="楷体"/>
          <w:szCs w:val="32"/>
          <w:lang w:val="en-US" w:eastAsia="zh-CN"/>
        </w:rPr>
        <w:t>0</w:t>
      </w:r>
      <w:r>
        <w:rPr>
          <w:rFonts w:hint="eastAsia" w:ascii="仿宋_GB2312" w:hAnsi="楷体"/>
          <w:szCs w:val="32"/>
        </w:rPr>
        <w:t>万元，占比</w:t>
      </w:r>
      <w:r>
        <w:rPr>
          <w:rFonts w:hint="eastAsia" w:ascii="仿宋_GB2312" w:hAnsi="楷体"/>
          <w:szCs w:val="32"/>
          <w:lang w:val="en-US" w:eastAsia="zh-CN"/>
        </w:rPr>
        <w:t>0</w:t>
      </w:r>
      <w:r>
        <w:rPr>
          <w:rFonts w:hint="eastAsia" w:ascii="仿宋_GB2312" w:hAnsi="楷体"/>
          <w:szCs w:val="32"/>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ind w:firstLine="640"/>
        <w:rPr>
          <w:rFonts w:hint="eastAsia" w:ascii="仿宋_GB2312" w:hAnsi="楷体"/>
          <w:szCs w:val="32"/>
          <w:lang w:eastAsia="zh-CN"/>
        </w:rPr>
      </w:pPr>
      <w:r>
        <w:rPr>
          <w:rFonts w:hint="eastAsia" w:ascii="仿宋_GB2312" w:hAnsi="楷体"/>
          <w:szCs w:val="32"/>
        </w:rPr>
        <w:t>本年支出合计1</w:t>
      </w:r>
      <w:r>
        <w:rPr>
          <w:rFonts w:hint="eastAsia" w:ascii="仿宋_GB2312" w:hAnsi="楷体"/>
          <w:szCs w:val="32"/>
          <w:lang w:val="en-US" w:eastAsia="zh-CN"/>
        </w:rPr>
        <w:t>110.54</w:t>
      </w:r>
      <w:r>
        <w:rPr>
          <w:rFonts w:hint="eastAsia" w:ascii="仿宋_GB2312" w:hAnsi="楷体"/>
          <w:szCs w:val="32"/>
        </w:rPr>
        <w:t>万元，其中：基本支出</w:t>
      </w:r>
      <w:r>
        <w:rPr>
          <w:rFonts w:hint="eastAsia" w:ascii="仿宋_GB2312" w:hAnsi="楷体"/>
          <w:szCs w:val="32"/>
          <w:lang w:val="en-US" w:eastAsia="zh-CN"/>
        </w:rPr>
        <w:t>890.64</w:t>
      </w:r>
      <w:r>
        <w:rPr>
          <w:rFonts w:hint="eastAsia" w:ascii="仿宋_GB2312" w:hAnsi="楷体"/>
          <w:szCs w:val="32"/>
        </w:rPr>
        <w:t>万元，占比</w:t>
      </w:r>
      <w:r>
        <w:rPr>
          <w:rFonts w:hint="eastAsia" w:ascii="仿宋_GB2312" w:hAnsi="楷体"/>
          <w:szCs w:val="32"/>
          <w:lang w:val="en-US" w:eastAsia="zh-CN"/>
        </w:rPr>
        <w:t>80.20</w:t>
      </w:r>
      <w:r>
        <w:rPr>
          <w:rFonts w:hint="eastAsia" w:ascii="仿宋_GB2312" w:hAnsi="楷体"/>
          <w:szCs w:val="32"/>
        </w:rPr>
        <w:t>%；项目支出</w:t>
      </w:r>
      <w:r>
        <w:rPr>
          <w:rFonts w:hint="eastAsia" w:ascii="仿宋_GB2312" w:hAnsi="楷体"/>
          <w:szCs w:val="32"/>
          <w:lang w:val="en-US" w:eastAsia="zh-CN"/>
        </w:rPr>
        <w:t>219.90</w:t>
      </w:r>
      <w:r>
        <w:rPr>
          <w:rFonts w:hint="eastAsia" w:ascii="仿宋_GB2312" w:hAnsi="楷体"/>
          <w:szCs w:val="32"/>
        </w:rPr>
        <w:t>万元，占比</w:t>
      </w:r>
      <w:r>
        <w:rPr>
          <w:rFonts w:hint="eastAsia" w:ascii="仿宋_GB2312" w:hAnsi="楷体"/>
          <w:szCs w:val="32"/>
          <w:lang w:val="en-US" w:eastAsia="zh-CN"/>
        </w:rPr>
        <w:t>19.80</w:t>
      </w:r>
      <w:r>
        <w:rPr>
          <w:rFonts w:hint="eastAsia" w:ascii="仿宋_GB2312" w:hAnsi="楷体"/>
          <w:szCs w:val="32"/>
        </w:rPr>
        <w:t>%，上缴上级支出</w:t>
      </w:r>
      <w:r>
        <w:rPr>
          <w:rFonts w:hint="eastAsia" w:ascii="仿宋_GB2312" w:hAnsi="楷体"/>
          <w:szCs w:val="32"/>
          <w:lang w:val="en-US" w:eastAsia="zh-CN"/>
        </w:rPr>
        <w:t>0</w:t>
      </w:r>
      <w:r>
        <w:rPr>
          <w:rFonts w:hint="eastAsia" w:ascii="仿宋_GB2312" w:hAnsi="楷体"/>
          <w:szCs w:val="32"/>
        </w:rPr>
        <w:t>万元，占比</w:t>
      </w:r>
      <w:r>
        <w:rPr>
          <w:rFonts w:hint="eastAsia" w:ascii="仿宋_GB2312" w:hAnsi="楷体"/>
          <w:szCs w:val="32"/>
          <w:lang w:val="en-US" w:eastAsia="zh-CN"/>
        </w:rPr>
        <w:t>0</w:t>
      </w:r>
      <w:r>
        <w:rPr>
          <w:rFonts w:hint="eastAsia" w:ascii="仿宋_GB2312" w:hAnsi="楷体"/>
          <w:szCs w:val="32"/>
        </w:rPr>
        <w:t>%，经营支出</w:t>
      </w:r>
      <w:r>
        <w:rPr>
          <w:rFonts w:hint="eastAsia" w:ascii="仿宋_GB2312" w:hAnsi="楷体"/>
          <w:szCs w:val="32"/>
          <w:lang w:val="en-US" w:eastAsia="zh-CN"/>
        </w:rPr>
        <w:t>0</w:t>
      </w:r>
      <w:r>
        <w:rPr>
          <w:rFonts w:hint="eastAsia" w:ascii="仿宋_GB2312" w:hAnsi="楷体"/>
          <w:szCs w:val="32"/>
        </w:rPr>
        <w:t>万元，占比</w:t>
      </w:r>
      <w:r>
        <w:rPr>
          <w:rFonts w:hint="eastAsia" w:ascii="仿宋_GB2312" w:hAnsi="楷体"/>
          <w:szCs w:val="32"/>
          <w:lang w:val="en-US" w:eastAsia="zh-CN"/>
        </w:rPr>
        <w:t>0</w:t>
      </w:r>
      <w:r>
        <w:rPr>
          <w:rFonts w:hint="eastAsia" w:ascii="仿宋_GB2312" w:hAnsi="楷体"/>
          <w:szCs w:val="32"/>
        </w:rPr>
        <w:t>%,对附属单位补助支出</w:t>
      </w:r>
      <w:r>
        <w:rPr>
          <w:rFonts w:hint="eastAsia" w:ascii="仿宋_GB2312" w:hAnsi="楷体"/>
          <w:szCs w:val="32"/>
          <w:lang w:val="en-US" w:eastAsia="zh-CN"/>
        </w:rPr>
        <w:t>0</w:t>
      </w:r>
      <w:r>
        <w:rPr>
          <w:rFonts w:hint="eastAsia" w:ascii="仿宋_GB2312" w:hAnsi="楷体"/>
          <w:szCs w:val="32"/>
        </w:rPr>
        <w:t>万元，占比</w:t>
      </w:r>
      <w:r>
        <w:rPr>
          <w:rFonts w:hint="eastAsia" w:ascii="仿宋_GB2312" w:hAnsi="楷体"/>
          <w:szCs w:val="32"/>
          <w:lang w:val="en-US" w:eastAsia="zh-CN"/>
        </w:rPr>
        <w:t>0</w:t>
      </w:r>
      <w:r>
        <w:rPr>
          <w:rFonts w:hint="eastAsia" w:ascii="仿宋_GB2312" w:hAnsi="楷体"/>
          <w:szCs w:val="32"/>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ind w:firstLine="640"/>
        <w:rPr>
          <w:rFonts w:hint="eastAsia" w:ascii="仿宋_GB2312" w:hAnsi="楷体"/>
          <w:szCs w:val="32"/>
        </w:rPr>
      </w:pPr>
      <w:r>
        <w:rPr>
          <w:rFonts w:hint="eastAsia" w:ascii="仿宋_GB2312" w:hAnsi="楷体"/>
          <w:szCs w:val="32"/>
        </w:rPr>
        <w:t>20</w:t>
      </w:r>
      <w:r>
        <w:rPr>
          <w:rFonts w:hint="eastAsia" w:ascii="仿宋_GB2312" w:hAnsi="楷体"/>
          <w:szCs w:val="32"/>
          <w:lang w:val="en-US" w:eastAsia="zh-CN"/>
        </w:rPr>
        <w:t>21</w:t>
      </w:r>
      <w:r>
        <w:rPr>
          <w:rFonts w:hint="eastAsia" w:ascii="仿宋_GB2312" w:hAnsi="楷体"/>
          <w:szCs w:val="32"/>
        </w:rPr>
        <w:t>年度财政拨款收入总计1</w:t>
      </w:r>
      <w:r>
        <w:rPr>
          <w:rFonts w:hint="eastAsia" w:ascii="仿宋_GB2312" w:hAnsi="楷体"/>
          <w:szCs w:val="32"/>
          <w:lang w:val="en-US" w:eastAsia="zh-CN"/>
        </w:rPr>
        <w:t>110.54</w:t>
      </w:r>
      <w:r>
        <w:rPr>
          <w:rFonts w:hint="eastAsia" w:ascii="仿宋_GB2312" w:hAnsi="楷体"/>
          <w:szCs w:val="32"/>
        </w:rPr>
        <w:t>万元、支出总计1</w:t>
      </w:r>
      <w:r>
        <w:rPr>
          <w:rFonts w:hint="eastAsia" w:ascii="仿宋_GB2312" w:hAnsi="楷体"/>
          <w:szCs w:val="32"/>
          <w:lang w:val="en-US" w:eastAsia="zh-CN"/>
        </w:rPr>
        <w:t>110.54</w:t>
      </w:r>
      <w:r>
        <w:rPr>
          <w:rFonts w:hint="eastAsia" w:ascii="仿宋_GB2312" w:hAnsi="楷体"/>
          <w:szCs w:val="32"/>
        </w:rPr>
        <w:t>万元。与20</w:t>
      </w:r>
      <w:r>
        <w:rPr>
          <w:rFonts w:hint="eastAsia" w:ascii="仿宋_GB2312" w:hAnsi="楷体"/>
          <w:szCs w:val="32"/>
          <w:lang w:val="en-US" w:eastAsia="zh-CN"/>
        </w:rPr>
        <w:t>20</w:t>
      </w:r>
      <w:r>
        <w:rPr>
          <w:rFonts w:hint="eastAsia" w:ascii="仿宋_GB2312" w:hAnsi="楷体"/>
          <w:szCs w:val="32"/>
        </w:rPr>
        <w:t>年相比，财政拨款收入总计</w:t>
      </w:r>
      <w:r>
        <w:rPr>
          <w:rFonts w:hint="eastAsia" w:ascii="仿宋_GB2312" w:hAnsi="楷体"/>
          <w:szCs w:val="32"/>
          <w:lang w:val="en-US" w:eastAsia="zh-CN"/>
        </w:rPr>
        <w:t>增长117.81</w:t>
      </w:r>
      <w:r>
        <w:rPr>
          <w:rFonts w:hint="eastAsia" w:ascii="仿宋_GB2312" w:hAnsi="楷体"/>
          <w:szCs w:val="32"/>
        </w:rPr>
        <w:t>万元，</w:t>
      </w:r>
      <w:r>
        <w:rPr>
          <w:rFonts w:hint="eastAsia" w:ascii="仿宋_GB2312" w:hAnsi="楷体"/>
          <w:szCs w:val="32"/>
          <w:lang w:val="en-US" w:eastAsia="zh-CN"/>
        </w:rPr>
        <w:t>增长11.87</w:t>
      </w:r>
      <w:r>
        <w:rPr>
          <w:rFonts w:hint="eastAsia" w:ascii="仿宋_GB2312" w:hAnsi="楷体"/>
          <w:szCs w:val="32"/>
        </w:rPr>
        <w:t>%，财政拨款支出总计</w:t>
      </w:r>
      <w:r>
        <w:rPr>
          <w:rFonts w:hint="eastAsia" w:ascii="仿宋_GB2312" w:hAnsi="楷体"/>
          <w:szCs w:val="32"/>
          <w:lang w:val="en-US" w:eastAsia="zh-CN"/>
        </w:rPr>
        <w:t>增长</w:t>
      </w:r>
      <w:r>
        <w:rPr>
          <w:rFonts w:hint="eastAsia" w:ascii="仿宋_GB2312" w:hAnsi="楷体"/>
          <w:szCs w:val="32"/>
        </w:rPr>
        <w:t>1</w:t>
      </w:r>
      <w:r>
        <w:rPr>
          <w:rFonts w:hint="eastAsia" w:ascii="仿宋_GB2312" w:hAnsi="楷体"/>
          <w:szCs w:val="32"/>
          <w:lang w:val="en-US" w:eastAsia="zh-CN"/>
        </w:rPr>
        <w:t>17.81</w:t>
      </w:r>
      <w:r>
        <w:rPr>
          <w:rFonts w:hint="eastAsia" w:ascii="仿宋_GB2312" w:hAnsi="楷体"/>
          <w:szCs w:val="32"/>
        </w:rPr>
        <w:t>万元，</w:t>
      </w:r>
      <w:r>
        <w:rPr>
          <w:rFonts w:hint="eastAsia" w:ascii="仿宋_GB2312" w:hAnsi="楷体"/>
          <w:szCs w:val="32"/>
          <w:lang w:val="en-US" w:eastAsia="zh-CN"/>
        </w:rPr>
        <w:t>增长11.87</w:t>
      </w:r>
      <w:r>
        <w:rPr>
          <w:rFonts w:hint="eastAsia" w:ascii="仿宋_GB2312" w:hAnsi="楷体"/>
          <w:szCs w:val="32"/>
        </w:rPr>
        <w:t>%。主要原因</w:t>
      </w:r>
      <w:r>
        <w:rPr>
          <w:rFonts w:hint="eastAsia" w:ascii="仿宋_GB2312" w:hAnsi="楷体"/>
          <w:szCs w:val="32"/>
          <w:lang w:eastAsia="zh-CN"/>
        </w:rPr>
        <w:t>是</w:t>
      </w:r>
      <w:r>
        <w:rPr>
          <w:rFonts w:hint="eastAsia" w:ascii="仿宋_GB2312" w:hAnsi="楷体"/>
          <w:szCs w:val="32"/>
          <w:lang w:val="en-US" w:eastAsia="zh-CN"/>
        </w:rPr>
        <w:t>2021年</w:t>
      </w:r>
      <w:r>
        <w:rPr>
          <w:rFonts w:hint="eastAsia" w:ascii="仿宋_GB2312" w:hAnsi="楷体"/>
          <w:szCs w:val="32"/>
          <w:lang w:eastAsia="zh-CN"/>
        </w:rPr>
        <w:t>虽然</w:t>
      </w:r>
      <w:r>
        <w:rPr>
          <w:rFonts w:hint="eastAsia" w:ascii="仿宋_GB2312" w:hAnsi="楷体"/>
          <w:szCs w:val="32"/>
        </w:rPr>
        <w:t>彩票公益金拨款减少</w:t>
      </w:r>
      <w:r>
        <w:rPr>
          <w:rFonts w:hint="eastAsia" w:ascii="仿宋_GB2312" w:hAnsi="楷体"/>
          <w:szCs w:val="32"/>
          <w:lang w:eastAsia="zh-CN"/>
        </w:rPr>
        <w:t>，但是</w:t>
      </w:r>
      <w:r>
        <w:rPr>
          <w:rFonts w:hint="eastAsia" w:ascii="仿宋_GB2312" w:hAnsi="楷体"/>
          <w:szCs w:val="32"/>
          <w:lang w:val="en-US" w:eastAsia="zh-CN"/>
        </w:rPr>
        <w:t>2021</w:t>
      </w:r>
      <w:r>
        <w:rPr>
          <w:rFonts w:hint="eastAsia" w:ascii="仿宋_GB2312" w:hAnsi="楷体"/>
          <w:szCs w:val="32"/>
        </w:rPr>
        <w:t>年度住房公积金</w:t>
      </w:r>
      <w:r>
        <w:rPr>
          <w:rFonts w:hint="eastAsia" w:ascii="仿宋_GB2312" w:hAnsi="楷体"/>
          <w:szCs w:val="32"/>
          <w:lang w:eastAsia="zh-CN"/>
        </w:rPr>
        <w:t>单位部分拨入单位账户</w:t>
      </w:r>
      <w:r>
        <w:rPr>
          <w:rFonts w:hint="eastAsia" w:ascii="仿宋_GB2312" w:hAnsi="楷体"/>
          <w:szCs w:val="32"/>
        </w:rPr>
        <w:t>导致。</w:t>
      </w:r>
      <w:bookmarkStart w:id="19" w:name="_Toc6501"/>
      <w:bookmarkStart w:id="20" w:name="_Toc9341"/>
    </w:p>
    <w:p>
      <w:pPr>
        <w:ind w:firstLine="640"/>
        <w:rPr>
          <w:rFonts w:hint="eastAsia" w:ascii="仿宋_GB2312"/>
          <w:szCs w:val="32"/>
        </w:rPr>
      </w:pPr>
    </w:p>
    <w:p>
      <w:pPr>
        <w:ind w:firstLine="640"/>
        <w:rPr>
          <w:rFonts w:hint="eastAsia" w:ascii="仿宋" w:hAnsi="仿宋" w:eastAsia="仿宋" w:cs="仿宋"/>
          <w:b/>
          <w:bCs w:val="0"/>
          <w:lang w:val="en-US" w:eastAsia="zh-CN"/>
        </w:rPr>
      </w:pPr>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年度财政拨款支出1</w:t>
      </w:r>
      <w:r>
        <w:rPr>
          <w:rFonts w:hint="eastAsia" w:ascii="仿宋_GB2312"/>
          <w:szCs w:val="32"/>
          <w:lang w:val="en-US" w:eastAsia="zh-CN"/>
        </w:rPr>
        <w:t>110.54</w:t>
      </w:r>
      <w:r>
        <w:rPr>
          <w:rFonts w:hint="eastAsia" w:ascii="仿宋_GB2312"/>
          <w:szCs w:val="32"/>
        </w:rPr>
        <w:t>万元，占本年支出合计的</w:t>
      </w:r>
      <w:r>
        <w:rPr>
          <w:rFonts w:hint="eastAsia" w:ascii="仿宋_GB2312"/>
          <w:szCs w:val="32"/>
          <w:lang w:val="en-US" w:eastAsia="zh-CN"/>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hint="eastAsia" w:ascii="仿宋_GB2312"/>
          <w:szCs w:val="32"/>
          <w:lang w:val="en-US" w:eastAsia="zh-CN"/>
        </w:rPr>
        <w:t>增加117.81</w:t>
      </w:r>
      <w:r>
        <w:rPr>
          <w:rFonts w:hint="eastAsia" w:ascii="仿宋_GB2312"/>
          <w:szCs w:val="32"/>
        </w:rPr>
        <w:t>万元，</w:t>
      </w:r>
      <w:r>
        <w:rPr>
          <w:rFonts w:hint="eastAsia" w:ascii="仿宋_GB2312"/>
          <w:szCs w:val="32"/>
          <w:lang w:val="en-US" w:eastAsia="zh-CN"/>
        </w:rPr>
        <w:t>增长11.87</w:t>
      </w:r>
      <w:r>
        <w:rPr>
          <w:rFonts w:hint="eastAsia" w:ascii="仿宋_GB2312"/>
          <w:szCs w:val="32"/>
        </w:rPr>
        <w:t>%。主要原因</w:t>
      </w:r>
      <w:r>
        <w:rPr>
          <w:rFonts w:hint="eastAsia" w:ascii="仿宋_GB2312"/>
          <w:szCs w:val="32"/>
          <w:lang w:eastAsia="zh-CN"/>
        </w:rPr>
        <w:t>是</w:t>
      </w:r>
      <w:r>
        <w:rPr>
          <w:rFonts w:hint="eastAsia" w:ascii="仿宋_GB2312"/>
          <w:szCs w:val="32"/>
          <w:lang w:val="en-US" w:eastAsia="zh-CN"/>
        </w:rPr>
        <w:t>2021年</w:t>
      </w:r>
      <w:r>
        <w:rPr>
          <w:rFonts w:hint="eastAsia" w:ascii="仿宋_GB2312"/>
          <w:szCs w:val="32"/>
          <w:lang w:eastAsia="zh-CN"/>
        </w:rPr>
        <w:t>虽然</w:t>
      </w:r>
      <w:r>
        <w:rPr>
          <w:rFonts w:hint="eastAsia" w:ascii="仿宋_GB2312"/>
          <w:szCs w:val="32"/>
        </w:rPr>
        <w:t>彩票公益金拨款减少</w:t>
      </w:r>
      <w:r>
        <w:rPr>
          <w:rFonts w:hint="eastAsia" w:ascii="仿宋_GB2312"/>
          <w:szCs w:val="32"/>
          <w:lang w:eastAsia="zh-CN"/>
        </w:rPr>
        <w:t>，但是</w:t>
      </w:r>
      <w:r>
        <w:rPr>
          <w:rFonts w:hint="eastAsia" w:ascii="仿宋_GB2312"/>
          <w:szCs w:val="32"/>
          <w:lang w:val="en-US" w:eastAsia="zh-CN"/>
        </w:rPr>
        <w:t>2021</w:t>
      </w:r>
      <w:r>
        <w:rPr>
          <w:rFonts w:hint="eastAsia" w:ascii="仿宋_GB2312"/>
          <w:szCs w:val="32"/>
        </w:rPr>
        <w:t>年度住房公积金</w:t>
      </w:r>
      <w:r>
        <w:rPr>
          <w:rFonts w:hint="eastAsia" w:ascii="仿宋_GB2312"/>
          <w:szCs w:val="32"/>
          <w:lang w:eastAsia="zh-CN"/>
        </w:rPr>
        <w:t>单位部分拨入单位账户</w:t>
      </w:r>
      <w:r>
        <w:rPr>
          <w:rFonts w:hint="eastAsia" w:ascii="仿宋_GB2312"/>
          <w:szCs w:val="32"/>
        </w:rPr>
        <w:t>导致。其中，</w:t>
      </w:r>
      <w:r>
        <w:rPr>
          <w:rFonts w:hint="eastAsia" w:ascii="仿宋_GB2312"/>
          <w:szCs w:val="32"/>
          <w:lang w:val="en-US" w:eastAsia="zh-CN"/>
        </w:rPr>
        <w:t>政府性基金预算支出1.5</w:t>
      </w:r>
      <w:r>
        <w:rPr>
          <w:rFonts w:hint="eastAsia" w:ascii="仿宋_GB2312"/>
          <w:szCs w:val="32"/>
        </w:rPr>
        <w:t>万元，占比</w:t>
      </w:r>
      <w:r>
        <w:rPr>
          <w:rFonts w:hint="eastAsia" w:ascii="仿宋_GB2312"/>
          <w:szCs w:val="32"/>
          <w:lang w:val="en-US" w:eastAsia="zh-CN"/>
        </w:rPr>
        <w:t>0.15</w:t>
      </w:r>
      <w:r>
        <w:rPr>
          <w:rFonts w:hint="eastAsia" w:ascii="仿宋_GB2312"/>
          <w:szCs w:val="32"/>
        </w:rPr>
        <w:t>%。</w:t>
      </w:r>
    </w:p>
    <w:p>
      <w:pPr>
        <w:spacing w:line="580" w:lineRule="exact"/>
        <w:ind w:firstLine="643"/>
        <w:rPr>
          <w:rFonts w:hint="eastAsia" w:ascii="仿宋_GB2312"/>
          <w:b/>
          <w:szCs w:val="32"/>
        </w:rPr>
      </w:pPr>
      <w:r>
        <w:rPr>
          <w:rFonts w:hint="eastAsia" w:ascii="仿宋_GB2312"/>
          <w:b/>
          <w:szCs w:val="32"/>
        </w:rPr>
        <w:t>（二）财政拨款支出决算结构情况</w:t>
      </w:r>
    </w:p>
    <w:p>
      <w:pPr>
        <w:spacing w:line="580" w:lineRule="exact"/>
        <w:ind w:firstLine="640"/>
        <w:rPr>
          <w:rFonts w:hint="eastAsia" w:ascii="仿宋_GB2312"/>
          <w:szCs w:val="32"/>
          <w:lang w:val="en-US" w:eastAsia="zh-CN"/>
        </w:rPr>
      </w:pPr>
      <w:r>
        <w:rPr>
          <w:rFonts w:hint="eastAsia" w:ascii="仿宋_GB2312"/>
          <w:szCs w:val="32"/>
          <w:lang w:val="en-US" w:eastAsia="zh-CN"/>
        </w:rPr>
        <w:t>2021年度财政拨款支出1110.54万元，主要用于以下方面：教育（类）支出1110.54万元，占100%。</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szCs w:val="32"/>
          <w:lang w:eastAsia="zh-CN"/>
        </w:rPr>
      </w:pPr>
      <w:r>
        <w:rPr>
          <w:rFonts w:hint="eastAsia"/>
          <w:szCs w:val="32"/>
        </w:rPr>
        <w:t>202</w:t>
      </w:r>
      <w:r>
        <w:rPr>
          <w:rFonts w:hint="eastAsia"/>
          <w:szCs w:val="32"/>
          <w:lang w:val="en-US" w:eastAsia="zh-CN"/>
        </w:rPr>
        <w:t>1</w:t>
      </w:r>
      <w:r>
        <w:rPr>
          <w:rFonts w:hint="eastAsia"/>
          <w:szCs w:val="32"/>
        </w:rPr>
        <w:t>年度财政拨款支出年初预算</w:t>
      </w:r>
      <w:r>
        <w:rPr>
          <w:rFonts w:hint="eastAsia"/>
          <w:szCs w:val="32"/>
          <w:lang w:val="en-US" w:eastAsia="zh-CN"/>
        </w:rPr>
        <w:t>361.09</w:t>
      </w:r>
      <w:r>
        <w:rPr>
          <w:rFonts w:hint="eastAsia"/>
          <w:szCs w:val="32"/>
        </w:rPr>
        <w:t>万元，支出决算</w:t>
      </w:r>
      <w:r>
        <w:rPr>
          <w:rFonts w:hint="eastAsia"/>
          <w:szCs w:val="32"/>
          <w:lang w:val="en-US" w:eastAsia="zh-CN"/>
        </w:rPr>
        <w:t>1110.54</w:t>
      </w:r>
      <w:r>
        <w:rPr>
          <w:rFonts w:hint="eastAsia"/>
          <w:szCs w:val="32"/>
        </w:rPr>
        <w:t>万元，</w:t>
      </w:r>
      <w:r>
        <w:rPr>
          <w:rFonts w:hint="eastAsia"/>
          <w:szCs w:val="32"/>
          <w:lang w:val="en-US" w:eastAsia="zh-CN"/>
        </w:rPr>
        <w:t>占调整</w:t>
      </w:r>
      <w:r>
        <w:rPr>
          <w:rFonts w:hint="eastAsia"/>
          <w:szCs w:val="32"/>
        </w:rPr>
        <w:t>预算的</w:t>
      </w:r>
      <w:r>
        <w:rPr>
          <w:rFonts w:hint="eastAsia"/>
          <w:szCs w:val="32"/>
          <w:lang w:val="en-US" w:eastAsia="zh-CN"/>
        </w:rPr>
        <w:t>100</w:t>
      </w:r>
      <w:bookmarkStart w:id="33" w:name="_GoBack"/>
      <w:bookmarkEnd w:id="33"/>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1"/>
        <w:tblW w:w="845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513"/>
        <w:gridCol w:w="1515"/>
        <w:gridCol w:w="1590"/>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513"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515"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590"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245"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w:t>
            </w:r>
          </w:p>
        </w:tc>
        <w:tc>
          <w:tcPr>
            <w:tcW w:w="2513"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教育支出</w:t>
            </w:r>
          </w:p>
        </w:tc>
        <w:tc>
          <w:tcPr>
            <w:tcW w:w="1515"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989.83</w:t>
            </w:r>
          </w:p>
        </w:tc>
        <w:tc>
          <w:tcPr>
            <w:tcW w:w="1590"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1109.04</w:t>
            </w:r>
          </w:p>
        </w:tc>
        <w:tc>
          <w:tcPr>
            <w:tcW w:w="1245" w:type="dxa"/>
            <w:vAlign w:val="top"/>
          </w:tcPr>
          <w:p>
            <w:pPr>
              <w:keepNext w:val="0"/>
              <w:keepLines w:val="0"/>
              <w:widowControl/>
              <w:suppressLineNumbers w:val="0"/>
              <w:ind w:left="0" w:leftChars="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20502</w:t>
            </w:r>
          </w:p>
        </w:tc>
        <w:tc>
          <w:tcPr>
            <w:tcW w:w="2513" w:type="dxa"/>
            <w:vAlign w:val="center"/>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普通教育</w:t>
            </w:r>
          </w:p>
        </w:tc>
        <w:tc>
          <w:tcPr>
            <w:tcW w:w="151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989.83</w:t>
            </w:r>
          </w:p>
        </w:tc>
        <w:tc>
          <w:tcPr>
            <w:tcW w:w="1590" w:type="dxa"/>
            <w:vAlign w:val="top"/>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1109.04</w:t>
            </w:r>
          </w:p>
        </w:tc>
        <w:tc>
          <w:tcPr>
            <w:tcW w:w="1245" w:type="dxa"/>
            <w:vAlign w:val="top"/>
          </w:tcPr>
          <w:p>
            <w:pPr>
              <w:keepNext w:val="0"/>
              <w:keepLines w:val="0"/>
              <w:widowControl/>
              <w:suppressLineNumbers w:val="0"/>
              <w:ind w:left="0" w:leftChars="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2050202</w:t>
            </w:r>
          </w:p>
        </w:tc>
        <w:tc>
          <w:tcPr>
            <w:tcW w:w="2513" w:type="dxa"/>
            <w:vAlign w:val="center"/>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小学教育</w:t>
            </w:r>
          </w:p>
        </w:tc>
        <w:tc>
          <w:tcPr>
            <w:tcW w:w="151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553.95</w:t>
            </w:r>
          </w:p>
        </w:tc>
        <w:tc>
          <w:tcPr>
            <w:tcW w:w="1590" w:type="dxa"/>
            <w:vAlign w:val="top"/>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549.24</w:t>
            </w:r>
          </w:p>
        </w:tc>
        <w:tc>
          <w:tcPr>
            <w:tcW w:w="1245" w:type="dxa"/>
            <w:vAlign w:val="top"/>
          </w:tcPr>
          <w:p>
            <w:pPr>
              <w:keepNext w:val="0"/>
              <w:keepLines w:val="0"/>
              <w:widowControl/>
              <w:suppressLineNumbers w:val="0"/>
              <w:ind w:left="0" w:leftChars="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588"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2050203</w:t>
            </w:r>
          </w:p>
        </w:tc>
        <w:tc>
          <w:tcPr>
            <w:tcW w:w="2513"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初中教育</w:t>
            </w:r>
          </w:p>
        </w:tc>
        <w:tc>
          <w:tcPr>
            <w:tcW w:w="151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251.14</w:t>
            </w:r>
          </w:p>
        </w:tc>
        <w:tc>
          <w:tcPr>
            <w:tcW w:w="1590" w:type="dxa"/>
            <w:vAlign w:val="top"/>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341.40</w:t>
            </w:r>
          </w:p>
        </w:tc>
        <w:tc>
          <w:tcPr>
            <w:tcW w:w="1245" w:type="dxa"/>
            <w:vAlign w:val="top"/>
          </w:tcPr>
          <w:p>
            <w:pPr>
              <w:keepNext w:val="0"/>
              <w:keepLines w:val="0"/>
              <w:widowControl/>
              <w:suppressLineNumbers w:val="0"/>
              <w:ind w:left="0" w:leftChars="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2050299</w:t>
            </w:r>
          </w:p>
        </w:tc>
        <w:tc>
          <w:tcPr>
            <w:tcW w:w="2513" w:type="dxa"/>
            <w:vAlign w:val="center"/>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2"/>
                <w:szCs w:val="22"/>
                <w:lang w:val="en-US" w:eastAsia="zh-CN"/>
              </w:rPr>
              <w:t>其他普通教育支出</w:t>
            </w:r>
          </w:p>
        </w:tc>
        <w:tc>
          <w:tcPr>
            <w:tcW w:w="151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184.73</w:t>
            </w:r>
          </w:p>
        </w:tc>
        <w:tc>
          <w:tcPr>
            <w:tcW w:w="1590" w:type="dxa"/>
            <w:vAlign w:val="top"/>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218.40</w:t>
            </w:r>
          </w:p>
        </w:tc>
        <w:tc>
          <w:tcPr>
            <w:tcW w:w="1245" w:type="dxa"/>
            <w:vAlign w:val="top"/>
          </w:tcPr>
          <w:p>
            <w:pPr>
              <w:keepNext w:val="0"/>
              <w:keepLines w:val="0"/>
              <w:widowControl/>
              <w:suppressLineNumbers w:val="0"/>
              <w:ind w:left="0" w:leftChars="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229</w:t>
            </w:r>
          </w:p>
        </w:tc>
        <w:tc>
          <w:tcPr>
            <w:tcW w:w="2513" w:type="dxa"/>
            <w:vAlign w:val="center"/>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其他支出</w:t>
            </w:r>
          </w:p>
        </w:tc>
        <w:tc>
          <w:tcPr>
            <w:tcW w:w="151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w:t>
            </w:r>
          </w:p>
        </w:tc>
        <w:tc>
          <w:tcPr>
            <w:tcW w:w="1590" w:type="dxa"/>
            <w:vAlign w:val="top"/>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w:t>
            </w:r>
          </w:p>
        </w:tc>
        <w:tc>
          <w:tcPr>
            <w:tcW w:w="1245" w:type="dxa"/>
            <w:vAlign w:val="top"/>
          </w:tcPr>
          <w:p>
            <w:pPr>
              <w:keepNext w:val="0"/>
              <w:keepLines w:val="0"/>
              <w:widowControl/>
              <w:suppressLineNumbers w:val="0"/>
              <w:ind w:left="0" w:leftChars="0" w:firstLine="0" w:firstLineChars="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-48.28%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22960</w:t>
            </w:r>
          </w:p>
        </w:tc>
        <w:tc>
          <w:tcPr>
            <w:tcW w:w="2513" w:type="dxa"/>
            <w:vAlign w:val="center"/>
          </w:tcPr>
          <w:p>
            <w:pPr>
              <w:jc w:val="left"/>
              <w:rPr>
                <w:rFonts w:hint="eastAsia" w:ascii="仿宋" w:hAnsi="仿宋" w:eastAsia="仿宋" w:cs="仿宋"/>
                <w:color w:val="auto"/>
                <w:sz w:val="24"/>
                <w:szCs w:val="24"/>
              </w:rPr>
            </w:pPr>
            <w:r>
              <w:rPr>
                <w:rFonts w:hint="eastAsia" w:ascii="仿宋" w:hAnsi="仿宋" w:eastAsia="仿宋" w:cs="仿宋"/>
                <w:color w:val="auto"/>
                <w:sz w:val="18"/>
                <w:szCs w:val="18"/>
                <w:lang w:val="en-US" w:eastAsia="zh-CN"/>
              </w:rPr>
              <w:t>彩票公益金安排的支出</w:t>
            </w:r>
          </w:p>
        </w:tc>
        <w:tc>
          <w:tcPr>
            <w:tcW w:w="151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w:t>
            </w:r>
          </w:p>
        </w:tc>
        <w:tc>
          <w:tcPr>
            <w:tcW w:w="1590" w:type="dxa"/>
            <w:vAlign w:val="top"/>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w:t>
            </w:r>
          </w:p>
        </w:tc>
        <w:tc>
          <w:tcPr>
            <w:tcW w:w="1245" w:type="dxa"/>
            <w:vAlign w:val="top"/>
          </w:tcPr>
          <w:p>
            <w:pPr>
              <w:keepNext w:val="0"/>
              <w:keepLines w:val="0"/>
              <w:widowControl/>
              <w:suppressLineNumbers w:val="0"/>
              <w:ind w:left="0" w:leftChars="0" w:firstLine="0" w:firstLineChars="0"/>
              <w:jc w:val="righ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-48.28%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2296004</w:t>
            </w:r>
          </w:p>
        </w:tc>
        <w:tc>
          <w:tcPr>
            <w:tcW w:w="2513" w:type="dxa"/>
            <w:vAlign w:val="center"/>
          </w:tcPr>
          <w:p>
            <w:pPr>
              <w:jc w:val="left"/>
              <w:rPr>
                <w:rFonts w:hint="eastAsia" w:ascii="仿宋" w:hAnsi="仿宋" w:eastAsia="仿宋" w:cs="仿宋"/>
                <w:color w:val="auto"/>
                <w:sz w:val="24"/>
                <w:szCs w:val="24"/>
              </w:rPr>
            </w:pPr>
            <w:r>
              <w:rPr>
                <w:rFonts w:hint="eastAsia" w:ascii="仿宋" w:hAnsi="仿宋" w:eastAsia="仿宋" w:cs="仿宋"/>
                <w:color w:val="auto"/>
                <w:sz w:val="13"/>
                <w:szCs w:val="13"/>
                <w:lang w:val="en-US" w:eastAsia="zh-CN"/>
              </w:rPr>
              <w:t>用于教育事业的彩票公益金支出</w:t>
            </w:r>
          </w:p>
        </w:tc>
        <w:tc>
          <w:tcPr>
            <w:tcW w:w="151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w:t>
            </w:r>
          </w:p>
        </w:tc>
        <w:tc>
          <w:tcPr>
            <w:tcW w:w="1590" w:type="dxa"/>
            <w:vAlign w:val="top"/>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w:t>
            </w:r>
          </w:p>
        </w:tc>
        <w:tc>
          <w:tcPr>
            <w:tcW w:w="1245" w:type="dxa"/>
            <w:vAlign w:val="top"/>
          </w:tcPr>
          <w:p>
            <w:pPr>
              <w:keepNext w:val="0"/>
              <w:keepLines w:val="0"/>
              <w:widowControl/>
              <w:suppressLineNumbers w:val="0"/>
              <w:ind w:left="0" w:leftChars="0" w:firstLine="0" w:firstLineChars="0"/>
              <w:jc w:val="righ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-48.28%</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1"/>
        <w:tblW w:w="842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765"/>
        <w:gridCol w:w="1785"/>
        <w:gridCol w:w="1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765" w:type="dxa"/>
            <w:vAlign w:val="top"/>
          </w:tcPr>
          <w:p>
            <w:pPr>
              <w:widowControl/>
              <w:jc w:val="center"/>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1785" w:type="dxa"/>
            <w:vAlign w:val="top"/>
          </w:tcPr>
          <w:p>
            <w:pPr>
              <w:widowControl/>
              <w:jc w:val="center"/>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95" w:type="dxa"/>
            <w:vAlign w:val="top"/>
          </w:tcPr>
          <w:p>
            <w:pPr>
              <w:widowControl/>
              <w:ind w:left="0" w:leftChars="0" w:firstLine="0" w:firstLineChars="0"/>
              <w:jc w:val="center"/>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76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992.73</w:t>
            </w:r>
          </w:p>
        </w:tc>
        <w:tc>
          <w:tcPr>
            <w:tcW w:w="1785"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1110.54</w:t>
            </w:r>
          </w:p>
        </w:tc>
        <w:tc>
          <w:tcPr>
            <w:tcW w:w="199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76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775.01</w:t>
            </w:r>
          </w:p>
        </w:tc>
        <w:tc>
          <w:tcPr>
            <w:tcW w:w="1785"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872.16</w:t>
            </w:r>
          </w:p>
        </w:tc>
        <w:tc>
          <w:tcPr>
            <w:tcW w:w="199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76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83.01</w:t>
            </w:r>
          </w:p>
        </w:tc>
        <w:tc>
          <w:tcPr>
            <w:tcW w:w="1785"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96.62</w:t>
            </w:r>
          </w:p>
        </w:tc>
        <w:tc>
          <w:tcPr>
            <w:tcW w:w="199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76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10.66</w:t>
            </w:r>
          </w:p>
        </w:tc>
        <w:tc>
          <w:tcPr>
            <w:tcW w:w="178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65.37</w:t>
            </w:r>
          </w:p>
        </w:tc>
        <w:tc>
          <w:tcPr>
            <w:tcW w:w="199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513.23%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76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124.05</w:t>
            </w:r>
          </w:p>
        </w:tc>
        <w:tc>
          <w:tcPr>
            <w:tcW w:w="1785"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76.39</w:t>
            </w:r>
          </w:p>
        </w:tc>
        <w:tc>
          <w:tcPr>
            <w:tcW w:w="1995"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-38.42%</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w:t>
      </w:r>
      <w:r>
        <w:rPr>
          <w:rFonts w:hint="eastAsia" w:ascii="仿宋_GB2312"/>
          <w:szCs w:val="32"/>
        </w:rPr>
        <w:t>出</w:t>
      </w:r>
      <w:r>
        <w:rPr>
          <w:rFonts w:hint="eastAsia" w:ascii="仿宋_GB2312"/>
          <w:szCs w:val="32"/>
          <w:lang w:val="en-US" w:eastAsia="zh-CN"/>
        </w:rPr>
        <w:t>890.64</w:t>
      </w:r>
      <w:r>
        <w:rPr>
          <w:rFonts w:hint="eastAsia" w:ascii="仿宋_GB2312"/>
          <w:szCs w:val="32"/>
        </w:rPr>
        <w:t>万元，其中：人员经费</w:t>
      </w:r>
      <w:r>
        <w:rPr>
          <w:rFonts w:hint="eastAsia" w:ascii="仿宋_GB2312"/>
          <w:szCs w:val="32"/>
          <w:lang w:val="en-US" w:eastAsia="zh-CN"/>
        </w:rPr>
        <w:t>872.41</w:t>
      </w:r>
      <w:r>
        <w:rPr>
          <w:rFonts w:hint="eastAsia" w:ascii="仿宋_GB2312"/>
          <w:szCs w:val="32"/>
        </w:rPr>
        <w:t>万元，主要包括</w:t>
      </w:r>
      <w:r>
        <w:rPr>
          <w:rFonts w:hint="eastAsia" w:ascii="仿宋_GB2312"/>
          <w:szCs w:val="32"/>
          <w:lang w:eastAsia="zh-CN"/>
        </w:rPr>
        <w:t>基本工资</w:t>
      </w:r>
      <w:r>
        <w:rPr>
          <w:rFonts w:hint="eastAsia" w:ascii="仿宋_GB2312"/>
          <w:szCs w:val="32"/>
          <w:lang w:val="en-US" w:eastAsia="zh-CN"/>
        </w:rPr>
        <w:t>354万元，津贴补贴140.37万元，绩效工资194.05万元，机关事业单位基本养老保险缴费87.11万元，职工基本医疗保险缴费42.49万元，其他社会保障缴费6.43万元，住房公积金47.66万元，其他工资福利支出0.3万元</w:t>
      </w:r>
      <w:r>
        <w:rPr>
          <w:rFonts w:hint="eastAsia" w:ascii="仿宋_GB2312"/>
          <w:szCs w:val="32"/>
        </w:rPr>
        <w:t>；公用经费</w:t>
      </w:r>
      <w:r>
        <w:rPr>
          <w:rFonts w:hint="eastAsia" w:ascii="仿宋_GB2312"/>
          <w:szCs w:val="32"/>
          <w:lang w:val="en-US" w:eastAsia="zh-CN"/>
        </w:rPr>
        <w:t>18.23</w:t>
      </w:r>
      <w:r>
        <w:rPr>
          <w:rFonts w:hint="eastAsia" w:ascii="仿宋_GB2312"/>
          <w:szCs w:val="32"/>
        </w:rPr>
        <w:t>万元，主要包括工会经费</w:t>
      </w:r>
      <w:r>
        <w:rPr>
          <w:rFonts w:hint="eastAsia" w:ascii="仿宋_GB2312"/>
          <w:szCs w:val="32"/>
          <w:lang w:val="en-US" w:eastAsia="zh-CN"/>
        </w:rPr>
        <w:t>7.15万元，福利费11.08万元</w:t>
      </w:r>
      <w:r>
        <w:rPr>
          <w:rFonts w:hint="eastAsia" w:ascii="仿宋_GB2312"/>
          <w:szCs w:val="32"/>
        </w:rPr>
        <w:t>。20</w:t>
      </w:r>
      <w:r>
        <w:rPr>
          <w:rFonts w:hint="eastAsia" w:ascii="仿宋_GB2312"/>
          <w:szCs w:val="32"/>
          <w:lang w:val="en-US" w:eastAsia="zh-CN"/>
        </w:rPr>
        <w:t>21</w:t>
      </w:r>
      <w:r>
        <w:rPr>
          <w:rFonts w:hint="eastAsia" w:ascii="仿宋_GB2312"/>
          <w:szCs w:val="32"/>
        </w:rPr>
        <w:t>年度财政拨款</w:t>
      </w:r>
      <w:r>
        <w:rPr>
          <w:rFonts w:hint="eastAsia" w:ascii="仿宋_GB2312"/>
          <w:szCs w:val="32"/>
          <w:lang w:val="en-US" w:eastAsia="zh-CN"/>
        </w:rPr>
        <w:t>项目</w:t>
      </w:r>
      <w:r>
        <w:rPr>
          <w:rFonts w:hint="eastAsia" w:ascii="仿宋_GB2312"/>
          <w:szCs w:val="32"/>
        </w:rPr>
        <w:t>支出</w:t>
      </w:r>
      <w:r>
        <w:rPr>
          <w:rFonts w:hint="eastAsia" w:ascii="仿宋_GB2312"/>
          <w:szCs w:val="32"/>
          <w:lang w:val="en-US" w:eastAsia="zh-CN"/>
        </w:rPr>
        <w:t>219.90</w:t>
      </w:r>
      <w:r>
        <w:rPr>
          <w:rFonts w:hint="eastAsia" w:ascii="仿宋_GB2312"/>
          <w:szCs w:val="32"/>
        </w:rPr>
        <w:t>万元</w:t>
      </w:r>
      <w:r>
        <w:rPr>
          <w:rFonts w:hint="eastAsia" w:ascii="仿宋_GB2312"/>
          <w:szCs w:val="32"/>
          <w:lang w:eastAsia="zh-CN"/>
        </w:rPr>
        <w:t>。</w:t>
      </w:r>
    </w:p>
    <w:p>
      <w:pPr>
        <w:pStyle w:val="3"/>
        <w:ind w:left="640" w:leftChars="200" w:firstLine="0" w:firstLineChars="0"/>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年度，“三公”经费财政拨款支出决算为</w:t>
      </w:r>
      <w:r>
        <w:rPr>
          <w:rFonts w:hint="eastAsia" w:ascii="仿宋_GB2312"/>
          <w:szCs w:val="32"/>
          <w:lang w:val="en-US" w:eastAsia="zh-CN"/>
        </w:rPr>
        <w:t>0</w:t>
      </w:r>
      <w:r>
        <w:rPr>
          <w:rFonts w:hint="eastAsia" w:ascii="仿宋_GB2312"/>
          <w:szCs w:val="32"/>
        </w:rPr>
        <w:t>万元，本</w:t>
      </w:r>
      <w:r>
        <w:rPr>
          <w:rFonts w:hint="eastAsia" w:ascii="仿宋_GB2312"/>
          <w:szCs w:val="32"/>
          <w:lang w:eastAsia="zh-CN"/>
        </w:rPr>
        <w:t>单位</w:t>
      </w:r>
      <w:r>
        <w:rPr>
          <w:rFonts w:hint="eastAsia" w:ascii="仿宋_GB2312"/>
          <w:szCs w:val="32"/>
        </w:rPr>
        <w:t>无三公经费</w:t>
      </w:r>
      <w:r>
        <w:rPr>
          <w:rFonts w:hint="eastAsia" w:ascii="仿宋_GB2312"/>
          <w:szCs w:val="32"/>
          <w:lang w:eastAsia="zh-CN"/>
        </w:rPr>
        <w:t>支出</w:t>
      </w:r>
      <w:r>
        <w:rPr>
          <w:rFonts w:hint="eastAsia" w:ascii="仿宋_GB2312"/>
          <w:szCs w:val="32"/>
        </w:rPr>
        <w:t>。</w:t>
      </w:r>
    </w:p>
    <w:p>
      <w:pPr>
        <w:spacing w:line="580" w:lineRule="exact"/>
        <w:ind w:firstLine="640"/>
        <w:rPr>
          <w:rFonts w:hint="eastAsia" w:ascii="仿宋_GB2312" w:hAnsi="宋体" w:eastAsia="仿宋_GB2312"/>
          <w:color w:val="000000"/>
          <w:sz w:val="32"/>
          <w:szCs w:val="32"/>
        </w:rPr>
      </w:pPr>
      <w:r>
        <w:rPr>
          <w:rFonts w:hint="eastAsia" w:ascii="仿宋_GB2312"/>
          <w:szCs w:val="32"/>
          <w:lang w:val="en-US" w:eastAsia="zh-CN"/>
        </w:rPr>
        <w:t>2021</w:t>
      </w:r>
      <w:r>
        <w:rPr>
          <w:rFonts w:hint="eastAsia" w:ascii="仿宋_GB231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10"/>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1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1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10"/>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rPr>
                <w:rFonts w:hint="eastAsia"/>
                <w:color w:val="000000"/>
                <w:sz w:val="28"/>
                <w:szCs w:val="28"/>
              </w:rPr>
            </w:pPr>
            <w:r>
              <w:rPr>
                <w:rFonts w:hint="eastAsia"/>
                <w:color w:val="000000"/>
                <w:sz w:val="28"/>
                <w:szCs w:val="28"/>
              </w:rPr>
              <w:t>因公出国（境）费</w:t>
            </w:r>
          </w:p>
        </w:tc>
        <w:tc>
          <w:tcPr>
            <w:tcW w:w="1701"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rPr>
                <w:rFonts w:hint="eastAsia"/>
                <w:color w:val="000000"/>
                <w:sz w:val="28"/>
                <w:szCs w:val="28"/>
              </w:rPr>
            </w:pPr>
            <w:r>
              <w:rPr>
                <w:rFonts w:hint="eastAsia"/>
                <w:color w:val="000000"/>
                <w:sz w:val="28"/>
                <w:szCs w:val="28"/>
              </w:rPr>
              <w:t>公务接待费</w:t>
            </w:r>
          </w:p>
        </w:tc>
        <w:tc>
          <w:tcPr>
            <w:tcW w:w="1701"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10"/>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0"/>
              <w:jc w:val="right"/>
              <w:rPr>
                <w:rFonts w:hint="eastAsia" w:eastAsia="宋体"/>
                <w:color w:val="000000"/>
                <w:sz w:val="28"/>
                <w:szCs w:val="28"/>
                <w:lang w:val="en-US" w:eastAsia="zh-CN"/>
              </w:rPr>
            </w:pPr>
          </w:p>
        </w:tc>
      </w:tr>
    </w:tbl>
    <w:p>
      <w:pPr>
        <w:pStyle w:val="10"/>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ascii="仿宋_GB2312" w:hAnsi="宋体"/>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0</w:t>
      </w:r>
      <w:r>
        <w:rPr>
          <w:rFonts w:hint="eastAsia" w:ascii="仿宋_GB2312" w:hAnsi="宋体"/>
          <w:szCs w:val="32"/>
        </w:rPr>
        <w:t>万元</w:t>
      </w:r>
      <w:r>
        <w:rPr>
          <w:rFonts w:hint="eastAsia" w:ascii="仿宋_GB2312" w:hAnsi="宋体"/>
          <w:szCs w:val="32"/>
          <w:lang w:eastAsia="zh-CN"/>
        </w:rPr>
        <w:t>，</w:t>
      </w:r>
      <w:r>
        <w:rPr>
          <w:rFonts w:hint="eastAsia" w:ascii="仿宋_GB2312" w:hAnsi="宋体"/>
          <w:szCs w:val="32"/>
        </w:rPr>
        <w:t>本</w:t>
      </w:r>
      <w:r>
        <w:rPr>
          <w:rFonts w:hint="eastAsia" w:ascii="仿宋_GB2312" w:hAnsi="宋体"/>
          <w:szCs w:val="32"/>
          <w:lang w:eastAsia="zh-CN"/>
        </w:rPr>
        <w:t>单位</w:t>
      </w:r>
      <w:r>
        <w:rPr>
          <w:rFonts w:hint="eastAsia" w:ascii="仿宋_GB2312" w:hAnsi="宋体"/>
          <w:szCs w:val="32"/>
        </w:rPr>
        <w:t>无机关运行经费。</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hAnsi="宋体"/>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年度，政府采购支出总额</w:t>
      </w:r>
      <w:r>
        <w:rPr>
          <w:rFonts w:hint="eastAsia" w:ascii="仿宋_GB2312" w:hAnsi="宋体"/>
          <w:szCs w:val="32"/>
          <w:lang w:val="en-US" w:eastAsia="zh-CN"/>
        </w:rPr>
        <w:t>4.77</w:t>
      </w:r>
      <w:r>
        <w:rPr>
          <w:rFonts w:hint="eastAsia" w:ascii="仿宋_GB2312" w:hAnsi="宋体"/>
          <w:szCs w:val="32"/>
        </w:rPr>
        <w:t>万元，其中：政府采购货物支出</w:t>
      </w:r>
      <w:r>
        <w:rPr>
          <w:rFonts w:hint="eastAsia" w:ascii="仿宋_GB2312" w:hAnsi="宋体"/>
          <w:szCs w:val="32"/>
          <w:lang w:val="en-US" w:eastAsia="zh-CN"/>
        </w:rPr>
        <w:t>4.77</w:t>
      </w:r>
      <w:r>
        <w:rPr>
          <w:rFonts w:hint="eastAsia" w:ascii="仿宋_GB2312" w:hAnsi="宋体"/>
          <w:szCs w:val="32"/>
        </w:rPr>
        <w:t>万元、政府采购工程支出</w:t>
      </w:r>
      <w:r>
        <w:rPr>
          <w:rFonts w:hint="eastAsia" w:ascii="仿宋_GB2312" w:hAnsi="宋体"/>
          <w:szCs w:val="32"/>
          <w:lang w:val="en-US" w:eastAsia="zh-CN"/>
        </w:rPr>
        <w:t>0</w:t>
      </w:r>
      <w:r>
        <w:rPr>
          <w:rFonts w:hint="eastAsia" w:ascii="仿宋_GB2312" w:hAnsi="宋体"/>
          <w:szCs w:val="32"/>
        </w:rPr>
        <w:t>万元、政府采购服务支出</w:t>
      </w:r>
      <w:r>
        <w:rPr>
          <w:rFonts w:hint="eastAsia" w:ascii="仿宋_GB2312" w:hAnsi="宋体"/>
          <w:szCs w:val="32"/>
          <w:lang w:val="en-US" w:eastAsia="zh-CN"/>
        </w:rPr>
        <w:t>0</w:t>
      </w:r>
      <w:r>
        <w:rPr>
          <w:rFonts w:hint="eastAsia" w:ascii="仿宋_GB2312" w:hAnsi="宋体"/>
          <w:szCs w:val="32"/>
        </w:rPr>
        <w:t>万元。政府采购授予中小企业合同金额</w:t>
      </w:r>
      <w:r>
        <w:rPr>
          <w:rFonts w:hint="eastAsia" w:ascii="仿宋_GB2312" w:hAnsi="宋体"/>
          <w:szCs w:val="32"/>
          <w:lang w:val="en-US" w:eastAsia="zh-CN"/>
        </w:rPr>
        <w:t>0</w:t>
      </w:r>
      <w:r>
        <w:rPr>
          <w:rFonts w:hint="eastAsia" w:ascii="仿宋_GB2312" w:hAnsi="宋体"/>
          <w:szCs w:val="32"/>
        </w:rPr>
        <w:t>万元，占政府采购支出总额的</w:t>
      </w:r>
      <w:r>
        <w:rPr>
          <w:rFonts w:hint="eastAsia" w:ascii="仿宋_GB2312" w:hAnsi="宋体"/>
          <w:szCs w:val="32"/>
          <w:lang w:val="en-US" w:eastAsia="zh-CN"/>
        </w:rPr>
        <w:t>0</w:t>
      </w:r>
      <w:r>
        <w:rPr>
          <w:rFonts w:hint="eastAsia" w:ascii="仿宋_GB2312" w:hAnsi="宋体"/>
          <w:szCs w:val="32"/>
        </w:rPr>
        <w:t>%。其中：授予小微企业合同金额</w:t>
      </w:r>
      <w:r>
        <w:rPr>
          <w:rFonts w:hint="eastAsia" w:ascii="仿宋_GB2312" w:hAnsi="宋体"/>
          <w:szCs w:val="32"/>
          <w:lang w:val="en-US" w:eastAsia="zh-CN"/>
        </w:rPr>
        <w:t>0</w:t>
      </w:r>
      <w:r>
        <w:rPr>
          <w:rFonts w:hint="eastAsia" w:ascii="仿宋_GB2312" w:hAnsi="宋体"/>
          <w:szCs w:val="32"/>
        </w:rPr>
        <w:t>万元，占政府采购支出总额的</w:t>
      </w:r>
      <w:r>
        <w:rPr>
          <w:rFonts w:hint="eastAsia" w:ascii="仿宋_GB2312" w:hAnsi="宋体"/>
          <w:szCs w:val="32"/>
          <w:lang w:val="en-US" w:eastAsia="zh-CN"/>
        </w:rPr>
        <w:t>0</w:t>
      </w:r>
      <w:r>
        <w:rPr>
          <w:rFonts w:hint="eastAsia" w:ascii="仿宋_GB2312" w:hAnsi="宋体"/>
          <w:szCs w:val="32"/>
        </w:rPr>
        <w:t>%</w:t>
      </w:r>
      <w:r>
        <w:rPr>
          <w:rFonts w:hint="eastAsia" w:ascii="仿宋_GB2312" w:hAnsi="宋体"/>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hAnsi="宋体"/>
          <w:szCs w:val="32"/>
        </w:rPr>
      </w:pPr>
      <w:r>
        <w:rPr>
          <w:rFonts w:hint="eastAsia" w:ascii="仿宋_GB2312" w:hAnsi="宋体"/>
          <w:szCs w:val="32"/>
        </w:rPr>
        <w:t>截至20</w:t>
      </w:r>
      <w:r>
        <w:rPr>
          <w:rFonts w:hint="eastAsia" w:ascii="仿宋_GB2312" w:hAnsi="宋体"/>
          <w:szCs w:val="32"/>
          <w:lang w:val="en-US" w:eastAsia="zh-CN"/>
        </w:rPr>
        <w:t>21</w:t>
      </w:r>
      <w:r>
        <w:rPr>
          <w:rFonts w:hint="eastAsia" w:ascii="仿宋_GB2312" w:hAnsi="宋体"/>
          <w:szCs w:val="32"/>
        </w:rPr>
        <w:t>年12月31日，本部门共有车辆</w:t>
      </w:r>
      <w:r>
        <w:rPr>
          <w:rFonts w:hint="eastAsia" w:ascii="仿宋_GB2312" w:hAnsi="宋体"/>
          <w:szCs w:val="32"/>
          <w:lang w:val="en-US" w:eastAsia="zh-CN"/>
        </w:rPr>
        <w:t>0</w:t>
      </w:r>
      <w:r>
        <w:rPr>
          <w:rFonts w:hint="eastAsia" w:ascii="仿宋_GB2312" w:hAnsi="宋体"/>
          <w:szCs w:val="32"/>
        </w:rPr>
        <w:t>辆。其中，副部（省）级及以上领导用车</w:t>
      </w:r>
      <w:r>
        <w:rPr>
          <w:rFonts w:hint="eastAsia" w:ascii="仿宋_GB2312" w:hAnsi="宋体"/>
          <w:szCs w:val="32"/>
          <w:lang w:val="en-US" w:eastAsia="zh-CN"/>
        </w:rPr>
        <w:t>0</w:t>
      </w:r>
      <w:r>
        <w:rPr>
          <w:rFonts w:hint="eastAsia" w:ascii="仿宋_GB2312" w:hAnsi="宋体"/>
          <w:szCs w:val="32"/>
        </w:rPr>
        <w:t>辆、主要领导干部用车</w:t>
      </w:r>
      <w:r>
        <w:rPr>
          <w:rFonts w:hint="eastAsia" w:ascii="仿宋_GB2312" w:hAnsi="宋体"/>
          <w:szCs w:val="32"/>
          <w:lang w:val="en-US" w:eastAsia="zh-CN"/>
        </w:rPr>
        <w:t>0</w:t>
      </w:r>
      <w:r>
        <w:rPr>
          <w:rFonts w:hint="eastAsia" w:ascii="仿宋_GB2312" w:hAnsi="宋体"/>
          <w:szCs w:val="32"/>
        </w:rPr>
        <w:t>辆、机要通信用车</w:t>
      </w:r>
      <w:r>
        <w:rPr>
          <w:rFonts w:hint="eastAsia" w:ascii="仿宋_GB2312" w:hAnsi="宋体"/>
          <w:szCs w:val="32"/>
          <w:lang w:val="en-US" w:eastAsia="zh-CN"/>
        </w:rPr>
        <w:t>0</w:t>
      </w:r>
      <w:r>
        <w:rPr>
          <w:rFonts w:hint="eastAsia" w:ascii="仿宋_GB2312" w:hAnsi="宋体"/>
          <w:szCs w:val="32"/>
        </w:rPr>
        <w:t>辆、应急保障用车</w:t>
      </w:r>
      <w:r>
        <w:rPr>
          <w:rFonts w:hint="eastAsia" w:ascii="仿宋_GB2312" w:hAnsi="宋体"/>
          <w:szCs w:val="32"/>
          <w:lang w:val="en-US" w:eastAsia="zh-CN"/>
        </w:rPr>
        <w:t>0</w:t>
      </w:r>
      <w:r>
        <w:rPr>
          <w:rFonts w:hint="eastAsia" w:ascii="仿宋_GB2312" w:hAnsi="宋体"/>
          <w:szCs w:val="32"/>
        </w:rPr>
        <w:t>辆、执法执勤用车</w:t>
      </w:r>
      <w:r>
        <w:rPr>
          <w:rFonts w:hint="eastAsia" w:ascii="仿宋_GB2312" w:hAnsi="宋体"/>
          <w:szCs w:val="32"/>
          <w:lang w:val="en-US" w:eastAsia="zh-CN"/>
        </w:rPr>
        <w:t>0</w:t>
      </w:r>
      <w:r>
        <w:rPr>
          <w:rFonts w:hint="eastAsia" w:ascii="仿宋_GB2312" w:hAnsi="宋体"/>
          <w:szCs w:val="32"/>
        </w:rPr>
        <w:t>辆、特种专业技术用车</w:t>
      </w:r>
      <w:r>
        <w:rPr>
          <w:rFonts w:hint="eastAsia" w:ascii="仿宋_GB2312" w:hAnsi="宋体"/>
          <w:szCs w:val="32"/>
          <w:lang w:val="en-US" w:eastAsia="zh-CN"/>
        </w:rPr>
        <w:t>0</w:t>
      </w:r>
      <w:r>
        <w:rPr>
          <w:rFonts w:hint="eastAsia" w:ascii="仿宋_GB2312" w:hAnsi="宋体"/>
          <w:szCs w:val="32"/>
        </w:rPr>
        <w:t>辆、离退休干部用车</w:t>
      </w:r>
      <w:r>
        <w:rPr>
          <w:rFonts w:hint="eastAsia" w:ascii="仿宋_GB2312" w:hAnsi="宋体"/>
          <w:szCs w:val="32"/>
          <w:lang w:val="en-US" w:eastAsia="zh-CN"/>
        </w:rPr>
        <w:t>0</w:t>
      </w:r>
      <w:r>
        <w:rPr>
          <w:rFonts w:hint="eastAsia" w:ascii="仿宋_GB2312" w:hAnsi="宋体"/>
          <w:szCs w:val="32"/>
        </w:rPr>
        <w:t>辆、其他用车</w:t>
      </w:r>
      <w:r>
        <w:rPr>
          <w:rFonts w:hint="eastAsia" w:ascii="仿宋_GB2312" w:hAnsi="宋体"/>
          <w:szCs w:val="32"/>
          <w:lang w:val="en-US" w:eastAsia="zh-CN"/>
        </w:rPr>
        <w:t>0</w:t>
      </w:r>
      <w:r>
        <w:rPr>
          <w:rFonts w:hint="eastAsia" w:ascii="仿宋_GB2312" w:hAnsi="宋体"/>
          <w:szCs w:val="32"/>
        </w:rPr>
        <w:t>辆；单价50万元（含）以上的通用设备</w:t>
      </w:r>
      <w:r>
        <w:rPr>
          <w:rFonts w:hint="eastAsia" w:ascii="仿宋_GB2312" w:hAnsi="宋体"/>
          <w:szCs w:val="32"/>
          <w:lang w:val="en-US" w:eastAsia="zh-CN"/>
        </w:rPr>
        <w:t>0</w:t>
      </w:r>
      <w:r>
        <w:rPr>
          <w:rFonts w:hint="eastAsia" w:ascii="仿宋_GB2312" w:hAnsi="宋体"/>
          <w:szCs w:val="32"/>
        </w:rPr>
        <w:t>台（套），单价100万元（含）以上专用设备</w:t>
      </w:r>
      <w:r>
        <w:rPr>
          <w:rFonts w:hint="eastAsia" w:ascii="仿宋_GB2312" w:hAnsi="宋体"/>
          <w:szCs w:val="32"/>
          <w:lang w:val="en-US" w:eastAsia="zh-CN"/>
        </w:rPr>
        <w:t>0</w:t>
      </w:r>
      <w:r>
        <w:rPr>
          <w:rFonts w:hint="eastAsia" w:ascii="仿宋_GB2312" w:hAnsi="宋体"/>
          <w:szCs w:val="32"/>
        </w:rPr>
        <w:t>台（套）。</w:t>
      </w:r>
    </w:p>
    <w:p>
      <w:pPr>
        <w:numPr>
          <w:ilvl w:val="0"/>
          <w:numId w:val="2"/>
        </w:numPr>
        <w:rPr>
          <w:rFonts w:hint="eastAsia"/>
          <w:b/>
          <w:bCs/>
        </w:rPr>
      </w:pPr>
      <w:r>
        <w:rPr>
          <w:rFonts w:hint="eastAsia"/>
          <w:b/>
          <w:bCs/>
        </w:rPr>
        <w:t>重点项目预算的绩效目标情况说明：</w:t>
      </w:r>
    </w:p>
    <w:p>
      <w:pPr>
        <w:numPr>
          <w:ilvl w:val="0"/>
          <w:numId w:val="0"/>
        </w:numPr>
        <w:rPr>
          <w:rFonts w:hint="default" w:eastAsia="仿宋_GB2312"/>
          <w:b w:val="0"/>
          <w:bCs w:val="0"/>
          <w:lang w:val="en-US" w:eastAsia="zh-CN"/>
        </w:rPr>
      </w:pPr>
      <w:r>
        <w:rPr>
          <w:rFonts w:hint="eastAsia"/>
          <w:b w:val="0"/>
          <w:bCs w:val="0"/>
          <w:lang w:val="en-US" w:eastAsia="zh-CN"/>
        </w:rPr>
        <w:t>2021年本单位无200万元以上重点项目。</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r>
        <w:rPr>
          <w:rFonts w:hint="eastAsia" w:ascii="仿宋_GB2312" w:hAnsi="宋体"/>
          <w:szCs w:val="32"/>
          <w:lang w:val="en-US" w:eastAsia="zh-CN"/>
        </w:rPr>
        <w:t>根据预算绩效管理要求，我单位组织对2021年度县级财政预算安排的专项资金类、经费补助类13个项目支出全面开展绩效自评，涉及预算资金208.88万元，占一般公共预算项目支出总额的95.64%。组织对2021年度1个政府性基金预算项目支出开展绩效自评，共涉及预算资金1.5万元，占政府性基金预算项目支出总额的100%。</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项目向社会公开，按照如下格式进行说明。</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根据预算绩效管理要求，我单位对2021年度县级财政预算安排的专项资金类项目绩效自评综述（无200万元以上项目绩效自评）：</w:t>
      </w:r>
      <w:r>
        <w:rPr>
          <w:rFonts w:hint="eastAsia" w:ascii="仿宋_GB2312" w:hAnsi="仿宋_GB2312" w:eastAsia="仿宋_GB2312" w:cs="仿宋_GB2312"/>
          <w:sz w:val="32"/>
          <w:szCs w:val="32"/>
          <w:lang w:val="en-US" w:eastAsia="zh-CN"/>
        </w:rPr>
        <w:t>根据年初设定的绩效目标，</w:t>
      </w:r>
      <w:r>
        <w:rPr>
          <w:rFonts w:hint="eastAsia" w:ascii="仿宋_GB2312" w:hAnsi="仿宋_GB2312" w:cs="仿宋_GB2312"/>
          <w:sz w:val="32"/>
          <w:szCs w:val="32"/>
          <w:lang w:val="en-US" w:eastAsia="zh-CN"/>
        </w:rPr>
        <w:t>各</w:t>
      </w:r>
      <w:r>
        <w:rPr>
          <w:rFonts w:hint="eastAsia" w:ascii="仿宋_GB2312" w:hAnsi="仿宋_GB2312" w:eastAsia="仿宋_GB2312" w:cs="仿宋_GB2312"/>
          <w:sz w:val="32"/>
          <w:szCs w:val="32"/>
          <w:lang w:val="en-US" w:eastAsia="zh-CN"/>
        </w:rPr>
        <w:t>项目自评得分为</w:t>
      </w:r>
      <w:r>
        <w:rPr>
          <w:rFonts w:hint="eastAsia" w:ascii="仿宋_GB2312" w:hAnsi="仿宋_GB2312" w:cs="仿宋_GB2312"/>
          <w:sz w:val="32"/>
          <w:szCs w:val="32"/>
          <w:lang w:val="en-US" w:eastAsia="zh-CN"/>
        </w:rPr>
        <w:t>10</w:t>
      </w:r>
      <w:r>
        <w:rPr>
          <w:rFonts w:hint="eastAsia" w:ascii="仿宋_GB2312" w:hAnsi="仿宋_GB2312" w:eastAsia="仿宋_GB2312" w:cs="仿宋_GB2312"/>
          <w:sz w:val="32"/>
          <w:szCs w:val="32"/>
          <w:lang w:val="en-US" w:eastAsia="zh-CN"/>
        </w:rPr>
        <w:t>分。</w:t>
      </w:r>
      <w:r>
        <w:rPr>
          <w:rFonts w:hint="eastAsia" w:ascii="仿宋_GB2312" w:hAnsi="仿宋_GB2312" w:cs="仿宋_GB2312"/>
          <w:sz w:val="32"/>
          <w:szCs w:val="32"/>
          <w:lang w:val="en-US" w:eastAsia="zh-CN"/>
        </w:rPr>
        <w:t>项目共14项。</w:t>
      </w:r>
      <w:r>
        <w:rPr>
          <w:rFonts w:hint="eastAsia" w:ascii="仿宋_GB2312" w:hAnsi="仿宋_GB2312" w:eastAsia="仿宋_GB2312" w:cs="仿宋_GB2312"/>
          <w:sz w:val="32"/>
          <w:szCs w:val="32"/>
          <w:lang w:val="en-US" w:eastAsia="zh-CN"/>
        </w:rPr>
        <w:t>全年预算数为</w:t>
      </w:r>
      <w:r>
        <w:rPr>
          <w:rFonts w:hint="eastAsia" w:ascii="仿宋_GB2312" w:hAnsi="仿宋_GB2312" w:cs="仿宋_GB2312"/>
          <w:sz w:val="32"/>
          <w:szCs w:val="32"/>
          <w:lang w:val="en-US" w:eastAsia="zh-CN"/>
        </w:rPr>
        <w:t>210.38</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207.63</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98.69</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其中结余工程质保金2.15万元，预留电费0.6万元。</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w:t>
      </w:r>
      <w:r>
        <w:rPr>
          <w:rFonts w:hint="eastAsia" w:ascii="仿宋_GB2312" w:hAnsi="仿宋_GB2312" w:cs="仿宋_GB2312"/>
          <w:sz w:val="32"/>
          <w:szCs w:val="32"/>
          <w:lang w:val="en-US" w:eastAsia="zh-CN"/>
        </w:rPr>
        <w:t>以附件形式</w:t>
      </w:r>
      <w:r>
        <w:rPr>
          <w:rFonts w:hint="eastAsia" w:ascii="仿宋_GB2312" w:hAnsi="仿宋_GB2312" w:eastAsia="仿宋_GB2312" w:cs="仿宋_GB2312"/>
          <w:sz w:val="32"/>
          <w:szCs w:val="32"/>
          <w:lang w:val="en-US" w:eastAsia="zh-CN"/>
        </w:rPr>
        <w:t>向社会公开。</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p>
    <w:p>
      <w:pPr>
        <w:numPr>
          <w:ilvl w:val="0"/>
          <w:numId w:val="0"/>
        </w:numPr>
        <w:spacing w:line="580" w:lineRule="exact"/>
        <w:ind w:firstLine="1280" w:firstLineChars="400"/>
        <w:outlineLvl w:val="0"/>
        <w:rPr>
          <w:rFonts w:hint="eastAsia" w:ascii="仿宋_GB2312"/>
          <w:b w:val="0"/>
          <w:bCs/>
          <w:szCs w:val="32"/>
          <w:lang w:val="en-US" w:eastAsia="zh-CN"/>
        </w:rPr>
      </w:pPr>
      <w:r>
        <w:rPr>
          <w:rFonts w:hint="eastAsia" w:ascii="仿宋_GB2312"/>
          <w:b w:val="0"/>
          <w:bCs/>
          <w:szCs w:val="32"/>
          <w:lang w:val="en-US" w:eastAsia="zh-CN"/>
        </w:rPr>
        <w:t>本单位无其他需要说明的事项。</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单位名称：静乐县段家寨乡联合学区</w:t>
      </w:r>
    </w:p>
    <w:p>
      <w:pPr>
        <w:ind w:firstLine="4160" w:firstLineChars="13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99542B"/>
    <w:multiLevelType w:val="singleLevel"/>
    <w:tmpl w:val="2499542B"/>
    <w:lvl w:ilvl="0" w:tentative="0">
      <w:start w:val="4"/>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24D6311"/>
    <w:rsid w:val="03696819"/>
    <w:rsid w:val="069F1ABB"/>
    <w:rsid w:val="06CB460C"/>
    <w:rsid w:val="0A311283"/>
    <w:rsid w:val="0B0A3449"/>
    <w:rsid w:val="0B217D79"/>
    <w:rsid w:val="0DE050B3"/>
    <w:rsid w:val="0F763962"/>
    <w:rsid w:val="10071F23"/>
    <w:rsid w:val="12BF39A4"/>
    <w:rsid w:val="13A21DE5"/>
    <w:rsid w:val="16020DA7"/>
    <w:rsid w:val="16654CDD"/>
    <w:rsid w:val="179444CF"/>
    <w:rsid w:val="181E561D"/>
    <w:rsid w:val="18465AC1"/>
    <w:rsid w:val="185C1D1C"/>
    <w:rsid w:val="186E2949"/>
    <w:rsid w:val="1A4A5C33"/>
    <w:rsid w:val="1C4E7C80"/>
    <w:rsid w:val="21C15703"/>
    <w:rsid w:val="22176FDB"/>
    <w:rsid w:val="237B0990"/>
    <w:rsid w:val="242D4168"/>
    <w:rsid w:val="24C90335"/>
    <w:rsid w:val="2701594C"/>
    <w:rsid w:val="271F04C0"/>
    <w:rsid w:val="27426717"/>
    <w:rsid w:val="2768266A"/>
    <w:rsid w:val="29150DB2"/>
    <w:rsid w:val="29CC2556"/>
    <w:rsid w:val="2D9A6D0F"/>
    <w:rsid w:val="31FD0B0B"/>
    <w:rsid w:val="32FC5CC2"/>
    <w:rsid w:val="33C75F4F"/>
    <w:rsid w:val="35C71019"/>
    <w:rsid w:val="36665D4C"/>
    <w:rsid w:val="37943B50"/>
    <w:rsid w:val="37B359D3"/>
    <w:rsid w:val="3821117E"/>
    <w:rsid w:val="3B810D1B"/>
    <w:rsid w:val="3B95459C"/>
    <w:rsid w:val="3BF1670A"/>
    <w:rsid w:val="3DCC1C07"/>
    <w:rsid w:val="4278084D"/>
    <w:rsid w:val="42C12CEC"/>
    <w:rsid w:val="44064FEB"/>
    <w:rsid w:val="44401A62"/>
    <w:rsid w:val="453F2F9E"/>
    <w:rsid w:val="460D711E"/>
    <w:rsid w:val="47270444"/>
    <w:rsid w:val="472A2C33"/>
    <w:rsid w:val="48882838"/>
    <w:rsid w:val="495520D0"/>
    <w:rsid w:val="4A012068"/>
    <w:rsid w:val="4D690357"/>
    <w:rsid w:val="4EDB6A36"/>
    <w:rsid w:val="4F906097"/>
    <w:rsid w:val="50956F8E"/>
    <w:rsid w:val="51085492"/>
    <w:rsid w:val="513F5D80"/>
    <w:rsid w:val="52B04956"/>
    <w:rsid w:val="53A30631"/>
    <w:rsid w:val="53C5097A"/>
    <w:rsid w:val="548B2B10"/>
    <w:rsid w:val="56E06530"/>
    <w:rsid w:val="5A7E73F3"/>
    <w:rsid w:val="5ABE345A"/>
    <w:rsid w:val="5BC32933"/>
    <w:rsid w:val="5C0D3EF5"/>
    <w:rsid w:val="5DA0114B"/>
    <w:rsid w:val="5E9B5D2C"/>
    <w:rsid w:val="5EC01F6A"/>
    <w:rsid w:val="63202A83"/>
    <w:rsid w:val="635E3D7C"/>
    <w:rsid w:val="63AB51DF"/>
    <w:rsid w:val="6477549D"/>
    <w:rsid w:val="649C6DC9"/>
    <w:rsid w:val="66874809"/>
    <w:rsid w:val="671E07D8"/>
    <w:rsid w:val="6882356B"/>
    <w:rsid w:val="68925915"/>
    <w:rsid w:val="68F710B8"/>
    <w:rsid w:val="6E422432"/>
    <w:rsid w:val="702669F1"/>
    <w:rsid w:val="709A7A5C"/>
    <w:rsid w:val="715A78E4"/>
    <w:rsid w:val="716C15B0"/>
    <w:rsid w:val="72775609"/>
    <w:rsid w:val="74D83618"/>
    <w:rsid w:val="75D160A1"/>
    <w:rsid w:val="7761744D"/>
    <w:rsid w:val="77B0753B"/>
    <w:rsid w:val="77B245D3"/>
    <w:rsid w:val="77F91B4A"/>
    <w:rsid w:val="79E44A30"/>
    <w:rsid w:val="7C012C8B"/>
    <w:rsid w:val="7CC55B0B"/>
    <w:rsid w:val="7D4401B5"/>
    <w:rsid w:val="7F066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9"/>
    <w:pPr>
      <w:keepNext/>
      <w:keepLines/>
      <w:spacing w:before="260" w:after="260" w:line="416" w:lineRule="auto"/>
      <w:jc w:val="left"/>
      <w:outlineLvl w:val="2"/>
    </w:pPr>
    <w:rPr>
      <w:rFonts w:cs="Times New Roman"/>
      <w:bCs/>
      <w:kern w:val="0"/>
      <w:szCs w:val="32"/>
      <w:lang w:val="zh-CN" w:eastAsia="zh-CN"/>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6">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7">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闻政-正文一级标题"/>
    <w:basedOn w:val="5"/>
    <w:next w:val="14"/>
    <w:qFormat/>
    <w:uiPriority w:val="3"/>
    <w:pPr>
      <w:spacing w:before="120" w:after="60" w:line="500" w:lineRule="exact"/>
      <w:ind w:firstLine="0" w:firstLineChars="0"/>
      <w:outlineLvl w:val="0"/>
    </w:pPr>
    <w:rPr>
      <w:rFonts w:ascii="黑体" w:hAnsi="黑体" w:eastAsia="黑体"/>
      <w:sz w:val="32"/>
    </w:rPr>
  </w:style>
  <w:style w:type="paragraph" w:customStyle="1" w:styleId="14">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5">
    <w:name w:val="闻政-正文二级标题"/>
    <w:basedOn w:val="3"/>
    <w:next w:val="14"/>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3453</Words>
  <Characters>4080</Characters>
  <Lines>0</Lines>
  <Paragraphs>0</Paragraphs>
  <TotalTime>2</TotalTime>
  <ScaleCrop>false</ScaleCrop>
  <LinksUpToDate>false</LinksUpToDate>
  <CharactersWithSpaces>4149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2022-07-29T07:21:41Z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E6FE6A3A09A844DFB78353E3084F9AAF</vt:lpwstr>
  </property>
</Properties>
</file>