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仿宋" w:hAnsi="仿宋" w:eastAsia="仿宋" w:cs="仿宋"/>
          <w:b/>
          <w:bCs w:val="0"/>
          <w:color w:val="auto"/>
          <w:sz w:val="36"/>
          <w:szCs w:val="36"/>
        </w:rPr>
      </w:pPr>
      <w:bookmarkStart w:id="0" w:name="_Toc21118"/>
      <w:bookmarkStart w:id="1" w:name="_Toc32048"/>
      <w:bookmarkStart w:id="2" w:name="_Toc31071"/>
      <w:r>
        <w:rPr>
          <w:rFonts w:hint="eastAsia" w:ascii="仿宋" w:hAnsi="仿宋" w:eastAsia="仿宋" w:cs="仿宋"/>
          <w:b/>
          <w:bCs w:val="0"/>
          <w:color w:val="auto"/>
          <w:sz w:val="36"/>
          <w:szCs w:val="36"/>
          <w:lang w:val="en-US" w:eastAsia="zh-CN"/>
        </w:rPr>
        <w:t>静乐县</w:t>
      </w:r>
      <w:r>
        <w:rPr>
          <w:rFonts w:hint="eastAsia" w:ascii="仿宋" w:hAnsi="仿宋" w:eastAsia="仿宋" w:cs="仿宋"/>
          <w:b/>
          <w:bCs w:val="0"/>
          <w:color w:val="auto"/>
          <w:sz w:val="36"/>
          <w:szCs w:val="36"/>
        </w:rPr>
        <w:t>旅游服务中心20</w:t>
      </w:r>
      <w:r>
        <w:rPr>
          <w:rFonts w:hint="eastAsia" w:ascii="仿宋" w:hAnsi="仿宋" w:eastAsia="仿宋" w:cs="仿宋"/>
          <w:b/>
          <w:bCs w:val="0"/>
          <w:color w:val="auto"/>
          <w:sz w:val="36"/>
          <w:szCs w:val="36"/>
          <w:lang w:val="en-US" w:eastAsia="zh-CN"/>
        </w:rPr>
        <w:t>21</w:t>
      </w:r>
      <w:r>
        <w:rPr>
          <w:rFonts w:hint="eastAsia" w:ascii="仿宋" w:hAnsi="仿宋" w:eastAsia="仿宋" w:cs="仿宋"/>
          <w:b/>
          <w:bCs w:val="0"/>
          <w:color w:val="auto"/>
          <w:sz w:val="36"/>
          <w:szCs w:val="36"/>
        </w:rPr>
        <w:t>年度部门决算</w:t>
      </w:r>
    </w:p>
    <w:p>
      <w:pPr>
        <w:pStyle w:val="2"/>
        <w:jc w:val="center"/>
        <w:rPr>
          <w:rFonts w:hint="eastAsia" w:ascii="仿宋" w:hAnsi="仿宋" w:eastAsia="仿宋" w:cs="仿宋"/>
          <w:b/>
          <w:bCs w:val="0"/>
          <w:color w:val="auto"/>
          <w:sz w:val="36"/>
          <w:szCs w:val="36"/>
          <w:lang w:val="en-US" w:eastAsia="zh-CN"/>
        </w:rPr>
      </w:pPr>
      <w:r>
        <w:rPr>
          <w:rFonts w:hint="eastAsia" w:ascii="仿宋" w:hAnsi="仿宋" w:eastAsia="仿宋" w:cs="仿宋"/>
          <w:b/>
          <w:bCs w:val="0"/>
          <w:color w:val="auto"/>
          <w:sz w:val="36"/>
          <w:szCs w:val="36"/>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31140"/>
      <w:bookmarkStart w:id="4" w:name="_Toc23288"/>
      <w:r>
        <w:rPr>
          <w:rFonts w:hint="eastAsia"/>
          <w:color w:val="auto"/>
          <w:sz w:val="36"/>
          <w:szCs w:val="36"/>
        </w:rPr>
        <w:t>第一部分  概况</w:t>
      </w:r>
      <w:bookmarkEnd w:id="3"/>
      <w:bookmarkEnd w:id="4"/>
    </w:p>
    <w:p>
      <w:pPr>
        <w:pStyle w:val="3"/>
        <w:numPr>
          <w:ilvl w:val="0"/>
          <w:numId w:val="1"/>
        </w:numPr>
        <w:rPr>
          <w:rFonts w:hint="eastAsia" w:ascii="仿宋" w:hAnsi="仿宋" w:eastAsia="仿宋" w:cs="仿宋"/>
          <w:b w:val="0"/>
          <w:bCs/>
          <w:color w:val="auto"/>
        </w:rPr>
      </w:pPr>
      <w:bookmarkStart w:id="5" w:name="_Toc4461"/>
      <w:bookmarkStart w:id="6" w:name="_Toc24066"/>
      <w:r>
        <w:rPr>
          <w:rFonts w:hint="eastAsia" w:ascii="仿宋" w:hAnsi="仿宋" w:eastAsia="仿宋" w:cs="仿宋"/>
          <w:b w:val="0"/>
          <w:bCs/>
          <w:color w:val="auto"/>
        </w:rPr>
        <w:t>本部门职责</w:t>
      </w:r>
      <w:bookmarkEnd w:id="5"/>
      <w:bookmarkEnd w:id="6"/>
    </w:p>
    <w:p>
      <w:pPr>
        <w:ind w:firstLine="640"/>
        <w:rPr>
          <w:rFonts w:ascii="仿宋_GB2312" w:hAnsi="楷体"/>
          <w:color w:val="auto"/>
          <w:szCs w:val="32"/>
        </w:rPr>
      </w:pPr>
      <w:r>
        <w:rPr>
          <w:rFonts w:hint="eastAsia" w:ascii="仿宋_GB2312" w:hAnsi="楷体"/>
          <w:color w:val="auto"/>
          <w:szCs w:val="32"/>
        </w:rPr>
        <w:t>本部门职责</w:t>
      </w:r>
    </w:p>
    <w:p>
      <w:pPr>
        <w:ind w:firstLine="640"/>
        <w:rPr>
          <w:rFonts w:hint="eastAsia"/>
          <w:color w:val="auto"/>
        </w:rPr>
      </w:pPr>
      <w:r>
        <w:rPr>
          <w:rFonts w:hint="eastAsia" w:ascii="仿宋_GB2312" w:cs="Times New Roman"/>
          <w:color w:val="auto"/>
          <w:szCs w:val="32"/>
        </w:rPr>
        <w:t>编制旅游规划，旅游项目招商策划实施，旅游宣传、咨询，旅游从业人员培训等。</w:t>
      </w:r>
    </w:p>
    <w:p>
      <w:pPr>
        <w:pStyle w:val="3"/>
        <w:numPr>
          <w:ilvl w:val="0"/>
          <w:numId w:val="1"/>
        </w:numPr>
        <w:ind w:firstLine="640" w:firstLineChars="200"/>
        <w:rPr>
          <w:rFonts w:hint="eastAsia" w:ascii="仿宋" w:hAnsi="仿宋" w:eastAsia="仿宋" w:cs="仿宋"/>
          <w:b w:val="0"/>
          <w:bCs/>
          <w:color w:val="auto"/>
        </w:rPr>
      </w:pPr>
      <w:bookmarkStart w:id="7" w:name="_Toc275"/>
      <w:bookmarkStart w:id="8" w:name="_Toc9155"/>
      <w:r>
        <w:rPr>
          <w:rFonts w:hint="eastAsia" w:ascii="仿宋" w:hAnsi="仿宋" w:eastAsia="仿宋" w:cs="仿宋"/>
          <w:b w:val="0"/>
          <w:bCs/>
          <w:color w:val="auto"/>
        </w:rPr>
        <w:t>机构设置情况</w:t>
      </w:r>
      <w:bookmarkEnd w:id="7"/>
      <w:bookmarkEnd w:id="8"/>
    </w:p>
    <w:p>
      <w:pPr>
        <w:ind w:firstLine="640"/>
        <w:rPr>
          <w:rFonts w:hint="eastAsia"/>
          <w:color w:val="auto"/>
        </w:rPr>
      </w:pPr>
      <w:r>
        <w:rPr>
          <w:rFonts w:hint="eastAsia" w:ascii="仿宋_GB2312"/>
          <w:color w:val="auto"/>
          <w:szCs w:val="32"/>
        </w:rPr>
        <w:t>我中心是全额财政拨款事业单位，事业编制8人，截止202</w:t>
      </w:r>
      <w:r>
        <w:rPr>
          <w:rFonts w:hint="eastAsia" w:ascii="仿宋_GB2312"/>
          <w:color w:val="auto"/>
          <w:szCs w:val="32"/>
          <w:lang w:val="en-US" w:eastAsia="zh-CN"/>
        </w:rPr>
        <w:t>1</w:t>
      </w:r>
      <w:r>
        <w:rPr>
          <w:rFonts w:hint="eastAsia" w:ascii="仿宋_GB2312"/>
          <w:color w:val="auto"/>
          <w:szCs w:val="32"/>
        </w:rPr>
        <w:t>年底实有人数8人。内设1个机构：综合办公室。</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8717"/>
      <w:bookmarkStart w:id="12" w:name="_Toc43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505.25</w:t>
      </w:r>
      <w:r>
        <w:rPr>
          <w:rFonts w:hint="eastAsia" w:ascii="仿宋_GB2312"/>
          <w:color w:val="auto"/>
          <w:szCs w:val="32"/>
        </w:rPr>
        <w:t>万元、支出总计</w:t>
      </w:r>
      <w:r>
        <w:rPr>
          <w:rFonts w:hint="eastAsia" w:ascii="仿宋_GB2312"/>
          <w:color w:val="auto"/>
          <w:szCs w:val="32"/>
          <w:lang w:val="en-US" w:eastAsia="zh-CN"/>
        </w:rPr>
        <w:t>620.3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增长321.55</w:t>
      </w:r>
      <w:r>
        <w:rPr>
          <w:rFonts w:hint="eastAsia" w:ascii="仿宋_GB2312"/>
          <w:color w:val="auto"/>
          <w:szCs w:val="32"/>
        </w:rPr>
        <w:t>万元，</w:t>
      </w:r>
      <w:r>
        <w:rPr>
          <w:rFonts w:hint="eastAsia" w:ascii="仿宋_GB2312"/>
          <w:color w:val="auto"/>
          <w:szCs w:val="32"/>
          <w:lang w:val="en-US" w:eastAsia="zh-CN"/>
        </w:rPr>
        <w:t>增长175.04</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增长4.85</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增长0.7</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收入本年较上年增加债券资金天柱山创4A景区基础设施建设费300万元，支出较上年持平</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w:t>
      </w:r>
      <w:r>
        <w:rPr>
          <w:rFonts w:hint="eastAsia" w:ascii="仿宋_GB2312"/>
          <w:color w:val="auto"/>
          <w:szCs w:val="32"/>
          <w:lang w:val="en-US" w:eastAsia="zh-CN"/>
        </w:rPr>
        <w:t>505.25</w:t>
      </w:r>
      <w:r>
        <w:rPr>
          <w:rFonts w:hint="eastAsia" w:ascii="仿宋_GB2312"/>
          <w:color w:val="auto"/>
          <w:szCs w:val="32"/>
        </w:rPr>
        <w:t>万元，其中：财政拨款收入</w:t>
      </w:r>
      <w:r>
        <w:rPr>
          <w:rFonts w:hint="eastAsia" w:ascii="仿宋_GB2312"/>
          <w:color w:val="auto"/>
          <w:szCs w:val="32"/>
          <w:lang w:val="en-US" w:eastAsia="zh-CN"/>
        </w:rPr>
        <w:t>505.25</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5" w:name="_Toc9596"/>
      <w:bookmarkStart w:id="16" w:name="_Toc22098"/>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本年支出合计</w:t>
      </w:r>
      <w:r>
        <w:rPr>
          <w:rFonts w:hint="eastAsia" w:ascii="仿宋_GB2312"/>
          <w:color w:val="auto"/>
          <w:szCs w:val="32"/>
          <w:lang w:val="en-US" w:eastAsia="zh-CN"/>
        </w:rPr>
        <w:t>620.3</w:t>
      </w:r>
      <w:r>
        <w:rPr>
          <w:rFonts w:hint="eastAsia" w:ascii="仿宋_GB2312"/>
          <w:color w:val="auto"/>
          <w:szCs w:val="32"/>
        </w:rPr>
        <w:t>万元，其中：基本支出</w:t>
      </w:r>
      <w:r>
        <w:rPr>
          <w:rFonts w:hint="eastAsia" w:ascii="仿宋_GB2312"/>
          <w:color w:val="auto"/>
          <w:szCs w:val="32"/>
          <w:lang w:val="en-US" w:eastAsia="zh-CN"/>
        </w:rPr>
        <w:t>73.4</w:t>
      </w:r>
      <w:r>
        <w:rPr>
          <w:rFonts w:hint="eastAsia" w:ascii="仿宋_GB2312"/>
          <w:color w:val="auto"/>
          <w:szCs w:val="32"/>
        </w:rPr>
        <w:t>万元，占比</w:t>
      </w:r>
      <w:r>
        <w:rPr>
          <w:rFonts w:hint="eastAsia" w:ascii="仿宋_GB2312"/>
          <w:color w:val="auto"/>
          <w:szCs w:val="32"/>
          <w:lang w:val="en-US" w:eastAsia="zh-CN"/>
        </w:rPr>
        <w:t>11.8</w:t>
      </w:r>
      <w:r>
        <w:rPr>
          <w:rFonts w:hint="eastAsia" w:ascii="仿宋_GB2312"/>
          <w:color w:val="auto"/>
          <w:szCs w:val="32"/>
        </w:rPr>
        <w:t>%；项目支出</w:t>
      </w:r>
      <w:r>
        <w:rPr>
          <w:rFonts w:hint="eastAsia" w:ascii="仿宋_GB2312"/>
          <w:color w:val="auto"/>
          <w:szCs w:val="32"/>
          <w:lang w:val="en-US" w:eastAsia="zh-CN"/>
        </w:rPr>
        <w:t>547.26</w:t>
      </w:r>
      <w:r>
        <w:rPr>
          <w:rFonts w:hint="eastAsia" w:ascii="仿宋_GB2312"/>
          <w:color w:val="auto"/>
          <w:szCs w:val="32"/>
        </w:rPr>
        <w:t>万元，占比</w:t>
      </w:r>
      <w:r>
        <w:rPr>
          <w:rFonts w:hint="eastAsia" w:ascii="仿宋_GB2312"/>
          <w:color w:val="auto"/>
          <w:szCs w:val="32"/>
          <w:lang w:val="en-US" w:eastAsia="zh-CN"/>
        </w:rPr>
        <w:t>88.22</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505.25</w:t>
      </w:r>
      <w:r>
        <w:rPr>
          <w:rFonts w:hint="eastAsia" w:ascii="仿宋_GB2312"/>
          <w:color w:val="auto"/>
          <w:szCs w:val="32"/>
        </w:rPr>
        <w:t>万元、支出总计</w:t>
      </w:r>
      <w:r>
        <w:rPr>
          <w:rFonts w:hint="eastAsia" w:ascii="仿宋_GB2312"/>
          <w:color w:val="auto"/>
          <w:szCs w:val="32"/>
          <w:lang w:val="en-US" w:eastAsia="zh-CN"/>
        </w:rPr>
        <w:t>620.3</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增长321.55</w:t>
      </w:r>
      <w:r>
        <w:rPr>
          <w:rFonts w:hint="eastAsia" w:ascii="仿宋_GB2312"/>
          <w:color w:val="auto"/>
          <w:szCs w:val="32"/>
        </w:rPr>
        <w:t>万元，</w:t>
      </w:r>
      <w:r>
        <w:rPr>
          <w:rFonts w:hint="eastAsia" w:ascii="仿宋_GB2312"/>
          <w:color w:val="auto"/>
          <w:szCs w:val="32"/>
          <w:lang w:val="en-US" w:eastAsia="zh-CN"/>
        </w:rPr>
        <w:t>增长175.04</w:t>
      </w:r>
      <w:r>
        <w:rPr>
          <w:rFonts w:hint="eastAsia" w:ascii="仿宋_GB2312"/>
          <w:color w:val="auto"/>
          <w:szCs w:val="32"/>
        </w:rPr>
        <w:t>%，财政拨款支出总计</w:t>
      </w:r>
      <w:r>
        <w:rPr>
          <w:rFonts w:hint="eastAsia" w:ascii="仿宋_GB2312"/>
          <w:color w:val="auto"/>
          <w:szCs w:val="32"/>
          <w:lang w:val="en-US" w:eastAsia="zh-CN"/>
        </w:rPr>
        <w:t>增长4.85</w:t>
      </w:r>
      <w:r>
        <w:rPr>
          <w:rFonts w:hint="eastAsia" w:ascii="仿宋_GB2312"/>
          <w:color w:val="auto"/>
          <w:szCs w:val="32"/>
        </w:rPr>
        <w:t>万元，</w:t>
      </w:r>
      <w:r>
        <w:rPr>
          <w:rFonts w:hint="eastAsia" w:ascii="仿宋_GB2312"/>
          <w:color w:val="auto"/>
          <w:szCs w:val="32"/>
          <w:lang w:val="en-US" w:eastAsia="zh-CN"/>
        </w:rPr>
        <w:t>增长0.7</w:t>
      </w:r>
      <w:r>
        <w:rPr>
          <w:rFonts w:hint="eastAsia" w:ascii="仿宋_GB2312"/>
          <w:color w:val="auto"/>
          <w:szCs w:val="32"/>
        </w:rPr>
        <w:t>%。主要原因是</w:t>
      </w:r>
      <w:r>
        <w:rPr>
          <w:rFonts w:hint="eastAsia" w:ascii="仿宋_GB2312"/>
          <w:color w:val="auto"/>
          <w:szCs w:val="32"/>
          <w:lang w:val="en-US" w:eastAsia="zh-CN"/>
        </w:rPr>
        <w:t>收入本年较上年增加债券资金天柱山创4A景区基础设施建设费300万元，支出较上年持平</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6501"/>
      <w:bookmarkStart w:id="20" w:name="_Toc934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620.3</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增加4.85</w:t>
      </w:r>
      <w:r>
        <w:rPr>
          <w:rFonts w:hint="eastAsia" w:ascii="仿宋_GB2312"/>
          <w:color w:val="auto"/>
          <w:szCs w:val="32"/>
        </w:rPr>
        <w:t>万元，</w:t>
      </w:r>
      <w:r>
        <w:rPr>
          <w:rFonts w:hint="eastAsia" w:ascii="仿宋_GB2312"/>
          <w:color w:val="auto"/>
          <w:szCs w:val="32"/>
          <w:lang w:val="en-US" w:eastAsia="zh-CN"/>
        </w:rPr>
        <w:t>增长0.7</w:t>
      </w:r>
      <w:r>
        <w:rPr>
          <w:rFonts w:hint="eastAsia" w:ascii="仿宋_GB2312"/>
          <w:color w:val="auto"/>
          <w:szCs w:val="32"/>
        </w:rPr>
        <w:t>%。主要原因是</w:t>
      </w:r>
      <w:r>
        <w:rPr>
          <w:rFonts w:hint="eastAsia" w:ascii="仿宋_GB2312"/>
          <w:color w:val="auto"/>
          <w:szCs w:val="32"/>
          <w:lang w:val="en-US" w:eastAsia="zh-CN"/>
        </w:rPr>
        <w:t>增加上级4A景区门票补助支出</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color w:val="auto"/>
          <w:szCs w:val="32"/>
          <w:lang w:val="en-US"/>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620.3</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文化旅游</w:t>
      </w:r>
      <w:r>
        <w:rPr>
          <w:rFonts w:ascii="仿宋_GB2312"/>
          <w:b/>
          <w:color w:val="auto"/>
          <w:szCs w:val="32"/>
        </w:rPr>
        <w:t>体育与</w:t>
      </w:r>
      <w:r>
        <w:rPr>
          <w:rFonts w:hint="eastAsia" w:ascii="仿宋_GB2312"/>
          <w:b/>
          <w:color w:val="auto"/>
          <w:szCs w:val="32"/>
        </w:rPr>
        <w:t>传媒</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620.3</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195.04</w:t>
      </w:r>
      <w:r>
        <w:rPr>
          <w:rFonts w:hint="eastAsia"/>
          <w:color w:val="auto"/>
          <w:szCs w:val="32"/>
        </w:rPr>
        <w:t>万元，支出决算</w:t>
      </w:r>
      <w:r>
        <w:rPr>
          <w:rFonts w:hint="eastAsia"/>
          <w:color w:val="auto"/>
          <w:szCs w:val="32"/>
          <w:lang w:val="en-US" w:eastAsia="zh-CN"/>
        </w:rPr>
        <w:t>620.3</w:t>
      </w:r>
      <w:r>
        <w:rPr>
          <w:rFonts w:hint="eastAsia"/>
          <w:color w:val="auto"/>
          <w:szCs w:val="32"/>
        </w:rPr>
        <w:t>万元，完成</w:t>
      </w:r>
      <w:r>
        <w:rPr>
          <w:rFonts w:hint="eastAsia"/>
          <w:color w:val="auto"/>
          <w:szCs w:val="32"/>
          <w:lang w:val="en-US" w:eastAsia="zh-CN"/>
        </w:rPr>
        <w:t>本年调整</w:t>
      </w:r>
      <w:bookmarkStart w:id="36" w:name="_GoBack"/>
      <w:bookmarkEnd w:id="36"/>
      <w:r>
        <w:rPr>
          <w:rFonts w:hint="eastAsia"/>
          <w:color w:val="auto"/>
          <w:szCs w:val="32"/>
        </w:rPr>
        <w:t>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479"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1876"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684"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393" w:type="dxa"/>
            <w:vAlign w:val="top"/>
          </w:tcPr>
          <w:p>
            <w:pPr>
              <w:widowControl/>
              <w:ind w:left="0" w:leftChars="0" w:firstLine="0" w:firstLineChars="0"/>
              <w:jc w:val="left"/>
              <w:rPr>
                <w:rFonts w:hint="eastAsia" w:ascii="宋体" w:hAnsi="宋体" w:eastAsia="宋体" w:cs="Arial"/>
                <w:b/>
                <w:color w:val="auto"/>
                <w:kern w:val="0"/>
                <w:sz w:val="24"/>
                <w:szCs w:val="24"/>
                <w:lang w:eastAsia="zh-CN"/>
              </w:rPr>
            </w:pPr>
            <w:r>
              <w:rPr>
                <w:rFonts w:hint="eastAsia" w:ascii="宋体" w:hAnsi="宋体" w:cs="Arial"/>
                <w:b/>
                <w:color w:val="auto"/>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207</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11"/>
                <w:szCs w:val="11"/>
                <w:u w:val="none"/>
                <w:lang w:val="en-US" w:eastAsia="zh-CN" w:bidi="ar"/>
              </w:rPr>
              <w:t>文化旅游体育与传媒支出</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615.45</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6,20.3</w:t>
            </w:r>
          </w:p>
        </w:tc>
        <w:tc>
          <w:tcPr>
            <w:tcW w:w="1393" w:type="dxa"/>
            <w:vAlign w:val="top"/>
          </w:tcPr>
          <w:p>
            <w:pPr>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20701</w:t>
            </w:r>
          </w:p>
        </w:tc>
        <w:tc>
          <w:tcPr>
            <w:tcW w:w="2479" w:type="dxa"/>
            <w:vAlign w:val="center"/>
          </w:tcPr>
          <w:p>
            <w:pPr>
              <w:keepNext w:val="0"/>
              <w:keepLines w:val="0"/>
              <w:widowControl/>
              <w:suppressLineNumbers w:val="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文化和旅游</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272.79</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6,20.3</w:t>
            </w:r>
          </w:p>
        </w:tc>
        <w:tc>
          <w:tcPr>
            <w:tcW w:w="1393" w:type="dxa"/>
            <w:vAlign w:val="top"/>
          </w:tcPr>
          <w:p>
            <w:pPr>
              <w:ind w:left="0" w:leftChars="0"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2070114</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文化和旅游管理事务</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139.78</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503.89</w:t>
            </w:r>
          </w:p>
        </w:tc>
        <w:tc>
          <w:tcPr>
            <w:tcW w:w="1393" w:type="dxa"/>
            <w:vAlign w:val="top"/>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2070199</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auto"/>
                <w:sz w:val="24"/>
                <w:szCs w:val="24"/>
              </w:rPr>
            </w:pPr>
            <w:r>
              <w:rPr>
                <w:rFonts w:hint="eastAsia" w:ascii="宋体" w:hAnsi="宋体" w:eastAsia="宋体" w:cs="宋体"/>
                <w:i w:val="0"/>
                <w:color w:val="auto"/>
                <w:kern w:val="0"/>
                <w:sz w:val="22"/>
                <w:szCs w:val="22"/>
                <w:u w:val="none"/>
                <w:lang w:val="en-US" w:eastAsia="zh-CN" w:bidi="ar"/>
              </w:rPr>
              <w:t>其他文化和旅游支出</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133.0</w:t>
            </w:r>
            <w:r>
              <w:rPr>
                <w:rFonts w:hint="eastAsia" w:ascii="仿宋" w:hAnsi="仿宋" w:eastAsia="仿宋" w:cs="Arial"/>
                <w:color w:val="auto"/>
                <w:sz w:val="21"/>
                <w:szCs w:val="21"/>
                <w:lang w:val="en-US" w:eastAsia="zh-CN"/>
              </w:rPr>
              <w:t>1</w:t>
            </w:r>
          </w:p>
        </w:tc>
        <w:tc>
          <w:tcPr>
            <w:tcW w:w="1684" w:type="dxa"/>
            <w:vAlign w:val="center"/>
          </w:tcPr>
          <w:p>
            <w:pPr>
              <w:keepNext w:val="0"/>
              <w:keepLines w:val="0"/>
              <w:widowControl/>
              <w:suppressLineNumbers w:val="0"/>
              <w:ind w:left="0" w:leftChars="0" w:firstLine="0" w:firstLineChars="0"/>
              <w:jc w:val="center"/>
              <w:textAlignment w:val="center"/>
              <w:rPr>
                <w:rFonts w:hint="eastAsia" w:ascii="仿宋" w:hAnsi="仿宋" w:eastAsia="仿宋" w:cs="仿宋"/>
                <w:color w:val="auto"/>
                <w:sz w:val="24"/>
                <w:szCs w:val="24"/>
                <w:lang w:val="en-US" w:eastAsia="zh-CN"/>
              </w:rPr>
            </w:pPr>
            <w:r>
              <w:rPr>
                <w:rFonts w:hint="eastAsia" w:ascii="宋体" w:hAnsi="宋体" w:eastAsia="宋体" w:cs="宋体"/>
                <w:i w:val="0"/>
                <w:color w:val="auto"/>
                <w:kern w:val="0"/>
                <w:sz w:val="22"/>
                <w:szCs w:val="22"/>
                <w:u w:val="none"/>
                <w:lang w:val="en-US" w:eastAsia="zh-CN" w:bidi="ar"/>
              </w:rPr>
              <w:t>116.41</w:t>
            </w:r>
          </w:p>
        </w:tc>
        <w:tc>
          <w:tcPr>
            <w:tcW w:w="1393" w:type="dxa"/>
            <w:vAlign w:val="top"/>
          </w:tcPr>
          <w:p>
            <w:pPr>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20702</w:t>
            </w:r>
          </w:p>
        </w:tc>
        <w:tc>
          <w:tcPr>
            <w:tcW w:w="2479" w:type="dxa"/>
            <w:vAlign w:val="top"/>
          </w:tcPr>
          <w:p>
            <w:pPr>
              <w:ind w:firstLine="420" w:firstLineChars="200"/>
              <w:jc w:val="center"/>
              <w:rPr>
                <w:rFonts w:hint="eastAsia" w:ascii="仿宋" w:hAnsi="仿宋" w:eastAsia="仿宋" w:cs="仿宋"/>
                <w:color w:val="auto"/>
                <w:sz w:val="24"/>
                <w:szCs w:val="24"/>
                <w:lang w:val="en-US" w:eastAsia="zh-CN"/>
              </w:rPr>
            </w:pPr>
            <w:r>
              <w:rPr>
                <w:rFonts w:hint="eastAsia" w:ascii="仿宋" w:hAnsi="仿宋" w:eastAsia="仿宋" w:cs="Arial"/>
                <w:color w:val="auto"/>
                <w:sz w:val="21"/>
                <w:szCs w:val="21"/>
              </w:rPr>
              <w:t>文物</w:t>
            </w:r>
          </w:p>
        </w:tc>
        <w:tc>
          <w:tcPr>
            <w:tcW w:w="1876" w:type="dxa"/>
            <w:vAlign w:val="top"/>
          </w:tcPr>
          <w:p>
            <w:pPr>
              <w:ind w:firstLine="420" w:firstLineChars="200"/>
              <w:jc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Arial"/>
                <w:color w:val="auto"/>
                <w:sz w:val="21"/>
                <w:szCs w:val="21"/>
              </w:rPr>
              <w:t>270.33</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2070299</w:t>
            </w:r>
          </w:p>
        </w:tc>
        <w:tc>
          <w:tcPr>
            <w:tcW w:w="2479" w:type="dxa"/>
            <w:vAlign w:val="top"/>
          </w:tcPr>
          <w:p>
            <w:pPr>
              <w:ind w:firstLine="420" w:firstLineChars="200"/>
              <w:jc w:val="center"/>
              <w:rPr>
                <w:rFonts w:hint="eastAsia" w:ascii="仿宋" w:hAnsi="仿宋" w:eastAsia="仿宋" w:cs="仿宋"/>
                <w:color w:val="auto"/>
                <w:sz w:val="24"/>
                <w:szCs w:val="24"/>
                <w:lang w:val="en-US" w:eastAsia="zh-CN"/>
              </w:rPr>
            </w:pPr>
            <w:r>
              <w:rPr>
                <w:rFonts w:hint="eastAsia" w:ascii="仿宋" w:hAnsi="仿宋" w:eastAsia="仿宋" w:cs="Arial"/>
                <w:color w:val="auto"/>
                <w:sz w:val="21"/>
                <w:szCs w:val="21"/>
              </w:rPr>
              <w:t>其他文物支出</w:t>
            </w:r>
          </w:p>
        </w:tc>
        <w:tc>
          <w:tcPr>
            <w:tcW w:w="1876" w:type="dxa"/>
            <w:vAlign w:val="top"/>
          </w:tcPr>
          <w:p>
            <w:pPr>
              <w:ind w:firstLine="420" w:firstLineChars="200"/>
              <w:jc w:val="center"/>
              <w:rPr>
                <w:rFonts w:hint="eastAsia" w:ascii="仿宋" w:hAnsi="仿宋" w:eastAsia="仿宋" w:cs="仿宋"/>
                <w:i w:val="0"/>
                <w:color w:val="auto"/>
                <w:kern w:val="0"/>
                <w:sz w:val="22"/>
                <w:szCs w:val="22"/>
                <w:u w:val="none"/>
                <w:lang w:val="en-US" w:eastAsia="zh-CN" w:bidi="ar"/>
              </w:rPr>
            </w:pPr>
            <w:r>
              <w:rPr>
                <w:rFonts w:hint="eastAsia" w:ascii="仿宋" w:hAnsi="仿宋" w:eastAsia="仿宋" w:cs="Arial"/>
                <w:color w:val="auto"/>
                <w:sz w:val="21"/>
                <w:szCs w:val="21"/>
              </w:rPr>
              <w:t>270.33</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20709</w:t>
            </w:r>
          </w:p>
        </w:tc>
        <w:tc>
          <w:tcPr>
            <w:tcW w:w="2479" w:type="dxa"/>
            <w:vAlign w:val="top"/>
          </w:tcPr>
          <w:p>
            <w:pPr>
              <w:ind w:firstLine="420" w:firstLineChars="200"/>
              <w:jc w:val="center"/>
              <w:rPr>
                <w:rFonts w:hint="eastAsia" w:ascii="仿宋" w:hAnsi="仿宋" w:eastAsia="仿宋" w:cs="仿宋"/>
                <w:color w:val="auto"/>
                <w:sz w:val="24"/>
                <w:szCs w:val="24"/>
                <w:lang w:val="en-US" w:eastAsia="zh-CN"/>
              </w:rPr>
            </w:pPr>
            <w:r>
              <w:rPr>
                <w:rFonts w:hint="eastAsia" w:ascii="仿宋" w:hAnsi="仿宋" w:eastAsia="仿宋" w:cs="Arial"/>
                <w:color w:val="auto"/>
                <w:sz w:val="21"/>
                <w:szCs w:val="21"/>
              </w:rPr>
              <w:t>旅游发展基金支出</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72.328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2070904</w:t>
            </w:r>
          </w:p>
        </w:tc>
        <w:tc>
          <w:tcPr>
            <w:tcW w:w="2479" w:type="dxa"/>
            <w:vAlign w:val="top"/>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Arial"/>
                <w:color w:val="auto"/>
                <w:sz w:val="21"/>
                <w:szCs w:val="21"/>
              </w:rPr>
              <w:t>地方旅游开发项目补助</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72.328</w:t>
            </w:r>
          </w:p>
        </w:tc>
        <w:tc>
          <w:tcPr>
            <w:tcW w:w="1684" w:type="dxa"/>
            <w:vAlign w:val="center"/>
          </w:tcPr>
          <w:p>
            <w:pPr>
              <w:keepNext w:val="0"/>
              <w:keepLines w:val="0"/>
              <w:widowControl/>
              <w:suppressLineNumbers w:val="0"/>
              <w:jc w:val="right"/>
              <w:textAlignment w:val="center"/>
              <w:rPr>
                <w:rFonts w:hint="eastAsia" w:ascii="仿宋" w:hAnsi="仿宋" w:eastAsia="仿宋" w:cs="仿宋"/>
                <w:color w:val="auto"/>
                <w:sz w:val="24"/>
                <w:szCs w:val="24"/>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229</w:t>
            </w:r>
          </w:p>
        </w:tc>
        <w:tc>
          <w:tcPr>
            <w:tcW w:w="2479"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其他支出</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0.082</w:t>
            </w:r>
          </w:p>
        </w:tc>
        <w:tc>
          <w:tcPr>
            <w:tcW w:w="1684" w:type="dxa"/>
            <w:vAlign w:val="top"/>
          </w:tcPr>
          <w:p>
            <w:pPr>
              <w:jc w:val="left"/>
              <w:rPr>
                <w:rFonts w:hint="eastAsia" w:ascii="仿宋" w:hAnsi="仿宋" w:eastAsia="仿宋" w:cs="仿宋"/>
                <w:color w:val="auto"/>
                <w:sz w:val="24"/>
                <w:szCs w:val="24"/>
              </w:rPr>
            </w:pPr>
          </w:p>
        </w:tc>
        <w:tc>
          <w:tcPr>
            <w:tcW w:w="1393" w:type="dxa"/>
            <w:vAlign w:val="top"/>
          </w:tcPr>
          <w:p>
            <w:pPr>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ind w:firstLine="420" w:firstLineChars="200"/>
              <w:jc w:val="both"/>
              <w:rPr>
                <w:rFonts w:hint="eastAsia" w:ascii="仿宋" w:hAnsi="仿宋" w:eastAsia="仿宋" w:cs="仿宋"/>
                <w:color w:val="auto"/>
                <w:sz w:val="24"/>
                <w:szCs w:val="24"/>
              </w:rPr>
            </w:pPr>
            <w:r>
              <w:rPr>
                <w:rFonts w:hint="eastAsia" w:ascii="仿宋" w:hAnsi="仿宋" w:eastAsia="仿宋" w:cs="Arial"/>
                <w:color w:val="auto"/>
                <w:sz w:val="21"/>
                <w:szCs w:val="21"/>
              </w:rPr>
              <w:t>22904</w:t>
            </w:r>
          </w:p>
        </w:tc>
        <w:tc>
          <w:tcPr>
            <w:tcW w:w="2479" w:type="dxa"/>
            <w:vAlign w:val="top"/>
          </w:tcPr>
          <w:p>
            <w:pPr>
              <w:ind w:left="0" w:leftChars="0" w:firstLine="0" w:firstLineChars="0"/>
              <w:jc w:val="both"/>
              <w:rPr>
                <w:rFonts w:hint="eastAsia" w:ascii="仿宋" w:hAnsi="仿宋" w:eastAsia="仿宋" w:cs="仿宋"/>
                <w:color w:val="auto"/>
                <w:sz w:val="24"/>
                <w:szCs w:val="24"/>
              </w:rPr>
            </w:pPr>
            <w:r>
              <w:rPr>
                <w:rFonts w:hint="eastAsia" w:ascii="仿宋" w:hAnsi="仿宋" w:eastAsia="仿宋" w:cs="Arial"/>
                <w:color w:val="auto"/>
                <w:sz w:val="21"/>
                <w:szCs w:val="21"/>
              </w:rPr>
              <w:t>其他政府性基金及对应专项债务收入安排的支出</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0.082</w:t>
            </w:r>
          </w:p>
        </w:tc>
        <w:tc>
          <w:tcPr>
            <w:tcW w:w="1684" w:type="dxa"/>
            <w:vAlign w:val="top"/>
          </w:tcPr>
          <w:p>
            <w:pPr>
              <w:jc w:val="left"/>
              <w:rPr>
                <w:rFonts w:hint="eastAsia" w:ascii="仿宋" w:hAnsi="仿宋" w:eastAsia="仿宋" w:cs="仿宋"/>
                <w:color w:val="auto"/>
                <w:sz w:val="24"/>
                <w:szCs w:val="24"/>
              </w:rPr>
            </w:pPr>
          </w:p>
        </w:tc>
        <w:tc>
          <w:tcPr>
            <w:tcW w:w="1393" w:type="dxa"/>
            <w:vAlign w:val="top"/>
          </w:tcPr>
          <w:p>
            <w:pPr>
              <w:jc w:val="left"/>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2290401</w:t>
            </w:r>
          </w:p>
        </w:tc>
        <w:tc>
          <w:tcPr>
            <w:tcW w:w="2479"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其他政府性基金安排的支出</w:t>
            </w:r>
          </w:p>
        </w:tc>
        <w:tc>
          <w:tcPr>
            <w:tcW w:w="1876" w:type="dxa"/>
            <w:vAlign w:val="top"/>
          </w:tcPr>
          <w:p>
            <w:pPr>
              <w:ind w:firstLine="420" w:firstLineChars="200"/>
              <w:jc w:val="center"/>
              <w:rPr>
                <w:rFonts w:hint="eastAsia" w:ascii="仿宋" w:hAnsi="仿宋" w:eastAsia="仿宋" w:cs="仿宋"/>
                <w:color w:val="auto"/>
                <w:sz w:val="24"/>
                <w:szCs w:val="24"/>
              </w:rPr>
            </w:pPr>
            <w:r>
              <w:rPr>
                <w:rFonts w:hint="eastAsia" w:ascii="仿宋" w:hAnsi="仿宋" w:eastAsia="仿宋" w:cs="Arial"/>
                <w:color w:val="auto"/>
                <w:sz w:val="21"/>
                <w:szCs w:val="21"/>
              </w:rPr>
              <w:t>0.082</w:t>
            </w:r>
          </w:p>
        </w:tc>
        <w:tc>
          <w:tcPr>
            <w:tcW w:w="1684" w:type="dxa"/>
            <w:vAlign w:val="top"/>
          </w:tcPr>
          <w:p>
            <w:pPr>
              <w:jc w:val="left"/>
              <w:rPr>
                <w:rFonts w:hint="eastAsia" w:ascii="仿宋" w:hAnsi="仿宋" w:eastAsia="仿宋" w:cs="仿宋"/>
                <w:color w:val="auto"/>
                <w:sz w:val="24"/>
                <w:szCs w:val="24"/>
                <w:lang w:val="en-US" w:eastAsia="zh-CN"/>
              </w:rPr>
            </w:pPr>
          </w:p>
        </w:tc>
        <w:tc>
          <w:tcPr>
            <w:tcW w:w="1393" w:type="dxa"/>
            <w:vAlign w:val="top"/>
          </w:tcPr>
          <w:p>
            <w:pPr>
              <w:jc w:val="left"/>
              <w:rPr>
                <w:rFonts w:hint="eastAsia" w:ascii="仿宋" w:hAnsi="仿宋" w:eastAsia="仿宋" w:cs="仿宋"/>
                <w:color w:val="auto"/>
                <w:sz w:val="24"/>
                <w:szCs w:val="24"/>
                <w:lang w:val="en-US" w:eastAsia="zh-CN"/>
              </w:rPr>
            </w:pP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2876"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ind w:firstLine="480"/>
              <w:jc w:val="center"/>
              <w:rPr>
                <w:rFonts w:hint="eastAsia" w:ascii="仿宋" w:hAnsi="仿宋" w:eastAsia="仿宋" w:cs="仿宋"/>
                <w:color w:val="auto"/>
                <w:kern w:val="0"/>
                <w:sz w:val="28"/>
                <w:szCs w:val="28"/>
              </w:rPr>
            </w:pPr>
            <w:r>
              <w:rPr>
                <w:rFonts w:hint="eastAsia" w:ascii="仿宋" w:hAnsi="仿宋" w:eastAsia="仿宋" w:cs="仿宋"/>
                <w:color w:val="auto"/>
                <w:kern w:val="0"/>
                <w:sz w:val="24"/>
                <w:szCs w:val="24"/>
              </w:rPr>
              <w:t>615.</w:t>
            </w:r>
            <w:r>
              <w:rPr>
                <w:rFonts w:hint="eastAsia" w:ascii="仿宋" w:hAnsi="仿宋" w:eastAsia="仿宋" w:cs="仿宋"/>
                <w:color w:val="auto"/>
                <w:kern w:val="0"/>
                <w:sz w:val="24"/>
                <w:szCs w:val="24"/>
                <w:lang w:val="en-US" w:eastAsia="zh-CN"/>
              </w:rPr>
              <w:t>45</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620.3</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2876" w:type="dxa"/>
            <w:vAlign w:val="center"/>
          </w:tcPr>
          <w:p>
            <w:pPr>
              <w:widowControl/>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ind w:firstLine="480"/>
              <w:jc w:val="both"/>
              <w:rPr>
                <w:rFonts w:hint="eastAsia" w:ascii="仿宋" w:hAnsi="仿宋" w:eastAsia="仿宋" w:cs="仿宋"/>
                <w:color w:val="auto"/>
                <w:kern w:val="0"/>
                <w:sz w:val="28"/>
                <w:szCs w:val="28"/>
              </w:rPr>
            </w:pPr>
            <w:r>
              <w:rPr>
                <w:rFonts w:hint="eastAsia" w:ascii="仿宋" w:hAnsi="仿宋" w:eastAsia="仿宋" w:cs="仿宋"/>
                <w:color w:val="auto"/>
                <w:kern w:val="0"/>
                <w:sz w:val="24"/>
                <w:szCs w:val="24"/>
              </w:rPr>
              <w:t>75.1</w:t>
            </w:r>
            <w:r>
              <w:rPr>
                <w:rFonts w:hint="eastAsia" w:ascii="仿宋" w:hAnsi="仿宋" w:eastAsia="仿宋" w:cs="仿宋"/>
                <w:color w:val="auto"/>
                <w:kern w:val="0"/>
                <w:sz w:val="24"/>
                <w:szCs w:val="24"/>
                <w:lang w:val="en-US" w:eastAsia="zh-CN"/>
              </w:rPr>
              <w:t>6</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67.94</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ind w:firstLine="480"/>
              <w:jc w:val="center"/>
              <w:rPr>
                <w:rFonts w:hint="eastAsia" w:ascii="仿宋" w:hAnsi="仿宋" w:eastAsia="仿宋" w:cs="仿宋"/>
                <w:color w:val="auto"/>
                <w:kern w:val="0"/>
                <w:sz w:val="28"/>
                <w:szCs w:val="28"/>
              </w:rPr>
            </w:pPr>
            <w:r>
              <w:rPr>
                <w:rFonts w:hint="eastAsia" w:ascii="仿宋" w:hAnsi="仿宋" w:eastAsia="仿宋" w:cs="仿宋"/>
                <w:color w:val="auto"/>
                <w:kern w:val="0"/>
                <w:sz w:val="24"/>
                <w:szCs w:val="24"/>
              </w:rPr>
              <w:t>15.1</w:t>
            </w:r>
            <w:r>
              <w:rPr>
                <w:rFonts w:hint="eastAsia" w:ascii="仿宋" w:hAnsi="仿宋" w:eastAsia="仿宋" w:cs="仿宋"/>
                <w:color w:val="auto"/>
                <w:kern w:val="0"/>
                <w:sz w:val="24"/>
                <w:szCs w:val="24"/>
                <w:lang w:val="en-US" w:eastAsia="zh-CN"/>
              </w:rPr>
              <w:t>1</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137.25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ind w:firstLine="480"/>
              <w:jc w:val="center"/>
              <w:rPr>
                <w:rFonts w:hint="eastAsia" w:ascii="仿宋" w:hAnsi="仿宋" w:eastAsia="仿宋" w:cs="仿宋"/>
                <w:color w:val="auto"/>
                <w:kern w:val="0"/>
                <w:sz w:val="28"/>
                <w:szCs w:val="28"/>
              </w:rPr>
            </w:pPr>
            <w:r>
              <w:rPr>
                <w:rFonts w:hint="eastAsia" w:ascii="仿宋" w:hAnsi="仿宋" w:eastAsia="仿宋" w:cs="仿宋"/>
                <w:color w:val="auto"/>
                <w:kern w:val="0"/>
                <w:sz w:val="24"/>
                <w:szCs w:val="24"/>
              </w:rPr>
              <w:t>0.465</w:t>
            </w:r>
          </w:p>
        </w:tc>
        <w:tc>
          <w:tcPr>
            <w:tcW w:w="2071"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0.6</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ind w:firstLine="480"/>
              <w:jc w:val="center"/>
              <w:rPr>
                <w:rFonts w:hint="eastAsia" w:ascii="仿宋" w:hAnsi="仿宋" w:eastAsia="仿宋" w:cs="仿宋"/>
                <w:color w:val="auto"/>
                <w:kern w:val="0"/>
                <w:sz w:val="28"/>
                <w:szCs w:val="28"/>
              </w:rPr>
            </w:pPr>
            <w:r>
              <w:rPr>
                <w:rFonts w:hint="eastAsia" w:ascii="仿宋" w:hAnsi="仿宋" w:eastAsia="仿宋" w:cs="仿宋"/>
                <w:color w:val="auto"/>
                <w:kern w:val="0"/>
                <w:sz w:val="24"/>
                <w:szCs w:val="24"/>
              </w:rPr>
              <w:t>524.8033</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415.05</w:t>
            </w:r>
          </w:p>
        </w:tc>
        <w:tc>
          <w:tcPr>
            <w:tcW w:w="1956" w:type="dxa"/>
            <w:vAlign w:val="center"/>
          </w:tcPr>
          <w:p>
            <w:pPr>
              <w:widowControl/>
              <w:jc w:val="righ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-20.91%</w:t>
            </w: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70.4</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68</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rPr>
        <w:t>工资福利支出和对个人和家庭的补助</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5.4</w:t>
      </w:r>
      <w:r>
        <w:rPr>
          <w:rFonts w:hint="eastAsia" w:ascii="仿宋_GB2312"/>
          <w:color w:val="auto"/>
          <w:szCs w:val="32"/>
        </w:rPr>
        <w:t>万元</w:t>
      </w:r>
      <w:r>
        <w:rPr>
          <w:rFonts w:ascii="仿宋_GB2312"/>
          <w:color w:val="auto"/>
          <w:szCs w:val="32"/>
        </w:rPr>
        <w:t>，主要包括主要包括</w:t>
      </w:r>
      <w:r>
        <w:rPr>
          <w:rFonts w:hint="eastAsia" w:ascii="仿宋_GB2312"/>
          <w:color w:val="auto"/>
          <w:szCs w:val="32"/>
        </w:rPr>
        <w:t>商品服务支出和</w:t>
      </w:r>
      <w:r>
        <w:rPr>
          <w:rFonts w:hint="eastAsia" w:ascii="仿宋_GB2312"/>
          <w:color w:val="auto"/>
          <w:szCs w:val="32"/>
          <w:lang w:val="en-US" w:eastAsia="zh-CN"/>
        </w:rPr>
        <w:t>办公设备购置</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547.26</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b/>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hint="eastAsia"/>
          <w:b/>
          <w:color w:val="auto"/>
          <w:szCs w:val="32"/>
        </w:rPr>
        <w:t>本部门无三公经费</w:t>
      </w:r>
      <w:r>
        <w:rPr>
          <w:rFonts w:hint="eastAsia"/>
          <w:b/>
          <w:color w:val="auto"/>
          <w:szCs w:val="32"/>
          <w:lang w:val="en-US" w:eastAsia="zh-CN"/>
        </w:rPr>
        <w:t>支出</w:t>
      </w:r>
      <w:r>
        <w:rPr>
          <w:rFonts w:hint="eastAsia"/>
          <w:b/>
          <w:color w:val="auto"/>
          <w:szCs w:val="32"/>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18"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eastAsia" w:eastAsia="宋体"/>
                <w:color w:val="auto"/>
                <w:sz w:val="28"/>
                <w:szCs w:val="28"/>
                <w:lang w:val="en-US" w:eastAsia="zh-CN"/>
              </w:rPr>
            </w:pPr>
            <w:r>
              <w:rPr>
                <w:rFonts w:hint="eastAsia" w:eastAsia="宋体"/>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18" w:type="dxa"/>
            <w:vAlign w:val="top"/>
          </w:tcPr>
          <w:p>
            <w:pPr>
              <w:pStyle w:val="8"/>
              <w:jc w:val="right"/>
              <w:rPr>
                <w:rFonts w:hint="eastAsia" w:eastAsia="宋体"/>
                <w:color w:val="auto"/>
                <w:sz w:val="28"/>
                <w:szCs w:val="28"/>
                <w:lang w:val="en-US" w:eastAsia="zh-CN"/>
              </w:rPr>
            </w:pP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9078"/>
      <w:bookmarkStart w:id="26" w:name="_Toc1792"/>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ind w:firstLine="640"/>
        <w:rPr>
          <w:rFonts w:ascii="仿宋" w:hAnsi="仿宋" w:eastAsia="仿宋" w:cs="宋体"/>
          <w:color w:val="auto"/>
          <w:szCs w:val="32"/>
        </w:rPr>
      </w:pPr>
      <w:bookmarkStart w:id="28" w:name="_Toc16103"/>
      <w:r>
        <w:rPr>
          <w:rFonts w:hint="eastAsia" w:ascii="仿宋" w:hAnsi="仿宋" w:eastAsia="仿宋" w:cs="宋体"/>
          <w:color w:val="auto"/>
          <w:szCs w:val="32"/>
        </w:rPr>
        <w:t>我单位属事业单位，无机关运行经费</w:t>
      </w:r>
    </w:p>
    <w:p>
      <w:pPr>
        <w:rPr>
          <w:rFonts w:hint="eastAsia"/>
          <w:b/>
          <w:bCs/>
          <w:color w:val="auto"/>
        </w:rPr>
      </w:pPr>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27.5</w:t>
      </w:r>
      <w:r>
        <w:rPr>
          <w:rFonts w:hint="eastAsia" w:ascii="仿宋_GB2312"/>
          <w:color w:val="auto"/>
          <w:szCs w:val="32"/>
        </w:rPr>
        <w:t>万元，其中：政府采购货物支出</w:t>
      </w:r>
      <w:r>
        <w:rPr>
          <w:rFonts w:hint="eastAsia" w:ascii="仿宋_GB2312"/>
          <w:color w:val="auto"/>
          <w:szCs w:val="32"/>
          <w:lang w:val="en-US" w:eastAsia="zh-CN"/>
        </w:rPr>
        <w:t>0</w:t>
      </w:r>
      <w:r>
        <w:rPr>
          <w:rFonts w:hint="eastAsia" w:ascii="仿宋_GB2312"/>
          <w:color w:val="auto"/>
          <w:szCs w:val="32"/>
        </w:rPr>
        <w:t>万元、政府采购工程支出</w:t>
      </w:r>
      <w:r>
        <w:rPr>
          <w:rFonts w:hint="eastAsia" w:ascii="仿宋_GB2312"/>
          <w:color w:val="auto"/>
          <w:szCs w:val="32"/>
          <w:lang w:val="en-US" w:eastAsia="zh-CN"/>
        </w:rPr>
        <w:t>0</w:t>
      </w:r>
      <w:r>
        <w:rPr>
          <w:rFonts w:hint="eastAsia" w:ascii="仿宋_GB2312"/>
          <w:color w:val="auto"/>
          <w:szCs w:val="32"/>
        </w:rPr>
        <w:t>万元、政府采购服务支出</w:t>
      </w:r>
      <w:r>
        <w:rPr>
          <w:rFonts w:hint="eastAsia" w:ascii="仿宋_GB2312"/>
          <w:color w:val="auto"/>
          <w:szCs w:val="32"/>
          <w:lang w:val="en-US" w:eastAsia="zh-CN"/>
        </w:rPr>
        <w:t>27.5</w:t>
      </w:r>
      <w:r>
        <w:rPr>
          <w:rFonts w:hint="eastAsia" w:ascii="仿宋_GB2312"/>
          <w:color w:val="auto"/>
          <w:szCs w:val="32"/>
        </w:rPr>
        <w:t>万元。政府采购授予中小企业合同金额</w:t>
      </w:r>
      <w:r>
        <w:rPr>
          <w:rFonts w:hint="eastAsia" w:ascii="仿宋_GB2312"/>
          <w:color w:val="auto"/>
          <w:szCs w:val="32"/>
          <w:lang w:val="en-US" w:eastAsia="zh-CN"/>
        </w:rPr>
        <w:t>27.5</w:t>
      </w:r>
      <w:r>
        <w:rPr>
          <w:rFonts w:hint="eastAsia" w:ascii="仿宋_GB2312"/>
          <w:color w:val="auto"/>
          <w:szCs w:val="32"/>
        </w:rPr>
        <w:t>万元，占政府采购支出总额的</w:t>
      </w:r>
      <w:r>
        <w:rPr>
          <w:rFonts w:hint="eastAsia" w:ascii="仿宋_GB2312"/>
          <w:color w:val="auto"/>
          <w:szCs w:val="32"/>
          <w:lang w:val="en-US" w:eastAsia="zh-CN"/>
        </w:rPr>
        <w:t>27.5</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27.5</w:t>
      </w:r>
      <w:r>
        <w:rPr>
          <w:rFonts w:hint="eastAsia" w:ascii="仿宋_GB2312"/>
          <w:color w:val="auto"/>
          <w:szCs w:val="32"/>
        </w:rPr>
        <w:t>万元，占政府采购支出总额的</w:t>
      </w:r>
      <w:r>
        <w:rPr>
          <w:rFonts w:hint="eastAsia" w:ascii="仿宋_GB2312"/>
          <w:color w:val="auto"/>
          <w:szCs w:val="32"/>
          <w:lang w:val="en-US" w:eastAsia="zh-CN"/>
        </w:rPr>
        <w:t>27.5</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pStyle w:val="8"/>
        <w:spacing w:beforeAutospacing="0" w:afterAutospacing="0"/>
        <w:ind w:firstLine="640"/>
        <w:rPr>
          <w:rFonts w:ascii="仿宋" w:hAnsi="仿宋" w:eastAsia="仿宋"/>
          <w:color w:val="auto"/>
          <w:sz w:val="32"/>
          <w:szCs w:val="32"/>
        </w:rPr>
      </w:pPr>
      <w:bookmarkStart w:id="30" w:name="_Toc32119"/>
      <w:r>
        <w:rPr>
          <w:rFonts w:hint="eastAsia"/>
          <w:color w:val="auto"/>
          <w:sz w:val="32"/>
          <w:szCs w:val="32"/>
        </w:rPr>
        <w:t>（</w:t>
      </w:r>
      <w:r>
        <w:rPr>
          <w:rFonts w:hint="eastAsia" w:ascii="仿宋" w:hAnsi="仿宋" w:eastAsia="仿宋"/>
          <w:color w:val="auto"/>
          <w:sz w:val="32"/>
          <w:szCs w:val="32"/>
        </w:rPr>
        <w:t>1）车辆：皮卡车1辆，为文化部赠送，无车辆编制。</w:t>
      </w:r>
      <w:bookmarkEnd w:id="30"/>
    </w:p>
    <w:p>
      <w:pPr>
        <w:pStyle w:val="8"/>
        <w:spacing w:beforeAutospacing="0" w:afterAutospacing="0"/>
        <w:ind w:firstLine="640"/>
        <w:rPr>
          <w:rFonts w:ascii="仿宋" w:hAnsi="仿宋" w:eastAsia="仿宋"/>
          <w:color w:val="auto"/>
          <w:sz w:val="32"/>
          <w:szCs w:val="32"/>
        </w:rPr>
      </w:pPr>
      <w:bookmarkStart w:id="31" w:name="_Toc10017"/>
      <w:r>
        <w:rPr>
          <w:rFonts w:hint="eastAsia" w:ascii="仿宋" w:hAnsi="仿宋" w:eastAsia="仿宋"/>
          <w:color w:val="auto"/>
          <w:sz w:val="32"/>
          <w:szCs w:val="32"/>
        </w:rPr>
        <w:t>（2）房屋建筑：办公用房在文化活动中心，自己单位无房屋</w:t>
      </w:r>
      <w:bookmarkEnd w:id="31"/>
      <w:r>
        <w:rPr>
          <w:rFonts w:hint="eastAsia" w:ascii="仿宋" w:hAnsi="仿宋" w:eastAsia="仿宋"/>
          <w:color w:val="auto"/>
          <w:sz w:val="32"/>
          <w:szCs w:val="32"/>
          <w:lang w:eastAsia="zh-CN"/>
        </w:rPr>
        <w:t>。</w:t>
      </w:r>
    </w:p>
    <w:p>
      <w:pPr>
        <w:pStyle w:val="8"/>
        <w:spacing w:beforeAutospacing="0" w:afterAutospacing="0"/>
        <w:ind w:firstLine="640"/>
        <w:rPr>
          <w:rFonts w:hint="eastAsia" w:ascii="仿宋_GB2312"/>
          <w:color w:val="auto"/>
          <w:szCs w:val="32"/>
        </w:rPr>
      </w:pPr>
      <w:bookmarkStart w:id="32" w:name="_Toc31939"/>
      <w:r>
        <w:rPr>
          <w:rFonts w:hint="eastAsia" w:ascii="仿宋" w:hAnsi="仿宋" w:eastAsia="仿宋"/>
          <w:color w:val="auto"/>
          <w:sz w:val="32"/>
          <w:szCs w:val="32"/>
        </w:rPr>
        <w:t>（3）其他资产：  无</w:t>
      </w:r>
      <w:bookmarkEnd w:id="32"/>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numPr>
          <w:ilvl w:val="0"/>
          <w:numId w:val="3"/>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根据预算绩效管理要求，我</w:t>
      </w:r>
      <w:r>
        <w:rPr>
          <w:rFonts w:hint="eastAsia" w:ascii="仿宋_GB2312" w:hAnsi="仿宋_GB2312" w:cs="仿宋_GB2312"/>
          <w:color w:val="auto"/>
          <w:sz w:val="32"/>
          <w:szCs w:val="32"/>
          <w:lang w:val="en-US" w:eastAsia="zh-CN"/>
        </w:rPr>
        <w:t>单位</w:t>
      </w:r>
      <w:r>
        <w:rPr>
          <w:rFonts w:hint="eastAsia" w:ascii="仿宋_GB2312" w:hAnsi="仿宋_GB2312" w:eastAsia="仿宋_GB2312" w:cs="仿宋_GB2312"/>
          <w:color w:val="auto"/>
          <w:sz w:val="32"/>
          <w:szCs w:val="32"/>
          <w:lang w:val="en-US" w:eastAsia="zh-CN"/>
        </w:rPr>
        <w:t>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w:t>
      </w:r>
      <w:r>
        <w:rPr>
          <w:rFonts w:hint="eastAsia" w:ascii="仿宋_GB2312" w:hAnsi="仿宋_GB2312" w:cs="仿宋_GB2312"/>
          <w:color w:val="auto"/>
          <w:sz w:val="32"/>
          <w:szCs w:val="32"/>
          <w:highlight w:val="none"/>
          <w:lang w:val="en-US" w:eastAsia="zh-CN"/>
        </w:rPr>
        <w:t>项目天柱山4A旅游景区建设项目</w:t>
      </w:r>
      <w:r>
        <w:rPr>
          <w:rFonts w:hint="eastAsia" w:ascii="仿宋_GB2312" w:hAnsi="仿宋_GB2312" w:eastAsia="仿宋_GB2312" w:cs="仿宋_GB2312"/>
          <w:color w:val="auto"/>
          <w:sz w:val="32"/>
          <w:szCs w:val="32"/>
          <w:lang w:val="en-US" w:eastAsia="zh-CN"/>
        </w:rPr>
        <w:t>开展绩效自评，涉及预算资金</w:t>
      </w:r>
      <w:r>
        <w:rPr>
          <w:rFonts w:hint="eastAsia" w:ascii="仿宋_GB2312" w:hAnsi="仿宋_GB2312" w:cs="仿宋_GB2312"/>
          <w:color w:val="auto"/>
          <w:sz w:val="32"/>
          <w:szCs w:val="32"/>
          <w:lang w:val="en-US" w:eastAsia="zh-CN"/>
        </w:rPr>
        <w:t>300</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51.63</w:t>
      </w:r>
      <w:r>
        <w:rPr>
          <w:rFonts w:hint="eastAsia" w:ascii="仿宋_GB2312" w:hAnsi="仿宋_GB2312" w:eastAsia="仿宋_GB2312" w:cs="仿宋_GB2312"/>
          <w:color w:val="auto"/>
          <w:sz w:val="32"/>
          <w:szCs w:val="32"/>
          <w:lang w:val="en-US" w:eastAsia="zh-CN"/>
        </w:rPr>
        <w:t>%。</w:t>
      </w:r>
    </w:p>
    <w:p>
      <w:pPr>
        <w:numPr>
          <w:ilvl w:val="0"/>
          <w:numId w:val="3"/>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部门决算中项目绩效自评结果。</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天柱山4A旅游景区建设</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97.27</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300</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300</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w:t>
      </w:r>
    </w:p>
    <w:p>
      <w:pPr>
        <w:numPr>
          <w:ilvl w:val="0"/>
          <w:numId w:val="3"/>
        </w:numPr>
        <w:ind w:firstLine="643"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部门评价项目绩效评价结果。</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见附件</w:t>
      </w:r>
    </w:p>
    <w:p>
      <w:pPr>
        <w:numPr>
          <w:ilvl w:val="0"/>
          <w:numId w:val="4"/>
        </w:numPr>
        <w:spacing w:line="580" w:lineRule="exact"/>
        <w:ind w:firstLine="643" w:firstLineChars="200"/>
        <w:outlineLvl w:val="0"/>
        <w:rPr>
          <w:rFonts w:hint="eastAsia" w:ascii="仿宋_GB2312" w:eastAsia="仿宋_GB2312"/>
          <w:b/>
          <w:color w:val="auto"/>
          <w:szCs w:val="32"/>
          <w:lang w:val="en-US" w:eastAsia="zh-CN"/>
        </w:rPr>
      </w:pPr>
      <w:bookmarkStart w:id="33" w:name="_Toc28108"/>
      <w:bookmarkStart w:id="34" w:name="_Toc8450"/>
      <w:r>
        <w:rPr>
          <w:rFonts w:hint="eastAsia" w:ascii="仿宋_GB2312"/>
          <w:b/>
          <w:color w:val="auto"/>
          <w:szCs w:val="32"/>
        </w:rPr>
        <w:t>其他需要说明的事项</w:t>
      </w:r>
      <w:bookmarkEnd w:id="33"/>
      <w:bookmarkEnd w:id="34"/>
    </w:p>
    <w:p>
      <w:pPr>
        <w:numPr>
          <w:ilvl w:val="0"/>
          <w:numId w:val="0"/>
        </w:numPr>
        <w:spacing w:line="580" w:lineRule="exact"/>
        <w:ind w:firstLine="640" w:firstLineChars="200"/>
        <w:outlineLvl w:val="0"/>
        <w:rPr>
          <w:rFonts w:hint="eastAsia" w:ascii="仿宋_GB2312" w:eastAsia="仿宋_GB2312"/>
          <w:b w:val="0"/>
          <w:bCs/>
          <w:color w:val="auto"/>
          <w:szCs w:val="32"/>
          <w:lang w:val="en-US" w:eastAsia="zh-CN"/>
        </w:rPr>
      </w:pPr>
      <w:r>
        <w:rPr>
          <w:rFonts w:hint="eastAsia" w:ascii="仿宋_GB2312"/>
          <w:b w:val="0"/>
          <w:bCs/>
          <w:color w:val="auto"/>
          <w:szCs w:val="32"/>
          <w:lang w:val="en-US" w:eastAsia="zh-CN"/>
        </w:rPr>
        <w:t>无</w:t>
      </w:r>
    </w:p>
    <w:p>
      <w:pPr>
        <w:pStyle w:val="2"/>
        <w:ind w:left="0" w:leftChars="0" w:firstLine="0" w:firstLineChars="0"/>
        <w:jc w:val="center"/>
        <w:rPr>
          <w:rFonts w:hint="eastAsia"/>
          <w:b/>
          <w:color w:val="auto"/>
          <w:sz w:val="36"/>
          <w:szCs w:val="36"/>
          <w:lang w:val="en-US" w:eastAsia="zh-CN"/>
        </w:rPr>
      </w:pPr>
      <w:bookmarkStart w:id="35" w:name="_Toc8545"/>
      <w:r>
        <w:rPr>
          <w:rFonts w:hint="eastAsia"/>
          <w:b/>
          <w:color w:val="auto"/>
          <w:sz w:val="36"/>
          <w:szCs w:val="36"/>
          <w:lang w:val="en-US" w:eastAsia="zh-CN"/>
        </w:rPr>
        <w:t>第四部分  名词解释</w:t>
      </w:r>
      <w:bookmarkEnd w:id="35"/>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64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单位名称：静乐县旅游服务中心</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2ABDE47"/>
    <w:multiLevelType w:val="singleLevel"/>
    <w:tmpl w:val="62ABDE47"/>
    <w:lvl w:ilvl="0" w:tentative="0">
      <w:start w:val="1"/>
      <w:numFmt w:val="chineseCounting"/>
      <w:suff w:val="nothing"/>
      <w:lvlText w:val="%1、"/>
      <w:lvlJc w:val="left"/>
    </w:lvl>
  </w:abstractNum>
  <w:abstractNum w:abstractNumId="3">
    <w:nsid w:val="62B2F678"/>
    <w:multiLevelType w:val="singleLevel"/>
    <w:tmpl w:val="62B2F678"/>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16654CDD"/>
    <w:rsid w:val="18AC515C"/>
    <w:rsid w:val="1A4A5C33"/>
    <w:rsid w:val="1D855781"/>
    <w:rsid w:val="22E40442"/>
    <w:rsid w:val="25BD5FC2"/>
    <w:rsid w:val="2701594C"/>
    <w:rsid w:val="27426717"/>
    <w:rsid w:val="2E703680"/>
    <w:rsid w:val="37943B50"/>
    <w:rsid w:val="3821117E"/>
    <w:rsid w:val="42C12CEC"/>
    <w:rsid w:val="44401A62"/>
    <w:rsid w:val="495520D0"/>
    <w:rsid w:val="4A012068"/>
    <w:rsid w:val="4CA84EE2"/>
    <w:rsid w:val="52EE12F2"/>
    <w:rsid w:val="53A30631"/>
    <w:rsid w:val="57DA2ED9"/>
    <w:rsid w:val="5EC01F6A"/>
    <w:rsid w:val="63AB51DF"/>
    <w:rsid w:val="649C6DC9"/>
    <w:rsid w:val="715A78E4"/>
    <w:rsid w:val="7761744D"/>
    <w:rsid w:val="7A13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2758</Words>
  <Characters>3247</Characters>
  <Lines>0</Lines>
  <Paragraphs>0</Paragraphs>
  <TotalTime>1</TotalTime>
  <ScaleCrop>false</ScaleCrop>
  <LinksUpToDate>false</LinksUpToDate>
  <CharactersWithSpaces>3316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2022-07-29T03:17:19Z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BC3B073ED468425E8EF5FFF1C4ECB6BE</vt:lpwstr>
  </property>
</Properties>
</file>