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14092621TD20400000030-2021年中小学税费改革资金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静乐县西坡崖联合学区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静乐县西坡崖联合学区是一所扶贫小学，学生全免费就读。由于学校经费紧张，学校日常运转出现困难。学校通过核算，共需资金4.01万元。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学校经费紧张，日常运转出现困难，需追加经费。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学校经费紧张，日常运转出现困难，需追加经费。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学校经费紧张，日常运转出现困难，需追加经费。所追加经费要严格按照规定，有计划的把资金合理安排到位。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学校经费紧张，日常运转出现困难，需追加经费。所追加经费要严格按照规定，有计划的把资金合理安排到位。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4.01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14092621TD20400000030-2021年中小学税费改革资金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99.99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99.94%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该项目资金使用依法依规，有效保障教育教学有序进行。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该项目能有效地体现项目社会经济效益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完成特定绩效目标99.94%，达到预期目标。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99.94%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