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721" w:firstLineChars="200"/>
        <w:jc w:val="center"/>
        <w:textAlignment w:val="auto"/>
        <w:outlineLvl w:val="0"/>
        <w:rPr>
          <w:rFonts w:hint="eastAsia" w:ascii="华文中宋" w:hAnsi="华文中宋" w:eastAsia="华文中宋"/>
          <w:color w:val="auto"/>
          <w:sz w:val="36"/>
          <w:szCs w:val="36"/>
        </w:rPr>
      </w:pPr>
      <w:bookmarkStart w:id="0" w:name="_Toc31071"/>
      <w:bookmarkStart w:id="1" w:name="_Toc32048"/>
      <w:bookmarkStart w:id="2" w:name="_Toc21118"/>
      <w:r>
        <w:rPr>
          <w:rFonts w:hint="eastAsia" w:ascii="华文中宋" w:hAnsi="华文中宋" w:eastAsia="华文中宋"/>
          <w:color w:val="auto"/>
          <w:sz w:val="36"/>
          <w:szCs w:val="36"/>
        </w:rPr>
        <w:t>青少年校外活动中心</w:t>
      </w:r>
    </w:p>
    <w:p>
      <w:pPr>
        <w:pStyle w:val="2"/>
        <w:keepNext/>
        <w:keepLines/>
        <w:pageBreakBefore w:val="0"/>
        <w:widowControl w:val="0"/>
        <w:kinsoku/>
        <w:wordWrap/>
        <w:overflowPunct/>
        <w:topLinePunct w:val="0"/>
        <w:autoSpaceDE/>
        <w:autoSpaceDN/>
        <w:bidi w:val="0"/>
        <w:adjustRightInd/>
        <w:snapToGrid/>
        <w:spacing w:before="0" w:beforeLines="0" w:after="0" w:afterLines="0" w:line="576" w:lineRule="auto"/>
        <w:ind w:left="0" w:leftChars="0" w:right="0" w:rightChars="0" w:firstLine="721" w:firstLineChars="200"/>
        <w:jc w:val="center"/>
        <w:textAlignment w:val="auto"/>
        <w:outlineLvl w:val="0"/>
        <w:rPr>
          <w:rFonts w:hint="eastAsia" w:ascii="华文中宋" w:hAnsi="华文中宋" w:eastAsia="华文中宋"/>
          <w:color w:val="auto"/>
          <w:sz w:val="36"/>
          <w:szCs w:val="36"/>
          <w:lang w:val="en-US" w:eastAsia="zh-CN"/>
        </w:rPr>
      </w:pPr>
      <w:r>
        <w:rPr>
          <w:rFonts w:hint="eastAsia" w:ascii="华文中宋" w:hAnsi="华文中宋" w:eastAsia="华文中宋"/>
          <w:color w:val="auto"/>
          <w:sz w:val="36"/>
          <w:szCs w:val="36"/>
        </w:rPr>
        <w:t>20</w:t>
      </w:r>
      <w:r>
        <w:rPr>
          <w:rFonts w:hint="eastAsia" w:ascii="华文中宋" w:hAnsi="华文中宋" w:eastAsia="华文中宋"/>
          <w:color w:val="auto"/>
          <w:sz w:val="36"/>
          <w:szCs w:val="36"/>
          <w:lang w:val="en-US" w:eastAsia="zh-CN"/>
        </w:rPr>
        <w:t>21</w:t>
      </w:r>
      <w:r>
        <w:rPr>
          <w:rFonts w:hint="eastAsia" w:ascii="华文中宋" w:hAnsi="华文中宋" w:eastAsia="华文中宋"/>
          <w:color w:val="auto"/>
          <w:sz w:val="36"/>
          <w:szCs w:val="36"/>
        </w:rPr>
        <w:t>年度部门决算</w:t>
      </w:r>
      <w:r>
        <w:rPr>
          <w:rFonts w:hint="eastAsia" w:ascii="华文中宋" w:hAnsi="华文中宋" w:eastAsia="华文中宋"/>
          <w:color w:val="auto"/>
          <w:sz w:val="36"/>
          <w:szCs w:val="36"/>
          <w:lang w:val="en-US" w:eastAsia="zh-CN"/>
        </w:rPr>
        <w:t>公开说明</w:t>
      </w:r>
      <w:bookmarkEnd w:id="0"/>
      <w:bookmarkEnd w:id="1"/>
      <w:bookmarkEnd w:id="2"/>
    </w:p>
    <w:p>
      <w:pPr>
        <w:pStyle w:val="6"/>
        <w:tabs>
          <w:tab w:val="right" w:leader="dot" w:pos="8306"/>
        </w:tabs>
        <w:rPr>
          <w:rFonts w:hint="eastAsia" w:ascii="仿宋" w:hAnsi="仿宋" w:eastAsia="仿宋" w:cs="仿宋"/>
          <w:color w:val="auto"/>
          <w:sz w:val="32"/>
          <w:szCs w:val="32"/>
          <w:lang w:val="en-US" w:eastAsia="zh-CN"/>
        </w:rPr>
      </w:pPr>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numPr>
          <w:ilvl w:val="0"/>
          <w:numId w:val="1"/>
        </w:numPr>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本部门职责</w:t>
      </w:r>
      <w:bookmarkEnd w:id="5"/>
      <w:bookmarkEnd w:id="6"/>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textAlignment w:val="top"/>
        <w:rPr>
          <w:rFonts w:hint="eastAsia" w:ascii="仿宋" w:hAnsi="仿宋" w:eastAsia="仿宋" w:cs="仿宋"/>
          <w:i w:val="0"/>
          <w:caps w:val="0"/>
          <w:color w:val="auto"/>
          <w:spacing w:val="0"/>
          <w:sz w:val="30"/>
          <w:szCs w:val="30"/>
        </w:rPr>
      </w:pPr>
      <w:r>
        <w:rPr>
          <w:rFonts w:hint="eastAsia" w:ascii="仿宋" w:hAnsi="仿宋" w:eastAsia="仿宋" w:cs="仿宋"/>
          <w:i w:val="0"/>
          <w:caps w:val="0"/>
          <w:color w:val="auto"/>
          <w:spacing w:val="0"/>
          <w:kern w:val="0"/>
          <w:sz w:val="30"/>
          <w:szCs w:val="30"/>
          <w:shd w:val="clear" w:fill="FFFFFF"/>
          <w:lang w:val="en-US" w:eastAsia="zh-CN" w:bidi="ar"/>
        </w:rPr>
        <w:t>1、负责贯彻落实国家的有关法律、法规及上级文件精神。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textAlignment w:val="top"/>
        <w:rPr>
          <w:rFonts w:hint="eastAsia" w:ascii="仿宋" w:hAnsi="仿宋" w:eastAsia="仿宋" w:cs="仿宋"/>
          <w:i w:val="0"/>
          <w:caps w:val="0"/>
          <w:color w:val="auto"/>
          <w:spacing w:val="0"/>
          <w:sz w:val="30"/>
          <w:szCs w:val="30"/>
        </w:rPr>
      </w:pPr>
      <w:r>
        <w:rPr>
          <w:rFonts w:hint="eastAsia" w:ascii="仿宋" w:hAnsi="仿宋" w:eastAsia="仿宋" w:cs="仿宋"/>
          <w:i w:val="0"/>
          <w:caps w:val="0"/>
          <w:color w:val="auto"/>
          <w:spacing w:val="0"/>
          <w:kern w:val="0"/>
          <w:sz w:val="30"/>
          <w:szCs w:val="30"/>
          <w:shd w:val="clear" w:fill="FFFFFF"/>
          <w:lang w:val="en-US" w:eastAsia="zh-CN" w:bidi="ar"/>
        </w:rPr>
        <w:t>2、负责为青少年课余时间进行健康有益的活动提供场所和服务。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textAlignment w:val="top"/>
        <w:rPr>
          <w:rFonts w:hint="eastAsia" w:ascii="仿宋" w:hAnsi="仿宋" w:eastAsia="仿宋" w:cs="仿宋"/>
          <w:i w:val="0"/>
          <w:caps w:val="0"/>
          <w:color w:val="auto"/>
          <w:spacing w:val="0"/>
          <w:sz w:val="30"/>
          <w:szCs w:val="30"/>
        </w:rPr>
      </w:pPr>
      <w:r>
        <w:rPr>
          <w:rFonts w:hint="eastAsia" w:ascii="仿宋" w:hAnsi="仿宋" w:eastAsia="仿宋" w:cs="仿宋"/>
          <w:i w:val="0"/>
          <w:caps w:val="0"/>
          <w:color w:val="auto"/>
          <w:spacing w:val="0"/>
          <w:kern w:val="0"/>
          <w:sz w:val="30"/>
          <w:szCs w:val="30"/>
          <w:shd w:val="clear" w:fill="FFFFFF"/>
          <w:lang w:val="en-US" w:eastAsia="zh-CN" w:bidi="ar"/>
        </w:rPr>
        <w:t>3、负责落实《校外教育工作规程》，组织开展青少年学生校外活动。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textAlignment w:val="top"/>
        <w:rPr>
          <w:rFonts w:hint="eastAsia" w:ascii="仿宋" w:hAnsi="仿宋" w:eastAsia="仿宋" w:cs="仿宋"/>
          <w:i w:val="0"/>
          <w:caps w:val="0"/>
          <w:color w:val="auto"/>
          <w:spacing w:val="0"/>
          <w:sz w:val="30"/>
          <w:szCs w:val="30"/>
        </w:rPr>
      </w:pPr>
      <w:r>
        <w:rPr>
          <w:rFonts w:hint="eastAsia" w:ascii="仿宋" w:hAnsi="仿宋" w:eastAsia="仿宋" w:cs="仿宋"/>
          <w:i w:val="0"/>
          <w:caps w:val="0"/>
          <w:color w:val="auto"/>
          <w:spacing w:val="0"/>
          <w:kern w:val="0"/>
          <w:sz w:val="30"/>
          <w:szCs w:val="30"/>
          <w:shd w:val="clear" w:fill="FFFFFF"/>
          <w:lang w:val="en-US" w:eastAsia="zh-CN" w:bidi="ar"/>
        </w:rPr>
        <w:t>4、负责举办艺术、体育、科技、文化课程等学科的教育培训，培养青少年优秀人才，展示青少年文化建设成果。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left"/>
        <w:textAlignment w:val="top"/>
        <w:rPr>
          <w:rFonts w:hint="eastAsia" w:ascii="仿宋" w:hAnsi="仿宋" w:eastAsia="仿宋" w:cs="仿宋"/>
          <w:color w:val="auto"/>
          <w:sz w:val="30"/>
          <w:szCs w:val="30"/>
        </w:rPr>
      </w:pPr>
      <w:r>
        <w:rPr>
          <w:rFonts w:hint="eastAsia" w:ascii="仿宋" w:hAnsi="仿宋" w:eastAsia="仿宋" w:cs="仿宋"/>
          <w:i w:val="0"/>
          <w:caps w:val="0"/>
          <w:color w:val="auto"/>
          <w:spacing w:val="0"/>
          <w:kern w:val="0"/>
          <w:sz w:val="30"/>
          <w:szCs w:val="30"/>
          <w:shd w:val="clear" w:fill="FFFFFF"/>
          <w:lang w:val="en-US" w:eastAsia="zh-CN" w:bidi="ar"/>
        </w:rPr>
        <w:t>5、负责中心的日常管理工作，完成教育体育局交办的其他事项。</w:t>
      </w:r>
    </w:p>
    <w:p>
      <w:pPr>
        <w:pStyle w:val="3"/>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二、机构设置情况</w:t>
      </w:r>
      <w:bookmarkEnd w:id="7"/>
      <w:bookmarkEnd w:id="8"/>
    </w:p>
    <w:p>
      <w:pPr>
        <w:rPr>
          <w:rFonts w:hint="eastAsia" w:eastAsia="仿宋"/>
          <w:color w:val="auto"/>
          <w:lang w:val="en-US" w:eastAsia="zh-CN"/>
        </w:rPr>
      </w:pPr>
      <w:r>
        <w:rPr>
          <w:rFonts w:hint="eastAsia" w:ascii="仿宋" w:hAnsi="仿宋" w:eastAsia="仿宋" w:cs="仿宋"/>
          <w:b w:val="0"/>
          <w:bCs/>
          <w:color w:val="auto"/>
          <w:lang w:val="en-US" w:eastAsia="zh-CN"/>
        </w:rPr>
        <w:t>本单位2021年预算编制10人，年未实有在职要数10人。下设办公室、培训部、活动部。</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170.88</w:t>
      </w:r>
      <w:r>
        <w:rPr>
          <w:rFonts w:hint="eastAsia" w:ascii="仿宋_GB2312"/>
          <w:color w:val="auto"/>
          <w:szCs w:val="32"/>
        </w:rPr>
        <w:t>万元、支出总计</w:t>
      </w:r>
      <w:r>
        <w:rPr>
          <w:rFonts w:hint="eastAsia" w:ascii="仿宋_GB2312"/>
          <w:color w:val="auto"/>
          <w:szCs w:val="32"/>
          <w:lang w:val="en-US" w:eastAsia="zh-CN"/>
        </w:rPr>
        <w:t>170.88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增长36.33</w:t>
      </w:r>
      <w:r>
        <w:rPr>
          <w:rFonts w:hint="eastAsia" w:ascii="仿宋_GB2312"/>
          <w:color w:val="auto"/>
          <w:szCs w:val="32"/>
        </w:rPr>
        <w:t>万元，</w:t>
      </w:r>
      <w:r>
        <w:rPr>
          <w:rFonts w:hint="eastAsia" w:ascii="仿宋_GB2312"/>
          <w:color w:val="auto"/>
          <w:szCs w:val="32"/>
          <w:lang w:val="en-US" w:eastAsia="zh-CN"/>
        </w:rPr>
        <w:t>增长27%</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增长30.52</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增长21.74</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本年增加办公楼维修费项目支出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170.88</w:t>
      </w:r>
      <w:r>
        <w:rPr>
          <w:rFonts w:hint="eastAsia" w:ascii="仿宋_GB2312"/>
          <w:color w:val="auto"/>
          <w:szCs w:val="32"/>
        </w:rPr>
        <w:t>万元，其中：财政拨款收入</w:t>
      </w:r>
      <w:r>
        <w:rPr>
          <w:rFonts w:hint="eastAsia" w:ascii="仿宋_GB2312"/>
          <w:color w:val="auto"/>
          <w:szCs w:val="32"/>
          <w:lang w:val="en-US" w:eastAsia="zh-CN"/>
        </w:rPr>
        <w:t>170.88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170.88</w:t>
      </w:r>
      <w:r>
        <w:rPr>
          <w:rFonts w:hint="eastAsia" w:ascii="仿宋_GB2312"/>
          <w:color w:val="auto"/>
          <w:szCs w:val="32"/>
        </w:rPr>
        <w:t>万元，其中：基本支出</w:t>
      </w:r>
      <w:r>
        <w:rPr>
          <w:rFonts w:hint="eastAsia" w:ascii="仿宋_GB2312"/>
          <w:color w:val="auto"/>
          <w:szCs w:val="32"/>
          <w:lang w:val="en-US" w:eastAsia="zh-CN"/>
        </w:rPr>
        <w:t>100.72</w:t>
      </w:r>
      <w:r>
        <w:rPr>
          <w:rFonts w:hint="eastAsia" w:ascii="仿宋_GB2312"/>
          <w:color w:val="auto"/>
          <w:szCs w:val="32"/>
        </w:rPr>
        <w:t>万元，占比</w:t>
      </w:r>
      <w:r>
        <w:rPr>
          <w:rFonts w:hint="eastAsia" w:ascii="仿宋_GB2312"/>
          <w:color w:val="auto"/>
          <w:szCs w:val="32"/>
          <w:lang w:val="en-US" w:eastAsia="zh-CN"/>
        </w:rPr>
        <w:t>58.94</w:t>
      </w:r>
      <w:r>
        <w:rPr>
          <w:rFonts w:hint="eastAsia" w:ascii="仿宋_GB2312"/>
          <w:color w:val="auto"/>
          <w:szCs w:val="32"/>
        </w:rPr>
        <w:t>%；项目支出</w:t>
      </w:r>
      <w:r>
        <w:rPr>
          <w:rFonts w:hint="eastAsia" w:ascii="仿宋_GB2312"/>
          <w:color w:val="auto"/>
          <w:szCs w:val="32"/>
          <w:lang w:val="en-US" w:eastAsia="zh-CN"/>
        </w:rPr>
        <w:t>70.16</w:t>
      </w:r>
      <w:r>
        <w:rPr>
          <w:rFonts w:hint="eastAsia" w:ascii="仿宋_GB2312"/>
          <w:color w:val="auto"/>
          <w:szCs w:val="32"/>
        </w:rPr>
        <w:t>万元，占比</w:t>
      </w:r>
      <w:r>
        <w:rPr>
          <w:rFonts w:hint="eastAsia" w:ascii="仿宋_GB2312"/>
          <w:color w:val="auto"/>
          <w:szCs w:val="32"/>
          <w:lang w:val="en-US" w:eastAsia="zh-CN"/>
        </w:rPr>
        <w:t>41.06</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170.88</w:t>
      </w:r>
      <w:r>
        <w:rPr>
          <w:rFonts w:hint="eastAsia" w:ascii="仿宋_GB2312"/>
          <w:color w:val="auto"/>
          <w:szCs w:val="32"/>
        </w:rPr>
        <w:t>万元、支出总计</w:t>
      </w:r>
      <w:r>
        <w:rPr>
          <w:rFonts w:hint="eastAsia" w:ascii="仿宋_GB2312"/>
          <w:color w:val="auto"/>
          <w:szCs w:val="32"/>
          <w:lang w:val="en-US" w:eastAsia="zh-CN"/>
        </w:rPr>
        <w:t>170.88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增长36.33</w:t>
      </w:r>
      <w:r>
        <w:rPr>
          <w:rFonts w:hint="eastAsia" w:ascii="仿宋_GB2312"/>
          <w:color w:val="auto"/>
          <w:szCs w:val="32"/>
        </w:rPr>
        <w:t>万元，</w:t>
      </w:r>
      <w:r>
        <w:rPr>
          <w:rFonts w:hint="eastAsia" w:ascii="仿宋_GB2312"/>
          <w:color w:val="auto"/>
          <w:szCs w:val="32"/>
          <w:lang w:val="en-US" w:eastAsia="zh-CN"/>
        </w:rPr>
        <w:t>增长27</w:t>
      </w:r>
      <w:r>
        <w:rPr>
          <w:rFonts w:hint="eastAsia" w:ascii="仿宋_GB2312"/>
          <w:color w:val="auto"/>
          <w:szCs w:val="32"/>
        </w:rPr>
        <w:t>%，财政拨款支出总计</w:t>
      </w:r>
      <w:r>
        <w:rPr>
          <w:rFonts w:hint="eastAsia" w:ascii="仿宋_GB2312"/>
          <w:color w:val="auto"/>
          <w:szCs w:val="32"/>
          <w:lang w:val="en-US" w:eastAsia="zh-CN"/>
        </w:rPr>
        <w:t>增长30.52</w:t>
      </w:r>
      <w:r>
        <w:rPr>
          <w:rFonts w:hint="eastAsia" w:ascii="仿宋_GB2312"/>
          <w:color w:val="auto"/>
          <w:szCs w:val="32"/>
        </w:rPr>
        <w:t>万元，</w:t>
      </w:r>
      <w:r>
        <w:rPr>
          <w:rFonts w:hint="eastAsia" w:ascii="仿宋_GB2312"/>
          <w:color w:val="auto"/>
          <w:szCs w:val="32"/>
          <w:lang w:val="en-US" w:eastAsia="zh-CN"/>
        </w:rPr>
        <w:t>增长21.74</w:t>
      </w:r>
      <w:r>
        <w:rPr>
          <w:rFonts w:hint="eastAsia" w:ascii="仿宋_GB2312"/>
          <w:color w:val="auto"/>
          <w:szCs w:val="32"/>
        </w:rPr>
        <w:t>%。主要原因是</w:t>
      </w:r>
      <w:r>
        <w:rPr>
          <w:rFonts w:hint="eastAsia" w:ascii="仿宋_GB2312"/>
          <w:color w:val="auto"/>
          <w:szCs w:val="32"/>
          <w:lang w:val="en-US" w:eastAsia="zh-CN"/>
        </w:rPr>
        <w:t>本年增加办公楼维修费支出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170.88</w:t>
      </w:r>
      <w:r>
        <w:rPr>
          <w:rFonts w:hint="eastAsia" w:ascii="仿宋_GB2312"/>
          <w:color w:val="auto"/>
          <w:szCs w:val="32"/>
        </w:rPr>
        <w:t>万元，占本年支出合计的</w:t>
      </w:r>
      <w:r>
        <w:rPr>
          <w:rFonts w:hint="eastAsia" w:ascii="仿宋_GB2312"/>
          <w:color w:val="auto"/>
          <w:szCs w:val="32"/>
          <w:lang w:val="en-US" w:eastAsia="zh-CN"/>
        </w:rPr>
        <w:t>170.88</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增加36.33</w:t>
      </w:r>
      <w:r>
        <w:rPr>
          <w:rFonts w:hint="eastAsia" w:ascii="仿宋_GB2312"/>
          <w:color w:val="auto"/>
          <w:szCs w:val="32"/>
        </w:rPr>
        <w:t>万元，</w:t>
      </w:r>
      <w:r>
        <w:rPr>
          <w:rFonts w:hint="eastAsia" w:ascii="仿宋_GB2312"/>
          <w:color w:val="auto"/>
          <w:szCs w:val="32"/>
          <w:lang w:val="en-US" w:eastAsia="zh-CN"/>
        </w:rPr>
        <w:t>增长27</w:t>
      </w:r>
      <w:r>
        <w:rPr>
          <w:rFonts w:hint="eastAsia" w:ascii="仿宋_GB2312"/>
          <w:color w:val="auto"/>
          <w:szCs w:val="32"/>
        </w:rPr>
        <w:t>%。主要原因是</w:t>
      </w:r>
      <w:r>
        <w:rPr>
          <w:rFonts w:hint="eastAsia" w:ascii="仿宋_GB2312"/>
          <w:color w:val="auto"/>
          <w:szCs w:val="32"/>
          <w:lang w:val="en-US" w:eastAsia="zh-CN"/>
        </w:rPr>
        <w:t>本年增加办公楼维修费支出</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lang w:val="en-US"/>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170.88</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科学技术</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170.88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183.63</w:t>
      </w:r>
      <w:r>
        <w:rPr>
          <w:rFonts w:hint="eastAsia"/>
          <w:color w:val="auto"/>
          <w:szCs w:val="32"/>
        </w:rPr>
        <w:t>万元，支出决算</w:t>
      </w:r>
      <w:r>
        <w:rPr>
          <w:rFonts w:hint="eastAsia"/>
          <w:color w:val="auto"/>
          <w:szCs w:val="32"/>
          <w:lang w:val="en-US" w:eastAsia="zh-CN"/>
        </w:rPr>
        <w:t>170.88</w:t>
      </w:r>
      <w:r>
        <w:rPr>
          <w:rFonts w:hint="eastAsia"/>
          <w:color w:val="auto"/>
          <w:szCs w:val="32"/>
        </w:rPr>
        <w:t>万元，完成年初预算的</w:t>
      </w:r>
      <w:r>
        <w:rPr>
          <w:rFonts w:hint="eastAsia"/>
          <w:color w:val="auto"/>
          <w:szCs w:val="32"/>
          <w:lang w:val="en-US" w:eastAsia="zh-CN"/>
        </w:rPr>
        <w:t>93.06</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206</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科学技术支出</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140.36</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1,70.88</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20607</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科学技术普及</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140.36</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1,70.88</w:t>
            </w:r>
          </w:p>
        </w:tc>
        <w:tc>
          <w:tcPr>
            <w:tcW w:w="139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2060703</w:t>
            </w:r>
          </w:p>
        </w:tc>
        <w:tc>
          <w:tcPr>
            <w:tcW w:w="2479"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青少年科技活动</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sz w:val="24"/>
                <w:szCs w:val="24"/>
              </w:rPr>
            </w:pPr>
            <w:r>
              <w:rPr>
                <w:rFonts w:hint="eastAsia" w:ascii="仿宋" w:hAnsi="仿宋" w:eastAsia="仿宋" w:cs="仿宋"/>
                <w:i w:val="0"/>
                <w:color w:val="auto"/>
                <w:kern w:val="0"/>
                <w:sz w:val="24"/>
                <w:szCs w:val="24"/>
                <w:u w:val="none"/>
                <w:lang w:val="en-US" w:eastAsia="zh-CN" w:bidi="ar"/>
              </w:rPr>
              <w:t>140.36</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1,70.88</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21.7%</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140.36</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170.88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sz w:val="24"/>
                <w:szCs w:val="24"/>
                <w:lang w:val="en-US" w:eastAsia="zh-CN"/>
              </w:rPr>
              <w:t>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96.40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99.79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34.64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71.03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0.42</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0.06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8.9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bl>
    <w:p>
      <w:pPr>
        <w:pStyle w:val="3"/>
        <w:ind w:left="0" w:leftChars="0" w:firstLine="643" w:firstLineChars="200"/>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100.72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99.85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工资福利支出及对个人和家庭的补助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8700</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工会费</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70.16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rPr>
        <w:t>本部门无三公经费</w:t>
      </w:r>
      <w:r>
        <w:rPr>
          <w:rFonts w:hint="eastAsia"/>
          <w:b/>
          <w:color w:val="auto"/>
          <w:szCs w:val="32"/>
          <w:lang w:val="en-US" w:eastAsia="zh-CN"/>
        </w:rPr>
        <w:t>预算收入支出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r>
    </w:tbl>
    <w:p>
      <w:pPr>
        <w:pStyle w:val="3"/>
        <w:ind w:left="0" w:leftChars="0" w:firstLine="964" w:firstLineChars="300"/>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rPr>
          <w:rFonts w:hint="eastAsia" w:ascii="仿宋_GB2312" w:hAnsi="宋体"/>
          <w:color w:val="auto"/>
          <w:szCs w:val="32"/>
          <w:lang w:eastAsia="zh-CN"/>
        </w:rPr>
      </w:pPr>
      <w:bookmarkStart w:id="28" w:name="_Toc16103"/>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lang w:val="en-US" w:eastAsia="zh-CN"/>
        </w:rPr>
        <w:t>本单位为</w:t>
      </w:r>
      <w:r>
        <w:rPr>
          <w:rFonts w:hint="eastAsia" w:ascii="仿宋_GB2312" w:hAnsi="宋体"/>
          <w:color w:val="auto"/>
          <w:szCs w:val="32"/>
          <w:lang w:eastAsia="zh-CN"/>
        </w:rPr>
        <w:t>无机关运行经费的部门，</w:t>
      </w:r>
      <w:r>
        <w:rPr>
          <w:rFonts w:hint="eastAsia" w:ascii="仿宋_GB2312" w:hAnsi="宋体"/>
          <w:color w:val="auto"/>
          <w:szCs w:val="32"/>
          <w:lang w:val="en-US" w:eastAsia="zh-CN"/>
        </w:rPr>
        <w:t>属事业单位</w:t>
      </w:r>
      <w:r>
        <w:rPr>
          <w:rFonts w:hint="eastAsia" w:ascii="仿宋_GB2312" w:hAnsi="宋体"/>
          <w:color w:val="auto"/>
          <w:szCs w:val="32"/>
          <w:lang w:eastAsia="zh-CN"/>
        </w:rPr>
        <w:t>。</w:t>
      </w:r>
    </w:p>
    <w:p>
      <w:pPr>
        <w:rPr>
          <w:rFonts w:hint="eastAsia"/>
          <w:b/>
          <w:bCs/>
          <w:color w:val="auto"/>
        </w:rPr>
      </w:pPr>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3.98</w:t>
      </w:r>
      <w:r>
        <w:rPr>
          <w:rFonts w:hint="eastAsia" w:ascii="仿宋_GB2312"/>
          <w:color w:val="auto"/>
          <w:szCs w:val="32"/>
        </w:rPr>
        <w:t>万元，其中：政府采购货物支出</w:t>
      </w:r>
      <w:r>
        <w:rPr>
          <w:rFonts w:hint="eastAsia" w:ascii="仿宋_GB2312"/>
          <w:color w:val="auto"/>
          <w:szCs w:val="32"/>
          <w:lang w:val="en-US" w:eastAsia="zh-CN"/>
        </w:rPr>
        <w:t>2.79</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1.18</w:t>
      </w:r>
      <w:r>
        <w:rPr>
          <w:rFonts w:hint="eastAsia" w:ascii="仿宋_GB2312"/>
          <w:color w:val="auto"/>
          <w:szCs w:val="32"/>
        </w:rPr>
        <w:t>万元。政府采购授予中小企业合同金额</w:t>
      </w:r>
      <w:r>
        <w:rPr>
          <w:rFonts w:hint="eastAsia" w:ascii="仿宋_GB2312"/>
          <w:color w:val="auto"/>
          <w:szCs w:val="32"/>
          <w:lang w:val="en-US" w:eastAsia="zh-CN"/>
        </w:rPr>
        <w:t>3.98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3.98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辆，其他用车主要是</w:t>
      </w:r>
      <w:r>
        <w:rPr>
          <w:rFonts w:hint="eastAsia" w:ascii="仿宋_GB2312"/>
          <w:color w:val="auto"/>
          <w:szCs w:val="32"/>
          <w:lang w:val="en-US" w:eastAsia="zh-CN"/>
        </w:rPr>
        <w:t>上级部门调拨的业务用车</w:t>
      </w:r>
      <w:r>
        <w:rPr>
          <w:rFonts w:hint="eastAsia" w:ascii="仿宋_GB2312"/>
          <w:color w:val="auto"/>
          <w:szCs w:val="32"/>
        </w:rPr>
        <w:t>；</w:t>
      </w:r>
      <w:r>
        <w:rPr>
          <w:rFonts w:hint="eastAsia" w:ascii="仿宋_GB2312"/>
          <w:color w:val="auto"/>
          <w:szCs w:val="32"/>
          <w:lang w:val="en-US" w:eastAsia="zh-CN"/>
        </w:rPr>
        <w:t>本单位房屋建筑2028.7平米，价值227.25万元。本单位</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ascii="仿宋" w:hAnsi="仿宋" w:eastAsia="仿宋" w:cs="仿宋"/>
          <w:b/>
          <w:bCs/>
          <w:color w:val="auto"/>
          <w:sz w:val="32"/>
          <w:szCs w:val="32"/>
          <w:lang w:val="en-US" w:eastAsia="zh-CN"/>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p>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对本单位1个经费补助类项目在一体化系统中进行自评。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3"/>
        </w:numPr>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ilvl w:val="0"/>
          <w:numId w:val="0"/>
        </w:numPr>
        <w:ind w:firstLine="1280" w:firstLineChars="4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ind w:firstLine="1280" w:firstLineChars="4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val="0"/>
          <w:bCs w:val="0"/>
          <w:color w:val="auto"/>
          <w:sz w:val="32"/>
          <w:szCs w:val="32"/>
          <w:lang w:val="en-US" w:eastAsia="zh-CN"/>
        </w:rPr>
        <w:t>本单位无重点项目</w:t>
      </w:r>
      <w:r>
        <w:rPr>
          <w:rFonts w:hint="eastAsia" w:ascii="仿宋_GB2312" w:hAnsi="仿宋_GB2312" w:eastAsia="仿宋_GB2312" w:cs="仿宋_GB2312"/>
          <w:color w:val="auto"/>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left="0" w:leftChars="0" w:firstLine="0" w:firstLineChars="0"/>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单位名称：静乐县青少年校外活动中心</w:t>
      </w:r>
    </w:p>
    <w:p>
      <w:pPr>
        <w:ind w:firstLine="4800" w:firstLineChars="1500"/>
        <w:rPr>
          <w:rFonts w:hint="eastAsia" w:eastAsia="仿宋_GB2312"/>
          <w:color w:val="auto"/>
          <w:lang w:val="en-US" w:eastAsia="zh-CN"/>
        </w:rPr>
      </w:pPr>
      <w:r>
        <w:rPr>
          <w:rFonts w:hint="eastAsia"/>
          <w:color w:val="auto"/>
          <w:lang w:val="en-US" w:eastAsia="zh-CN"/>
        </w:rPr>
        <w:t>二〇二二年六月六</w:t>
      </w:r>
      <w:bookmarkStart w:id="33" w:name="_GoBack"/>
      <w:bookmarkEnd w:id="33"/>
      <w:r>
        <w:rPr>
          <w:rFonts w:hint="eastAsia"/>
          <w:color w:val="auto"/>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BF283"/>
    <w:multiLevelType w:val="singleLevel"/>
    <w:tmpl w:val="62ABF283"/>
    <w:lvl w:ilvl="0" w:tentative="0">
      <w:start w:val="1"/>
      <w:numFmt w:val="chineseCounting"/>
      <w:suff w:val="nothing"/>
      <w:lvlText w:val="%1、"/>
      <w:lvlJc w:val="left"/>
    </w:lvl>
  </w:abstractNum>
  <w:abstractNum w:abstractNumId="3">
    <w:nsid w:val="62AC49F2"/>
    <w:multiLevelType w:val="singleLevel"/>
    <w:tmpl w:val="62AC49F2"/>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7476DFB"/>
    <w:rsid w:val="0EC162C7"/>
    <w:rsid w:val="16654CDD"/>
    <w:rsid w:val="1A4A5C33"/>
    <w:rsid w:val="1D7C267F"/>
    <w:rsid w:val="22EF4974"/>
    <w:rsid w:val="25D1125E"/>
    <w:rsid w:val="2701594C"/>
    <w:rsid w:val="27426717"/>
    <w:rsid w:val="37943B50"/>
    <w:rsid w:val="3821117E"/>
    <w:rsid w:val="42C12CEC"/>
    <w:rsid w:val="44401A62"/>
    <w:rsid w:val="495520D0"/>
    <w:rsid w:val="4A012068"/>
    <w:rsid w:val="53A30631"/>
    <w:rsid w:val="569358E8"/>
    <w:rsid w:val="57DA2ED9"/>
    <w:rsid w:val="5EC01F6A"/>
    <w:rsid w:val="63AB51DF"/>
    <w:rsid w:val="649C6DC9"/>
    <w:rsid w:val="658F1BB3"/>
    <w:rsid w:val="691E5E6A"/>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2022-07-19T04:02:33Z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