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keepLines/>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721" w:firstLineChars="200"/>
        <w:jc w:val="center"/>
        <w:textAlignment w:val="auto"/>
        <w:outlineLvl w:val="0"/>
        <w:rPr>
          <w:rFonts w:hint="eastAsia" w:ascii="华文中宋" w:hAnsi="华文中宋" w:eastAsia="华文中宋"/>
          <w:color w:val="auto"/>
          <w:sz w:val="36"/>
          <w:szCs w:val="36"/>
        </w:rPr>
      </w:pPr>
      <w:bookmarkStart w:id="0" w:name="_Toc31071"/>
      <w:bookmarkStart w:id="1" w:name="_Toc21118"/>
      <w:bookmarkStart w:id="2" w:name="_Toc32048"/>
      <w:r>
        <w:rPr>
          <w:rFonts w:hint="eastAsia" w:ascii="华文中宋" w:hAnsi="华文中宋" w:eastAsia="华文中宋"/>
          <w:color w:val="auto"/>
          <w:sz w:val="36"/>
          <w:szCs w:val="36"/>
          <w:lang w:val="en-US" w:eastAsia="zh-CN"/>
        </w:rPr>
        <w:t>静乐县妇女联合会</w:t>
      </w:r>
      <w:r>
        <w:rPr>
          <w:rFonts w:hint="eastAsia" w:ascii="华文中宋" w:hAnsi="华文中宋" w:eastAsia="华文中宋"/>
          <w:color w:val="auto"/>
          <w:sz w:val="36"/>
          <w:szCs w:val="36"/>
        </w:rPr>
        <w:t>20</w:t>
      </w:r>
      <w:r>
        <w:rPr>
          <w:rFonts w:hint="eastAsia" w:ascii="华文中宋" w:hAnsi="华文中宋" w:eastAsia="华文中宋"/>
          <w:color w:val="auto"/>
          <w:sz w:val="36"/>
          <w:szCs w:val="36"/>
          <w:lang w:val="en-US" w:eastAsia="zh-CN"/>
        </w:rPr>
        <w:t>21</w:t>
      </w:r>
      <w:r>
        <w:rPr>
          <w:rFonts w:hint="eastAsia" w:ascii="华文中宋" w:hAnsi="华文中宋" w:eastAsia="华文中宋"/>
          <w:color w:val="auto"/>
          <w:sz w:val="36"/>
          <w:szCs w:val="36"/>
        </w:rPr>
        <w:t>年度</w:t>
      </w:r>
    </w:p>
    <w:p>
      <w:pPr>
        <w:pStyle w:val="2"/>
        <w:keepNext/>
        <w:keepLines/>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721" w:firstLineChars="200"/>
        <w:jc w:val="center"/>
        <w:textAlignment w:val="auto"/>
        <w:outlineLvl w:val="0"/>
        <w:rPr>
          <w:rFonts w:hint="eastAsia" w:ascii="华文中宋" w:hAnsi="华文中宋" w:eastAsia="华文中宋"/>
          <w:color w:val="auto"/>
          <w:sz w:val="36"/>
          <w:szCs w:val="36"/>
          <w:lang w:val="en-US" w:eastAsia="zh-CN"/>
        </w:rPr>
      </w:pPr>
      <w:r>
        <w:rPr>
          <w:rFonts w:hint="eastAsia" w:ascii="华文中宋" w:hAnsi="华文中宋" w:eastAsia="华文中宋"/>
          <w:color w:val="auto"/>
          <w:sz w:val="36"/>
          <w:szCs w:val="36"/>
        </w:rPr>
        <w:t>部门决算</w:t>
      </w:r>
      <w:r>
        <w:rPr>
          <w:rFonts w:hint="eastAsia" w:ascii="华文中宋" w:hAnsi="华文中宋" w:eastAsia="华文中宋"/>
          <w:color w:val="auto"/>
          <w:sz w:val="36"/>
          <w:szCs w:val="36"/>
          <w:lang w:val="en-US" w:eastAsia="zh-CN"/>
        </w:rPr>
        <w:t>公开说明</w:t>
      </w:r>
      <w:bookmarkEnd w:id="0"/>
      <w:bookmarkEnd w:id="1"/>
      <w:bookmarkEnd w:id="2"/>
    </w:p>
    <w:p>
      <w:pPr>
        <w:pStyle w:val="6"/>
        <w:tabs>
          <w:tab w:val="right" w:leader="dot" w:pos="8306"/>
        </w:tabs>
        <w:rPr>
          <w:color w:val="auto"/>
        </w:rPr>
      </w:pPr>
      <w:r>
        <w:rPr>
          <w:rFonts w:hint="eastAsia" w:ascii="仿宋" w:hAnsi="仿宋" w:eastAsia="仿宋" w:cs="仿宋"/>
          <w:color w:val="auto"/>
          <w:sz w:val="32"/>
          <w:szCs w:val="32"/>
          <w:lang w:val="en-US" w:eastAsia="zh-CN"/>
        </w:rPr>
        <w:fldChar w:fldCharType="begin"/>
      </w:r>
      <w:r>
        <w:rPr>
          <w:rFonts w:hint="eastAsia" w:ascii="仿宋" w:hAnsi="仿宋" w:eastAsia="仿宋" w:cs="仿宋"/>
          <w:color w:val="auto"/>
          <w:sz w:val="32"/>
          <w:szCs w:val="32"/>
          <w:lang w:val="en-US" w:eastAsia="zh-CN"/>
        </w:rPr>
        <w:instrText xml:space="preserve">TOC \o "1-3" \h \u </w:instrText>
      </w:r>
      <w:r>
        <w:rPr>
          <w:rFonts w:hint="eastAsia" w:ascii="仿宋" w:hAnsi="仿宋" w:eastAsia="仿宋" w:cs="仿宋"/>
          <w:color w:val="auto"/>
          <w:sz w:val="32"/>
          <w:szCs w:val="32"/>
          <w:lang w:val="en-US" w:eastAsia="zh-CN"/>
        </w:rPr>
        <w:fldChar w:fldCharType="separate"/>
      </w:r>
      <w:r>
        <w:rPr>
          <w:rFonts w:hint="eastAsia" w:ascii="仿宋" w:hAnsi="仿宋" w:eastAsia="仿宋" w:cs="仿宋"/>
          <w:color w:val="auto"/>
          <w:szCs w:val="32"/>
          <w:lang w:val="en-US" w:eastAsia="zh-CN"/>
        </w:rPr>
        <w:fldChar w:fldCharType="begin"/>
      </w:r>
      <w:r>
        <w:rPr>
          <w:rFonts w:hint="eastAsia" w:ascii="仿宋" w:hAnsi="仿宋" w:eastAsia="仿宋" w:cs="仿宋"/>
          <w:color w:val="auto"/>
          <w:szCs w:val="32"/>
          <w:lang w:val="en-US" w:eastAsia="zh-CN"/>
        </w:rPr>
        <w:instrText xml:space="preserve"> HYPERLINK \l _Toc31140 </w:instrText>
      </w:r>
      <w:r>
        <w:rPr>
          <w:rFonts w:hint="eastAsia" w:ascii="仿宋" w:hAnsi="仿宋" w:eastAsia="仿宋" w:cs="仿宋"/>
          <w:color w:val="auto"/>
          <w:szCs w:val="32"/>
          <w:lang w:val="en-US" w:eastAsia="zh-CN"/>
        </w:rPr>
        <w:fldChar w:fldCharType="separate"/>
      </w:r>
      <w:r>
        <w:rPr>
          <w:rFonts w:hint="eastAsia"/>
          <w:color w:val="auto"/>
          <w:szCs w:val="36"/>
        </w:rPr>
        <w:t>第一部分  概况</w:t>
      </w:r>
      <w:r>
        <w:rPr>
          <w:color w:val="auto"/>
        </w:rPr>
        <w:tab/>
      </w:r>
      <w:r>
        <w:rPr>
          <w:color w:val="auto"/>
        </w:rPr>
        <w:fldChar w:fldCharType="begin"/>
      </w:r>
      <w:r>
        <w:rPr>
          <w:color w:val="auto"/>
        </w:rPr>
        <w:instrText xml:space="preserve"> PAGEREF _Toc31140 </w:instrText>
      </w:r>
      <w:r>
        <w:rPr>
          <w:color w:val="auto"/>
        </w:rPr>
        <w:fldChar w:fldCharType="separate"/>
      </w:r>
      <w:r>
        <w:rPr>
          <w:color w:val="auto"/>
        </w:rPr>
        <w:t>2</w:t>
      </w:r>
      <w:r>
        <w:rPr>
          <w:color w:val="auto"/>
        </w:rPr>
        <w:fldChar w:fldCharType="end"/>
      </w:r>
      <w:r>
        <w:rPr>
          <w:rFonts w:hint="eastAsia" w:ascii="仿宋" w:hAnsi="仿宋" w:eastAsia="仿宋" w:cs="仿宋"/>
          <w:color w:val="auto"/>
          <w:szCs w:val="32"/>
          <w:lang w:val="en-US" w:eastAsia="zh-CN"/>
        </w:rPr>
        <w:fldChar w:fldCharType="end"/>
      </w:r>
    </w:p>
    <w:p>
      <w:pPr>
        <w:pStyle w:val="7"/>
        <w:tabs>
          <w:tab w:val="right" w:leader="dot" w:pos="8306"/>
        </w:tabs>
        <w:rPr>
          <w:color w:val="auto"/>
        </w:rPr>
      </w:pPr>
      <w:r>
        <w:rPr>
          <w:rFonts w:hint="eastAsia" w:ascii="仿宋" w:hAnsi="仿宋" w:eastAsia="仿宋" w:cs="仿宋"/>
          <w:color w:val="auto"/>
          <w:szCs w:val="32"/>
          <w:lang w:val="en-US" w:eastAsia="zh-CN"/>
        </w:rPr>
        <w:fldChar w:fldCharType="begin"/>
      </w:r>
      <w:r>
        <w:rPr>
          <w:rFonts w:hint="eastAsia" w:ascii="仿宋" w:hAnsi="仿宋" w:eastAsia="仿宋" w:cs="仿宋"/>
          <w:color w:val="auto"/>
          <w:szCs w:val="32"/>
          <w:lang w:val="en-US" w:eastAsia="zh-CN"/>
        </w:rPr>
        <w:instrText xml:space="preserve"> HYPERLINK \l _Toc4461 </w:instrText>
      </w:r>
      <w:r>
        <w:rPr>
          <w:rFonts w:hint="eastAsia" w:ascii="仿宋" w:hAnsi="仿宋" w:eastAsia="仿宋" w:cs="仿宋"/>
          <w:color w:val="auto"/>
          <w:szCs w:val="32"/>
          <w:lang w:val="en-US" w:eastAsia="zh-CN"/>
        </w:rPr>
        <w:fldChar w:fldCharType="separate"/>
      </w:r>
      <w:r>
        <w:rPr>
          <w:rFonts w:hint="eastAsia" w:ascii="仿宋" w:hAnsi="仿宋" w:eastAsia="仿宋" w:cs="仿宋"/>
          <w:bCs/>
          <w:color w:val="auto"/>
        </w:rPr>
        <w:t>一、本部门职责</w:t>
      </w:r>
      <w:r>
        <w:rPr>
          <w:color w:val="auto"/>
        </w:rPr>
        <w:tab/>
      </w:r>
      <w:r>
        <w:rPr>
          <w:color w:val="auto"/>
        </w:rPr>
        <w:fldChar w:fldCharType="begin"/>
      </w:r>
      <w:r>
        <w:rPr>
          <w:color w:val="auto"/>
        </w:rPr>
        <w:instrText xml:space="preserve"> PAGEREF _Toc4461 </w:instrText>
      </w:r>
      <w:r>
        <w:rPr>
          <w:color w:val="auto"/>
        </w:rPr>
        <w:fldChar w:fldCharType="separate"/>
      </w:r>
      <w:r>
        <w:rPr>
          <w:color w:val="auto"/>
        </w:rPr>
        <w:t>2</w:t>
      </w:r>
      <w:r>
        <w:rPr>
          <w:color w:val="auto"/>
        </w:rPr>
        <w:fldChar w:fldCharType="end"/>
      </w:r>
      <w:r>
        <w:rPr>
          <w:rFonts w:hint="eastAsia" w:ascii="仿宋" w:hAnsi="仿宋" w:eastAsia="仿宋" w:cs="仿宋"/>
          <w:color w:val="auto"/>
          <w:szCs w:val="32"/>
          <w:lang w:val="en-US" w:eastAsia="zh-CN"/>
        </w:rPr>
        <w:fldChar w:fldCharType="end"/>
      </w:r>
    </w:p>
    <w:p>
      <w:pPr>
        <w:pStyle w:val="7"/>
        <w:tabs>
          <w:tab w:val="right" w:leader="dot" w:pos="8306"/>
        </w:tabs>
        <w:rPr>
          <w:color w:val="auto"/>
        </w:rPr>
      </w:pPr>
      <w:r>
        <w:rPr>
          <w:rFonts w:hint="eastAsia" w:ascii="仿宋" w:hAnsi="仿宋" w:eastAsia="仿宋" w:cs="仿宋"/>
          <w:color w:val="auto"/>
          <w:szCs w:val="32"/>
          <w:lang w:val="en-US" w:eastAsia="zh-CN"/>
        </w:rPr>
        <w:fldChar w:fldCharType="begin"/>
      </w:r>
      <w:r>
        <w:rPr>
          <w:rFonts w:hint="eastAsia" w:ascii="仿宋" w:hAnsi="仿宋" w:eastAsia="仿宋" w:cs="仿宋"/>
          <w:color w:val="auto"/>
          <w:szCs w:val="32"/>
          <w:lang w:val="en-US" w:eastAsia="zh-CN"/>
        </w:rPr>
        <w:instrText xml:space="preserve"> HYPERLINK \l _Toc275 </w:instrText>
      </w:r>
      <w:r>
        <w:rPr>
          <w:rFonts w:hint="eastAsia" w:ascii="仿宋" w:hAnsi="仿宋" w:eastAsia="仿宋" w:cs="仿宋"/>
          <w:color w:val="auto"/>
          <w:szCs w:val="32"/>
          <w:lang w:val="en-US" w:eastAsia="zh-CN"/>
        </w:rPr>
        <w:fldChar w:fldCharType="separate"/>
      </w:r>
      <w:r>
        <w:rPr>
          <w:rFonts w:hint="eastAsia" w:ascii="仿宋" w:hAnsi="仿宋" w:eastAsia="仿宋" w:cs="仿宋"/>
          <w:bCs/>
          <w:color w:val="auto"/>
        </w:rPr>
        <w:t>二、机构设置情况</w:t>
      </w:r>
      <w:r>
        <w:rPr>
          <w:color w:val="auto"/>
        </w:rPr>
        <w:tab/>
      </w:r>
      <w:r>
        <w:rPr>
          <w:color w:val="auto"/>
        </w:rPr>
        <w:fldChar w:fldCharType="begin"/>
      </w:r>
      <w:r>
        <w:rPr>
          <w:color w:val="auto"/>
        </w:rPr>
        <w:instrText xml:space="preserve"> PAGEREF _Toc275 </w:instrText>
      </w:r>
      <w:r>
        <w:rPr>
          <w:color w:val="auto"/>
        </w:rPr>
        <w:fldChar w:fldCharType="separate"/>
      </w:r>
      <w:r>
        <w:rPr>
          <w:color w:val="auto"/>
        </w:rPr>
        <w:t>2</w:t>
      </w:r>
      <w:r>
        <w:rPr>
          <w:color w:val="auto"/>
        </w:rPr>
        <w:fldChar w:fldCharType="end"/>
      </w:r>
      <w:r>
        <w:rPr>
          <w:rFonts w:hint="eastAsia" w:ascii="仿宋" w:hAnsi="仿宋" w:eastAsia="仿宋" w:cs="仿宋"/>
          <w:color w:val="auto"/>
          <w:szCs w:val="32"/>
          <w:lang w:val="en-US" w:eastAsia="zh-CN"/>
        </w:rPr>
        <w:fldChar w:fldCharType="end"/>
      </w:r>
    </w:p>
    <w:p>
      <w:pPr>
        <w:pStyle w:val="6"/>
        <w:tabs>
          <w:tab w:val="right" w:leader="dot" w:pos="8306"/>
        </w:tabs>
        <w:rPr>
          <w:color w:val="auto"/>
        </w:rPr>
      </w:pPr>
      <w:r>
        <w:rPr>
          <w:rFonts w:hint="eastAsia" w:ascii="仿宋" w:hAnsi="仿宋" w:eastAsia="仿宋" w:cs="仿宋"/>
          <w:color w:val="auto"/>
          <w:szCs w:val="32"/>
          <w:lang w:val="en-US" w:eastAsia="zh-CN"/>
        </w:rPr>
        <w:fldChar w:fldCharType="begin"/>
      </w:r>
      <w:r>
        <w:rPr>
          <w:rFonts w:hint="eastAsia" w:ascii="仿宋" w:hAnsi="仿宋" w:eastAsia="仿宋" w:cs="仿宋"/>
          <w:color w:val="auto"/>
          <w:szCs w:val="32"/>
          <w:lang w:val="en-US" w:eastAsia="zh-CN"/>
        </w:rPr>
        <w:instrText xml:space="preserve"> HYPERLINK \l _Toc12749 </w:instrText>
      </w:r>
      <w:r>
        <w:rPr>
          <w:rFonts w:hint="eastAsia" w:ascii="仿宋" w:hAnsi="仿宋" w:eastAsia="仿宋" w:cs="仿宋"/>
          <w:color w:val="auto"/>
          <w:szCs w:val="32"/>
          <w:lang w:val="en-US" w:eastAsia="zh-CN"/>
        </w:rPr>
        <w:fldChar w:fldCharType="separate"/>
      </w:r>
      <w:r>
        <w:rPr>
          <w:rFonts w:hint="eastAsia"/>
          <w:color w:val="auto"/>
          <w:szCs w:val="36"/>
          <w:lang w:val="en-US" w:eastAsia="zh-CN"/>
        </w:rPr>
        <w:t>第二部分  2021年度部门决算报表（附表）</w:t>
      </w:r>
      <w:r>
        <w:rPr>
          <w:color w:val="auto"/>
        </w:rPr>
        <w:tab/>
      </w:r>
      <w:r>
        <w:rPr>
          <w:color w:val="auto"/>
        </w:rPr>
        <w:fldChar w:fldCharType="begin"/>
      </w:r>
      <w:r>
        <w:rPr>
          <w:color w:val="auto"/>
        </w:rPr>
        <w:instrText xml:space="preserve"> PAGEREF _Toc12749 </w:instrText>
      </w:r>
      <w:r>
        <w:rPr>
          <w:color w:val="auto"/>
        </w:rPr>
        <w:fldChar w:fldCharType="separate"/>
      </w:r>
      <w:r>
        <w:rPr>
          <w:color w:val="auto"/>
        </w:rPr>
        <w:t>2</w:t>
      </w:r>
      <w:r>
        <w:rPr>
          <w:color w:val="auto"/>
        </w:rPr>
        <w:fldChar w:fldCharType="end"/>
      </w:r>
      <w:r>
        <w:rPr>
          <w:rFonts w:hint="eastAsia" w:ascii="仿宋" w:hAnsi="仿宋" w:eastAsia="仿宋" w:cs="仿宋"/>
          <w:color w:val="auto"/>
          <w:szCs w:val="32"/>
          <w:lang w:val="en-US" w:eastAsia="zh-CN"/>
        </w:rPr>
        <w:fldChar w:fldCharType="end"/>
      </w:r>
    </w:p>
    <w:p>
      <w:pPr>
        <w:pStyle w:val="6"/>
        <w:tabs>
          <w:tab w:val="right" w:leader="dot" w:pos="8306"/>
        </w:tabs>
        <w:rPr>
          <w:color w:val="auto"/>
        </w:rPr>
      </w:pPr>
      <w:r>
        <w:rPr>
          <w:rFonts w:hint="eastAsia" w:ascii="仿宋" w:hAnsi="仿宋" w:eastAsia="仿宋" w:cs="仿宋"/>
          <w:color w:val="auto"/>
          <w:szCs w:val="32"/>
          <w:lang w:val="en-US" w:eastAsia="zh-CN"/>
        </w:rPr>
        <w:fldChar w:fldCharType="begin"/>
      </w:r>
      <w:r>
        <w:rPr>
          <w:rFonts w:hint="eastAsia" w:ascii="仿宋" w:hAnsi="仿宋" w:eastAsia="仿宋" w:cs="仿宋"/>
          <w:color w:val="auto"/>
          <w:szCs w:val="32"/>
          <w:lang w:val="en-US" w:eastAsia="zh-CN"/>
        </w:rPr>
        <w:instrText xml:space="preserve"> HYPERLINK \l _Toc29325 </w:instrText>
      </w:r>
      <w:r>
        <w:rPr>
          <w:rFonts w:hint="eastAsia" w:ascii="仿宋" w:hAnsi="仿宋" w:eastAsia="仿宋" w:cs="仿宋"/>
          <w:color w:val="auto"/>
          <w:szCs w:val="32"/>
          <w:lang w:val="en-US" w:eastAsia="zh-CN"/>
        </w:rPr>
        <w:fldChar w:fldCharType="separate"/>
      </w:r>
      <w:r>
        <w:rPr>
          <w:rFonts w:hint="eastAsia"/>
          <w:color w:val="auto"/>
          <w:szCs w:val="36"/>
          <w:lang w:val="en-US" w:eastAsia="zh-CN"/>
        </w:rPr>
        <w:t>第三部分  2021年度部门决算情况说明</w:t>
      </w:r>
      <w:r>
        <w:rPr>
          <w:color w:val="auto"/>
        </w:rPr>
        <w:tab/>
      </w:r>
      <w:r>
        <w:rPr>
          <w:color w:val="auto"/>
        </w:rPr>
        <w:fldChar w:fldCharType="begin"/>
      </w:r>
      <w:r>
        <w:rPr>
          <w:color w:val="auto"/>
        </w:rPr>
        <w:instrText xml:space="preserve"> PAGEREF _Toc29325 </w:instrText>
      </w:r>
      <w:r>
        <w:rPr>
          <w:color w:val="auto"/>
        </w:rPr>
        <w:fldChar w:fldCharType="separate"/>
      </w:r>
      <w:r>
        <w:rPr>
          <w:color w:val="auto"/>
        </w:rPr>
        <w:t>3</w:t>
      </w:r>
      <w:r>
        <w:rPr>
          <w:color w:val="auto"/>
        </w:rPr>
        <w:fldChar w:fldCharType="end"/>
      </w:r>
      <w:r>
        <w:rPr>
          <w:rFonts w:hint="eastAsia" w:ascii="仿宋" w:hAnsi="仿宋" w:eastAsia="仿宋" w:cs="仿宋"/>
          <w:color w:val="auto"/>
          <w:szCs w:val="32"/>
          <w:lang w:val="en-US" w:eastAsia="zh-CN"/>
        </w:rPr>
        <w:fldChar w:fldCharType="end"/>
      </w:r>
    </w:p>
    <w:p>
      <w:pPr>
        <w:pStyle w:val="7"/>
        <w:tabs>
          <w:tab w:val="right" w:leader="dot" w:pos="8306"/>
        </w:tabs>
        <w:rPr>
          <w:color w:val="auto"/>
        </w:rPr>
      </w:pPr>
      <w:r>
        <w:rPr>
          <w:rFonts w:hint="eastAsia" w:ascii="仿宋" w:hAnsi="仿宋" w:eastAsia="仿宋" w:cs="仿宋"/>
          <w:color w:val="auto"/>
          <w:szCs w:val="32"/>
          <w:lang w:val="en-US" w:eastAsia="zh-CN"/>
        </w:rPr>
        <w:fldChar w:fldCharType="begin"/>
      </w:r>
      <w:r>
        <w:rPr>
          <w:rFonts w:hint="eastAsia" w:ascii="仿宋" w:hAnsi="仿宋" w:eastAsia="仿宋" w:cs="仿宋"/>
          <w:color w:val="auto"/>
          <w:szCs w:val="32"/>
          <w:lang w:val="en-US" w:eastAsia="zh-CN"/>
        </w:rPr>
        <w:instrText xml:space="preserve"> HYPERLINK \l _Toc437 </w:instrText>
      </w:r>
      <w:r>
        <w:rPr>
          <w:rFonts w:hint="eastAsia" w:ascii="仿宋" w:hAnsi="仿宋" w:eastAsia="仿宋" w:cs="仿宋"/>
          <w:color w:val="auto"/>
          <w:szCs w:val="32"/>
          <w:lang w:val="en-US" w:eastAsia="zh-CN"/>
        </w:rPr>
        <w:fldChar w:fldCharType="separate"/>
      </w:r>
      <w:r>
        <w:rPr>
          <w:rFonts w:hint="eastAsia" w:ascii="仿宋" w:hAnsi="仿宋" w:eastAsia="仿宋" w:cs="仿宋"/>
          <w:bCs w:val="0"/>
          <w:color w:val="auto"/>
          <w:lang w:val="en-US" w:eastAsia="zh-CN"/>
        </w:rPr>
        <w:t>一、收入支出决算总体情况说明</w:t>
      </w:r>
      <w:r>
        <w:rPr>
          <w:color w:val="auto"/>
        </w:rPr>
        <w:tab/>
      </w:r>
      <w:r>
        <w:rPr>
          <w:color w:val="auto"/>
        </w:rPr>
        <w:fldChar w:fldCharType="begin"/>
      </w:r>
      <w:r>
        <w:rPr>
          <w:color w:val="auto"/>
        </w:rPr>
        <w:instrText xml:space="preserve"> PAGEREF _Toc437 </w:instrText>
      </w:r>
      <w:r>
        <w:rPr>
          <w:color w:val="auto"/>
        </w:rPr>
        <w:fldChar w:fldCharType="separate"/>
      </w:r>
      <w:r>
        <w:rPr>
          <w:color w:val="auto"/>
        </w:rPr>
        <w:t>3</w:t>
      </w:r>
      <w:r>
        <w:rPr>
          <w:color w:val="auto"/>
        </w:rPr>
        <w:fldChar w:fldCharType="end"/>
      </w:r>
      <w:r>
        <w:rPr>
          <w:rFonts w:hint="eastAsia" w:ascii="仿宋" w:hAnsi="仿宋" w:eastAsia="仿宋" w:cs="仿宋"/>
          <w:color w:val="auto"/>
          <w:szCs w:val="32"/>
          <w:lang w:val="en-US" w:eastAsia="zh-CN"/>
        </w:rPr>
        <w:fldChar w:fldCharType="end"/>
      </w:r>
    </w:p>
    <w:p>
      <w:pPr>
        <w:pStyle w:val="7"/>
        <w:tabs>
          <w:tab w:val="right" w:leader="dot" w:pos="8306"/>
        </w:tabs>
        <w:rPr>
          <w:color w:val="auto"/>
        </w:rPr>
      </w:pPr>
      <w:r>
        <w:rPr>
          <w:rFonts w:hint="eastAsia" w:ascii="仿宋" w:hAnsi="仿宋" w:eastAsia="仿宋" w:cs="仿宋"/>
          <w:color w:val="auto"/>
          <w:szCs w:val="32"/>
          <w:lang w:val="en-US" w:eastAsia="zh-CN"/>
        </w:rPr>
        <w:fldChar w:fldCharType="begin"/>
      </w:r>
      <w:r>
        <w:rPr>
          <w:rFonts w:hint="eastAsia" w:ascii="仿宋" w:hAnsi="仿宋" w:eastAsia="仿宋" w:cs="仿宋"/>
          <w:color w:val="auto"/>
          <w:szCs w:val="32"/>
          <w:lang w:val="en-US" w:eastAsia="zh-CN"/>
        </w:rPr>
        <w:instrText xml:space="preserve"> HYPERLINK \l _Toc16754 </w:instrText>
      </w:r>
      <w:r>
        <w:rPr>
          <w:rFonts w:hint="eastAsia" w:ascii="仿宋" w:hAnsi="仿宋" w:eastAsia="仿宋" w:cs="仿宋"/>
          <w:color w:val="auto"/>
          <w:szCs w:val="32"/>
          <w:lang w:val="en-US" w:eastAsia="zh-CN"/>
        </w:rPr>
        <w:fldChar w:fldCharType="separate"/>
      </w:r>
      <w:r>
        <w:rPr>
          <w:rFonts w:hint="eastAsia" w:ascii="仿宋" w:hAnsi="仿宋" w:eastAsia="仿宋" w:cs="仿宋"/>
          <w:bCs w:val="0"/>
          <w:color w:val="auto"/>
          <w:lang w:val="en-US" w:eastAsia="zh-CN"/>
        </w:rPr>
        <w:t>二、收入决算情况说明</w:t>
      </w:r>
      <w:r>
        <w:rPr>
          <w:color w:val="auto"/>
        </w:rPr>
        <w:tab/>
      </w:r>
      <w:r>
        <w:rPr>
          <w:color w:val="auto"/>
        </w:rPr>
        <w:fldChar w:fldCharType="begin"/>
      </w:r>
      <w:r>
        <w:rPr>
          <w:color w:val="auto"/>
        </w:rPr>
        <w:instrText xml:space="preserve"> PAGEREF _Toc16754 </w:instrText>
      </w:r>
      <w:r>
        <w:rPr>
          <w:color w:val="auto"/>
        </w:rPr>
        <w:fldChar w:fldCharType="separate"/>
      </w:r>
      <w:r>
        <w:rPr>
          <w:color w:val="auto"/>
        </w:rPr>
        <w:t>3</w:t>
      </w:r>
      <w:r>
        <w:rPr>
          <w:color w:val="auto"/>
        </w:rPr>
        <w:fldChar w:fldCharType="end"/>
      </w:r>
      <w:r>
        <w:rPr>
          <w:rFonts w:hint="eastAsia" w:ascii="仿宋" w:hAnsi="仿宋" w:eastAsia="仿宋" w:cs="仿宋"/>
          <w:color w:val="auto"/>
          <w:szCs w:val="32"/>
          <w:lang w:val="en-US" w:eastAsia="zh-CN"/>
        </w:rPr>
        <w:fldChar w:fldCharType="end"/>
      </w:r>
    </w:p>
    <w:p>
      <w:pPr>
        <w:pStyle w:val="7"/>
        <w:tabs>
          <w:tab w:val="right" w:leader="dot" w:pos="8306"/>
        </w:tabs>
        <w:rPr>
          <w:color w:val="auto"/>
        </w:rPr>
      </w:pPr>
      <w:r>
        <w:rPr>
          <w:rFonts w:hint="eastAsia" w:ascii="仿宋" w:hAnsi="仿宋" w:eastAsia="仿宋" w:cs="仿宋"/>
          <w:color w:val="auto"/>
          <w:szCs w:val="32"/>
          <w:lang w:val="en-US" w:eastAsia="zh-CN"/>
        </w:rPr>
        <w:fldChar w:fldCharType="begin"/>
      </w:r>
      <w:r>
        <w:rPr>
          <w:rFonts w:hint="eastAsia" w:ascii="仿宋" w:hAnsi="仿宋" w:eastAsia="仿宋" w:cs="仿宋"/>
          <w:color w:val="auto"/>
          <w:szCs w:val="32"/>
          <w:lang w:val="en-US" w:eastAsia="zh-CN"/>
        </w:rPr>
        <w:instrText xml:space="preserve"> HYPERLINK \l _Toc22098 </w:instrText>
      </w:r>
      <w:r>
        <w:rPr>
          <w:rFonts w:hint="eastAsia" w:ascii="仿宋" w:hAnsi="仿宋" w:eastAsia="仿宋" w:cs="仿宋"/>
          <w:color w:val="auto"/>
          <w:szCs w:val="32"/>
          <w:lang w:val="en-US" w:eastAsia="zh-CN"/>
        </w:rPr>
        <w:fldChar w:fldCharType="separate"/>
      </w:r>
      <w:r>
        <w:rPr>
          <w:rFonts w:hint="eastAsia" w:ascii="仿宋" w:hAnsi="仿宋" w:eastAsia="仿宋" w:cs="仿宋"/>
          <w:bCs w:val="0"/>
          <w:color w:val="auto"/>
          <w:lang w:val="en-US" w:eastAsia="zh-CN"/>
        </w:rPr>
        <w:t>三、支出决算情况说明</w:t>
      </w:r>
      <w:r>
        <w:rPr>
          <w:color w:val="auto"/>
        </w:rPr>
        <w:tab/>
      </w:r>
      <w:r>
        <w:rPr>
          <w:color w:val="auto"/>
        </w:rPr>
        <w:fldChar w:fldCharType="begin"/>
      </w:r>
      <w:r>
        <w:rPr>
          <w:color w:val="auto"/>
        </w:rPr>
        <w:instrText xml:space="preserve"> PAGEREF _Toc22098 </w:instrText>
      </w:r>
      <w:r>
        <w:rPr>
          <w:color w:val="auto"/>
        </w:rPr>
        <w:fldChar w:fldCharType="separate"/>
      </w:r>
      <w:r>
        <w:rPr>
          <w:color w:val="auto"/>
        </w:rPr>
        <w:t>3</w:t>
      </w:r>
      <w:r>
        <w:rPr>
          <w:color w:val="auto"/>
        </w:rPr>
        <w:fldChar w:fldCharType="end"/>
      </w:r>
      <w:r>
        <w:rPr>
          <w:rFonts w:hint="eastAsia" w:ascii="仿宋" w:hAnsi="仿宋" w:eastAsia="仿宋" w:cs="仿宋"/>
          <w:color w:val="auto"/>
          <w:szCs w:val="32"/>
          <w:lang w:val="en-US" w:eastAsia="zh-CN"/>
        </w:rPr>
        <w:fldChar w:fldCharType="end"/>
      </w:r>
    </w:p>
    <w:p>
      <w:pPr>
        <w:pStyle w:val="7"/>
        <w:tabs>
          <w:tab w:val="right" w:leader="dot" w:pos="8306"/>
        </w:tabs>
        <w:rPr>
          <w:color w:val="auto"/>
        </w:rPr>
      </w:pPr>
      <w:r>
        <w:rPr>
          <w:rFonts w:hint="eastAsia" w:ascii="仿宋" w:hAnsi="仿宋" w:eastAsia="仿宋" w:cs="仿宋"/>
          <w:color w:val="auto"/>
          <w:szCs w:val="32"/>
          <w:lang w:val="en-US" w:eastAsia="zh-CN"/>
        </w:rPr>
        <w:fldChar w:fldCharType="begin"/>
      </w:r>
      <w:r>
        <w:rPr>
          <w:rFonts w:hint="eastAsia" w:ascii="仿宋" w:hAnsi="仿宋" w:eastAsia="仿宋" w:cs="仿宋"/>
          <w:color w:val="auto"/>
          <w:szCs w:val="32"/>
          <w:lang w:val="en-US" w:eastAsia="zh-CN"/>
        </w:rPr>
        <w:instrText xml:space="preserve"> HYPERLINK \l _Toc2142 </w:instrText>
      </w:r>
      <w:r>
        <w:rPr>
          <w:rFonts w:hint="eastAsia" w:ascii="仿宋" w:hAnsi="仿宋" w:eastAsia="仿宋" w:cs="仿宋"/>
          <w:color w:val="auto"/>
          <w:szCs w:val="32"/>
          <w:lang w:val="en-US" w:eastAsia="zh-CN"/>
        </w:rPr>
        <w:fldChar w:fldCharType="separate"/>
      </w:r>
      <w:r>
        <w:rPr>
          <w:rFonts w:hint="eastAsia" w:ascii="仿宋" w:hAnsi="仿宋" w:eastAsia="仿宋" w:cs="仿宋"/>
          <w:bCs w:val="0"/>
          <w:color w:val="auto"/>
          <w:lang w:val="en-US" w:eastAsia="zh-CN"/>
        </w:rPr>
        <w:t>四、财政拨款收入支出决算总体情况说明</w:t>
      </w:r>
      <w:r>
        <w:rPr>
          <w:color w:val="auto"/>
        </w:rPr>
        <w:tab/>
      </w:r>
      <w:r>
        <w:rPr>
          <w:color w:val="auto"/>
        </w:rPr>
        <w:fldChar w:fldCharType="begin"/>
      </w:r>
      <w:r>
        <w:rPr>
          <w:color w:val="auto"/>
        </w:rPr>
        <w:instrText xml:space="preserve"> PAGEREF _Toc2142 </w:instrText>
      </w:r>
      <w:r>
        <w:rPr>
          <w:color w:val="auto"/>
        </w:rPr>
        <w:fldChar w:fldCharType="separate"/>
      </w:r>
      <w:r>
        <w:rPr>
          <w:color w:val="auto"/>
        </w:rPr>
        <w:t>4</w:t>
      </w:r>
      <w:r>
        <w:rPr>
          <w:color w:val="auto"/>
        </w:rPr>
        <w:fldChar w:fldCharType="end"/>
      </w:r>
      <w:r>
        <w:rPr>
          <w:rFonts w:hint="eastAsia" w:ascii="仿宋" w:hAnsi="仿宋" w:eastAsia="仿宋" w:cs="仿宋"/>
          <w:color w:val="auto"/>
          <w:szCs w:val="32"/>
          <w:lang w:val="en-US" w:eastAsia="zh-CN"/>
        </w:rPr>
        <w:fldChar w:fldCharType="end"/>
      </w:r>
    </w:p>
    <w:p>
      <w:pPr>
        <w:pStyle w:val="7"/>
        <w:tabs>
          <w:tab w:val="right" w:leader="dot" w:pos="8306"/>
        </w:tabs>
        <w:rPr>
          <w:color w:val="auto"/>
        </w:rPr>
      </w:pPr>
      <w:r>
        <w:rPr>
          <w:rFonts w:hint="eastAsia" w:ascii="仿宋" w:hAnsi="仿宋" w:eastAsia="仿宋" w:cs="仿宋"/>
          <w:color w:val="auto"/>
          <w:szCs w:val="32"/>
          <w:lang w:val="en-US" w:eastAsia="zh-CN"/>
        </w:rPr>
        <w:fldChar w:fldCharType="begin"/>
      </w:r>
      <w:r>
        <w:rPr>
          <w:rFonts w:hint="eastAsia" w:ascii="仿宋" w:hAnsi="仿宋" w:eastAsia="仿宋" w:cs="仿宋"/>
          <w:color w:val="auto"/>
          <w:szCs w:val="32"/>
          <w:lang w:val="en-US" w:eastAsia="zh-CN"/>
        </w:rPr>
        <w:instrText xml:space="preserve"> HYPERLINK \l _Toc6501 </w:instrText>
      </w:r>
      <w:r>
        <w:rPr>
          <w:rFonts w:hint="eastAsia" w:ascii="仿宋" w:hAnsi="仿宋" w:eastAsia="仿宋" w:cs="仿宋"/>
          <w:color w:val="auto"/>
          <w:szCs w:val="32"/>
          <w:lang w:val="en-US" w:eastAsia="zh-CN"/>
        </w:rPr>
        <w:fldChar w:fldCharType="separate"/>
      </w:r>
      <w:r>
        <w:rPr>
          <w:rFonts w:hint="eastAsia" w:ascii="仿宋" w:hAnsi="仿宋" w:eastAsia="仿宋" w:cs="仿宋"/>
          <w:bCs w:val="0"/>
          <w:color w:val="auto"/>
          <w:lang w:val="en-US" w:eastAsia="zh-CN"/>
        </w:rPr>
        <w:t>五、一般公共预算财政拨款支出决算情况说明</w:t>
      </w:r>
      <w:r>
        <w:rPr>
          <w:color w:val="auto"/>
        </w:rPr>
        <w:tab/>
      </w:r>
      <w:r>
        <w:rPr>
          <w:color w:val="auto"/>
        </w:rPr>
        <w:fldChar w:fldCharType="begin"/>
      </w:r>
      <w:r>
        <w:rPr>
          <w:color w:val="auto"/>
        </w:rPr>
        <w:instrText xml:space="preserve"> PAGEREF _Toc6501 </w:instrText>
      </w:r>
      <w:r>
        <w:rPr>
          <w:color w:val="auto"/>
        </w:rPr>
        <w:fldChar w:fldCharType="separate"/>
      </w:r>
      <w:r>
        <w:rPr>
          <w:color w:val="auto"/>
        </w:rPr>
        <w:t>4</w:t>
      </w:r>
      <w:r>
        <w:rPr>
          <w:color w:val="auto"/>
        </w:rPr>
        <w:fldChar w:fldCharType="end"/>
      </w:r>
      <w:r>
        <w:rPr>
          <w:rFonts w:hint="eastAsia" w:ascii="仿宋" w:hAnsi="仿宋" w:eastAsia="仿宋" w:cs="仿宋"/>
          <w:color w:val="auto"/>
          <w:szCs w:val="32"/>
          <w:lang w:val="en-US" w:eastAsia="zh-CN"/>
        </w:rPr>
        <w:fldChar w:fldCharType="end"/>
      </w:r>
    </w:p>
    <w:p>
      <w:pPr>
        <w:pStyle w:val="7"/>
        <w:tabs>
          <w:tab w:val="right" w:leader="dot" w:pos="8306"/>
        </w:tabs>
        <w:rPr>
          <w:color w:val="auto"/>
        </w:rPr>
      </w:pPr>
      <w:r>
        <w:rPr>
          <w:rFonts w:hint="eastAsia" w:ascii="仿宋" w:hAnsi="仿宋" w:eastAsia="仿宋" w:cs="仿宋"/>
          <w:color w:val="auto"/>
          <w:szCs w:val="32"/>
          <w:lang w:val="en-US" w:eastAsia="zh-CN"/>
        </w:rPr>
        <w:fldChar w:fldCharType="begin"/>
      </w:r>
      <w:r>
        <w:rPr>
          <w:rFonts w:hint="eastAsia" w:ascii="仿宋" w:hAnsi="仿宋" w:eastAsia="仿宋" w:cs="仿宋"/>
          <w:color w:val="auto"/>
          <w:szCs w:val="32"/>
          <w:lang w:val="en-US" w:eastAsia="zh-CN"/>
        </w:rPr>
        <w:instrText xml:space="preserve"> HYPERLINK \l _Toc17728 </w:instrText>
      </w:r>
      <w:r>
        <w:rPr>
          <w:rFonts w:hint="eastAsia" w:ascii="仿宋" w:hAnsi="仿宋" w:eastAsia="仿宋" w:cs="仿宋"/>
          <w:color w:val="auto"/>
          <w:szCs w:val="32"/>
          <w:lang w:val="en-US" w:eastAsia="zh-CN"/>
        </w:rPr>
        <w:fldChar w:fldCharType="separate"/>
      </w:r>
      <w:r>
        <w:rPr>
          <w:rFonts w:hint="eastAsia" w:ascii="仿宋" w:hAnsi="仿宋" w:eastAsia="仿宋" w:cs="仿宋"/>
          <w:bCs w:val="0"/>
          <w:color w:val="auto"/>
          <w:lang w:val="en-US" w:eastAsia="zh-CN"/>
        </w:rPr>
        <w:t>六、一般公共预算财政拨款基本支出决算情况说明</w:t>
      </w:r>
      <w:r>
        <w:rPr>
          <w:color w:val="auto"/>
        </w:rPr>
        <w:tab/>
      </w:r>
      <w:r>
        <w:rPr>
          <w:color w:val="auto"/>
        </w:rPr>
        <w:fldChar w:fldCharType="begin"/>
      </w:r>
      <w:r>
        <w:rPr>
          <w:color w:val="auto"/>
        </w:rPr>
        <w:instrText xml:space="preserve"> PAGEREF _Toc17728 </w:instrText>
      </w:r>
      <w:r>
        <w:rPr>
          <w:color w:val="auto"/>
        </w:rPr>
        <w:fldChar w:fldCharType="separate"/>
      </w:r>
      <w:r>
        <w:rPr>
          <w:color w:val="auto"/>
        </w:rPr>
        <w:t>5</w:t>
      </w:r>
      <w:r>
        <w:rPr>
          <w:color w:val="auto"/>
        </w:rPr>
        <w:fldChar w:fldCharType="end"/>
      </w:r>
      <w:r>
        <w:rPr>
          <w:rFonts w:hint="eastAsia" w:ascii="仿宋" w:hAnsi="仿宋" w:eastAsia="仿宋" w:cs="仿宋"/>
          <w:color w:val="auto"/>
          <w:szCs w:val="32"/>
          <w:lang w:val="en-US" w:eastAsia="zh-CN"/>
        </w:rPr>
        <w:fldChar w:fldCharType="end"/>
      </w:r>
    </w:p>
    <w:p>
      <w:pPr>
        <w:pStyle w:val="7"/>
        <w:tabs>
          <w:tab w:val="right" w:leader="dot" w:pos="8306"/>
        </w:tabs>
        <w:rPr>
          <w:color w:val="auto"/>
        </w:rPr>
      </w:pPr>
      <w:r>
        <w:rPr>
          <w:rFonts w:hint="eastAsia" w:ascii="仿宋" w:hAnsi="仿宋" w:eastAsia="仿宋" w:cs="仿宋"/>
          <w:color w:val="auto"/>
          <w:szCs w:val="32"/>
          <w:lang w:val="en-US" w:eastAsia="zh-CN"/>
        </w:rPr>
        <w:fldChar w:fldCharType="begin"/>
      </w:r>
      <w:r>
        <w:rPr>
          <w:rFonts w:hint="eastAsia" w:ascii="仿宋" w:hAnsi="仿宋" w:eastAsia="仿宋" w:cs="仿宋"/>
          <w:color w:val="auto"/>
          <w:szCs w:val="32"/>
          <w:lang w:val="en-US" w:eastAsia="zh-CN"/>
        </w:rPr>
        <w:instrText xml:space="preserve"> HYPERLINK \l _Toc26508 </w:instrText>
      </w:r>
      <w:r>
        <w:rPr>
          <w:rFonts w:hint="eastAsia" w:ascii="仿宋" w:hAnsi="仿宋" w:eastAsia="仿宋" w:cs="仿宋"/>
          <w:color w:val="auto"/>
          <w:szCs w:val="32"/>
          <w:lang w:val="en-US" w:eastAsia="zh-CN"/>
        </w:rPr>
        <w:fldChar w:fldCharType="separate"/>
      </w:r>
      <w:r>
        <w:rPr>
          <w:rFonts w:hint="eastAsia" w:ascii="仿宋" w:hAnsi="仿宋" w:eastAsia="仿宋" w:cs="仿宋"/>
          <w:bCs w:val="0"/>
          <w:color w:val="auto"/>
          <w:lang w:val="en-US" w:eastAsia="zh-CN"/>
        </w:rPr>
        <w:t>七、一般公共预算财政拨款“三公”经费支出决算情况说明</w:t>
      </w:r>
      <w:r>
        <w:rPr>
          <w:color w:val="auto"/>
        </w:rPr>
        <w:tab/>
      </w:r>
      <w:r>
        <w:rPr>
          <w:color w:val="auto"/>
        </w:rPr>
        <w:fldChar w:fldCharType="begin"/>
      </w:r>
      <w:r>
        <w:rPr>
          <w:color w:val="auto"/>
        </w:rPr>
        <w:instrText xml:space="preserve"> PAGEREF _Toc26508 </w:instrText>
      </w:r>
      <w:r>
        <w:rPr>
          <w:color w:val="auto"/>
        </w:rPr>
        <w:fldChar w:fldCharType="separate"/>
      </w:r>
      <w:r>
        <w:rPr>
          <w:color w:val="auto"/>
        </w:rPr>
        <w:t>5</w:t>
      </w:r>
      <w:r>
        <w:rPr>
          <w:color w:val="auto"/>
        </w:rPr>
        <w:fldChar w:fldCharType="end"/>
      </w:r>
      <w:r>
        <w:rPr>
          <w:rFonts w:hint="eastAsia" w:ascii="仿宋" w:hAnsi="仿宋" w:eastAsia="仿宋" w:cs="仿宋"/>
          <w:color w:val="auto"/>
          <w:szCs w:val="32"/>
          <w:lang w:val="en-US" w:eastAsia="zh-CN"/>
        </w:rPr>
        <w:fldChar w:fldCharType="end"/>
      </w:r>
    </w:p>
    <w:p>
      <w:pPr>
        <w:pStyle w:val="7"/>
        <w:tabs>
          <w:tab w:val="right" w:leader="dot" w:pos="8306"/>
        </w:tabs>
        <w:rPr>
          <w:color w:val="auto"/>
        </w:rPr>
      </w:pPr>
      <w:r>
        <w:rPr>
          <w:rFonts w:hint="eastAsia" w:ascii="仿宋" w:hAnsi="仿宋" w:eastAsia="仿宋" w:cs="仿宋"/>
          <w:color w:val="auto"/>
          <w:szCs w:val="32"/>
          <w:lang w:val="en-US" w:eastAsia="zh-CN"/>
        </w:rPr>
        <w:fldChar w:fldCharType="begin"/>
      </w:r>
      <w:r>
        <w:rPr>
          <w:rFonts w:hint="eastAsia" w:ascii="仿宋" w:hAnsi="仿宋" w:eastAsia="仿宋" w:cs="仿宋"/>
          <w:color w:val="auto"/>
          <w:szCs w:val="32"/>
          <w:lang w:val="en-US" w:eastAsia="zh-CN"/>
        </w:rPr>
        <w:instrText xml:space="preserve"> HYPERLINK \l _Toc1792 </w:instrText>
      </w:r>
      <w:r>
        <w:rPr>
          <w:rFonts w:hint="eastAsia" w:ascii="仿宋" w:hAnsi="仿宋" w:eastAsia="仿宋" w:cs="仿宋"/>
          <w:color w:val="auto"/>
          <w:szCs w:val="32"/>
          <w:lang w:val="en-US" w:eastAsia="zh-CN"/>
        </w:rPr>
        <w:fldChar w:fldCharType="separate"/>
      </w:r>
      <w:r>
        <w:rPr>
          <w:rFonts w:hint="eastAsia" w:ascii="仿宋" w:hAnsi="仿宋" w:eastAsia="仿宋" w:cs="仿宋"/>
          <w:bCs w:val="0"/>
          <w:color w:val="auto"/>
          <w:lang w:val="en-US" w:eastAsia="zh-CN"/>
        </w:rPr>
        <w:t>八、其他重要事项情况说明</w:t>
      </w:r>
      <w:r>
        <w:rPr>
          <w:color w:val="auto"/>
        </w:rPr>
        <w:tab/>
      </w:r>
      <w:r>
        <w:rPr>
          <w:color w:val="auto"/>
        </w:rPr>
        <w:fldChar w:fldCharType="begin"/>
      </w:r>
      <w:r>
        <w:rPr>
          <w:color w:val="auto"/>
        </w:rPr>
        <w:instrText xml:space="preserve"> PAGEREF _Toc1792 </w:instrText>
      </w:r>
      <w:r>
        <w:rPr>
          <w:color w:val="auto"/>
        </w:rPr>
        <w:fldChar w:fldCharType="separate"/>
      </w:r>
      <w:r>
        <w:rPr>
          <w:color w:val="auto"/>
        </w:rPr>
        <w:t>6</w:t>
      </w:r>
      <w:r>
        <w:rPr>
          <w:color w:val="auto"/>
        </w:rPr>
        <w:fldChar w:fldCharType="end"/>
      </w:r>
      <w:r>
        <w:rPr>
          <w:rFonts w:hint="eastAsia" w:ascii="仿宋" w:hAnsi="仿宋" w:eastAsia="仿宋" w:cs="仿宋"/>
          <w:color w:val="auto"/>
          <w:szCs w:val="32"/>
          <w:lang w:val="en-US" w:eastAsia="zh-CN"/>
        </w:rPr>
        <w:fldChar w:fldCharType="end"/>
      </w:r>
    </w:p>
    <w:p>
      <w:pPr>
        <w:pStyle w:val="6"/>
        <w:tabs>
          <w:tab w:val="right" w:leader="dot" w:pos="8306"/>
        </w:tabs>
        <w:rPr>
          <w:color w:val="auto"/>
        </w:rPr>
      </w:pPr>
      <w:r>
        <w:rPr>
          <w:rFonts w:hint="eastAsia" w:ascii="仿宋" w:hAnsi="仿宋" w:eastAsia="仿宋" w:cs="仿宋"/>
          <w:color w:val="auto"/>
          <w:szCs w:val="32"/>
          <w:lang w:val="en-US" w:eastAsia="zh-CN"/>
        </w:rPr>
        <w:fldChar w:fldCharType="begin"/>
      </w:r>
      <w:r>
        <w:rPr>
          <w:rFonts w:hint="eastAsia" w:ascii="仿宋" w:hAnsi="仿宋" w:eastAsia="仿宋" w:cs="仿宋"/>
          <w:color w:val="auto"/>
          <w:szCs w:val="32"/>
          <w:lang w:val="en-US" w:eastAsia="zh-CN"/>
        </w:rPr>
        <w:instrText xml:space="preserve"> HYPERLINK \l _Toc28108 </w:instrText>
      </w:r>
      <w:r>
        <w:rPr>
          <w:rFonts w:hint="eastAsia" w:ascii="仿宋" w:hAnsi="仿宋" w:eastAsia="仿宋" w:cs="仿宋"/>
          <w:color w:val="auto"/>
          <w:szCs w:val="32"/>
          <w:lang w:val="en-US" w:eastAsia="zh-CN"/>
        </w:rPr>
        <w:fldChar w:fldCharType="separate"/>
      </w:r>
      <w:r>
        <w:rPr>
          <w:rFonts w:hint="eastAsia" w:ascii="仿宋_GB2312" w:eastAsia="仿宋_GB2312"/>
          <w:color w:val="auto"/>
          <w:szCs w:val="32"/>
          <w:lang w:val="en-US" w:eastAsia="zh-CN"/>
        </w:rPr>
        <w:t xml:space="preserve">（四） </w:t>
      </w:r>
      <w:r>
        <w:rPr>
          <w:rFonts w:hint="eastAsia" w:ascii="仿宋_GB2312"/>
          <w:color w:val="auto"/>
          <w:szCs w:val="32"/>
        </w:rPr>
        <w:t>其他需要说明的事项</w:t>
      </w:r>
      <w:r>
        <w:rPr>
          <w:color w:val="auto"/>
        </w:rPr>
        <w:tab/>
      </w:r>
      <w:r>
        <w:rPr>
          <w:color w:val="auto"/>
        </w:rPr>
        <w:fldChar w:fldCharType="begin"/>
      </w:r>
      <w:r>
        <w:rPr>
          <w:color w:val="auto"/>
        </w:rPr>
        <w:instrText xml:space="preserve"> PAGEREF _Toc28108 </w:instrText>
      </w:r>
      <w:r>
        <w:rPr>
          <w:color w:val="auto"/>
        </w:rPr>
        <w:fldChar w:fldCharType="separate"/>
      </w:r>
      <w:r>
        <w:rPr>
          <w:color w:val="auto"/>
        </w:rPr>
        <w:t>6</w:t>
      </w:r>
      <w:r>
        <w:rPr>
          <w:color w:val="auto"/>
        </w:rPr>
        <w:fldChar w:fldCharType="end"/>
      </w:r>
      <w:r>
        <w:rPr>
          <w:rFonts w:hint="eastAsia" w:ascii="仿宋" w:hAnsi="仿宋" w:eastAsia="仿宋" w:cs="仿宋"/>
          <w:color w:val="auto"/>
          <w:szCs w:val="32"/>
          <w:lang w:val="en-US" w:eastAsia="zh-CN"/>
        </w:rPr>
        <w:fldChar w:fldCharType="end"/>
      </w:r>
    </w:p>
    <w:p>
      <w:pPr>
        <w:pStyle w:val="6"/>
        <w:tabs>
          <w:tab w:val="right" w:leader="dot" w:pos="8306"/>
        </w:tabs>
        <w:rPr>
          <w:color w:val="auto"/>
        </w:rPr>
      </w:pPr>
      <w:r>
        <w:rPr>
          <w:rFonts w:hint="eastAsia" w:ascii="仿宋" w:hAnsi="仿宋" w:eastAsia="仿宋" w:cs="仿宋"/>
          <w:color w:val="auto"/>
          <w:szCs w:val="32"/>
          <w:lang w:val="en-US" w:eastAsia="zh-CN"/>
        </w:rPr>
        <w:fldChar w:fldCharType="begin"/>
      </w:r>
      <w:r>
        <w:rPr>
          <w:rFonts w:hint="eastAsia" w:ascii="仿宋" w:hAnsi="仿宋" w:eastAsia="仿宋" w:cs="仿宋"/>
          <w:color w:val="auto"/>
          <w:szCs w:val="32"/>
          <w:lang w:val="en-US" w:eastAsia="zh-CN"/>
        </w:rPr>
        <w:instrText xml:space="preserve"> HYPERLINK \l _Toc8545 </w:instrText>
      </w:r>
      <w:r>
        <w:rPr>
          <w:rFonts w:hint="eastAsia" w:ascii="仿宋" w:hAnsi="仿宋" w:eastAsia="仿宋" w:cs="仿宋"/>
          <w:color w:val="auto"/>
          <w:szCs w:val="32"/>
          <w:lang w:val="en-US" w:eastAsia="zh-CN"/>
        </w:rPr>
        <w:fldChar w:fldCharType="separate"/>
      </w:r>
      <w:r>
        <w:rPr>
          <w:rFonts w:hint="eastAsia"/>
          <w:color w:val="auto"/>
          <w:szCs w:val="36"/>
          <w:lang w:val="en-US" w:eastAsia="zh-CN"/>
        </w:rPr>
        <w:t>第四部分  名词解释</w:t>
      </w:r>
      <w:r>
        <w:rPr>
          <w:color w:val="auto"/>
        </w:rPr>
        <w:tab/>
      </w:r>
      <w:r>
        <w:rPr>
          <w:color w:val="auto"/>
        </w:rPr>
        <w:fldChar w:fldCharType="begin"/>
      </w:r>
      <w:r>
        <w:rPr>
          <w:color w:val="auto"/>
        </w:rPr>
        <w:instrText xml:space="preserve"> PAGEREF _Toc8545 </w:instrText>
      </w:r>
      <w:r>
        <w:rPr>
          <w:color w:val="auto"/>
        </w:rPr>
        <w:fldChar w:fldCharType="separate"/>
      </w:r>
      <w:r>
        <w:rPr>
          <w:color w:val="auto"/>
        </w:rPr>
        <w:t>7</w:t>
      </w:r>
      <w:r>
        <w:rPr>
          <w:color w:val="auto"/>
        </w:rPr>
        <w:fldChar w:fldCharType="end"/>
      </w:r>
      <w:r>
        <w:rPr>
          <w:rFonts w:hint="eastAsia" w:ascii="仿宋" w:hAnsi="仿宋" w:eastAsia="仿宋" w:cs="仿宋"/>
          <w:color w:val="auto"/>
          <w:szCs w:val="32"/>
          <w:lang w:val="en-US" w:eastAsia="zh-CN"/>
        </w:rPr>
        <w:fldChar w:fldCharType="end"/>
      </w:r>
    </w:p>
    <w:p>
      <w:pPr>
        <w:ind w:firstLine="880"/>
        <w:jc w:val="center"/>
        <w:rPr>
          <w:rFonts w:hint="eastAsia" w:ascii="仿宋" w:hAnsi="仿宋" w:eastAsia="仿宋" w:cs="仿宋"/>
          <w:color w:val="auto"/>
          <w:sz w:val="32"/>
          <w:szCs w:val="32"/>
          <w:lang w:val="en-US" w:eastAsia="zh-CN"/>
        </w:rPr>
      </w:pPr>
      <w:r>
        <w:rPr>
          <w:rFonts w:hint="eastAsia" w:ascii="仿宋" w:hAnsi="仿宋" w:eastAsia="仿宋" w:cs="仿宋"/>
          <w:color w:val="auto"/>
          <w:szCs w:val="32"/>
          <w:lang w:val="en-US" w:eastAsia="zh-CN"/>
        </w:rPr>
        <w:fldChar w:fldCharType="end"/>
      </w:r>
    </w:p>
    <w:p>
      <w:pPr>
        <w:pStyle w:val="2"/>
        <w:ind w:left="0" w:leftChars="0" w:firstLine="0" w:firstLineChars="0"/>
        <w:jc w:val="center"/>
        <w:rPr>
          <w:rFonts w:hint="eastAsia"/>
          <w:b/>
          <w:bCs w:val="0"/>
          <w:color w:val="auto"/>
          <w:szCs w:val="36"/>
        </w:rPr>
      </w:pPr>
      <w:bookmarkStart w:id="3" w:name="_Toc23288"/>
      <w:bookmarkStart w:id="4" w:name="_Toc31140"/>
      <w:r>
        <w:rPr>
          <w:rFonts w:hint="eastAsia"/>
          <w:color w:val="auto"/>
          <w:sz w:val="36"/>
          <w:szCs w:val="36"/>
        </w:rPr>
        <w:t>第一部分  概况</w:t>
      </w:r>
      <w:bookmarkEnd w:id="3"/>
      <w:bookmarkEnd w:id="4"/>
    </w:p>
    <w:p>
      <w:pPr>
        <w:pStyle w:val="3"/>
        <w:keepNext/>
        <w:keepLines/>
        <w:pageBreakBefore w:val="0"/>
        <w:widowControl w:val="0"/>
        <w:numPr>
          <w:ilvl w:val="0"/>
          <w:numId w:val="1"/>
        </w:numPr>
        <w:kinsoku/>
        <w:wordWrap/>
        <w:overflowPunct/>
        <w:topLinePunct w:val="0"/>
        <w:autoSpaceDE/>
        <w:autoSpaceDN/>
        <w:bidi w:val="0"/>
        <w:adjustRightInd/>
        <w:snapToGrid/>
        <w:spacing w:before="0" w:beforeLines="0" w:after="0" w:afterLines="0" w:line="413" w:lineRule="auto"/>
        <w:ind w:left="0" w:leftChars="0" w:right="0" w:rightChars="0" w:firstLine="640" w:firstLineChars="200"/>
        <w:jc w:val="both"/>
        <w:textAlignment w:val="auto"/>
        <w:outlineLvl w:val="1"/>
        <w:rPr>
          <w:rFonts w:hint="eastAsia" w:ascii="仿宋" w:hAnsi="仿宋" w:eastAsia="仿宋" w:cs="仿宋"/>
          <w:b w:val="0"/>
          <w:bCs/>
          <w:color w:val="auto"/>
        </w:rPr>
      </w:pPr>
      <w:bookmarkStart w:id="5" w:name="_Toc4461"/>
      <w:bookmarkStart w:id="6" w:name="_Toc24066"/>
      <w:r>
        <w:rPr>
          <w:rFonts w:hint="eastAsia" w:ascii="仿宋" w:hAnsi="仿宋" w:eastAsia="仿宋" w:cs="仿宋"/>
          <w:b w:val="0"/>
          <w:bCs/>
          <w:color w:val="auto"/>
        </w:rPr>
        <w:t>本部门职责</w:t>
      </w:r>
      <w:bookmarkEnd w:id="5"/>
      <w:bookmarkEnd w:id="6"/>
    </w:p>
    <w:p>
      <w:pPr>
        <w:numPr>
          <w:ilvl w:val="0"/>
          <w:numId w:val="0"/>
        </w:numPr>
        <w:ind w:firstLine="640" w:firstLineChars="200"/>
        <w:rPr>
          <w:rFonts w:hint="eastAsia"/>
          <w:color w:val="auto"/>
        </w:rPr>
      </w:pPr>
      <w:r>
        <w:rPr>
          <w:rFonts w:hint="eastAsia" w:ascii="仿宋" w:hAnsi="仿宋" w:eastAsia="仿宋" w:cs="仿宋"/>
          <w:color w:val="auto"/>
          <w:sz w:val="32"/>
          <w:szCs w:val="32"/>
          <w:lang w:eastAsia="zh-CN"/>
        </w:rPr>
        <w:t>坚定不移走中国特色社会主义妇女发展道路，引领广大妇女听党话跟党走。团结动员广大妇女投身经济、政治、文化、社会和生态文明建设，宣传表彰优秀妇女典型，培养、推荐女性人才。维护妇女儿童合法权益。推进家庭文明建设，促进家庭和谐、社会稳定。</w:t>
      </w:r>
    </w:p>
    <w:p>
      <w:pPr>
        <w:pStyle w:val="3"/>
        <w:keepNext/>
        <w:keepLines/>
        <w:pageBreakBefore w:val="0"/>
        <w:widowControl w:val="0"/>
        <w:numPr>
          <w:ilvl w:val="0"/>
          <w:numId w:val="1"/>
        </w:numPr>
        <w:kinsoku/>
        <w:wordWrap/>
        <w:overflowPunct/>
        <w:topLinePunct w:val="0"/>
        <w:autoSpaceDE/>
        <w:autoSpaceDN/>
        <w:bidi w:val="0"/>
        <w:adjustRightInd/>
        <w:snapToGrid/>
        <w:spacing w:before="20" w:beforeLines="0" w:after="20" w:afterLines="0" w:line="413" w:lineRule="auto"/>
        <w:ind w:left="0" w:leftChars="0" w:right="0" w:rightChars="0" w:firstLine="640" w:firstLineChars="200"/>
        <w:jc w:val="both"/>
        <w:textAlignment w:val="auto"/>
        <w:outlineLvl w:val="1"/>
        <w:rPr>
          <w:rFonts w:hint="eastAsia" w:ascii="仿宋" w:hAnsi="仿宋" w:eastAsia="仿宋" w:cs="仿宋"/>
          <w:b w:val="0"/>
          <w:bCs/>
          <w:color w:val="auto"/>
        </w:rPr>
      </w:pPr>
      <w:bookmarkStart w:id="7" w:name="_Toc275"/>
      <w:bookmarkStart w:id="8" w:name="_Toc9155"/>
      <w:r>
        <w:rPr>
          <w:rFonts w:hint="eastAsia" w:ascii="仿宋" w:hAnsi="仿宋" w:eastAsia="仿宋" w:cs="仿宋"/>
          <w:b w:val="0"/>
          <w:bCs/>
          <w:color w:val="auto"/>
        </w:rPr>
        <w:t>机构设置情况</w:t>
      </w:r>
      <w:bookmarkEnd w:id="7"/>
      <w:bookmarkEnd w:id="8"/>
    </w:p>
    <w:p>
      <w:pPr>
        <w:pStyle w:val="8"/>
        <w:numPr>
          <w:ilvl w:val="0"/>
          <w:numId w:val="0"/>
        </w:numPr>
        <w:spacing w:before="0" w:beforeAutospacing="0" w:after="0" w:afterAutospacing="0"/>
        <w:ind w:firstLine="640" w:firstLineChars="200"/>
        <w:rPr>
          <w:rFonts w:hint="eastAsia"/>
          <w:color w:val="auto"/>
        </w:rPr>
      </w:pPr>
      <w:r>
        <w:rPr>
          <w:rFonts w:hint="eastAsia" w:ascii="仿宋_GB2312"/>
          <w:color w:val="auto"/>
          <w:sz w:val="32"/>
          <w:szCs w:val="32"/>
          <w:lang w:val="en-US" w:eastAsia="zh-CN"/>
        </w:rPr>
        <w:t>2021年本部门</w:t>
      </w:r>
      <w:r>
        <w:rPr>
          <w:rFonts w:hint="eastAsia" w:ascii="仿宋_GB2312" w:eastAsia="仿宋_GB2312"/>
          <w:color w:val="auto"/>
          <w:sz w:val="32"/>
          <w:szCs w:val="32"/>
        </w:rPr>
        <w:t>人员编制</w:t>
      </w:r>
      <w:r>
        <w:rPr>
          <w:rFonts w:hint="eastAsia" w:ascii="仿宋_GB2312"/>
          <w:color w:val="auto"/>
          <w:sz w:val="32"/>
          <w:szCs w:val="32"/>
          <w:lang w:val="en-US" w:eastAsia="zh-CN"/>
        </w:rPr>
        <w:t>5</w:t>
      </w:r>
      <w:r>
        <w:rPr>
          <w:rFonts w:hint="eastAsia" w:ascii="仿宋_GB2312" w:eastAsia="仿宋_GB2312"/>
          <w:color w:val="auto"/>
          <w:sz w:val="32"/>
          <w:szCs w:val="32"/>
        </w:rPr>
        <w:t>人，</w:t>
      </w:r>
      <w:r>
        <w:rPr>
          <w:rFonts w:hint="eastAsia" w:ascii="仿宋_GB2312"/>
          <w:color w:val="auto"/>
          <w:sz w:val="32"/>
          <w:szCs w:val="32"/>
          <w:lang w:val="en-US" w:eastAsia="zh-CN"/>
        </w:rPr>
        <w:t>为行政参公人员</w:t>
      </w:r>
      <w:r>
        <w:rPr>
          <w:rFonts w:hint="eastAsia" w:ascii="仿宋_GB2312" w:eastAsia="仿宋_GB2312"/>
          <w:color w:val="auto"/>
          <w:sz w:val="32"/>
          <w:szCs w:val="32"/>
        </w:rPr>
        <w:t>，单位实有人员</w:t>
      </w:r>
      <w:r>
        <w:rPr>
          <w:rFonts w:hint="eastAsia" w:ascii="仿宋_GB2312" w:eastAsia="仿宋_GB2312"/>
          <w:color w:val="auto"/>
          <w:sz w:val="32"/>
          <w:szCs w:val="32"/>
          <w:lang w:val="en-US" w:eastAsia="zh-CN"/>
        </w:rPr>
        <w:t>4</w:t>
      </w:r>
      <w:r>
        <w:rPr>
          <w:rFonts w:hint="eastAsia" w:ascii="仿宋_GB2312" w:eastAsia="仿宋_GB2312"/>
          <w:color w:val="auto"/>
          <w:sz w:val="32"/>
          <w:szCs w:val="32"/>
        </w:rPr>
        <w:t>人，</w:t>
      </w:r>
      <w:r>
        <w:rPr>
          <w:rFonts w:hint="eastAsia" w:ascii="仿宋_GB2312"/>
          <w:color w:val="auto"/>
          <w:sz w:val="32"/>
          <w:szCs w:val="32"/>
          <w:lang w:val="en-US" w:eastAsia="zh-CN"/>
        </w:rPr>
        <w:t>行政参公人员</w:t>
      </w:r>
      <w:r>
        <w:rPr>
          <w:rFonts w:hint="eastAsia" w:ascii="仿宋_GB2312" w:eastAsia="仿宋_GB2312"/>
          <w:color w:val="auto"/>
          <w:sz w:val="32"/>
          <w:szCs w:val="32"/>
          <w:lang w:val="en-US" w:eastAsia="zh-CN"/>
        </w:rPr>
        <w:t>4</w:t>
      </w:r>
      <w:r>
        <w:rPr>
          <w:rFonts w:hint="eastAsia" w:ascii="仿宋_GB2312" w:eastAsia="仿宋_GB2312"/>
          <w:color w:val="auto"/>
          <w:sz w:val="32"/>
          <w:szCs w:val="32"/>
        </w:rPr>
        <w:t>人。内设股室有</w:t>
      </w:r>
      <w:r>
        <w:rPr>
          <w:rFonts w:hint="eastAsia" w:ascii="仿宋_GB2312" w:eastAsia="仿宋_GB2312"/>
          <w:color w:val="auto"/>
          <w:sz w:val="32"/>
          <w:szCs w:val="32"/>
          <w:lang w:val="en-US" w:eastAsia="zh-CN"/>
        </w:rPr>
        <w:t>:</w:t>
      </w:r>
      <w:r>
        <w:rPr>
          <w:rFonts w:hint="eastAsia" w:ascii="仿宋_GB2312"/>
          <w:color w:val="auto"/>
          <w:sz w:val="32"/>
          <w:szCs w:val="32"/>
          <w:lang w:val="en-US" w:eastAsia="zh-CN"/>
        </w:rPr>
        <w:t>家庭儿童发展服务中心。</w:t>
      </w:r>
    </w:p>
    <w:p>
      <w:pPr>
        <w:pStyle w:val="2"/>
        <w:rPr>
          <w:rFonts w:hint="eastAsia"/>
          <w:b/>
          <w:bCs w:val="0"/>
          <w:color w:val="auto"/>
          <w:sz w:val="36"/>
          <w:szCs w:val="36"/>
          <w:lang w:val="en-US" w:eastAsia="zh-CN"/>
        </w:rPr>
      </w:pPr>
      <w:bookmarkStart w:id="9" w:name="_Toc12749"/>
      <w:r>
        <w:rPr>
          <w:rFonts w:hint="eastAsia"/>
          <w:b/>
          <w:color w:val="auto"/>
          <w:sz w:val="36"/>
          <w:szCs w:val="36"/>
          <w:lang w:val="en-US" w:eastAsia="zh-CN"/>
        </w:rPr>
        <w:t>第二部分  2021年度部门决算报表（附表）</w:t>
      </w:r>
      <w:bookmarkEnd w:id="9"/>
    </w:p>
    <w:p>
      <w:pPr>
        <w:ind w:firstLine="640"/>
        <w:rPr>
          <w:rFonts w:hint="eastAsia" w:ascii="仿宋_GB2312" w:hAnsi="楷体"/>
          <w:color w:val="auto"/>
          <w:szCs w:val="32"/>
        </w:rPr>
      </w:pPr>
      <w:r>
        <w:rPr>
          <w:rFonts w:hint="eastAsia" w:ascii="仿宋_GB2312" w:hAnsi="楷体"/>
          <w:color w:val="auto"/>
          <w:szCs w:val="32"/>
        </w:rPr>
        <w:t>一、收入支出决算总表</w:t>
      </w:r>
    </w:p>
    <w:p>
      <w:pPr>
        <w:ind w:firstLine="640"/>
        <w:rPr>
          <w:rFonts w:hint="eastAsia" w:ascii="仿宋_GB2312" w:hAnsi="楷体"/>
          <w:color w:val="auto"/>
          <w:szCs w:val="32"/>
        </w:rPr>
      </w:pPr>
      <w:r>
        <w:rPr>
          <w:rFonts w:hint="eastAsia" w:ascii="仿宋_GB2312" w:hAnsi="楷体"/>
          <w:color w:val="auto"/>
          <w:szCs w:val="32"/>
        </w:rPr>
        <w:t>二、收入决算表</w:t>
      </w:r>
    </w:p>
    <w:p>
      <w:pPr>
        <w:ind w:firstLine="640"/>
        <w:rPr>
          <w:rFonts w:hint="eastAsia" w:ascii="仿宋_GB2312" w:hAnsi="楷体"/>
          <w:color w:val="auto"/>
          <w:szCs w:val="32"/>
        </w:rPr>
      </w:pPr>
      <w:r>
        <w:rPr>
          <w:rFonts w:hint="eastAsia" w:ascii="仿宋_GB2312" w:hAnsi="楷体"/>
          <w:color w:val="auto"/>
          <w:szCs w:val="32"/>
        </w:rPr>
        <w:t>三、支出决算表</w:t>
      </w:r>
    </w:p>
    <w:p>
      <w:pPr>
        <w:ind w:firstLine="640"/>
        <w:rPr>
          <w:rFonts w:hint="eastAsia" w:ascii="仿宋_GB2312" w:hAnsi="楷体"/>
          <w:color w:val="auto"/>
          <w:szCs w:val="32"/>
        </w:rPr>
      </w:pPr>
      <w:r>
        <w:rPr>
          <w:rFonts w:hint="eastAsia" w:ascii="仿宋_GB2312" w:hAnsi="楷体"/>
          <w:color w:val="auto"/>
          <w:szCs w:val="32"/>
        </w:rPr>
        <w:t>四、财政拨款收入支出决算总表</w:t>
      </w:r>
    </w:p>
    <w:p>
      <w:pPr>
        <w:ind w:firstLine="640"/>
        <w:rPr>
          <w:rFonts w:hint="eastAsia" w:ascii="仿宋_GB2312" w:hAnsi="楷体"/>
          <w:color w:val="auto"/>
          <w:szCs w:val="32"/>
        </w:rPr>
      </w:pPr>
      <w:r>
        <w:rPr>
          <w:rFonts w:hint="eastAsia" w:ascii="仿宋_GB2312" w:hAnsi="楷体"/>
          <w:color w:val="auto"/>
          <w:szCs w:val="32"/>
        </w:rPr>
        <w:t>五、一般公共预算财政拨款支出决算表（一）</w:t>
      </w:r>
    </w:p>
    <w:p>
      <w:pPr>
        <w:ind w:firstLine="640"/>
        <w:rPr>
          <w:rFonts w:hint="eastAsia" w:ascii="仿宋_GB2312" w:hAnsi="楷体"/>
          <w:color w:val="auto"/>
          <w:szCs w:val="32"/>
        </w:rPr>
      </w:pPr>
      <w:r>
        <w:rPr>
          <w:rFonts w:hint="eastAsia" w:ascii="仿宋_GB2312" w:hAnsi="楷体"/>
          <w:color w:val="auto"/>
          <w:szCs w:val="32"/>
        </w:rPr>
        <w:t>六、一般公共预算财政拨款支出决算表（二）</w:t>
      </w:r>
    </w:p>
    <w:p>
      <w:pPr>
        <w:ind w:firstLine="640"/>
        <w:rPr>
          <w:rFonts w:hint="eastAsia" w:ascii="仿宋_GB2312" w:hAnsi="楷体"/>
          <w:color w:val="auto"/>
          <w:szCs w:val="32"/>
        </w:rPr>
      </w:pPr>
      <w:r>
        <w:rPr>
          <w:rFonts w:hint="eastAsia" w:ascii="仿宋_GB2312" w:hAnsi="楷体"/>
          <w:color w:val="auto"/>
          <w:szCs w:val="32"/>
        </w:rPr>
        <w:t>七、一般公共预算财政拨款“三公”经费支出决算表</w:t>
      </w:r>
    </w:p>
    <w:p>
      <w:pPr>
        <w:ind w:firstLine="640"/>
        <w:rPr>
          <w:rFonts w:ascii="仿宋_GB2312" w:hAnsi="楷体"/>
          <w:color w:val="auto"/>
          <w:szCs w:val="32"/>
        </w:rPr>
      </w:pPr>
      <w:r>
        <w:rPr>
          <w:rFonts w:hint="eastAsia" w:ascii="仿宋_GB2312" w:hAnsi="楷体"/>
          <w:color w:val="auto"/>
          <w:szCs w:val="32"/>
        </w:rPr>
        <w:t>八、政府性基金预算财政拨款收入支出决算表</w:t>
      </w:r>
    </w:p>
    <w:p>
      <w:pPr>
        <w:ind w:firstLine="640"/>
        <w:rPr>
          <w:rFonts w:hint="eastAsia" w:ascii="仿宋_GB2312" w:hAnsi="楷体"/>
          <w:color w:val="auto"/>
          <w:szCs w:val="32"/>
        </w:rPr>
      </w:pPr>
      <w:r>
        <w:rPr>
          <w:rFonts w:hint="eastAsia" w:ascii="仿宋_GB2312" w:hAnsi="楷体"/>
          <w:color w:val="auto"/>
          <w:szCs w:val="32"/>
        </w:rPr>
        <w:t>九、国有资本经营预算财政拨款支出决算表</w:t>
      </w:r>
    </w:p>
    <w:p>
      <w:pPr>
        <w:ind w:firstLine="640"/>
        <w:rPr>
          <w:rFonts w:hint="eastAsia" w:ascii="仿宋_GB2312" w:hAnsi="楷体"/>
          <w:color w:val="auto"/>
          <w:szCs w:val="32"/>
        </w:rPr>
      </w:pPr>
      <w:r>
        <w:rPr>
          <w:rFonts w:hint="eastAsia" w:ascii="仿宋_GB2312" w:hAnsi="楷体"/>
          <w:color w:val="auto"/>
          <w:szCs w:val="32"/>
        </w:rPr>
        <w:t>十、部门决算公开相关信息统计表</w:t>
      </w:r>
    </w:p>
    <w:p>
      <w:pPr>
        <w:pStyle w:val="2"/>
        <w:ind w:left="0" w:leftChars="0" w:firstLine="0" w:firstLineChars="0"/>
        <w:jc w:val="center"/>
        <w:rPr>
          <w:rFonts w:hint="eastAsia"/>
          <w:b/>
          <w:color w:val="auto"/>
          <w:sz w:val="36"/>
          <w:szCs w:val="36"/>
          <w:lang w:val="en-US" w:eastAsia="zh-CN"/>
        </w:rPr>
      </w:pPr>
      <w:bookmarkStart w:id="10" w:name="_Toc29325"/>
      <w:r>
        <w:rPr>
          <w:rFonts w:hint="eastAsia"/>
          <w:b/>
          <w:color w:val="auto"/>
          <w:sz w:val="36"/>
          <w:szCs w:val="36"/>
          <w:lang w:val="en-US" w:eastAsia="zh-CN"/>
        </w:rPr>
        <w:t>第三部分  2021年度部门决算情况说明</w:t>
      </w:r>
      <w:bookmarkEnd w:id="10"/>
    </w:p>
    <w:p>
      <w:pPr>
        <w:pStyle w:val="3"/>
        <w:rPr>
          <w:rFonts w:hint="eastAsia" w:ascii="仿宋" w:hAnsi="仿宋" w:eastAsia="仿宋" w:cs="仿宋"/>
          <w:b/>
          <w:bCs w:val="0"/>
          <w:color w:val="auto"/>
          <w:lang w:val="en-US" w:eastAsia="zh-CN"/>
        </w:rPr>
      </w:pPr>
      <w:bookmarkStart w:id="11" w:name="_Toc8717"/>
      <w:bookmarkStart w:id="12" w:name="_Toc437"/>
      <w:r>
        <w:rPr>
          <w:rFonts w:hint="eastAsia" w:ascii="仿宋" w:hAnsi="仿宋" w:eastAsia="仿宋" w:cs="仿宋"/>
          <w:b/>
          <w:bCs w:val="0"/>
          <w:color w:val="auto"/>
          <w:lang w:val="en-US" w:eastAsia="zh-CN"/>
        </w:rPr>
        <w:t>一、收入支出决算总体情况说明</w:t>
      </w:r>
      <w:bookmarkEnd w:id="11"/>
      <w:bookmarkEnd w:id="12"/>
    </w:p>
    <w:p>
      <w:pPr>
        <w:ind w:firstLine="640"/>
        <w:rPr>
          <w:rFonts w:hint="eastAsia" w:ascii="仿宋_GB2312"/>
          <w:color w:val="auto"/>
          <w:szCs w:val="32"/>
        </w:rPr>
      </w:pPr>
      <w:r>
        <w:rPr>
          <w:rFonts w:hint="eastAsia" w:ascii="仿宋_GB2312"/>
          <w:color w:val="auto"/>
          <w:szCs w:val="32"/>
        </w:rPr>
        <w:t>20</w:t>
      </w:r>
      <w:r>
        <w:rPr>
          <w:rFonts w:hint="eastAsia" w:ascii="仿宋_GB2312"/>
          <w:color w:val="auto"/>
          <w:szCs w:val="32"/>
          <w:lang w:val="en-US" w:eastAsia="zh-CN"/>
        </w:rPr>
        <w:t>21</w:t>
      </w:r>
      <w:r>
        <w:rPr>
          <w:rFonts w:hint="eastAsia" w:ascii="仿宋_GB2312"/>
          <w:color w:val="auto"/>
          <w:szCs w:val="32"/>
        </w:rPr>
        <w:t>年度收入</w:t>
      </w:r>
      <w:r>
        <w:rPr>
          <w:rFonts w:ascii="仿宋_GB2312"/>
          <w:color w:val="auto"/>
          <w:szCs w:val="32"/>
        </w:rPr>
        <w:t>总计</w:t>
      </w:r>
      <w:r>
        <w:rPr>
          <w:rFonts w:hint="eastAsia" w:ascii="仿宋_GB2312"/>
          <w:color w:val="auto"/>
          <w:szCs w:val="32"/>
          <w:lang w:val="en-US" w:eastAsia="zh-CN"/>
        </w:rPr>
        <w:t>60.21</w:t>
      </w:r>
      <w:r>
        <w:rPr>
          <w:rFonts w:hint="eastAsia" w:ascii="仿宋_GB2312"/>
          <w:color w:val="auto"/>
          <w:szCs w:val="32"/>
        </w:rPr>
        <w:t>万元、支出总计</w:t>
      </w:r>
      <w:r>
        <w:rPr>
          <w:rFonts w:hint="eastAsia" w:ascii="仿宋_GB2312"/>
          <w:color w:val="auto"/>
          <w:szCs w:val="32"/>
          <w:lang w:val="en-US" w:eastAsia="zh-CN"/>
        </w:rPr>
        <w:t>60.21</w:t>
      </w:r>
      <w:r>
        <w:rPr>
          <w:rFonts w:hint="eastAsia" w:ascii="仿宋_GB2312"/>
          <w:color w:val="auto"/>
          <w:szCs w:val="32"/>
        </w:rPr>
        <w:t>万元。与20</w:t>
      </w:r>
      <w:r>
        <w:rPr>
          <w:rFonts w:hint="eastAsia" w:ascii="仿宋_GB2312"/>
          <w:color w:val="auto"/>
          <w:szCs w:val="32"/>
          <w:lang w:val="en-US" w:eastAsia="zh-CN"/>
        </w:rPr>
        <w:t>20</w:t>
      </w:r>
      <w:r>
        <w:rPr>
          <w:rFonts w:hint="eastAsia" w:ascii="仿宋_GB2312"/>
          <w:color w:val="auto"/>
          <w:szCs w:val="32"/>
        </w:rPr>
        <w:t>年相比，收入总计</w:t>
      </w:r>
      <w:r>
        <w:rPr>
          <w:rFonts w:hint="eastAsia" w:ascii="仿宋_GB2312"/>
          <w:color w:val="auto"/>
          <w:szCs w:val="32"/>
          <w:lang w:val="en-US" w:eastAsia="zh-CN"/>
        </w:rPr>
        <w:t>增长11.63</w:t>
      </w:r>
      <w:r>
        <w:rPr>
          <w:rFonts w:hint="eastAsia" w:ascii="仿宋_GB2312"/>
          <w:color w:val="auto"/>
          <w:szCs w:val="32"/>
        </w:rPr>
        <w:t>万元，</w:t>
      </w:r>
      <w:r>
        <w:rPr>
          <w:rFonts w:hint="eastAsia" w:ascii="仿宋_GB2312"/>
          <w:color w:val="auto"/>
          <w:szCs w:val="32"/>
          <w:lang w:val="en-US" w:eastAsia="zh-CN"/>
        </w:rPr>
        <w:t>增长23.94</w:t>
      </w:r>
      <w:r>
        <w:rPr>
          <w:rFonts w:hint="eastAsia" w:ascii="仿宋_GB2312"/>
          <w:color w:val="auto"/>
          <w:szCs w:val="32"/>
        </w:rPr>
        <w:t>%，</w:t>
      </w:r>
      <w:r>
        <w:rPr>
          <w:rFonts w:ascii="仿宋_GB2312"/>
          <w:color w:val="auto"/>
          <w:szCs w:val="32"/>
        </w:rPr>
        <w:t>支出总计</w:t>
      </w:r>
      <w:r>
        <w:rPr>
          <w:rFonts w:hint="eastAsia" w:ascii="仿宋_GB2312"/>
          <w:color w:val="auto"/>
          <w:szCs w:val="32"/>
          <w:lang w:val="en-US" w:eastAsia="zh-CN"/>
        </w:rPr>
        <w:t>增长2.43</w:t>
      </w:r>
      <w:r>
        <w:rPr>
          <w:rFonts w:hint="eastAsia" w:ascii="仿宋_GB2312"/>
          <w:color w:val="auto"/>
          <w:szCs w:val="32"/>
        </w:rPr>
        <w:t>万元</w:t>
      </w:r>
      <w:r>
        <w:rPr>
          <w:rFonts w:ascii="仿宋_GB2312"/>
          <w:color w:val="auto"/>
          <w:szCs w:val="32"/>
        </w:rPr>
        <w:t>，</w:t>
      </w:r>
      <w:r>
        <w:rPr>
          <w:rFonts w:hint="eastAsia" w:ascii="仿宋_GB2312"/>
          <w:color w:val="auto"/>
          <w:szCs w:val="32"/>
          <w:lang w:val="en-US" w:eastAsia="zh-CN"/>
        </w:rPr>
        <w:t>增长4.2</w:t>
      </w:r>
      <w:r>
        <w:rPr>
          <w:rFonts w:ascii="仿宋_GB2312"/>
          <w:color w:val="auto"/>
          <w:szCs w:val="32"/>
        </w:rPr>
        <w:t>%</w:t>
      </w:r>
      <w:r>
        <w:rPr>
          <w:rFonts w:hint="eastAsia" w:ascii="仿宋_GB2312"/>
          <w:color w:val="auto"/>
          <w:szCs w:val="32"/>
        </w:rPr>
        <w:t>。主要原因是</w:t>
      </w:r>
      <w:r>
        <w:rPr>
          <w:rFonts w:hint="eastAsia" w:ascii="仿宋_GB2312"/>
          <w:color w:val="auto"/>
          <w:szCs w:val="32"/>
          <w:lang w:val="en-US" w:eastAsia="zh-CN"/>
        </w:rPr>
        <w:t>本年增加妇女儿童工作经费支出</w:t>
      </w:r>
      <w:r>
        <w:rPr>
          <w:rFonts w:hint="eastAsia" w:ascii="仿宋_GB2312"/>
          <w:color w:val="auto"/>
          <w:szCs w:val="32"/>
        </w:rPr>
        <w:t>。</w:t>
      </w:r>
    </w:p>
    <w:p>
      <w:pPr>
        <w:pStyle w:val="3"/>
        <w:rPr>
          <w:rFonts w:hint="eastAsia" w:ascii="仿宋" w:hAnsi="仿宋" w:eastAsia="仿宋" w:cs="仿宋"/>
          <w:b/>
          <w:bCs w:val="0"/>
          <w:color w:val="auto"/>
          <w:lang w:val="en-US" w:eastAsia="zh-CN"/>
        </w:rPr>
      </w:pPr>
      <w:bookmarkStart w:id="13" w:name="_Toc17404"/>
      <w:bookmarkStart w:id="14" w:name="_Toc16754"/>
      <w:r>
        <w:rPr>
          <w:rFonts w:hint="eastAsia" w:ascii="仿宋" w:hAnsi="仿宋" w:eastAsia="仿宋" w:cs="仿宋"/>
          <w:b/>
          <w:bCs w:val="0"/>
          <w:color w:val="auto"/>
          <w:lang w:val="en-US" w:eastAsia="zh-CN"/>
        </w:rPr>
        <w:t>二、收入决算情况说明</w:t>
      </w:r>
      <w:bookmarkEnd w:id="13"/>
      <w:bookmarkEnd w:id="14"/>
    </w:p>
    <w:p>
      <w:pPr>
        <w:spacing w:line="580" w:lineRule="exact"/>
        <w:ind w:firstLine="640"/>
        <w:rPr>
          <w:rFonts w:hint="eastAsia" w:ascii="仿宋_GB2312"/>
          <w:color w:val="auto"/>
          <w:szCs w:val="32"/>
        </w:rPr>
      </w:pPr>
      <w:r>
        <w:rPr>
          <w:rFonts w:hint="eastAsia" w:ascii="仿宋_GB2312"/>
          <w:color w:val="auto"/>
          <w:szCs w:val="32"/>
        </w:rPr>
        <w:t>本年收入合计</w:t>
      </w:r>
      <w:r>
        <w:rPr>
          <w:rFonts w:hint="eastAsia" w:ascii="仿宋_GB2312"/>
          <w:color w:val="auto"/>
          <w:szCs w:val="32"/>
          <w:lang w:val="en-US" w:eastAsia="zh-CN"/>
        </w:rPr>
        <w:t>60.21</w:t>
      </w:r>
      <w:r>
        <w:rPr>
          <w:rFonts w:hint="eastAsia" w:ascii="仿宋_GB2312"/>
          <w:color w:val="auto"/>
          <w:szCs w:val="32"/>
        </w:rPr>
        <w:t>万元，其中：财政拨款收入</w:t>
      </w:r>
      <w:r>
        <w:rPr>
          <w:rFonts w:hint="eastAsia" w:ascii="仿宋_GB2312"/>
          <w:color w:val="auto"/>
          <w:szCs w:val="32"/>
          <w:lang w:val="en-US" w:eastAsia="zh-CN"/>
        </w:rPr>
        <w:t>60.21</w:t>
      </w:r>
      <w:r>
        <w:rPr>
          <w:rFonts w:hint="eastAsia" w:ascii="仿宋_GB2312"/>
          <w:color w:val="auto"/>
          <w:szCs w:val="32"/>
        </w:rPr>
        <w:t>万元，占比</w:t>
      </w:r>
      <w:r>
        <w:rPr>
          <w:rFonts w:hint="eastAsia" w:ascii="仿宋_GB2312"/>
          <w:color w:val="auto"/>
          <w:szCs w:val="32"/>
          <w:lang w:val="en-US" w:eastAsia="zh-CN"/>
        </w:rPr>
        <w:t>100</w:t>
      </w:r>
      <w:r>
        <w:rPr>
          <w:rFonts w:hint="eastAsia" w:ascii="仿宋_GB2312"/>
          <w:color w:val="auto"/>
          <w:szCs w:val="32"/>
        </w:rPr>
        <w:t>%；上级补助收入</w:t>
      </w:r>
      <w:r>
        <w:rPr>
          <w:rFonts w:hint="eastAsia" w:ascii="仿宋_GB2312"/>
          <w:color w:val="auto"/>
          <w:szCs w:val="32"/>
          <w:lang w:val="en-US" w:eastAsia="zh-CN"/>
        </w:rPr>
        <w:t>0</w:t>
      </w:r>
      <w:r>
        <w:rPr>
          <w:rFonts w:hint="eastAsia" w:ascii="仿宋_GB2312"/>
          <w:color w:val="auto"/>
          <w:szCs w:val="32"/>
        </w:rPr>
        <w:t>万元，占比</w:t>
      </w:r>
      <w:r>
        <w:rPr>
          <w:rFonts w:hint="eastAsia" w:ascii="仿宋_GB2312"/>
          <w:color w:val="auto"/>
          <w:szCs w:val="32"/>
          <w:lang w:val="en-US" w:eastAsia="zh-CN"/>
        </w:rPr>
        <w:t>0</w:t>
      </w:r>
      <w:r>
        <w:rPr>
          <w:rFonts w:hint="eastAsia" w:ascii="仿宋_GB2312"/>
          <w:color w:val="auto"/>
          <w:szCs w:val="32"/>
        </w:rPr>
        <w:t>%；事业收入</w:t>
      </w:r>
      <w:r>
        <w:rPr>
          <w:rFonts w:hint="eastAsia" w:ascii="仿宋_GB2312"/>
          <w:color w:val="auto"/>
          <w:szCs w:val="32"/>
          <w:lang w:val="en-US" w:eastAsia="zh-CN"/>
        </w:rPr>
        <w:t>0</w:t>
      </w:r>
      <w:r>
        <w:rPr>
          <w:rFonts w:hint="eastAsia" w:ascii="仿宋_GB2312"/>
          <w:color w:val="auto"/>
          <w:szCs w:val="32"/>
        </w:rPr>
        <w:t>万元，占比</w:t>
      </w:r>
      <w:r>
        <w:rPr>
          <w:rFonts w:hint="eastAsia" w:ascii="仿宋_GB2312"/>
          <w:color w:val="auto"/>
          <w:szCs w:val="32"/>
          <w:lang w:val="en-US" w:eastAsia="zh-CN"/>
        </w:rPr>
        <w:t>0</w:t>
      </w:r>
      <w:r>
        <w:rPr>
          <w:rFonts w:hint="eastAsia" w:ascii="仿宋_GB2312"/>
          <w:color w:val="auto"/>
          <w:szCs w:val="32"/>
        </w:rPr>
        <w:t>%；经营收入</w:t>
      </w:r>
      <w:r>
        <w:rPr>
          <w:rFonts w:hint="eastAsia" w:ascii="仿宋_GB2312"/>
          <w:color w:val="auto"/>
          <w:szCs w:val="32"/>
          <w:lang w:val="en-US" w:eastAsia="zh-CN"/>
        </w:rPr>
        <w:t>0</w:t>
      </w:r>
      <w:r>
        <w:rPr>
          <w:rFonts w:hint="eastAsia" w:ascii="仿宋_GB2312"/>
          <w:color w:val="auto"/>
          <w:szCs w:val="32"/>
        </w:rPr>
        <w:t>万元，占比</w:t>
      </w:r>
      <w:r>
        <w:rPr>
          <w:rFonts w:hint="eastAsia" w:ascii="仿宋_GB2312"/>
          <w:color w:val="auto"/>
          <w:szCs w:val="32"/>
          <w:lang w:val="en-US" w:eastAsia="zh-CN"/>
        </w:rPr>
        <w:t>0</w:t>
      </w:r>
      <w:r>
        <w:rPr>
          <w:rFonts w:hint="eastAsia" w:ascii="仿宋_GB2312"/>
          <w:color w:val="auto"/>
          <w:szCs w:val="32"/>
        </w:rPr>
        <w:t>%</w:t>
      </w:r>
      <w:r>
        <w:rPr>
          <w:rFonts w:hint="eastAsia" w:ascii="仿宋_GB2312"/>
          <w:color w:val="auto"/>
          <w:szCs w:val="32"/>
          <w:lang w:eastAsia="zh-CN"/>
        </w:rPr>
        <w:t>。</w:t>
      </w:r>
      <w:r>
        <w:rPr>
          <w:rFonts w:hint="eastAsia" w:ascii="仿宋_GB2312"/>
          <w:color w:val="auto"/>
          <w:szCs w:val="32"/>
        </w:rPr>
        <w:t>附属单位上缴收入</w:t>
      </w:r>
      <w:r>
        <w:rPr>
          <w:rFonts w:hint="eastAsia" w:ascii="仿宋_GB2312"/>
          <w:color w:val="auto"/>
          <w:szCs w:val="32"/>
          <w:lang w:val="en-US" w:eastAsia="zh-CN"/>
        </w:rPr>
        <w:t>0</w:t>
      </w:r>
      <w:r>
        <w:rPr>
          <w:rFonts w:hint="eastAsia" w:ascii="仿宋_GB2312"/>
          <w:color w:val="auto"/>
          <w:szCs w:val="32"/>
        </w:rPr>
        <w:t>万元，占比</w:t>
      </w:r>
      <w:r>
        <w:rPr>
          <w:rFonts w:hint="eastAsia" w:ascii="仿宋_GB2312"/>
          <w:color w:val="auto"/>
          <w:szCs w:val="32"/>
          <w:lang w:val="en-US" w:eastAsia="zh-CN"/>
        </w:rPr>
        <w:t>0</w:t>
      </w:r>
      <w:r>
        <w:rPr>
          <w:rFonts w:hint="eastAsia" w:ascii="仿宋_GB2312"/>
          <w:color w:val="auto"/>
          <w:szCs w:val="32"/>
        </w:rPr>
        <w:t>%；其他收入</w:t>
      </w:r>
      <w:r>
        <w:rPr>
          <w:rFonts w:hint="eastAsia" w:ascii="仿宋_GB2312"/>
          <w:color w:val="auto"/>
          <w:szCs w:val="32"/>
          <w:lang w:val="en-US" w:eastAsia="zh-CN"/>
        </w:rPr>
        <w:t>0</w:t>
      </w:r>
      <w:r>
        <w:rPr>
          <w:rFonts w:hint="eastAsia" w:ascii="仿宋_GB2312"/>
          <w:color w:val="auto"/>
          <w:szCs w:val="32"/>
        </w:rPr>
        <w:t>万元，占比</w:t>
      </w:r>
      <w:r>
        <w:rPr>
          <w:rFonts w:hint="eastAsia" w:ascii="仿宋_GB2312"/>
          <w:color w:val="auto"/>
          <w:szCs w:val="32"/>
          <w:lang w:val="en-US" w:eastAsia="zh-CN"/>
        </w:rPr>
        <w:t>0</w:t>
      </w:r>
      <w:r>
        <w:rPr>
          <w:rFonts w:hint="eastAsia" w:ascii="仿宋_GB2312"/>
          <w:color w:val="auto"/>
          <w:szCs w:val="32"/>
        </w:rPr>
        <w:t>%。</w:t>
      </w:r>
    </w:p>
    <w:p>
      <w:pPr>
        <w:pStyle w:val="3"/>
        <w:rPr>
          <w:rFonts w:hint="eastAsia" w:ascii="仿宋" w:hAnsi="仿宋" w:eastAsia="仿宋" w:cs="仿宋"/>
          <w:b/>
          <w:bCs w:val="0"/>
          <w:color w:val="auto"/>
          <w:lang w:val="en-US" w:eastAsia="zh-CN"/>
        </w:rPr>
      </w:pPr>
      <w:bookmarkStart w:id="15" w:name="_Toc9596"/>
      <w:bookmarkStart w:id="16" w:name="_Toc22098"/>
      <w:r>
        <w:rPr>
          <w:rFonts w:hint="eastAsia" w:ascii="仿宋" w:hAnsi="仿宋" w:eastAsia="仿宋" w:cs="仿宋"/>
          <w:b/>
          <w:bCs w:val="0"/>
          <w:color w:val="auto"/>
          <w:lang w:val="en-US" w:eastAsia="zh-CN"/>
        </w:rPr>
        <w:t>三、支出决算情况说明</w:t>
      </w:r>
      <w:bookmarkEnd w:id="15"/>
      <w:bookmarkEnd w:id="16"/>
    </w:p>
    <w:p>
      <w:pPr>
        <w:spacing w:line="580" w:lineRule="exact"/>
        <w:ind w:firstLine="640"/>
        <w:rPr>
          <w:rFonts w:hint="eastAsia" w:ascii="仿宋_GB2312"/>
          <w:color w:val="auto"/>
          <w:szCs w:val="32"/>
        </w:rPr>
      </w:pPr>
      <w:r>
        <w:rPr>
          <w:rFonts w:hint="eastAsia" w:ascii="仿宋_GB2312"/>
          <w:color w:val="auto"/>
          <w:szCs w:val="32"/>
        </w:rPr>
        <w:t>本年支出合计</w:t>
      </w:r>
      <w:r>
        <w:rPr>
          <w:rFonts w:hint="eastAsia" w:ascii="仿宋_GB2312"/>
          <w:color w:val="auto"/>
          <w:szCs w:val="32"/>
          <w:lang w:val="en-US" w:eastAsia="zh-CN"/>
        </w:rPr>
        <w:t>60.21</w:t>
      </w:r>
      <w:r>
        <w:rPr>
          <w:rFonts w:hint="eastAsia" w:ascii="仿宋_GB2312"/>
          <w:color w:val="auto"/>
          <w:szCs w:val="32"/>
        </w:rPr>
        <w:t>万元，其中：基本支出</w:t>
      </w:r>
      <w:r>
        <w:rPr>
          <w:rFonts w:hint="eastAsia" w:ascii="仿宋_GB2312"/>
          <w:color w:val="auto"/>
          <w:szCs w:val="32"/>
          <w:lang w:val="en-US" w:eastAsia="zh-CN"/>
        </w:rPr>
        <w:t>47.15</w:t>
      </w:r>
      <w:r>
        <w:rPr>
          <w:rFonts w:hint="eastAsia" w:ascii="仿宋_GB2312"/>
          <w:color w:val="auto"/>
          <w:szCs w:val="32"/>
        </w:rPr>
        <w:t>万元，占比</w:t>
      </w:r>
      <w:r>
        <w:rPr>
          <w:rFonts w:hint="eastAsia" w:ascii="仿宋_GB2312"/>
          <w:color w:val="auto"/>
          <w:szCs w:val="32"/>
          <w:lang w:val="en-US" w:eastAsia="zh-CN"/>
        </w:rPr>
        <w:t>78.31</w:t>
      </w:r>
      <w:r>
        <w:rPr>
          <w:rFonts w:hint="eastAsia" w:ascii="仿宋_GB2312"/>
          <w:color w:val="auto"/>
          <w:szCs w:val="32"/>
        </w:rPr>
        <w:t>%；项目支出</w:t>
      </w:r>
      <w:r>
        <w:rPr>
          <w:rFonts w:hint="eastAsia" w:ascii="仿宋_GB2312"/>
          <w:color w:val="auto"/>
          <w:szCs w:val="32"/>
          <w:lang w:val="en-US" w:eastAsia="zh-CN"/>
        </w:rPr>
        <w:t>13.06</w:t>
      </w:r>
      <w:r>
        <w:rPr>
          <w:rFonts w:hint="eastAsia" w:ascii="仿宋_GB2312"/>
          <w:color w:val="auto"/>
          <w:szCs w:val="32"/>
        </w:rPr>
        <w:t>万元，占比</w:t>
      </w:r>
      <w:r>
        <w:rPr>
          <w:rFonts w:hint="eastAsia" w:ascii="仿宋_GB2312"/>
          <w:color w:val="auto"/>
          <w:szCs w:val="32"/>
          <w:lang w:val="en-US" w:eastAsia="zh-CN"/>
        </w:rPr>
        <w:t>21.69</w:t>
      </w:r>
      <w:r>
        <w:rPr>
          <w:rFonts w:hint="eastAsia" w:ascii="仿宋_GB2312"/>
          <w:color w:val="auto"/>
          <w:szCs w:val="32"/>
        </w:rPr>
        <w:t>%，上缴上级支出</w:t>
      </w:r>
      <w:r>
        <w:rPr>
          <w:rFonts w:hint="eastAsia" w:ascii="仿宋_GB2312"/>
          <w:color w:val="auto"/>
          <w:szCs w:val="32"/>
          <w:lang w:val="en-US" w:eastAsia="zh-CN"/>
        </w:rPr>
        <w:t>0</w:t>
      </w:r>
      <w:r>
        <w:rPr>
          <w:rFonts w:hint="eastAsia" w:ascii="仿宋_GB2312"/>
          <w:color w:val="auto"/>
          <w:szCs w:val="32"/>
        </w:rPr>
        <w:t>万元，占比</w:t>
      </w:r>
      <w:r>
        <w:rPr>
          <w:rFonts w:hint="eastAsia" w:ascii="仿宋_GB2312"/>
          <w:color w:val="auto"/>
          <w:szCs w:val="32"/>
          <w:lang w:val="en-US" w:eastAsia="zh-CN"/>
        </w:rPr>
        <w:t>0</w:t>
      </w:r>
      <w:r>
        <w:rPr>
          <w:rFonts w:hint="eastAsia" w:ascii="仿宋_GB2312"/>
          <w:color w:val="auto"/>
          <w:szCs w:val="32"/>
        </w:rPr>
        <w:t>%，经营支出</w:t>
      </w:r>
      <w:r>
        <w:rPr>
          <w:rFonts w:hint="eastAsia" w:ascii="仿宋_GB2312"/>
          <w:color w:val="auto"/>
          <w:szCs w:val="32"/>
          <w:lang w:val="en-US" w:eastAsia="zh-CN"/>
        </w:rPr>
        <w:t>0</w:t>
      </w:r>
      <w:r>
        <w:rPr>
          <w:rFonts w:hint="eastAsia" w:ascii="仿宋_GB2312"/>
          <w:color w:val="auto"/>
          <w:szCs w:val="32"/>
        </w:rPr>
        <w:t>万元，占比</w:t>
      </w:r>
      <w:r>
        <w:rPr>
          <w:rFonts w:hint="eastAsia" w:ascii="仿宋_GB2312"/>
          <w:color w:val="auto"/>
          <w:szCs w:val="32"/>
          <w:lang w:val="en-US" w:eastAsia="zh-CN"/>
        </w:rPr>
        <w:t>0</w:t>
      </w:r>
      <w:r>
        <w:rPr>
          <w:rFonts w:hint="eastAsia" w:ascii="仿宋_GB2312"/>
          <w:color w:val="auto"/>
          <w:szCs w:val="32"/>
        </w:rPr>
        <w:t>%,对附属单位补助支出</w:t>
      </w:r>
      <w:r>
        <w:rPr>
          <w:rFonts w:hint="eastAsia" w:ascii="仿宋_GB2312"/>
          <w:color w:val="auto"/>
          <w:szCs w:val="32"/>
          <w:lang w:val="en-US" w:eastAsia="zh-CN"/>
        </w:rPr>
        <w:t>0</w:t>
      </w:r>
      <w:r>
        <w:rPr>
          <w:rFonts w:hint="eastAsia" w:ascii="仿宋_GB2312"/>
          <w:color w:val="auto"/>
          <w:szCs w:val="32"/>
        </w:rPr>
        <w:t>万元，占比</w:t>
      </w:r>
      <w:r>
        <w:rPr>
          <w:rFonts w:hint="eastAsia" w:ascii="仿宋_GB2312"/>
          <w:color w:val="auto"/>
          <w:szCs w:val="32"/>
          <w:lang w:val="en-US" w:eastAsia="zh-CN"/>
        </w:rPr>
        <w:t>0</w:t>
      </w:r>
      <w:r>
        <w:rPr>
          <w:rFonts w:hint="eastAsia" w:ascii="仿宋_GB2312"/>
          <w:color w:val="auto"/>
          <w:szCs w:val="32"/>
        </w:rPr>
        <w:t>%。</w:t>
      </w:r>
    </w:p>
    <w:p>
      <w:pPr>
        <w:pStyle w:val="3"/>
        <w:rPr>
          <w:rFonts w:hint="eastAsia" w:ascii="仿宋" w:hAnsi="仿宋" w:eastAsia="仿宋" w:cs="仿宋"/>
          <w:b/>
          <w:bCs w:val="0"/>
          <w:color w:val="auto"/>
          <w:lang w:val="en-US" w:eastAsia="zh-CN"/>
        </w:rPr>
      </w:pPr>
      <w:bookmarkStart w:id="17" w:name="_Toc4614"/>
      <w:bookmarkStart w:id="18" w:name="_Toc2142"/>
      <w:r>
        <w:rPr>
          <w:rFonts w:hint="eastAsia" w:ascii="仿宋" w:hAnsi="仿宋" w:eastAsia="仿宋" w:cs="仿宋"/>
          <w:b/>
          <w:bCs w:val="0"/>
          <w:color w:val="auto"/>
          <w:lang w:val="en-US" w:eastAsia="zh-CN"/>
        </w:rPr>
        <w:t>四、财政拨款收入支出决算总体情况说明</w:t>
      </w:r>
      <w:bookmarkEnd w:id="17"/>
      <w:bookmarkEnd w:id="18"/>
    </w:p>
    <w:p>
      <w:pPr>
        <w:spacing w:line="580" w:lineRule="exact"/>
        <w:ind w:firstLine="640"/>
        <w:rPr>
          <w:rFonts w:hint="eastAsia" w:ascii="仿宋_GB2312"/>
          <w:color w:val="auto"/>
          <w:szCs w:val="32"/>
        </w:rPr>
      </w:pPr>
      <w:r>
        <w:rPr>
          <w:rFonts w:hint="eastAsia" w:ascii="仿宋_GB2312"/>
          <w:color w:val="auto"/>
          <w:szCs w:val="32"/>
        </w:rPr>
        <w:t>20</w:t>
      </w:r>
      <w:r>
        <w:rPr>
          <w:rFonts w:hint="eastAsia" w:ascii="仿宋_GB2312"/>
          <w:color w:val="auto"/>
          <w:szCs w:val="32"/>
          <w:lang w:val="en-US" w:eastAsia="zh-CN"/>
        </w:rPr>
        <w:t>21</w:t>
      </w:r>
      <w:r>
        <w:rPr>
          <w:rFonts w:hint="eastAsia" w:ascii="仿宋_GB2312"/>
          <w:color w:val="auto"/>
          <w:szCs w:val="32"/>
        </w:rPr>
        <w:t>年度财政拨款收入</w:t>
      </w:r>
      <w:r>
        <w:rPr>
          <w:rFonts w:ascii="仿宋_GB2312"/>
          <w:color w:val="auto"/>
          <w:szCs w:val="32"/>
        </w:rPr>
        <w:t>总计</w:t>
      </w:r>
      <w:r>
        <w:rPr>
          <w:rFonts w:hint="eastAsia" w:ascii="仿宋_GB2312"/>
          <w:color w:val="auto"/>
          <w:szCs w:val="32"/>
          <w:lang w:val="en-US" w:eastAsia="zh-CN"/>
        </w:rPr>
        <w:t>60.21</w:t>
      </w:r>
      <w:r>
        <w:rPr>
          <w:rFonts w:hint="eastAsia" w:ascii="仿宋_GB2312"/>
          <w:color w:val="auto"/>
          <w:szCs w:val="32"/>
        </w:rPr>
        <w:t>万元、支出总计</w:t>
      </w:r>
      <w:r>
        <w:rPr>
          <w:rFonts w:hint="eastAsia" w:ascii="仿宋_GB2312"/>
          <w:color w:val="auto"/>
          <w:szCs w:val="32"/>
          <w:lang w:val="en-US" w:eastAsia="zh-CN"/>
        </w:rPr>
        <w:t>60.21</w:t>
      </w:r>
      <w:r>
        <w:rPr>
          <w:rFonts w:hint="eastAsia" w:ascii="仿宋_GB2312"/>
          <w:color w:val="auto"/>
          <w:szCs w:val="32"/>
        </w:rPr>
        <w:t>万元。与20</w:t>
      </w:r>
      <w:r>
        <w:rPr>
          <w:rFonts w:hint="eastAsia" w:ascii="仿宋_GB2312"/>
          <w:color w:val="auto"/>
          <w:szCs w:val="32"/>
          <w:lang w:val="en-US" w:eastAsia="zh-CN"/>
        </w:rPr>
        <w:t>20</w:t>
      </w:r>
      <w:r>
        <w:rPr>
          <w:rFonts w:hint="eastAsia" w:ascii="仿宋_GB2312"/>
          <w:color w:val="auto"/>
          <w:szCs w:val="32"/>
        </w:rPr>
        <w:t>年相比，财政拨款收入总计</w:t>
      </w:r>
      <w:r>
        <w:rPr>
          <w:rFonts w:hint="eastAsia" w:ascii="仿宋_GB2312"/>
          <w:color w:val="auto"/>
          <w:szCs w:val="32"/>
          <w:lang w:val="en-US" w:eastAsia="zh-CN"/>
        </w:rPr>
        <w:t>增长11.63</w:t>
      </w:r>
      <w:r>
        <w:rPr>
          <w:rFonts w:hint="eastAsia" w:ascii="仿宋_GB2312"/>
          <w:color w:val="auto"/>
          <w:szCs w:val="32"/>
        </w:rPr>
        <w:t>万元，</w:t>
      </w:r>
      <w:r>
        <w:rPr>
          <w:rFonts w:hint="eastAsia" w:ascii="仿宋_GB2312"/>
          <w:color w:val="auto"/>
          <w:szCs w:val="32"/>
          <w:lang w:val="en-US" w:eastAsia="zh-CN"/>
        </w:rPr>
        <w:t>增长23.94</w:t>
      </w:r>
      <w:r>
        <w:rPr>
          <w:rFonts w:hint="eastAsia" w:ascii="仿宋_GB2312"/>
          <w:color w:val="auto"/>
          <w:szCs w:val="32"/>
        </w:rPr>
        <w:t>%，财政拨款支出总计</w:t>
      </w:r>
      <w:r>
        <w:rPr>
          <w:rFonts w:hint="eastAsia" w:ascii="仿宋_GB2312"/>
          <w:color w:val="auto"/>
          <w:szCs w:val="32"/>
          <w:lang w:val="en-US" w:eastAsia="zh-CN"/>
        </w:rPr>
        <w:t>增长2.43</w:t>
      </w:r>
      <w:r>
        <w:rPr>
          <w:rFonts w:hint="eastAsia" w:ascii="仿宋_GB2312"/>
          <w:color w:val="auto"/>
          <w:szCs w:val="32"/>
        </w:rPr>
        <w:t>万元，</w:t>
      </w:r>
      <w:r>
        <w:rPr>
          <w:rFonts w:hint="eastAsia" w:ascii="仿宋_GB2312"/>
          <w:color w:val="auto"/>
          <w:szCs w:val="32"/>
          <w:lang w:val="en-US" w:eastAsia="zh-CN"/>
        </w:rPr>
        <w:t>增长4.2</w:t>
      </w:r>
      <w:r>
        <w:rPr>
          <w:rFonts w:hint="eastAsia" w:ascii="仿宋_GB2312"/>
          <w:color w:val="auto"/>
          <w:szCs w:val="32"/>
        </w:rPr>
        <w:t>%。主要原因是</w:t>
      </w:r>
      <w:r>
        <w:rPr>
          <w:rFonts w:hint="eastAsia" w:ascii="仿宋_GB2312"/>
          <w:color w:val="auto"/>
          <w:szCs w:val="32"/>
          <w:lang w:val="en-US" w:eastAsia="zh-CN"/>
        </w:rPr>
        <w:t>本年增加妇女儿童工作经费支出</w:t>
      </w:r>
      <w:r>
        <w:rPr>
          <w:rFonts w:hint="eastAsia" w:ascii="仿宋_GB2312"/>
          <w:color w:val="auto"/>
          <w:szCs w:val="32"/>
        </w:rPr>
        <w:t>。</w:t>
      </w:r>
    </w:p>
    <w:p>
      <w:pPr>
        <w:pStyle w:val="3"/>
        <w:rPr>
          <w:rFonts w:hint="eastAsia" w:ascii="仿宋" w:hAnsi="仿宋" w:eastAsia="仿宋" w:cs="仿宋"/>
          <w:b/>
          <w:bCs w:val="0"/>
          <w:color w:val="auto"/>
          <w:lang w:val="en-US" w:eastAsia="zh-CN"/>
        </w:rPr>
      </w:pPr>
      <w:bookmarkStart w:id="19" w:name="_Toc6501"/>
      <w:bookmarkStart w:id="20" w:name="_Toc9341"/>
      <w:r>
        <w:rPr>
          <w:rFonts w:hint="eastAsia" w:ascii="仿宋" w:hAnsi="仿宋" w:eastAsia="仿宋" w:cs="仿宋"/>
          <w:b/>
          <w:bCs w:val="0"/>
          <w:color w:val="auto"/>
          <w:lang w:val="en-US" w:eastAsia="zh-CN"/>
        </w:rPr>
        <w:t>五、一般公共预算财政拨款支出决算情况说明</w:t>
      </w:r>
      <w:bookmarkEnd w:id="19"/>
      <w:bookmarkEnd w:id="20"/>
    </w:p>
    <w:p>
      <w:pPr>
        <w:spacing w:line="580" w:lineRule="exact"/>
        <w:ind w:firstLine="643"/>
        <w:rPr>
          <w:rFonts w:hint="eastAsia" w:ascii="仿宋_GB2312"/>
          <w:b/>
          <w:color w:val="auto"/>
          <w:szCs w:val="32"/>
        </w:rPr>
      </w:pPr>
      <w:r>
        <w:rPr>
          <w:rFonts w:hint="eastAsia" w:ascii="仿宋_GB2312"/>
          <w:b/>
          <w:color w:val="auto"/>
          <w:szCs w:val="32"/>
        </w:rPr>
        <w:t>（一）财政拨款支出决算总体情况</w:t>
      </w:r>
    </w:p>
    <w:p>
      <w:pPr>
        <w:spacing w:line="580" w:lineRule="exact"/>
        <w:ind w:firstLine="640"/>
        <w:rPr>
          <w:rFonts w:hint="eastAsia" w:ascii="仿宋_GB2312"/>
          <w:color w:val="auto"/>
          <w:szCs w:val="32"/>
        </w:rPr>
      </w:pPr>
      <w:r>
        <w:rPr>
          <w:rFonts w:hint="eastAsia" w:ascii="仿宋_GB2312"/>
          <w:color w:val="auto"/>
          <w:szCs w:val="32"/>
        </w:rPr>
        <w:t>20</w:t>
      </w:r>
      <w:r>
        <w:rPr>
          <w:rFonts w:hint="eastAsia" w:ascii="仿宋_GB2312"/>
          <w:color w:val="auto"/>
          <w:szCs w:val="32"/>
          <w:lang w:val="en-US" w:eastAsia="zh-CN"/>
        </w:rPr>
        <w:t>21</w:t>
      </w:r>
      <w:r>
        <w:rPr>
          <w:rFonts w:hint="eastAsia" w:ascii="仿宋_GB2312"/>
          <w:color w:val="auto"/>
          <w:szCs w:val="32"/>
        </w:rPr>
        <w:t>年度财政拨款支出</w:t>
      </w:r>
      <w:r>
        <w:rPr>
          <w:rFonts w:hint="eastAsia" w:ascii="仿宋_GB2312"/>
          <w:color w:val="auto"/>
          <w:szCs w:val="32"/>
          <w:lang w:val="en-US" w:eastAsia="zh-CN"/>
        </w:rPr>
        <w:t>60.21</w:t>
      </w:r>
      <w:r>
        <w:rPr>
          <w:rFonts w:hint="eastAsia" w:ascii="仿宋_GB2312"/>
          <w:color w:val="auto"/>
          <w:szCs w:val="32"/>
        </w:rPr>
        <w:t>万元，占本年支出合计的</w:t>
      </w:r>
      <w:r>
        <w:rPr>
          <w:rFonts w:hint="eastAsia" w:ascii="仿宋_GB2312"/>
          <w:color w:val="auto"/>
          <w:szCs w:val="32"/>
          <w:lang w:val="en-US" w:eastAsia="zh-CN"/>
        </w:rPr>
        <w:t>100</w:t>
      </w:r>
      <w:r>
        <w:rPr>
          <w:rFonts w:hint="eastAsia" w:ascii="仿宋_GB2312"/>
          <w:color w:val="auto"/>
          <w:szCs w:val="32"/>
        </w:rPr>
        <w:t>%。与20</w:t>
      </w:r>
      <w:r>
        <w:rPr>
          <w:rFonts w:hint="eastAsia" w:ascii="仿宋_GB2312"/>
          <w:color w:val="auto"/>
          <w:szCs w:val="32"/>
          <w:lang w:val="en-US" w:eastAsia="zh-CN"/>
        </w:rPr>
        <w:t>20</w:t>
      </w:r>
      <w:r>
        <w:rPr>
          <w:rFonts w:hint="eastAsia" w:ascii="仿宋_GB2312"/>
          <w:color w:val="auto"/>
          <w:szCs w:val="32"/>
        </w:rPr>
        <w:t>年相比，财政拨款支出</w:t>
      </w:r>
      <w:r>
        <w:rPr>
          <w:rFonts w:hint="eastAsia" w:ascii="仿宋_GB2312"/>
          <w:color w:val="auto"/>
          <w:szCs w:val="32"/>
          <w:lang w:val="en-US" w:eastAsia="zh-CN"/>
        </w:rPr>
        <w:t>增加2.43</w:t>
      </w:r>
      <w:r>
        <w:rPr>
          <w:rFonts w:hint="eastAsia" w:ascii="仿宋_GB2312"/>
          <w:color w:val="auto"/>
          <w:szCs w:val="32"/>
        </w:rPr>
        <w:t>万元，</w:t>
      </w:r>
      <w:r>
        <w:rPr>
          <w:rFonts w:hint="eastAsia" w:ascii="仿宋_GB2312"/>
          <w:color w:val="auto"/>
          <w:szCs w:val="32"/>
          <w:lang w:val="en-US" w:eastAsia="zh-CN"/>
        </w:rPr>
        <w:t>增长4.2</w:t>
      </w:r>
      <w:r>
        <w:rPr>
          <w:rFonts w:hint="eastAsia" w:ascii="仿宋_GB2312"/>
          <w:color w:val="auto"/>
          <w:szCs w:val="32"/>
        </w:rPr>
        <w:t>%。主要原因是</w:t>
      </w:r>
      <w:r>
        <w:rPr>
          <w:rFonts w:hint="eastAsia" w:ascii="仿宋_GB2312"/>
          <w:color w:val="auto"/>
          <w:szCs w:val="32"/>
          <w:lang w:val="en-US" w:eastAsia="zh-CN"/>
        </w:rPr>
        <w:t>本年增加妇女儿童工作经费支出</w:t>
      </w:r>
      <w:r>
        <w:rPr>
          <w:rFonts w:hint="eastAsia" w:ascii="仿宋_GB2312"/>
          <w:color w:val="auto"/>
          <w:szCs w:val="32"/>
        </w:rPr>
        <w:t>。其中，</w:t>
      </w:r>
      <w:r>
        <w:rPr>
          <w:rFonts w:hint="eastAsia" w:ascii="仿宋_GB2312"/>
          <w:color w:val="auto"/>
          <w:szCs w:val="32"/>
          <w:lang w:val="en-US" w:eastAsia="zh-CN"/>
        </w:rPr>
        <w:t>政府性基金预算支出0</w:t>
      </w:r>
      <w:r>
        <w:rPr>
          <w:rFonts w:hint="eastAsia" w:ascii="仿宋_GB2312"/>
          <w:color w:val="auto"/>
          <w:szCs w:val="32"/>
        </w:rPr>
        <w:t>万元，占比</w:t>
      </w:r>
      <w:r>
        <w:rPr>
          <w:rFonts w:hint="eastAsia" w:ascii="仿宋_GB2312"/>
          <w:color w:val="auto"/>
          <w:szCs w:val="32"/>
          <w:lang w:val="en-US" w:eastAsia="zh-CN"/>
        </w:rPr>
        <w:t>0</w:t>
      </w:r>
      <w:r>
        <w:rPr>
          <w:rFonts w:hint="eastAsia" w:ascii="仿宋_GB2312"/>
          <w:color w:val="auto"/>
          <w:szCs w:val="32"/>
        </w:rPr>
        <w:t>%。</w:t>
      </w:r>
    </w:p>
    <w:p>
      <w:pPr>
        <w:spacing w:line="580" w:lineRule="exact"/>
        <w:ind w:firstLine="643"/>
        <w:rPr>
          <w:rFonts w:ascii="仿宋_GB2312"/>
          <w:b/>
          <w:color w:val="auto"/>
          <w:szCs w:val="32"/>
        </w:rPr>
      </w:pPr>
      <w:r>
        <w:rPr>
          <w:rFonts w:hint="eastAsia" w:ascii="仿宋_GB2312"/>
          <w:b/>
          <w:color w:val="auto"/>
          <w:szCs w:val="32"/>
        </w:rPr>
        <w:t>（二）财政拨款</w:t>
      </w:r>
      <w:r>
        <w:rPr>
          <w:rFonts w:ascii="仿宋_GB2312"/>
          <w:b/>
          <w:color w:val="auto"/>
          <w:szCs w:val="32"/>
        </w:rPr>
        <w:t>支出决算结构情况</w:t>
      </w:r>
    </w:p>
    <w:p>
      <w:pPr>
        <w:spacing w:line="580" w:lineRule="exact"/>
        <w:ind w:firstLine="640"/>
        <w:rPr>
          <w:rFonts w:hint="eastAsia" w:ascii="仿宋_GB2312"/>
          <w:color w:val="auto"/>
          <w:szCs w:val="32"/>
        </w:rPr>
      </w:pPr>
      <w:r>
        <w:rPr>
          <w:rFonts w:hint="eastAsia" w:ascii="仿宋_GB2312"/>
          <w:color w:val="auto"/>
          <w:szCs w:val="32"/>
        </w:rPr>
        <w:t>20</w:t>
      </w:r>
      <w:r>
        <w:rPr>
          <w:rFonts w:hint="eastAsia" w:ascii="仿宋_GB2312"/>
          <w:color w:val="auto"/>
          <w:szCs w:val="32"/>
          <w:lang w:val="en-US" w:eastAsia="zh-CN"/>
        </w:rPr>
        <w:t>21</w:t>
      </w:r>
      <w:r>
        <w:rPr>
          <w:rFonts w:hint="eastAsia" w:ascii="仿宋_GB2312"/>
          <w:color w:val="auto"/>
          <w:szCs w:val="32"/>
        </w:rPr>
        <w:t>年度</w:t>
      </w:r>
      <w:r>
        <w:rPr>
          <w:rFonts w:ascii="仿宋_GB2312"/>
          <w:color w:val="auto"/>
          <w:szCs w:val="32"/>
        </w:rPr>
        <w:t>财政拨款支出</w:t>
      </w:r>
      <w:r>
        <w:rPr>
          <w:rFonts w:hint="eastAsia" w:ascii="仿宋_GB2312"/>
          <w:color w:val="auto"/>
          <w:szCs w:val="32"/>
          <w:lang w:val="en-US" w:eastAsia="zh-CN"/>
        </w:rPr>
        <w:t>60.21</w:t>
      </w:r>
      <w:r>
        <w:rPr>
          <w:rFonts w:hint="eastAsia" w:ascii="仿宋_GB2312"/>
          <w:color w:val="auto"/>
          <w:szCs w:val="32"/>
        </w:rPr>
        <w:t>万元</w:t>
      </w:r>
      <w:r>
        <w:rPr>
          <w:rFonts w:ascii="仿宋_GB2312"/>
          <w:color w:val="auto"/>
          <w:szCs w:val="32"/>
        </w:rPr>
        <w:t>，主要用于以下方面：</w:t>
      </w:r>
      <w:r>
        <w:rPr>
          <w:rFonts w:ascii="仿宋_GB2312"/>
          <w:b/>
          <w:color w:val="auto"/>
          <w:szCs w:val="32"/>
        </w:rPr>
        <w:t>一般公共服务（</w:t>
      </w:r>
      <w:r>
        <w:rPr>
          <w:rFonts w:hint="eastAsia" w:ascii="仿宋_GB2312"/>
          <w:b/>
          <w:color w:val="auto"/>
          <w:szCs w:val="32"/>
        </w:rPr>
        <w:t>类</w:t>
      </w:r>
      <w:r>
        <w:rPr>
          <w:rFonts w:ascii="仿宋_GB2312"/>
          <w:b/>
          <w:color w:val="auto"/>
          <w:szCs w:val="32"/>
        </w:rPr>
        <w:t>）</w:t>
      </w:r>
      <w:r>
        <w:rPr>
          <w:rFonts w:hint="eastAsia" w:ascii="仿宋_GB2312"/>
          <w:color w:val="auto"/>
          <w:szCs w:val="32"/>
        </w:rPr>
        <w:t>支出</w:t>
      </w:r>
      <w:r>
        <w:rPr>
          <w:rFonts w:hint="eastAsia" w:ascii="仿宋_GB2312"/>
          <w:color w:val="auto"/>
          <w:szCs w:val="32"/>
          <w:lang w:val="en-US" w:eastAsia="zh-CN"/>
        </w:rPr>
        <w:t>60.21</w:t>
      </w:r>
      <w:r>
        <w:rPr>
          <w:rFonts w:hint="eastAsia" w:ascii="仿宋_GB2312"/>
          <w:color w:val="auto"/>
          <w:szCs w:val="32"/>
        </w:rPr>
        <w:t>万元</w:t>
      </w:r>
      <w:r>
        <w:rPr>
          <w:rFonts w:ascii="仿宋_GB2312"/>
          <w:color w:val="auto"/>
          <w:szCs w:val="32"/>
        </w:rPr>
        <w:t>，占</w:t>
      </w:r>
      <w:r>
        <w:rPr>
          <w:rFonts w:hint="eastAsia" w:ascii="仿宋_GB2312"/>
          <w:color w:val="auto"/>
          <w:szCs w:val="32"/>
          <w:lang w:val="en-US" w:eastAsia="zh-CN"/>
        </w:rPr>
        <w:t>100</w:t>
      </w:r>
      <w:r>
        <w:rPr>
          <w:rFonts w:ascii="仿宋_GB2312"/>
          <w:color w:val="auto"/>
          <w:szCs w:val="32"/>
        </w:rPr>
        <w:t>%</w:t>
      </w:r>
      <w:r>
        <w:rPr>
          <w:rFonts w:hint="eastAsia" w:ascii="仿宋_GB2312"/>
          <w:color w:val="auto"/>
          <w:szCs w:val="32"/>
          <w:lang w:val="en-US" w:eastAsia="zh-CN"/>
        </w:rPr>
        <w:t>.</w:t>
      </w:r>
    </w:p>
    <w:p>
      <w:pPr>
        <w:spacing w:line="580" w:lineRule="exact"/>
        <w:ind w:firstLine="643"/>
        <w:rPr>
          <w:rFonts w:hint="eastAsia" w:ascii="仿宋_GB2312"/>
          <w:b/>
          <w:color w:val="auto"/>
          <w:szCs w:val="32"/>
        </w:rPr>
      </w:pPr>
      <w:r>
        <w:rPr>
          <w:rFonts w:hint="eastAsia" w:ascii="仿宋_GB2312"/>
          <w:b/>
          <w:color w:val="auto"/>
          <w:szCs w:val="32"/>
        </w:rPr>
        <w:t>（三）财政拨款支出决算具体情况</w:t>
      </w:r>
    </w:p>
    <w:p>
      <w:pPr>
        <w:spacing w:line="580" w:lineRule="exact"/>
        <w:ind w:firstLine="640"/>
        <w:rPr>
          <w:rFonts w:hint="eastAsia" w:ascii="仿宋" w:hAnsi="仿宋" w:eastAsia="仿宋" w:cs="仿宋"/>
          <w:color w:val="auto"/>
          <w:sz w:val="32"/>
          <w:szCs w:val="32"/>
          <w:lang w:eastAsia="zh-CN"/>
        </w:rPr>
      </w:pPr>
      <w:r>
        <w:rPr>
          <w:rFonts w:hint="eastAsia"/>
          <w:color w:val="auto"/>
          <w:szCs w:val="32"/>
        </w:rPr>
        <w:t>2</w:t>
      </w:r>
      <w:r>
        <w:rPr>
          <w:color w:val="auto"/>
          <w:szCs w:val="32"/>
        </w:rPr>
        <w:t>02</w:t>
      </w:r>
      <w:r>
        <w:rPr>
          <w:rFonts w:hint="eastAsia"/>
          <w:color w:val="auto"/>
          <w:szCs w:val="32"/>
          <w:lang w:val="en-US" w:eastAsia="zh-CN"/>
        </w:rPr>
        <w:t>1</w:t>
      </w:r>
      <w:r>
        <w:rPr>
          <w:rFonts w:hint="eastAsia"/>
          <w:color w:val="auto"/>
          <w:szCs w:val="32"/>
        </w:rPr>
        <w:t>年度财政拨款支出年初预算</w:t>
      </w:r>
      <w:r>
        <w:rPr>
          <w:rFonts w:hint="eastAsia"/>
          <w:color w:val="auto"/>
          <w:szCs w:val="32"/>
          <w:lang w:val="en-US" w:eastAsia="zh-CN"/>
        </w:rPr>
        <w:t>54.35</w:t>
      </w:r>
      <w:r>
        <w:rPr>
          <w:rFonts w:hint="eastAsia"/>
          <w:color w:val="auto"/>
          <w:szCs w:val="32"/>
        </w:rPr>
        <w:t>万元，</w:t>
      </w:r>
      <w:r>
        <w:rPr>
          <w:rFonts w:hint="eastAsia"/>
          <w:color w:val="auto"/>
          <w:szCs w:val="32"/>
          <w:lang w:val="en-US" w:eastAsia="zh-CN"/>
        </w:rPr>
        <w:t>本年调整预算为60.21万元；财政拨款</w:t>
      </w:r>
      <w:r>
        <w:rPr>
          <w:rFonts w:hint="eastAsia"/>
          <w:color w:val="auto"/>
          <w:szCs w:val="32"/>
        </w:rPr>
        <w:t>支出决算</w:t>
      </w:r>
      <w:r>
        <w:rPr>
          <w:rFonts w:hint="eastAsia"/>
          <w:color w:val="auto"/>
          <w:szCs w:val="32"/>
          <w:lang w:val="en-US" w:eastAsia="zh-CN"/>
        </w:rPr>
        <w:t>60.21</w:t>
      </w:r>
      <w:r>
        <w:rPr>
          <w:rFonts w:hint="eastAsia"/>
          <w:color w:val="auto"/>
          <w:szCs w:val="32"/>
        </w:rPr>
        <w:t>万元，完成</w:t>
      </w:r>
      <w:r>
        <w:rPr>
          <w:rFonts w:hint="eastAsia"/>
          <w:color w:val="auto"/>
          <w:szCs w:val="32"/>
          <w:lang w:val="en-US" w:eastAsia="zh-CN"/>
        </w:rPr>
        <w:t>调整</w:t>
      </w:r>
      <w:r>
        <w:rPr>
          <w:rFonts w:hint="eastAsia"/>
          <w:color w:val="auto"/>
          <w:szCs w:val="32"/>
        </w:rPr>
        <w:t>预算的</w:t>
      </w:r>
      <w:r>
        <w:rPr>
          <w:rFonts w:hint="eastAsia"/>
          <w:color w:val="auto"/>
          <w:szCs w:val="32"/>
          <w:lang w:val="en-US" w:eastAsia="zh-CN"/>
        </w:rPr>
        <w:t>100</w:t>
      </w:r>
      <w:bookmarkStart w:id="33" w:name="_GoBack"/>
      <w:bookmarkEnd w:id="33"/>
      <w:r>
        <w:rPr>
          <w:color w:val="auto"/>
          <w:szCs w:val="32"/>
        </w:rPr>
        <w:t>%</w:t>
      </w:r>
      <w:r>
        <w:rPr>
          <w:rFonts w:hint="eastAsia"/>
          <w:color w:val="auto"/>
          <w:szCs w:val="32"/>
        </w:rPr>
        <w:t>。其中：</w:t>
      </w:r>
    </w:p>
    <w:p>
      <w:pPr>
        <w:numPr>
          <w:ilvl w:val="0"/>
          <w:numId w:val="0"/>
        </w:numPr>
        <w:ind w:firstLine="640" w:firstLineChars="200"/>
        <w:jc w:val="left"/>
        <w:rPr>
          <w:rFonts w:hint="eastAsia" w:ascii="仿宋" w:hAnsi="仿宋" w:eastAsia="仿宋" w:cs="仿宋"/>
          <w:color w:val="auto"/>
          <w:sz w:val="32"/>
          <w:szCs w:val="32"/>
        </w:rPr>
      </w:pP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lang w:val="en-US" w:eastAsia="zh-CN"/>
        </w:rPr>
        <w:t>1）</w:t>
      </w:r>
      <w:r>
        <w:rPr>
          <w:rFonts w:hint="eastAsia" w:ascii="仿宋" w:hAnsi="仿宋" w:eastAsia="仿宋" w:cs="仿宋"/>
          <w:color w:val="auto"/>
          <w:sz w:val="32"/>
          <w:szCs w:val="32"/>
        </w:rPr>
        <w:t>按功能科目分类</w:t>
      </w:r>
      <w:r>
        <w:rPr>
          <w:rFonts w:hint="eastAsia" w:ascii="仿宋" w:hAnsi="仿宋" w:eastAsia="仿宋" w:cs="仿宋"/>
          <w:color w:val="auto"/>
          <w:sz w:val="32"/>
          <w:szCs w:val="32"/>
          <w:lang w:val="en-US" w:eastAsia="zh-CN"/>
        </w:rPr>
        <w:t>对比</w:t>
      </w:r>
      <w:r>
        <w:rPr>
          <w:rFonts w:hint="eastAsia" w:ascii="仿宋" w:hAnsi="仿宋" w:eastAsia="仿宋" w:cs="仿宋"/>
          <w:color w:val="auto"/>
          <w:sz w:val="32"/>
          <w:szCs w:val="32"/>
        </w:rPr>
        <w:t>如下：</w:t>
      </w:r>
    </w:p>
    <w:p>
      <w:pPr>
        <w:jc w:val="left"/>
        <w:rPr>
          <w:rFonts w:hint="eastAsia" w:ascii="宋体" w:hAnsi="宋体" w:cs="Arial"/>
          <w:b/>
          <w:color w:val="auto"/>
          <w:kern w:val="0"/>
          <w:sz w:val="30"/>
          <w:szCs w:val="30"/>
        </w:rPr>
      </w:pPr>
      <w:r>
        <w:rPr>
          <w:rFonts w:hint="eastAsia" w:ascii="仿宋_GB2312" w:eastAsia="仿宋_GB2312"/>
          <w:color w:val="auto"/>
          <w:sz w:val="32"/>
          <w:szCs w:val="32"/>
        </w:rPr>
        <w:t xml:space="preserve"> </w:t>
      </w:r>
      <w:r>
        <w:rPr>
          <w:rFonts w:ascii="宋体" w:hAnsi="宋体" w:cs="Arial"/>
          <w:b/>
          <w:color w:val="auto"/>
          <w:kern w:val="0"/>
          <w:sz w:val="30"/>
          <w:szCs w:val="30"/>
        </w:rPr>
        <w:t>2</w:t>
      </w:r>
      <w:r>
        <w:rPr>
          <w:rFonts w:hint="eastAsia" w:ascii="宋体" w:hAnsi="宋体" w:cs="Arial"/>
          <w:b/>
          <w:color w:val="auto"/>
          <w:kern w:val="0"/>
          <w:sz w:val="30"/>
          <w:szCs w:val="30"/>
        </w:rPr>
        <w:t>0</w:t>
      </w:r>
      <w:r>
        <w:rPr>
          <w:rFonts w:hint="eastAsia" w:ascii="宋体" w:hAnsi="宋体" w:cs="Arial"/>
          <w:b/>
          <w:color w:val="auto"/>
          <w:kern w:val="0"/>
          <w:sz w:val="30"/>
          <w:szCs w:val="30"/>
          <w:lang w:val="en-US" w:eastAsia="zh-CN"/>
        </w:rPr>
        <w:t>21</w:t>
      </w:r>
      <w:r>
        <w:rPr>
          <w:rFonts w:hint="eastAsia" w:ascii="宋体" w:hAnsi="宋体" w:cs="Arial"/>
          <w:b/>
          <w:color w:val="auto"/>
          <w:kern w:val="0"/>
          <w:sz w:val="30"/>
          <w:szCs w:val="30"/>
        </w:rPr>
        <w:t>年度支出功能科目分类对比表    单位：</w:t>
      </w:r>
      <w:r>
        <w:rPr>
          <w:rFonts w:hint="eastAsia" w:ascii="宋体" w:hAnsi="宋体" w:cs="Arial"/>
          <w:b/>
          <w:color w:val="auto"/>
          <w:kern w:val="0"/>
          <w:sz w:val="30"/>
          <w:szCs w:val="30"/>
          <w:lang w:val="en-US" w:eastAsia="zh-CN"/>
        </w:rPr>
        <w:t>万</w:t>
      </w:r>
      <w:r>
        <w:rPr>
          <w:rFonts w:hint="eastAsia" w:ascii="宋体" w:hAnsi="宋体" w:cs="Arial"/>
          <w:b/>
          <w:color w:val="auto"/>
          <w:kern w:val="0"/>
          <w:sz w:val="30"/>
          <w:szCs w:val="30"/>
        </w:rPr>
        <w:t>元</w:t>
      </w:r>
    </w:p>
    <w:tbl>
      <w:tblPr>
        <w:tblStyle w:val="9"/>
        <w:tblW w:w="9020" w:type="dxa"/>
        <w:tblInd w:w="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88"/>
        <w:gridCol w:w="2479"/>
        <w:gridCol w:w="1876"/>
        <w:gridCol w:w="1684"/>
        <w:gridCol w:w="13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1588" w:type="dxa"/>
            <w:vAlign w:val="top"/>
          </w:tcPr>
          <w:p>
            <w:pPr>
              <w:widowControl/>
              <w:ind w:left="0" w:leftChars="0" w:firstLine="0" w:firstLineChars="0"/>
              <w:jc w:val="both"/>
              <w:rPr>
                <w:rFonts w:hint="eastAsia" w:ascii="宋体" w:hAnsi="宋体" w:cs="Arial"/>
                <w:b/>
                <w:color w:val="auto"/>
                <w:kern w:val="0"/>
                <w:sz w:val="24"/>
                <w:szCs w:val="24"/>
              </w:rPr>
            </w:pPr>
            <w:r>
              <w:rPr>
                <w:rFonts w:hint="eastAsia" w:ascii="宋体" w:hAnsi="宋体" w:cs="Arial"/>
                <w:b/>
                <w:color w:val="auto"/>
                <w:kern w:val="0"/>
                <w:sz w:val="24"/>
                <w:szCs w:val="24"/>
              </w:rPr>
              <w:t>科目代码</w:t>
            </w:r>
          </w:p>
        </w:tc>
        <w:tc>
          <w:tcPr>
            <w:tcW w:w="2479" w:type="dxa"/>
            <w:vAlign w:val="top"/>
          </w:tcPr>
          <w:p>
            <w:pPr>
              <w:widowControl/>
              <w:jc w:val="both"/>
              <w:rPr>
                <w:rFonts w:hint="eastAsia" w:ascii="宋体" w:hAnsi="宋体" w:cs="Arial"/>
                <w:b/>
                <w:color w:val="auto"/>
                <w:kern w:val="0"/>
                <w:sz w:val="24"/>
                <w:szCs w:val="24"/>
              </w:rPr>
            </w:pPr>
            <w:r>
              <w:rPr>
                <w:rFonts w:hint="eastAsia" w:ascii="宋体" w:hAnsi="宋体" w:cs="Arial"/>
                <w:b/>
                <w:color w:val="auto"/>
                <w:kern w:val="0"/>
                <w:sz w:val="24"/>
                <w:szCs w:val="24"/>
              </w:rPr>
              <w:t>科目名称</w:t>
            </w:r>
          </w:p>
        </w:tc>
        <w:tc>
          <w:tcPr>
            <w:tcW w:w="1876" w:type="dxa"/>
            <w:vAlign w:val="top"/>
          </w:tcPr>
          <w:p>
            <w:pPr>
              <w:widowControl/>
              <w:jc w:val="left"/>
              <w:rPr>
                <w:rFonts w:hint="eastAsia" w:ascii="宋体" w:hAnsi="宋体" w:eastAsia="宋体" w:cs="Arial"/>
                <w:b/>
                <w:color w:val="auto"/>
                <w:kern w:val="0"/>
                <w:sz w:val="24"/>
                <w:szCs w:val="24"/>
                <w:lang w:val="en-US" w:eastAsia="zh-CN"/>
              </w:rPr>
            </w:pPr>
            <w:r>
              <w:rPr>
                <w:rFonts w:hint="eastAsia" w:ascii="宋体" w:hAnsi="宋体" w:cs="Arial"/>
                <w:b/>
                <w:color w:val="auto"/>
                <w:kern w:val="0"/>
                <w:sz w:val="24"/>
                <w:szCs w:val="24"/>
                <w:lang w:val="en-US" w:eastAsia="zh-CN"/>
              </w:rPr>
              <w:t>2020年</w:t>
            </w:r>
          </w:p>
        </w:tc>
        <w:tc>
          <w:tcPr>
            <w:tcW w:w="1684" w:type="dxa"/>
            <w:vAlign w:val="top"/>
          </w:tcPr>
          <w:p>
            <w:pPr>
              <w:widowControl/>
              <w:jc w:val="left"/>
              <w:rPr>
                <w:rFonts w:hint="default" w:ascii="宋体" w:hAnsi="宋体" w:eastAsia="宋体" w:cs="Arial"/>
                <w:b/>
                <w:color w:val="auto"/>
                <w:kern w:val="0"/>
                <w:sz w:val="24"/>
                <w:szCs w:val="24"/>
                <w:lang w:val="en-US" w:eastAsia="zh-CN"/>
              </w:rPr>
            </w:pPr>
            <w:r>
              <w:rPr>
                <w:rFonts w:hint="eastAsia" w:ascii="宋体" w:hAnsi="宋体" w:eastAsia="宋体" w:cs="Arial"/>
                <w:b/>
                <w:color w:val="auto"/>
                <w:kern w:val="0"/>
                <w:sz w:val="24"/>
                <w:szCs w:val="24"/>
                <w:lang w:val="en-US" w:eastAsia="zh-CN"/>
              </w:rPr>
              <w:t>2021年</w:t>
            </w:r>
          </w:p>
        </w:tc>
        <w:tc>
          <w:tcPr>
            <w:tcW w:w="1393" w:type="dxa"/>
            <w:vAlign w:val="top"/>
          </w:tcPr>
          <w:p>
            <w:pPr>
              <w:widowControl/>
              <w:ind w:left="0" w:leftChars="0" w:firstLine="0" w:firstLineChars="0"/>
              <w:jc w:val="left"/>
              <w:rPr>
                <w:rFonts w:hint="eastAsia" w:ascii="宋体" w:hAnsi="宋体" w:eastAsia="宋体" w:cs="Arial"/>
                <w:b/>
                <w:color w:val="auto"/>
                <w:kern w:val="0"/>
                <w:sz w:val="24"/>
                <w:szCs w:val="24"/>
                <w:lang w:eastAsia="zh-CN"/>
              </w:rPr>
            </w:pPr>
            <w:r>
              <w:rPr>
                <w:rFonts w:hint="eastAsia" w:ascii="宋体" w:hAnsi="宋体" w:cs="Arial"/>
                <w:b/>
                <w:color w:val="auto"/>
                <w:kern w:val="0"/>
                <w:sz w:val="24"/>
                <w:szCs w:val="24"/>
                <w:lang w:eastAsia="zh-CN"/>
              </w:rPr>
              <w:t>增减变化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588" w:type="dxa"/>
            <w:vAlign w:val="center"/>
          </w:tcPr>
          <w:p>
            <w:pPr>
              <w:keepNext w:val="0"/>
              <w:keepLines w:val="0"/>
              <w:widowControl/>
              <w:suppressLineNumbers w:val="0"/>
              <w:ind w:firstLine="440" w:firstLineChars="200"/>
              <w:jc w:val="center"/>
              <w:textAlignment w:val="center"/>
              <w:rPr>
                <w:rFonts w:hint="eastAsia" w:ascii="仿宋" w:hAnsi="仿宋" w:eastAsia="仿宋" w:cs="仿宋"/>
                <w:color w:val="auto"/>
                <w:sz w:val="24"/>
                <w:szCs w:val="24"/>
              </w:rPr>
            </w:pPr>
            <w:r>
              <w:rPr>
                <w:rFonts w:hint="eastAsia" w:ascii="宋体" w:hAnsi="宋体" w:eastAsia="宋体" w:cs="宋体"/>
                <w:i w:val="0"/>
                <w:color w:val="auto"/>
                <w:kern w:val="0"/>
                <w:sz w:val="22"/>
                <w:szCs w:val="22"/>
                <w:u w:val="none"/>
                <w:lang w:val="en-US" w:eastAsia="zh-CN" w:bidi="ar"/>
              </w:rPr>
              <w:t>201</w:t>
            </w:r>
          </w:p>
        </w:tc>
        <w:tc>
          <w:tcPr>
            <w:tcW w:w="2479" w:type="dxa"/>
            <w:vAlign w:val="center"/>
          </w:tcPr>
          <w:p>
            <w:pPr>
              <w:keepNext w:val="0"/>
              <w:keepLines w:val="0"/>
              <w:widowControl/>
              <w:suppressLineNumbers w:val="0"/>
              <w:ind w:firstLine="440" w:firstLineChars="200"/>
              <w:jc w:val="center"/>
              <w:textAlignment w:val="center"/>
              <w:rPr>
                <w:rFonts w:hint="eastAsia" w:ascii="仿宋" w:hAnsi="仿宋" w:eastAsia="仿宋" w:cs="仿宋"/>
                <w:color w:val="auto"/>
                <w:sz w:val="24"/>
                <w:szCs w:val="24"/>
              </w:rPr>
            </w:pPr>
            <w:r>
              <w:rPr>
                <w:rFonts w:hint="eastAsia" w:ascii="宋体" w:hAnsi="宋体" w:eastAsia="宋体" w:cs="宋体"/>
                <w:i w:val="0"/>
                <w:color w:val="auto"/>
                <w:kern w:val="0"/>
                <w:sz w:val="22"/>
                <w:szCs w:val="22"/>
                <w:u w:val="none"/>
                <w:lang w:val="en-US" w:eastAsia="zh-CN" w:bidi="ar"/>
              </w:rPr>
              <w:t>一般公共服务支出</w:t>
            </w:r>
          </w:p>
        </w:tc>
        <w:tc>
          <w:tcPr>
            <w:tcW w:w="1876" w:type="dxa"/>
            <w:vAlign w:val="center"/>
          </w:tcPr>
          <w:p>
            <w:pPr>
              <w:keepNext w:val="0"/>
              <w:keepLines w:val="0"/>
              <w:widowControl/>
              <w:suppressLineNumbers w:val="0"/>
              <w:ind w:firstLine="440" w:firstLineChars="200"/>
              <w:jc w:val="center"/>
              <w:textAlignment w:val="center"/>
              <w:rPr>
                <w:rFonts w:hint="eastAsia" w:ascii="仿宋" w:hAnsi="仿宋" w:eastAsia="仿宋" w:cs="仿宋"/>
                <w:color w:val="auto"/>
                <w:sz w:val="24"/>
                <w:szCs w:val="24"/>
              </w:rPr>
            </w:pPr>
            <w:r>
              <w:rPr>
                <w:rFonts w:hint="eastAsia" w:ascii="宋体" w:hAnsi="宋体" w:eastAsia="宋体" w:cs="宋体"/>
                <w:i w:val="0"/>
                <w:color w:val="auto"/>
                <w:kern w:val="0"/>
                <w:sz w:val="22"/>
                <w:szCs w:val="22"/>
                <w:u w:val="none"/>
                <w:lang w:val="en-US" w:eastAsia="zh-CN" w:bidi="ar"/>
              </w:rPr>
              <w:t>57.78</w:t>
            </w:r>
          </w:p>
        </w:tc>
        <w:tc>
          <w:tcPr>
            <w:tcW w:w="1684" w:type="dxa"/>
            <w:vAlign w:val="center"/>
          </w:tcPr>
          <w:p>
            <w:pPr>
              <w:keepNext w:val="0"/>
              <w:keepLines w:val="0"/>
              <w:widowControl/>
              <w:suppressLineNumbers w:val="0"/>
              <w:ind w:firstLine="440" w:firstLineChars="200"/>
              <w:jc w:val="right"/>
              <w:textAlignment w:val="center"/>
              <w:rPr>
                <w:rFonts w:hint="eastAsia" w:ascii="仿宋" w:hAnsi="仿宋" w:eastAsia="仿宋" w:cs="仿宋"/>
                <w:color w:val="auto"/>
                <w:sz w:val="24"/>
                <w:szCs w:val="24"/>
              </w:rPr>
            </w:pPr>
            <w:r>
              <w:rPr>
                <w:rFonts w:hint="eastAsia" w:ascii="宋体" w:hAnsi="宋体" w:eastAsia="宋体" w:cs="宋体"/>
                <w:i w:val="0"/>
                <w:color w:val="auto"/>
                <w:kern w:val="0"/>
                <w:sz w:val="22"/>
                <w:szCs w:val="22"/>
                <w:u w:val="none"/>
                <w:lang w:val="en-US" w:eastAsia="zh-CN" w:bidi="ar"/>
              </w:rPr>
              <w:t>60.21</w:t>
            </w:r>
          </w:p>
        </w:tc>
        <w:tc>
          <w:tcPr>
            <w:tcW w:w="1393" w:type="dxa"/>
            <w:vAlign w:val="top"/>
          </w:tcPr>
          <w:p>
            <w:pPr>
              <w:jc w:val="left"/>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4.2%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1588" w:type="dxa"/>
            <w:vAlign w:val="center"/>
          </w:tcPr>
          <w:p>
            <w:pPr>
              <w:keepNext w:val="0"/>
              <w:keepLines w:val="0"/>
              <w:widowControl/>
              <w:suppressLineNumbers w:val="0"/>
              <w:ind w:firstLine="440" w:firstLineChars="200"/>
              <w:jc w:val="center"/>
              <w:textAlignment w:val="center"/>
              <w:rPr>
                <w:rFonts w:hint="eastAsia" w:ascii="仿宋" w:hAnsi="仿宋" w:eastAsia="仿宋" w:cs="仿宋"/>
                <w:color w:val="auto"/>
                <w:sz w:val="24"/>
                <w:szCs w:val="24"/>
              </w:rPr>
            </w:pPr>
            <w:r>
              <w:rPr>
                <w:rFonts w:hint="eastAsia" w:ascii="宋体" w:hAnsi="宋体" w:eastAsia="宋体" w:cs="宋体"/>
                <w:i w:val="0"/>
                <w:color w:val="auto"/>
                <w:kern w:val="0"/>
                <w:sz w:val="22"/>
                <w:szCs w:val="22"/>
                <w:u w:val="none"/>
                <w:lang w:val="en-US" w:eastAsia="zh-CN" w:bidi="ar"/>
              </w:rPr>
              <w:t>20129</w:t>
            </w:r>
          </w:p>
        </w:tc>
        <w:tc>
          <w:tcPr>
            <w:tcW w:w="2479" w:type="dxa"/>
            <w:vAlign w:val="center"/>
          </w:tcPr>
          <w:p>
            <w:pPr>
              <w:keepNext w:val="0"/>
              <w:keepLines w:val="0"/>
              <w:widowControl/>
              <w:suppressLineNumbers w:val="0"/>
              <w:ind w:firstLine="440" w:firstLineChars="200"/>
              <w:jc w:val="center"/>
              <w:textAlignment w:val="center"/>
              <w:rPr>
                <w:rFonts w:hint="eastAsia" w:ascii="仿宋" w:hAnsi="仿宋" w:eastAsia="仿宋" w:cs="仿宋"/>
                <w:color w:val="auto"/>
                <w:sz w:val="24"/>
                <w:szCs w:val="24"/>
              </w:rPr>
            </w:pPr>
            <w:r>
              <w:rPr>
                <w:rFonts w:hint="eastAsia" w:ascii="宋体" w:hAnsi="宋体" w:eastAsia="宋体" w:cs="宋体"/>
                <w:i w:val="0"/>
                <w:color w:val="auto"/>
                <w:kern w:val="0"/>
                <w:sz w:val="22"/>
                <w:szCs w:val="22"/>
                <w:u w:val="none"/>
                <w:lang w:val="en-US" w:eastAsia="zh-CN" w:bidi="ar"/>
              </w:rPr>
              <w:t>群众团体事务</w:t>
            </w:r>
          </w:p>
        </w:tc>
        <w:tc>
          <w:tcPr>
            <w:tcW w:w="1876" w:type="dxa"/>
            <w:vAlign w:val="center"/>
          </w:tcPr>
          <w:p>
            <w:pPr>
              <w:keepNext w:val="0"/>
              <w:keepLines w:val="0"/>
              <w:widowControl/>
              <w:suppressLineNumbers w:val="0"/>
              <w:ind w:firstLine="440" w:firstLineChars="200"/>
              <w:jc w:val="center"/>
              <w:textAlignment w:val="center"/>
              <w:rPr>
                <w:rFonts w:hint="eastAsia" w:ascii="仿宋" w:hAnsi="仿宋" w:eastAsia="仿宋" w:cs="仿宋"/>
                <w:color w:val="auto"/>
                <w:sz w:val="24"/>
                <w:szCs w:val="24"/>
              </w:rPr>
            </w:pPr>
            <w:r>
              <w:rPr>
                <w:rFonts w:hint="eastAsia" w:ascii="宋体" w:hAnsi="宋体" w:eastAsia="宋体" w:cs="宋体"/>
                <w:i w:val="0"/>
                <w:color w:val="auto"/>
                <w:kern w:val="0"/>
                <w:sz w:val="22"/>
                <w:szCs w:val="22"/>
                <w:u w:val="none"/>
                <w:lang w:val="en-US" w:eastAsia="zh-CN" w:bidi="ar"/>
              </w:rPr>
              <w:t>57.78</w:t>
            </w:r>
          </w:p>
        </w:tc>
        <w:tc>
          <w:tcPr>
            <w:tcW w:w="1684" w:type="dxa"/>
            <w:vAlign w:val="center"/>
          </w:tcPr>
          <w:p>
            <w:pPr>
              <w:keepNext w:val="0"/>
              <w:keepLines w:val="0"/>
              <w:widowControl/>
              <w:suppressLineNumbers w:val="0"/>
              <w:ind w:firstLine="440" w:firstLineChars="200"/>
              <w:jc w:val="right"/>
              <w:textAlignment w:val="center"/>
              <w:rPr>
                <w:rFonts w:hint="eastAsia" w:ascii="仿宋" w:hAnsi="仿宋" w:eastAsia="仿宋" w:cs="仿宋"/>
                <w:color w:val="auto"/>
                <w:sz w:val="24"/>
                <w:szCs w:val="24"/>
                <w:lang w:val="en-US" w:eastAsia="zh-CN"/>
              </w:rPr>
            </w:pPr>
            <w:r>
              <w:rPr>
                <w:rFonts w:hint="eastAsia" w:ascii="宋体" w:hAnsi="宋体" w:eastAsia="宋体" w:cs="宋体"/>
                <w:i w:val="0"/>
                <w:color w:val="auto"/>
                <w:kern w:val="0"/>
                <w:sz w:val="22"/>
                <w:szCs w:val="22"/>
                <w:u w:val="none"/>
                <w:lang w:val="en-US" w:eastAsia="zh-CN" w:bidi="ar"/>
              </w:rPr>
              <w:t>60.21</w:t>
            </w:r>
          </w:p>
        </w:tc>
        <w:tc>
          <w:tcPr>
            <w:tcW w:w="1393" w:type="dxa"/>
            <w:vAlign w:val="top"/>
          </w:tcPr>
          <w:p>
            <w:pPr>
              <w:jc w:val="left"/>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4.2%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1588" w:type="dxa"/>
            <w:vAlign w:val="center"/>
          </w:tcPr>
          <w:p>
            <w:pPr>
              <w:keepNext w:val="0"/>
              <w:keepLines w:val="0"/>
              <w:widowControl/>
              <w:suppressLineNumbers w:val="0"/>
              <w:ind w:firstLine="440" w:firstLineChars="200"/>
              <w:jc w:val="center"/>
              <w:textAlignment w:val="center"/>
              <w:rPr>
                <w:rFonts w:hint="eastAsia" w:ascii="仿宋" w:hAnsi="仿宋" w:eastAsia="仿宋" w:cs="仿宋"/>
                <w:color w:val="auto"/>
                <w:sz w:val="24"/>
                <w:szCs w:val="24"/>
              </w:rPr>
            </w:pPr>
            <w:r>
              <w:rPr>
                <w:rFonts w:hint="eastAsia" w:ascii="宋体" w:hAnsi="宋体" w:eastAsia="宋体" w:cs="宋体"/>
                <w:i w:val="0"/>
                <w:color w:val="auto"/>
                <w:kern w:val="0"/>
                <w:sz w:val="22"/>
                <w:szCs w:val="22"/>
                <w:u w:val="none"/>
                <w:lang w:val="en-US" w:eastAsia="zh-CN" w:bidi="ar"/>
              </w:rPr>
              <w:t>2012901</w:t>
            </w:r>
          </w:p>
        </w:tc>
        <w:tc>
          <w:tcPr>
            <w:tcW w:w="2479" w:type="dxa"/>
            <w:vAlign w:val="center"/>
          </w:tcPr>
          <w:p>
            <w:pPr>
              <w:keepNext w:val="0"/>
              <w:keepLines w:val="0"/>
              <w:widowControl/>
              <w:suppressLineNumbers w:val="0"/>
              <w:ind w:firstLine="440" w:firstLineChars="200"/>
              <w:jc w:val="center"/>
              <w:textAlignment w:val="center"/>
              <w:rPr>
                <w:rFonts w:hint="eastAsia" w:ascii="仿宋" w:hAnsi="仿宋" w:eastAsia="仿宋" w:cs="仿宋"/>
                <w:color w:val="auto"/>
                <w:sz w:val="24"/>
                <w:szCs w:val="24"/>
              </w:rPr>
            </w:pPr>
            <w:r>
              <w:rPr>
                <w:rFonts w:hint="eastAsia" w:ascii="宋体" w:hAnsi="宋体" w:eastAsia="宋体" w:cs="宋体"/>
                <w:i w:val="0"/>
                <w:color w:val="auto"/>
                <w:kern w:val="0"/>
                <w:sz w:val="22"/>
                <w:szCs w:val="22"/>
                <w:u w:val="none"/>
                <w:lang w:val="en-US" w:eastAsia="zh-CN" w:bidi="ar"/>
              </w:rPr>
              <w:t>行政运行</w:t>
            </w:r>
          </w:p>
        </w:tc>
        <w:tc>
          <w:tcPr>
            <w:tcW w:w="1876" w:type="dxa"/>
            <w:vAlign w:val="center"/>
          </w:tcPr>
          <w:p>
            <w:pPr>
              <w:keepNext w:val="0"/>
              <w:keepLines w:val="0"/>
              <w:widowControl/>
              <w:suppressLineNumbers w:val="0"/>
              <w:ind w:firstLine="440" w:firstLineChars="200"/>
              <w:jc w:val="center"/>
              <w:textAlignment w:val="center"/>
              <w:rPr>
                <w:rFonts w:hint="eastAsia" w:ascii="仿宋" w:hAnsi="仿宋" w:eastAsia="仿宋" w:cs="仿宋"/>
                <w:color w:val="auto"/>
                <w:sz w:val="24"/>
                <w:szCs w:val="24"/>
              </w:rPr>
            </w:pPr>
            <w:r>
              <w:rPr>
                <w:rFonts w:hint="eastAsia" w:ascii="宋体" w:hAnsi="宋体" w:eastAsia="宋体" w:cs="宋体"/>
                <w:i w:val="0"/>
                <w:color w:val="auto"/>
                <w:kern w:val="0"/>
                <w:sz w:val="22"/>
                <w:szCs w:val="22"/>
                <w:u w:val="none"/>
                <w:lang w:val="en-US" w:eastAsia="zh-CN" w:bidi="ar"/>
              </w:rPr>
              <w:t>45.88</w:t>
            </w:r>
          </w:p>
        </w:tc>
        <w:tc>
          <w:tcPr>
            <w:tcW w:w="1684" w:type="dxa"/>
            <w:vAlign w:val="center"/>
          </w:tcPr>
          <w:p>
            <w:pPr>
              <w:keepNext w:val="0"/>
              <w:keepLines w:val="0"/>
              <w:widowControl/>
              <w:suppressLineNumbers w:val="0"/>
              <w:ind w:firstLine="440" w:firstLineChars="200"/>
              <w:jc w:val="right"/>
              <w:textAlignment w:val="center"/>
              <w:rPr>
                <w:rFonts w:hint="eastAsia" w:ascii="仿宋" w:hAnsi="仿宋" w:eastAsia="仿宋" w:cs="仿宋"/>
                <w:color w:val="auto"/>
                <w:sz w:val="24"/>
                <w:szCs w:val="24"/>
                <w:lang w:val="en-US" w:eastAsia="zh-CN"/>
              </w:rPr>
            </w:pPr>
            <w:r>
              <w:rPr>
                <w:rFonts w:hint="eastAsia" w:ascii="宋体" w:hAnsi="宋体" w:eastAsia="宋体" w:cs="宋体"/>
                <w:i w:val="0"/>
                <w:color w:val="auto"/>
                <w:kern w:val="0"/>
                <w:sz w:val="22"/>
                <w:szCs w:val="22"/>
                <w:u w:val="none"/>
                <w:lang w:val="en-US" w:eastAsia="zh-CN" w:bidi="ar"/>
              </w:rPr>
              <w:t>60.21</w:t>
            </w:r>
          </w:p>
        </w:tc>
        <w:tc>
          <w:tcPr>
            <w:tcW w:w="1393" w:type="dxa"/>
            <w:vAlign w:val="top"/>
          </w:tcPr>
          <w:p>
            <w:pPr>
              <w:jc w:val="left"/>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4.2%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1588" w:type="dxa"/>
            <w:vAlign w:val="center"/>
          </w:tcPr>
          <w:p>
            <w:pPr>
              <w:keepNext w:val="0"/>
              <w:keepLines w:val="0"/>
              <w:widowControl/>
              <w:suppressLineNumbers w:val="0"/>
              <w:ind w:firstLine="440" w:firstLineChars="200"/>
              <w:jc w:val="center"/>
              <w:textAlignment w:val="center"/>
              <w:rPr>
                <w:rFonts w:hint="eastAsia" w:ascii="仿宋" w:hAnsi="仿宋" w:eastAsia="仿宋" w:cs="仿宋"/>
                <w:color w:val="auto"/>
                <w:sz w:val="24"/>
                <w:szCs w:val="24"/>
              </w:rPr>
            </w:pPr>
            <w:r>
              <w:rPr>
                <w:rFonts w:hint="eastAsia" w:ascii="宋体" w:hAnsi="宋体" w:eastAsia="宋体" w:cs="宋体"/>
                <w:i w:val="0"/>
                <w:color w:val="auto"/>
                <w:kern w:val="0"/>
                <w:sz w:val="22"/>
                <w:szCs w:val="22"/>
                <w:u w:val="none"/>
                <w:lang w:val="en-US" w:eastAsia="zh-CN" w:bidi="ar"/>
              </w:rPr>
              <w:t>2012902</w:t>
            </w:r>
          </w:p>
        </w:tc>
        <w:tc>
          <w:tcPr>
            <w:tcW w:w="2479" w:type="dxa"/>
            <w:vAlign w:val="center"/>
          </w:tcPr>
          <w:p>
            <w:pPr>
              <w:keepNext w:val="0"/>
              <w:keepLines w:val="0"/>
              <w:widowControl/>
              <w:suppressLineNumbers w:val="0"/>
              <w:ind w:firstLine="440" w:firstLineChars="200"/>
              <w:jc w:val="center"/>
              <w:textAlignment w:val="center"/>
              <w:rPr>
                <w:rFonts w:hint="eastAsia" w:ascii="仿宋" w:hAnsi="仿宋" w:eastAsia="仿宋" w:cs="仿宋"/>
                <w:color w:val="auto"/>
                <w:sz w:val="24"/>
                <w:szCs w:val="24"/>
              </w:rPr>
            </w:pPr>
            <w:r>
              <w:rPr>
                <w:rFonts w:hint="eastAsia" w:ascii="宋体" w:hAnsi="宋体" w:eastAsia="宋体" w:cs="宋体"/>
                <w:i w:val="0"/>
                <w:color w:val="auto"/>
                <w:kern w:val="0"/>
                <w:sz w:val="22"/>
                <w:szCs w:val="22"/>
                <w:u w:val="none"/>
                <w:lang w:val="en-US" w:eastAsia="zh-CN" w:bidi="ar"/>
              </w:rPr>
              <w:t>一般行政管理事务</w:t>
            </w:r>
          </w:p>
        </w:tc>
        <w:tc>
          <w:tcPr>
            <w:tcW w:w="1876" w:type="dxa"/>
            <w:vAlign w:val="center"/>
          </w:tcPr>
          <w:p>
            <w:pPr>
              <w:keepNext w:val="0"/>
              <w:keepLines w:val="0"/>
              <w:widowControl/>
              <w:suppressLineNumbers w:val="0"/>
              <w:ind w:firstLine="440" w:firstLineChars="200"/>
              <w:jc w:val="center"/>
              <w:textAlignment w:val="center"/>
              <w:rPr>
                <w:rFonts w:hint="eastAsia" w:ascii="仿宋" w:hAnsi="仿宋" w:eastAsia="仿宋" w:cs="仿宋"/>
                <w:color w:val="auto"/>
                <w:sz w:val="24"/>
                <w:szCs w:val="24"/>
              </w:rPr>
            </w:pPr>
            <w:r>
              <w:rPr>
                <w:rFonts w:hint="eastAsia" w:ascii="宋体" w:hAnsi="宋体" w:eastAsia="宋体" w:cs="宋体"/>
                <w:i w:val="0"/>
                <w:color w:val="auto"/>
                <w:kern w:val="0"/>
                <w:sz w:val="22"/>
                <w:szCs w:val="22"/>
                <w:u w:val="none"/>
                <w:lang w:val="en-US" w:eastAsia="zh-CN" w:bidi="ar"/>
              </w:rPr>
              <w:t>11.91</w:t>
            </w:r>
          </w:p>
        </w:tc>
        <w:tc>
          <w:tcPr>
            <w:tcW w:w="1684" w:type="dxa"/>
            <w:vAlign w:val="top"/>
          </w:tcPr>
          <w:p>
            <w:pPr>
              <w:ind w:firstLine="720" w:firstLineChars="300"/>
              <w:jc w:val="left"/>
              <w:rPr>
                <w:rFonts w:hint="eastAsia" w:ascii="仿宋" w:hAnsi="仿宋" w:eastAsia="仿宋" w:cs="仿宋"/>
                <w:color w:val="auto"/>
                <w:sz w:val="24"/>
                <w:szCs w:val="24"/>
                <w:lang w:val="en-US" w:eastAsia="zh-CN"/>
              </w:rPr>
            </w:pPr>
          </w:p>
        </w:tc>
        <w:tc>
          <w:tcPr>
            <w:tcW w:w="1393" w:type="dxa"/>
            <w:vAlign w:val="top"/>
          </w:tcPr>
          <w:p>
            <w:pPr>
              <w:jc w:val="left"/>
              <w:rPr>
                <w:rFonts w:hint="eastAsia" w:ascii="仿宋" w:hAnsi="仿宋" w:eastAsia="仿宋" w:cs="仿宋"/>
                <w:color w:val="auto"/>
                <w:sz w:val="24"/>
                <w:szCs w:val="24"/>
                <w:lang w:val="en-US" w:eastAsia="zh-CN"/>
              </w:rPr>
            </w:pPr>
          </w:p>
        </w:tc>
      </w:tr>
    </w:tbl>
    <w:p>
      <w:pPr>
        <w:numPr>
          <w:ilvl w:val="0"/>
          <w:numId w:val="2"/>
        </w:numPr>
        <w:ind w:firstLine="640" w:firstLineChars="200"/>
        <w:jc w:val="left"/>
        <w:rPr>
          <w:rFonts w:hint="eastAsia" w:ascii="仿宋" w:hAnsi="仿宋" w:eastAsia="仿宋" w:cs="仿宋"/>
          <w:color w:val="auto"/>
          <w:sz w:val="32"/>
          <w:szCs w:val="32"/>
        </w:rPr>
      </w:pPr>
      <w:r>
        <w:rPr>
          <w:rFonts w:hint="eastAsia" w:ascii="仿宋" w:hAnsi="仿宋" w:eastAsia="仿宋" w:cs="仿宋"/>
          <w:color w:val="auto"/>
          <w:sz w:val="32"/>
          <w:szCs w:val="32"/>
        </w:rPr>
        <w:t>按经济科目分类</w:t>
      </w:r>
      <w:r>
        <w:rPr>
          <w:rFonts w:hint="eastAsia" w:ascii="仿宋" w:hAnsi="仿宋" w:eastAsia="仿宋" w:cs="仿宋"/>
          <w:color w:val="auto"/>
          <w:sz w:val="32"/>
          <w:szCs w:val="32"/>
          <w:lang w:val="en-US" w:eastAsia="zh-CN"/>
        </w:rPr>
        <w:t>对比</w:t>
      </w:r>
      <w:r>
        <w:rPr>
          <w:rFonts w:hint="eastAsia" w:ascii="仿宋" w:hAnsi="仿宋" w:eastAsia="仿宋" w:cs="仿宋"/>
          <w:color w:val="auto"/>
          <w:sz w:val="32"/>
          <w:szCs w:val="32"/>
        </w:rPr>
        <w:t>如下：</w:t>
      </w:r>
    </w:p>
    <w:p>
      <w:pPr>
        <w:jc w:val="left"/>
        <w:rPr>
          <w:rFonts w:hint="eastAsia" w:ascii="仿宋" w:hAnsi="仿宋" w:eastAsia="仿宋" w:cs="仿宋"/>
          <w:color w:val="auto"/>
          <w:sz w:val="30"/>
          <w:szCs w:val="30"/>
        </w:rPr>
      </w:pPr>
      <w:r>
        <w:rPr>
          <w:rFonts w:hint="eastAsia" w:ascii="仿宋" w:hAnsi="仿宋" w:eastAsia="仿宋" w:cs="Arial"/>
          <w:b/>
          <w:color w:val="auto"/>
          <w:kern w:val="0"/>
          <w:sz w:val="30"/>
          <w:szCs w:val="30"/>
        </w:rPr>
        <w:t>20</w:t>
      </w:r>
      <w:r>
        <w:rPr>
          <w:rFonts w:hint="eastAsia" w:ascii="仿宋" w:hAnsi="仿宋" w:eastAsia="仿宋" w:cs="Arial"/>
          <w:b/>
          <w:color w:val="auto"/>
          <w:kern w:val="0"/>
          <w:sz w:val="30"/>
          <w:szCs w:val="30"/>
          <w:lang w:val="en-US" w:eastAsia="zh-CN"/>
        </w:rPr>
        <w:t>20</w:t>
      </w:r>
      <w:r>
        <w:rPr>
          <w:rFonts w:hint="eastAsia" w:ascii="仿宋" w:hAnsi="仿宋" w:eastAsia="仿宋" w:cs="Arial"/>
          <w:b/>
          <w:color w:val="auto"/>
          <w:kern w:val="0"/>
          <w:sz w:val="30"/>
          <w:szCs w:val="30"/>
        </w:rPr>
        <w:t xml:space="preserve">年度支出经济科目分类决算对比表  </w:t>
      </w:r>
      <w:r>
        <w:rPr>
          <w:rFonts w:hint="eastAsia" w:ascii="仿宋" w:hAnsi="仿宋" w:eastAsia="仿宋" w:cs="Arial"/>
          <w:b/>
          <w:color w:val="auto"/>
          <w:kern w:val="0"/>
          <w:sz w:val="30"/>
          <w:szCs w:val="30"/>
          <w:lang w:val="en-US" w:eastAsia="zh-CN"/>
        </w:rPr>
        <w:t xml:space="preserve"> </w:t>
      </w:r>
      <w:r>
        <w:rPr>
          <w:rFonts w:hint="eastAsia" w:ascii="仿宋" w:hAnsi="仿宋" w:eastAsia="仿宋" w:cs="Arial"/>
          <w:b/>
          <w:color w:val="auto"/>
          <w:kern w:val="0"/>
          <w:sz w:val="30"/>
          <w:szCs w:val="30"/>
        </w:rPr>
        <w:t xml:space="preserve">   单位：</w:t>
      </w:r>
      <w:r>
        <w:rPr>
          <w:rFonts w:hint="eastAsia" w:ascii="仿宋" w:hAnsi="仿宋" w:eastAsia="仿宋" w:cs="Arial"/>
          <w:b/>
          <w:color w:val="auto"/>
          <w:kern w:val="0"/>
          <w:sz w:val="30"/>
          <w:szCs w:val="30"/>
          <w:lang w:val="en-US" w:eastAsia="zh-CN"/>
        </w:rPr>
        <w:t>万</w:t>
      </w:r>
      <w:r>
        <w:rPr>
          <w:rFonts w:hint="eastAsia" w:ascii="仿宋" w:hAnsi="仿宋" w:eastAsia="仿宋" w:cs="Arial"/>
          <w:b/>
          <w:color w:val="auto"/>
          <w:kern w:val="0"/>
          <w:sz w:val="30"/>
          <w:szCs w:val="30"/>
        </w:rPr>
        <w:t>元</w:t>
      </w:r>
    </w:p>
    <w:tbl>
      <w:tblPr>
        <w:tblStyle w:val="9"/>
        <w:tblW w:w="8740" w:type="dxa"/>
        <w:tblInd w:w="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76"/>
        <w:gridCol w:w="1837"/>
        <w:gridCol w:w="2071"/>
        <w:gridCol w:w="19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trPr>
        <w:tc>
          <w:tcPr>
            <w:tcW w:w="2876" w:type="dxa"/>
            <w:vAlign w:val="center"/>
          </w:tcPr>
          <w:p>
            <w:pPr>
              <w:widowControl/>
              <w:jc w:val="both"/>
              <w:rPr>
                <w:rFonts w:hint="eastAsia" w:ascii="仿宋" w:hAnsi="仿宋" w:eastAsia="仿宋" w:cs="仿宋"/>
                <w:b/>
                <w:color w:val="auto"/>
                <w:kern w:val="0"/>
                <w:sz w:val="28"/>
                <w:szCs w:val="28"/>
              </w:rPr>
            </w:pPr>
            <w:r>
              <w:rPr>
                <w:rFonts w:hint="eastAsia" w:ascii="仿宋" w:hAnsi="仿宋" w:eastAsia="仿宋" w:cs="仿宋"/>
                <w:b/>
                <w:color w:val="auto"/>
                <w:kern w:val="0"/>
                <w:sz w:val="28"/>
                <w:szCs w:val="28"/>
                <w:lang w:val="en-US" w:eastAsia="zh-CN"/>
              </w:rPr>
              <w:t>科目</w:t>
            </w:r>
            <w:r>
              <w:rPr>
                <w:rFonts w:hint="eastAsia" w:ascii="仿宋" w:hAnsi="仿宋" w:eastAsia="仿宋" w:cs="仿宋"/>
                <w:b/>
                <w:color w:val="auto"/>
                <w:kern w:val="0"/>
                <w:sz w:val="28"/>
                <w:szCs w:val="28"/>
              </w:rPr>
              <w:t>名称</w:t>
            </w:r>
          </w:p>
        </w:tc>
        <w:tc>
          <w:tcPr>
            <w:tcW w:w="1837" w:type="dxa"/>
            <w:vAlign w:val="top"/>
          </w:tcPr>
          <w:p>
            <w:pPr>
              <w:widowControl/>
              <w:jc w:val="left"/>
              <w:rPr>
                <w:rFonts w:hint="eastAsia" w:ascii="仿宋" w:hAnsi="仿宋" w:eastAsia="仿宋" w:cs="仿宋"/>
                <w:b/>
                <w:color w:val="auto"/>
                <w:kern w:val="0"/>
                <w:sz w:val="28"/>
                <w:szCs w:val="28"/>
              </w:rPr>
            </w:pPr>
            <w:r>
              <w:rPr>
                <w:rFonts w:hint="eastAsia" w:ascii="仿宋" w:hAnsi="仿宋" w:eastAsia="仿宋" w:cs="仿宋"/>
                <w:b/>
                <w:color w:val="auto"/>
                <w:kern w:val="0"/>
                <w:sz w:val="24"/>
                <w:szCs w:val="24"/>
                <w:lang w:val="en-US" w:eastAsia="zh-CN"/>
              </w:rPr>
              <w:t>2020年</w:t>
            </w:r>
          </w:p>
        </w:tc>
        <w:tc>
          <w:tcPr>
            <w:tcW w:w="2071" w:type="dxa"/>
            <w:vAlign w:val="top"/>
          </w:tcPr>
          <w:p>
            <w:pPr>
              <w:widowControl/>
              <w:jc w:val="left"/>
              <w:rPr>
                <w:rFonts w:hint="eastAsia" w:ascii="仿宋" w:hAnsi="仿宋" w:eastAsia="仿宋" w:cs="仿宋"/>
                <w:b/>
                <w:color w:val="auto"/>
                <w:kern w:val="0"/>
                <w:sz w:val="28"/>
                <w:szCs w:val="28"/>
              </w:rPr>
            </w:pPr>
            <w:r>
              <w:rPr>
                <w:rFonts w:hint="eastAsia" w:ascii="仿宋" w:hAnsi="仿宋" w:eastAsia="仿宋" w:cs="仿宋"/>
                <w:b/>
                <w:color w:val="auto"/>
                <w:kern w:val="0"/>
                <w:sz w:val="24"/>
                <w:szCs w:val="24"/>
                <w:lang w:val="en-US" w:eastAsia="zh-CN"/>
              </w:rPr>
              <w:t>2021年</w:t>
            </w:r>
          </w:p>
        </w:tc>
        <w:tc>
          <w:tcPr>
            <w:tcW w:w="1956" w:type="dxa"/>
            <w:vAlign w:val="top"/>
          </w:tcPr>
          <w:p>
            <w:pPr>
              <w:widowControl/>
              <w:jc w:val="left"/>
              <w:rPr>
                <w:rFonts w:hint="eastAsia" w:ascii="仿宋" w:hAnsi="仿宋" w:eastAsia="仿宋" w:cs="仿宋"/>
                <w:b/>
                <w:color w:val="auto"/>
                <w:kern w:val="0"/>
                <w:sz w:val="28"/>
                <w:szCs w:val="28"/>
                <w:lang w:val="en-US"/>
              </w:rPr>
            </w:pPr>
            <w:r>
              <w:rPr>
                <w:rFonts w:hint="eastAsia" w:ascii="仿宋" w:hAnsi="仿宋" w:eastAsia="仿宋" w:cs="仿宋"/>
                <w:b/>
                <w:color w:val="auto"/>
                <w:kern w:val="0"/>
                <w:sz w:val="24"/>
                <w:szCs w:val="24"/>
                <w:lang w:eastAsia="zh-CN"/>
              </w:rPr>
              <w:t>增减变化</w:t>
            </w:r>
            <w:r>
              <w:rPr>
                <w:rFonts w:hint="eastAsia" w:ascii="仿宋" w:hAnsi="仿宋" w:eastAsia="仿宋" w:cs="仿宋"/>
                <w:b/>
                <w:color w:val="auto"/>
                <w:kern w:val="0"/>
                <w:sz w:val="24"/>
                <w:szCs w:val="24"/>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3" w:hRule="atLeast"/>
        </w:trPr>
        <w:tc>
          <w:tcPr>
            <w:tcW w:w="2876" w:type="dxa"/>
            <w:vAlign w:val="center"/>
          </w:tcPr>
          <w:p>
            <w:pPr>
              <w:widowControl/>
              <w:jc w:val="both"/>
              <w:rPr>
                <w:rFonts w:hint="eastAsia"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合  计</w:t>
            </w:r>
          </w:p>
        </w:tc>
        <w:tc>
          <w:tcPr>
            <w:tcW w:w="1837" w:type="dxa"/>
            <w:vAlign w:val="center"/>
          </w:tcPr>
          <w:p>
            <w:pPr>
              <w:widowControl/>
              <w:ind w:firstLine="560" w:firstLineChars="200"/>
              <w:jc w:val="both"/>
              <w:rPr>
                <w:rFonts w:hint="eastAsia" w:ascii="仿宋" w:hAnsi="仿宋" w:eastAsia="仿宋" w:cs="仿宋"/>
                <w:color w:val="auto"/>
                <w:kern w:val="0"/>
                <w:sz w:val="28"/>
                <w:szCs w:val="28"/>
              </w:rPr>
            </w:pPr>
            <w:r>
              <w:rPr>
                <w:rFonts w:hint="eastAsia" w:ascii="仿宋" w:hAnsi="仿宋" w:eastAsia="仿宋" w:cs="仿宋"/>
                <w:b w:val="0"/>
                <w:bCs/>
                <w:color w:val="auto"/>
                <w:kern w:val="0"/>
                <w:sz w:val="28"/>
                <w:szCs w:val="28"/>
                <w:lang w:val="en-US" w:eastAsia="zh-CN"/>
              </w:rPr>
              <w:t>57.78</w:t>
            </w:r>
          </w:p>
        </w:tc>
        <w:tc>
          <w:tcPr>
            <w:tcW w:w="2071" w:type="dxa"/>
            <w:vAlign w:val="center"/>
          </w:tcPr>
          <w:p>
            <w:pPr>
              <w:keepNext w:val="0"/>
              <w:keepLines w:val="0"/>
              <w:widowControl/>
              <w:suppressLineNumbers w:val="0"/>
              <w:jc w:val="right"/>
              <w:textAlignment w:val="center"/>
              <w:rPr>
                <w:rFonts w:hint="eastAsia"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60.21</w:t>
            </w:r>
          </w:p>
        </w:tc>
        <w:tc>
          <w:tcPr>
            <w:tcW w:w="1956" w:type="dxa"/>
            <w:vAlign w:val="center"/>
          </w:tcPr>
          <w:p>
            <w:pPr>
              <w:widowControl/>
              <w:jc w:val="right"/>
              <w:rPr>
                <w:rFonts w:hint="eastAsia"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4.2%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6" w:hRule="atLeast"/>
        </w:trPr>
        <w:tc>
          <w:tcPr>
            <w:tcW w:w="2876" w:type="dxa"/>
            <w:vAlign w:val="center"/>
          </w:tcPr>
          <w:p>
            <w:pPr>
              <w:widowControl/>
              <w:jc w:val="left"/>
              <w:rPr>
                <w:rFonts w:hint="eastAsia"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工资福利支出</w:t>
            </w:r>
          </w:p>
        </w:tc>
        <w:tc>
          <w:tcPr>
            <w:tcW w:w="1837" w:type="dxa"/>
            <w:vAlign w:val="center"/>
          </w:tcPr>
          <w:p>
            <w:pPr>
              <w:widowControl/>
              <w:ind w:firstLine="560" w:firstLineChars="200"/>
              <w:jc w:val="both"/>
              <w:rPr>
                <w:rFonts w:hint="eastAsia" w:ascii="仿宋" w:hAnsi="仿宋" w:eastAsia="仿宋" w:cs="仿宋"/>
                <w:color w:val="auto"/>
                <w:kern w:val="0"/>
                <w:sz w:val="28"/>
                <w:szCs w:val="28"/>
              </w:rPr>
            </w:pPr>
            <w:r>
              <w:rPr>
                <w:rFonts w:hint="eastAsia" w:ascii="仿宋" w:hAnsi="仿宋" w:eastAsia="仿宋" w:cs="仿宋"/>
                <w:b w:val="0"/>
                <w:bCs/>
                <w:color w:val="auto"/>
                <w:kern w:val="0"/>
                <w:sz w:val="28"/>
                <w:szCs w:val="28"/>
                <w:lang w:val="en-US" w:eastAsia="zh-CN"/>
              </w:rPr>
              <w:t>37.76</w:t>
            </w:r>
          </w:p>
        </w:tc>
        <w:tc>
          <w:tcPr>
            <w:tcW w:w="2071" w:type="dxa"/>
            <w:vAlign w:val="center"/>
          </w:tcPr>
          <w:p>
            <w:pPr>
              <w:keepNext w:val="0"/>
              <w:keepLines w:val="0"/>
              <w:widowControl/>
              <w:suppressLineNumbers w:val="0"/>
              <w:jc w:val="right"/>
              <w:textAlignment w:val="center"/>
              <w:rPr>
                <w:rFonts w:hint="eastAsia"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40.56</w:t>
            </w:r>
          </w:p>
        </w:tc>
        <w:tc>
          <w:tcPr>
            <w:tcW w:w="1956" w:type="dxa"/>
            <w:vAlign w:val="center"/>
          </w:tcPr>
          <w:p>
            <w:pPr>
              <w:widowControl/>
              <w:jc w:val="right"/>
              <w:rPr>
                <w:rFonts w:hint="eastAsia"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7.4%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6" w:hRule="atLeast"/>
        </w:trPr>
        <w:tc>
          <w:tcPr>
            <w:tcW w:w="2876" w:type="dxa"/>
            <w:vAlign w:val="center"/>
          </w:tcPr>
          <w:p>
            <w:pPr>
              <w:widowControl/>
              <w:jc w:val="left"/>
              <w:rPr>
                <w:rFonts w:hint="eastAsia"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商品服务支出</w:t>
            </w:r>
          </w:p>
        </w:tc>
        <w:tc>
          <w:tcPr>
            <w:tcW w:w="1837" w:type="dxa"/>
            <w:vAlign w:val="center"/>
          </w:tcPr>
          <w:p>
            <w:pPr>
              <w:widowControl/>
              <w:ind w:firstLine="560" w:firstLineChars="200"/>
              <w:jc w:val="both"/>
              <w:rPr>
                <w:rFonts w:hint="eastAsia" w:ascii="仿宋" w:hAnsi="仿宋" w:eastAsia="仿宋" w:cs="仿宋"/>
                <w:color w:val="auto"/>
                <w:kern w:val="0"/>
                <w:sz w:val="28"/>
                <w:szCs w:val="28"/>
              </w:rPr>
            </w:pPr>
            <w:r>
              <w:rPr>
                <w:rFonts w:hint="eastAsia" w:ascii="仿宋" w:hAnsi="仿宋" w:eastAsia="仿宋" w:cs="仿宋"/>
                <w:b w:val="0"/>
                <w:bCs/>
                <w:color w:val="auto"/>
                <w:kern w:val="0"/>
                <w:sz w:val="28"/>
                <w:szCs w:val="28"/>
                <w:lang w:val="en-US" w:eastAsia="zh-CN"/>
              </w:rPr>
              <w:t>19.86</w:t>
            </w:r>
          </w:p>
        </w:tc>
        <w:tc>
          <w:tcPr>
            <w:tcW w:w="2071" w:type="dxa"/>
            <w:vAlign w:val="center"/>
          </w:tcPr>
          <w:p>
            <w:pPr>
              <w:keepNext w:val="0"/>
              <w:keepLines w:val="0"/>
              <w:widowControl/>
              <w:suppressLineNumbers w:val="0"/>
              <w:jc w:val="right"/>
              <w:textAlignment w:val="center"/>
              <w:rPr>
                <w:rFonts w:hint="eastAsia"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17.15</w:t>
            </w:r>
          </w:p>
        </w:tc>
        <w:tc>
          <w:tcPr>
            <w:tcW w:w="1956" w:type="dxa"/>
            <w:vAlign w:val="center"/>
          </w:tcPr>
          <w:p>
            <w:pPr>
              <w:widowControl/>
              <w:jc w:val="right"/>
              <w:rPr>
                <w:rFonts w:hint="eastAsia"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-13.64%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6" w:hRule="atLeast"/>
        </w:trPr>
        <w:tc>
          <w:tcPr>
            <w:tcW w:w="2876" w:type="dxa"/>
            <w:vAlign w:val="center"/>
          </w:tcPr>
          <w:p>
            <w:pPr>
              <w:widowControl/>
              <w:ind w:left="0" w:leftChars="0" w:firstLine="0" w:firstLineChars="0"/>
              <w:jc w:val="left"/>
              <w:rPr>
                <w:rFonts w:hint="eastAsia"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对个人和家庭的补助</w:t>
            </w:r>
          </w:p>
        </w:tc>
        <w:tc>
          <w:tcPr>
            <w:tcW w:w="1837" w:type="dxa"/>
            <w:vAlign w:val="center"/>
          </w:tcPr>
          <w:p>
            <w:pPr>
              <w:widowControl/>
              <w:ind w:firstLine="560" w:firstLineChars="200"/>
              <w:jc w:val="both"/>
              <w:rPr>
                <w:rFonts w:hint="eastAsia" w:ascii="仿宋" w:hAnsi="仿宋" w:eastAsia="仿宋" w:cs="仿宋"/>
                <w:color w:val="auto"/>
                <w:kern w:val="0"/>
                <w:sz w:val="28"/>
                <w:szCs w:val="28"/>
              </w:rPr>
            </w:pPr>
            <w:r>
              <w:rPr>
                <w:rFonts w:hint="eastAsia" w:ascii="仿宋" w:hAnsi="仿宋" w:eastAsia="仿宋" w:cs="仿宋"/>
                <w:b w:val="0"/>
                <w:bCs/>
                <w:color w:val="auto"/>
                <w:kern w:val="0"/>
                <w:sz w:val="28"/>
                <w:szCs w:val="28"/>
                <w:lang w:val="en-US" w:eastAsia="zh-CN"/>
              </w:rPr>
              <w:t>0.16</w:t>
            </w:r>
          </w:p>
        </w:tc>
        <w:tc>
          <w:tcPr>
            <w:tcW w:w="2071" w:type="dxa"/>
            <w:vAlign w:val="center"/>
          </w:tcPr>
          <w:p>
            <w:pPr>
              <w:widowControl/>
              <w:jc w:val="right"/>
              <w:rPr>
                <w:rFonts w:hint="eastAsia"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1.5</w:t>
            </w:r>
          </w:p>
        </w:tc>
        <w:tc>
          <w:tcPr>
            <w:tcW w:w="1956" w:type="dxa"/>
            <w:vAlign w:val="center"/>
          </w:tcPr>
          <w:p>
            <w:pPr>
              <w:widowControl/>
              <w:jc w:val="right"/>
              <w:rPr>
                <w:rFonts w:hint="eastAsia"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837.5%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trPr>
        <w:tc>
          <w:tcPr>
            <w:tcW w:w="2876" w:type="dxa"/>
            <w:vAlign w:val="center"/>
          </w:tcPr>
          <w:p>
            <w:pPr>
              <w:widowControl/>
              <w:jc w:val="left"/>
              <w:rPr>
                <w:rFonts w:hint="eastAsia" w:ascii="仿宋" w:hAnsi="仿宋" w:eastAsia="仿宋" w:cs="仿宋"/>
                <w:b/>
                <w:bCs/>
                <w:color w:val="auto"/>
                <w:kern w:val="0"/>
                <w:sz w:val="28"/>
                <w:szCs w:val="28"/>
                <w:lang w:eastAsia="zh-CN"/>
              </w:rPr>
            </w:pPr>
            <w:r>
              <w:rPr>
                <w:rFonts w:hint="eastAsia" w:ascii="仿宋" w:hAnsi="仿宋" w:eastAsia="仿宋" w:cs="仿宋"/>
                <w:color w:val="auto"/>
                <w:kern w:val="0"/>
                <w:sz w:val="28"/>
                <w:szCs w:val="28"/>
                <w:lang w:val="en-US" w:eastAsia="zh-CN"/>
              </w:rPr>
              <w:t>资本性支出</w:t>
            </w:r>
          </w:p>
        </w:tc>
        <w:tc>
          <w:tcPr>
            <w:tcW w:w="1837" w:type="dxa"/>
            <w:vAlign w:val="center"/>
          </w:tcPr>
          <w:p>
            <w:pPr>
              <w:widowControl/>
              <w:ind w:firstLine="560" w:firstLineChars="200"/>
              <w:jc w:val="both"/>
              <w:rPr>
                <w:rFonts w:hint="eastAsia" w:ascii="仿宋" w:hAnsi="仿宋" w:eastAsia="仿宋" w:cs="仿宋"/>
                <w:color w:val="auto"/>
                <w:kern w:val="0"/>
                <w:sz w:val="28"/>
                <w:szCs w:val="28"/>
              </w:rPr>
            </w:pPr>
            <w:r>
              <w:rPr>
                <w:rFonts w:hint="eastAsia" w:ascii="仿宋" w:hAnsi="仿宋" w:eastAsia="仿宋" w:cs="仿宋"/>
                <w:b w:val="0"/>
                <w:bCs/>
                <w:color w:val="auto"/>
                <w:kern w:val="0"/>
                <w:sz w:val="28"/>
                <w:szCs w:val="28"/>
                <w:lang w:val="en-US" w:eastAsia="zh-CN"/>
              </w:rPr>
              <w:t>0</w:t>
            </w:r>
          </w:p>
        </w:tc>
        <w:tc>
          <w:tcPr>
            <w:tcW w:w="2071" w:type="dxa"/>
            <w:vAlign w:val="center"/>
          </w:tcPr>
          <w:p>
            <w:pPr>
              <w:keepNext w:val="0"/>
              <w:keepLines w:val="0"/>
              <w:widowControl/>
              <w:suppressLineNumbers w:val="0"/>
              <w:jc w:val="right"/>
              <w:textAlignment w:val="center"/>
              <w:rPr>
                <w:rFonts w:hint="eastAsia" w:ascii="仿宋" w:hAnsi="仿宋" w:eastAsia="仿宋" w:cs="仿宋"/>
                <w:color w:val="auto"/>
                <w:lang w:val="en-US" w:eastAsia="zh-CN"/>
              </w:rPr>
            </w:pPr>
            <w:r>
              <w:rPr>
                <w:rFonts w:hint="eastAsia" w:ascii="仿宋" w:hAnsi="仿宋" w:eastAsia="仿宋" w:cs="仿宋"/>
                <w:color w:val="auto"/>
                <w:lang w:val="en-US" w:eastAsia="zh-CN"/>
              </w:rPr>
              <w:t>1</w:t>
            </w:r>
          </w:p>
        </w:tc>
        <w:tc>
          <w:tcPr>
            <w:tcW w:w="1956" w:type="dxa"/>
            <w:vAlign w:val="center"/>
          </w:tcPr>
          <w:p>
            <w:pPr>
              <w:widowControl/>
              <w:jc w:val="right"/>
              <w:rPr>
                <w:rFonts w:hint="eastAsia"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100%</w:t>
            </w:r>
          </w:p>
        </w:tc>
      </w:tr>
    </w:tbl>
    <w:p>
      <w:pPr>
        <w:spacing w:line="580" w:lineRule="exact"/>
        <w:ind w:left="0" w:leftChars="0" w:firstLine="0" w:firstLineChars="0"/>
        <w:rPr>
          <w:rFonts w:hint="eastAsia"/>
          <w:color w:val="auto"/>
          <w:szCs w:val="32"/>
        </w:rPr>
      </w:pPr>
    </w:p>
    <w:p>
      <w:pPr>
        <w:pStyle w:val="3"/>
        <w:rPr>
          <w:rFonts w:hint="eastAsia" w:ascii="仿宋" w:hAnsi="仿宋" w:eastAsia="仿宋" w:cs="仿宋"/>
          <w:b/>
          <w:bCs w:val="0"/>
          <w:color w:val="auto"/>
          <w:lang w:val="en-US" w:eastAsia="zh-CN"/>
        </w:rPr>
      </w:pPr>
      <w:bookmarkStart w:id="21" w:name="_Toc841"/>
      <w:bookmarkStart w:id="22" w:name="_Toc17728"/>
      <w:r>
        <w:rPr>
          <w:rFonts w:hint="eastAsia" w:ascii="仿宋" w:hAnsi="仿宋" w:eastAsia="仿宋" w:cs="仿宋"/>
          <w:b/>
          <w:bCs w:val="0"/>
          <w:color w:val="auto"/>
          <w:lang w:val="en-US" w:eastAsia="zh-CN"/>
        </w:rPr>
        <w:t>六、一般公共预算财政拨款基本支出决算情况说明</w:t>
      </w:r>
      <w:bookmarkEnd w:id="21"/>
      <w:bookmarkEnd w:id="22"/>
    </w:p>
    <w:p>
      <w:pPr>
        <w:spacing w:line="580" w:lineRule="exact"/>
        <w:ind w:firstLine="640"/>
        <w:rPr>
          <w:rFonts w:hint="eastAsia" w:ascii="仿宋_GB2312"/>
          <w:color w:val="auto"/>
          <w:szCs w:val="32"/>
        </w:rPr>
      </w:pPr>
      <w:r>
        <w:rPr>
          <w:rFonts w:hint="eastAsia" w:ascii="仿宋_GB2312"/>
          <w:color w:val="auto"/>
          <w:szCs w:val="32"/>
        </w:rPr>
        <w:t>20</w:t>
      </w:r>
      <w:r>
        <w:rPr>
          <w:rFonts w:hint="eastAsia" w:ascii="仿宋_GB2312"/>
          <w:color w:val="auto"/>
          <w:szCs w:val="32"/>
          <w:lang w:val="en-US" w:eastAsia="zh-CN"/>
        </w:rPr>
        <w:t>21</w:t>
      </w:r>
      <w:r>
        <w:rPr>
          <w:rFonts w:hint="eastAsia" w:ascii="仿宋_GB2312"/>
          <w:color w:val="auto"/>
          <w:szCs w:val="32"/>
        </w:rPr>
        <w:t>年度</w:t>
      </w:r>
      <w:r>
        <w:rPr>
          <w:rFonts w:ascii="仿宋_GB2312"/>
          <w:color w:val="auto"/>
          <w:szCs w:val="32"/>
        </w:rPr>
        <w:t>财政拨款</w:t>
      </w:r>
      <w:r>
        <w:rPr>
          <w:rFonts w:hint="eastAsia" w:ascii="仿宋_GB2312"/>
          <w:color w:val="auto"/>
          <w:szCs w:val="32"/>
        </w:rPr>
        <w:t>基本</w:t>
      </w:r>
      <w:r>
        <w:rPr>
          <w:rFonts w:ascii="仿宋_GB2312"/>
          <w:color w:val="auto"/>
          <w:szCs w:val="32"/>
        </w:rPr>
        <w:t>支出</w:t>
      </w:r>
      <w:r>
        <w:rPr>
          <w:rFonts w:hint="eastAsia" w:ascii="仿宋_GB2312"/>
          <w:color w:val="auto"/>
          <w:szCs w:val="32"/>
          <w:lang w:val="en-US" w:eastAsia="zh-CN"/>
        </w:rPr>
        <w:t>47.15</w:t>
      </w:r>
      <w:r>
        <w:rPr>
          <w:rFonts w:hint="eastAsia" w:ascii="仿宋_GB2312"/>
          <w:color w:val="auto"/>
          <w:szCs w:val="32"/>
        </w:rPr>
        <w:t>万元</w:t>
      </w:r>
      <w:r>
        <w:rPr>
          <w:rFonts w:ascii="仿宋_GB2312"/>
          <w:color w:val="auto"/>
          <w:szCs w:val="32"/>
        </w:rPr>
        <w:t>，其中</w:t>
      </w:r>
      <w:r>
        <w:rPr>
          <w:rFonts w:hint="eastAsia" w:ascii="仿宋_GB2312"/>
          <w:color w:val="auto"/>
          <w:szCs w:val="32"/>
        </w:rPr>
        <w:t>：人员</w:t>
      </w:r>
      <w:r>
        <w:rPr>
          <w:rFonts w:ascii="仿宋_GB2312"/>
          <w:color w:val="auto"/>
          <w:szCs w:val="32"/>
        </w:rPr>
        <w:t>经费</w:t>
      </w:r>
      <w:r>
        <w:rPr>
          <w:rFonts w:hint="eastAsia" w:ascii="仿宋_GB2312"/>
          <w:color w:val="auto"/>
          <w:szCs w:val="32"/>
          <w:lang w:val="en-US" w:eastAsia="zh-CN"/>
        </w:rPr>
        <w:t>40.56</w:t>
      </w:r>
      <w:r>
        <w:rPr>
          <w:rFonts w:hint="eastAsia" w:ascii="仿宋_GB2312"/>
          <w:color w:val="auto"/>
          <w:szCs w:val="32"/>
        </w:rPr>
        <w:t>万元</w:t>
      </w:r>
      <w:r>
        <w:rPr>
          <w:rFonts w:ascii="仿宋_GB2312"/>
          <w:color w:val="auto"/>
          <w:szCs w:val="32"/>
        </w:rPr>
        <w:t>，</w:t>
      </w:r>
      <w:r>
        <w:rPr>
          <w:rFonts w:hint="eastAsia" w:ascii="仿宋_GB2312"/>
          <w:color w:val="auto"/>
          <w:szCs w:val="32"/>
        </w:rPr>
        <w:t>主要</w:t>
      </w:r>
      <w:r>
        <w:rPr>
          <w:rFonts w:ascii="仿宋_GB2312"/>
          <w:color w:val="auto"/>
          <w:szCs w:val="32"/>
        </w:rPr>
        <w:t>包括</w:t>
      </w:r>
      <w:r>
        <w:rPr>
          <w:rFonts w:hint="eastAsia" w:ascii="仿宋_GB2312"/>
          <w:color w:val="auto"/>
          <w:szCs w:val="32"/>
          <w:lang w:val="en-US" w:eastAsia="zh-CN"/>
        </w:rPr>
        <w:t>工资福利支出和对个人和家庭的补助支出</w:t>
      </w:r>
      <w:r>
        <w:rPr>
          <w:rFonts w:ascii="仿宋_GB2312"/>
          <w:color w:val="auto"/>
          <w:szCs w:val="32"/>
        </w:rPr>
        <w:t>；</w:t>
      </w:r>
      <w:r>
        <w:rPr>
          <w:rFonts w:hint="eastAsia" w:ascii="仿宋_GB2312"/>
          <w:color w:val="auto"/>
          <w:szCs w:val="32"/>
        </w:rPr>
        <w:t>公用</w:t>
      </w:r>
      <w:r>
        <w:rPr>
          <w:rFonts w:ascii="仿宋_GB2312"/>
          <w:color w:val="auto"/>
          <w:szCs w:val="32"/>
        </w:rPr>
        <w:t>经费</w:t>
      </w:r>
      <w:r>
        <w:rPr>
          <w:rFonts w:hint="eastAsia" w:ascii="仿宋_GB2312"/>
          <w:color w:val="auto"/>
          <w:szCs w:val="32"/>
          <w:lang w:val="en-US" w:eastAsia="zh-CN"/>
        </w:rPr>
        <w:t>6.59</w:t>
      </w:r>
      <w:r>
        <w:rPr>
          <w:rFonts w:hint="eastAsia" w:ascii="仿宋_GB2312"/>
          <w:color w:val="auto"/>
          <w:szCs w:val="32"/>
        </w:rPr>
        <w:t>万元</w:t>
      </w:r>
      <w:r>
        <w:rPr>
          <w:rFonts w:ascii="仿宋_GB2312"/>
          <w:color w:val="auto"/>
          <w:szCs w:val="32"/>
        </w:rPr>
        <w:t>，主要包括</w:t>
      </w:r>
      <w:r>
        <w:rPr>
          <w:rFonts w:hint="eastAsia" w:ascii="仿宋_GB2312"/>
          <w:color w:val="auto"/>
          <w:szCs w:val="32"/>
          <w:lang w:val="en-US" w:eastAsia="zh-CN"/>
        </w:rPr>
        <w:t>商品服务支出和资本性支出</w:t>
      </w:r>
      <w:r>
        <w:rPr>
          <w:rFonts w:ascii="仿宋_GB2312"/>
          <w:color w:val="auto"/>
          <w:szCs w:val="32"/>
        </w:rPr>
        <w:t>。</w:t>
      </w:r>
      <w:r>
        <w:rPr>
          <w:rFonts w:hint="eastAsia" w:ascii="仿宋_GB2312"/>
          <w:color w:val="auto"/>
          <w:szCs w:val="32"/>
        </w:rPr>
        <w:t>20</w:t>
      </w:r>
      <w:r>
        <w:rPr>
          <w:rFonts w:hint="eastAsia" w:ascii="仿宋_GB2312"/>
          <w:color w:val="auto"/>
          <w:szCs w:val="32"/>
          <w:lang w:val="en-US" w:eastAsia="zh-CN"/>
        </w:rPr>
        <w:t>21</w:t>
      </w:r>
      <w:r>
        <w:rPr>
          <w:rFonts w:hint="eastAsia" w:ascii="仿宋_GB2312"/>
          <w:color w:val="auto"/>
          <w:szCs w:val="32"/>
        </w:rPr>
        <w:t>年度</w:t>
      </w:r>
      <w:r>
        <w:rPr>
          <w:rFonts w:ascii="仿宋_GB2312"/>
          <w:color w:val="auto"/>
          <w:szCs w:val="32"/>
        </w:rPr>
        <w:t>财政拨款</w:t>
      </w:r>
      <w:r>
        <w:rPr>
          <w:rFonts w:hint="eastAsia" w:ascii="仿宋_GB2312"/>
          <w:color w:val="auto"/>
          <w:szCs w:val="32"/>
          <w:lang w:val="en-US" w:eastAsia="zh-CN"/>
        </w:rPr>
        <w:t>项目</w:t>
      </w:r>
      <w:r>
        <w:rPr>
          <w:rFonts w:ascii="仿宋_GB2312"/>
          <w:color w:val="auto"/>
          <w:szCs w:val="32"/>
        </w:rPr>
        <w:t>支出</w:t>
      </w:r>
      <w:r>
        <w:rPr>
          <w:rFonts w:hint="eastAsia" w:ascii="仿宋_GB2312"/>
          <w:color w:val="auto"/>
          <w:szCs w:val="32"/>
          <w:lang w:val="en-US" w:eastAsia="zh-CN"/>
        </w:rPr>
        <w:t>13.06</w:t>
      </w:r>
      <w:r>
        <w:rPr>
          <w:rFonts w:hint="eastAsia" w:ascii="仿宋_GB2312"/>
          <w:color w:val="auto"/>
          <w:szCs w:val="32"/>
        </w:rPr>
        <w:t>万元</w:t>
      </w:r>
      <w:r>
        <w:rPr>
          <w:rFonts w:hint="eastAsia" w:ascii="仿宋_GB2312"/>
          <w:color w:val="auto"/>
          <w:szCs w:val="32"/>
          <w:lang w:eastAsia="zh-CN"/>
        </w:rPr>
        <w:t>。</w:t>
      </w:r>
    </w:p>
    <w:p>
      <w:pPr>
        <w:pStyle w:val="3"/>
        <w:rPr>
          <w:rFonts w:hint="eastAsia" w:ascii="仿宋" w:hAnsi="仿宋" w:eastAsia="仿宋" w:cs="仿宋"/>
          <w:b/>
          <w:bCs w:val="0"/>
          <w:color w:val="auto"/>
          <w:lang w:val="en-US" w:eastAsia="zh-CN"/>
        </w:rPr>
      </w:pPr>
      <w:bookmarkStart w:id="23" w:name="_Toc2304"/>
      <w:bookmarkStart w:id="24" w:name="_Toc26508"/>
      <w:r>
        <w:rPr>
          <w:rFonts w:hint="eastAsia" w:ascii="仿宋" w:hAnsi="仿宋" w:eastAsia="仿宋" w:cs="仿宋"/>
          <w:b/>
          <w:bCs w:val="0"/>
          <w:color w:val="auto"/>
          <w:lang w:val="en-US" w:eastAsia="zh-CN"/>
        </w:rPr>
        <w:t>七、一般公共预算财政拨款“三公”经费支出决算情况说明</w:t>
      </w:r>
      <w:bookmarkEnd w:id="23"/>
      <w:bookmarkEnd w:id="24"/>
    </w:p>
    <w:p>
      <w:pPr>
        <w:spacing w:line="580" w:lineRule="exact"/>
        <w:ind w:firstLine="640"/>
        <w:rPr>
          <w:rFonts w:hint="eastAsia"/>
          <w:b/>
          <w:color w:val="auto"/>
          <w:szCs w:val="32"/>
        </w:rPr>
      </w:pPr>
      <w:r>
        <w:rPr>
          <w:rFonts w:hint="eastAsia"/>
          <w:b/>
          <w:color w:val="auto"/>
          <w:szCs w:val="32"/>
        </w:rPr>
        <w:t>本部门</w:t>
      </w:r>
      <w:r>
        <w:rPr>
          <w:rFonts w:hint="eastAsia"/>
          <w:b/>
          <w:color w:val="auto"/>
          <w:szCs w:val="32"/>
          <w:lang w:val="en-US" w:eastAsia="zh-CN"/>
        </w:rPr>
        <w:t>2021</w:t>
      </w:r>
      <w:r>
        <w:rPr>
          <w:rFonts w:hint="eastAsia"/>
          <w:b/>
          <w:color w:val="auto"/>
          <w:szCs w:val="32"/>
        </w:rPr>
        <w:t>无三公经费</w:t>
      </w:r>
      <w:r>
        <w:rPr>
          <w:rFonts w:hint="eastAsia"/>
          <w:b/>
          <w:color w:val="auto"/>
          <w:szCs w:val="32"/>
          <w:lang w:val="en-US" w:eastAsia="zh-CN"/>
        </w:rPr>
        <w:t>预算收入及支出</w:t>
      </w:r>
      <w:r>
        <w:rPr>
          <w:rFonts w:hint="eastAsia"/>
          <w:b/>
          <w:color w:val="auto"/>
          <w:szCs w:val="32"/>
        </w:rPr>
        <w:t>。</w:t>
      </w:r>
    </w:p>
    <w:p>
      <w:pPr>
        <w:pStyle w:val="8"/>
        <w:tabs>
          <w:tab w:val="left" w:pos="5760"/>
        </w:tabs>
        <w:spacing w:before="0" w:beforeAutospacing="0" w:after="0" w:afterAutospacing="0"/>
        <w:ind w:firstLine="640" w:firstLineChars="200"/>
        <w:rPr>
          <w:rFonts w:hint="eastAsia" w:ascii="仿宋_GB2312" w:hAnsi="宋体" w:eastAsia="仿宋_GB2312"/>
          <w:color w:val="auto"/>
          <w:sz w:val="32"/>
          <w:szCs w:val="32"/>
        </w:rPr>
      </w:pPr>
      <w:r>
        <w:rPr>
          <w:rFonts w:hint="eastAsia" w:ascii="仿宋_GB2312"/>
          <w:color w:val="auto"/>
          <w:sz w:val="32"/>
          <w:szCs w:val="32"/>
          <w:lang w:val="en-US" w:eastAsia="zh-CN"/>
        </w:rPr>
        <w:t>2021</w:t>
      </w:r>
      <w:r>
        <w:rPr>
          <w:rFonts w:hint="eastAsia" w:ascii="仿宋_GB2312" w:hAnsi="宋体" w:eastAsia="仿宋_GB2312"/>
          <w:color w:val="auto"/>
          <w:sz w:val="32"/>
          <w:szCs w:val="32"/>
        </w:rPr>
        <w:t>年“三公”经费支出情况，分三项和20</w:t>
      </w:r>
      <w:r>
        <w:rPr>
          <w:rFonts w:hint="eastAsia" w:ascii="仿宋_GB2312"/>
          <w:color w:val="auto"/>
          <w:sz w:val="32"/>
          <w:szCs w:val="32"/>
          <w:lang w:val="en-US" w:eastAsia="zh-CN"/>
        </w:rPr>
        <w:t>20</w:t>
      </w:r>
      <w:r>
        <w:rPr>
          <w:rFonts w:hint="eastAsia" w:ascii="仿宋_GB2312" w:hAnsi="宋体" w:eastAsia="仿宋_GB2312"/>
          <w:color w:val="auto"/>
          <w:sz w:val="32"/>
          <w:szCs w:val="32"/>
        </w:rPr>
        <w:t>年相比。</w:t>
      </w:r>
    </w:p>
    <w:tbl>
      <w:tblPr>
        <w:tblStyle w:val="9"/>
        <w:tblW w:w="8931"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111"/>
        <w:gridCol w:w="1701"/>
        <w:gridCol w:w="1701"/>
        <w:gridCol w:w="14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11" w:type="dxa"/>
            <w:vAlign w:val="top"/>
          </w:tcPr>
          <w:p>
            <w:pPr>
              <w:pStyle w:val="8"/>
              <w:spacing w:before="0" w:beforeAutospacing="0" w:after="0" w:afterAutospacing="0" w:line="300" w:lineRule="exact"/>
              <w:ind w:firstLine="2368" w:firstLineChars="1123"/>
              <w:rPr>
                <w:rFonts w:hint="eastAsia"/>
                <w:b/>
                <w:color w:val="auto"/>
                <w:sz w:val="21"/>
                <w:szCs w:val="21"/>
              </w:rPr>
            </w:pPr>
            <w:r>
              <w:rPr>
                <w:rFonts w:hint="eastAsia"/>
                <w:b/>
                <w:color w:val="auto"/>
                <w:sz w:val="21"/>
                <w:szCs w:val="21"/>
              </w:rPr>
              <w:t>年度</w:t>
            </w:r>
          </w:p>
          <w:p>
            <w:pPr>
              <w:pStyle w:val="8"/>
              <w:spacing w:before="0" w:beforeAutospacing="0" w:after="0" w:afterAutospacing="0" w:line="300" w:lineRule="exact"/>
              <w:ind w:firstLine="310" w:firstLineChars="147"/>
              <w:rPr>
                <w:rFonts w:hint="eastAsia"/>
                <w:b/>
                <w:color w:val="auto"/>
                <w:sz w:val="28"/>
                <w:szCs w:val="28"/>
              </w:rPr>
            </w:pPr>
            <w:r>
              <w:rPr>
                <w:rFonts w:hint="eastAsia"/>
                <w:b/>
                <w:color w:val="auto"/>
                <w:sz w:val="21"/>
                <w:szCs w:val="21"/>
              </w:rPr>
              <w:t>项目</w:t>
            </w:r>
          </w:p>
        </w:tc>
        <w:tc>
          <w:tcPr>
            <w:tcW w:w="1701" w:type="dxa"/>
            <w:vAlign w:val="top"/>
          </w:tcPr>
          <w:p>
            <w:pPr>
              <w:pStyle w:val="8"/>
              <w:jc w:val="center"/>
              <w:rPr>
                <w:rFonts w:hint="eastAsia"/>
                <w:b/>
                <w:color w:val="auto"/>
                <w:sz w:val="28"/>
                <w:szCs w:val="28"/>
              </w:rPr>
            </w:pPr>
            <w:r>
              <w:rPr>
                <w:rFonts w:hint="eastAsia"/>
                <w:b/>
                <w:color w:val="auto"/>
                <w:sz w:val="28"/>
                <w:szCs w:val="28"/>
              </w:rPr>
              <w:t>20</w:t>
            </w:r>
            <w:r>
              <w:rPr>
                <w:rFonts w:hint="eastAsia"/>
                <w:b/>
                <w:color w:val="auto"/>
                <w:sz w:val="28"/>
                <w:szCs w:val="28"/>
                <w:lang w:val="en-US" w:eastAsia="zh-CN"/>
              </w:rPr>
              <w:t>20</w:t>
            </w:r>
            <w:r>
              <w:rPr>
                <w:rFonts w:hint="eastAsia"/>
                <w:b/>
                <w:color w:val="auto"/>
                <w:sz w:val="28"/>
                <w:szCs w:val="28"/>
              </w:rPr>
              <w:t>年</w:t>
            </w:r>
          </w:p>
        </w:tc>
        <w:tc>
          <w:tcPr>
            <w:tcW w:w="1701" w:type="dxa"/>
            <w:vAlign w:val="top"/>
          </w:tcPr>
          <w:p>
            <w:pPr>
              <w:pStyle w:val="8"/>
              <w:jc w:val="center"/>
              <w:rPr>
                <w:rFonts w:hint="eastAsia"/>
                <w:b/>
                <w:color w:val="auto"/>
                <w:sz w:val="28"/>
                <w:szCs w:val="28"/>
              </w:rPr>
            </w:pPr>
            <w:r>
              <w:rPr>
                <w:rFonts w:hint="eastAsia"/>
                <w:b/>
                <w:color w:val="auto"/>
                <w:sz w:val="28"/>
                <w:szCs w:val="28"/>
              </w:rPr>
              <w:t>20</w:t>
            </w:r>
            <w:r>
              <w:rPr>
                <w:rFonts w:hint="eastAsia"/>
                <w:b/>
                <w:color w:val="auto"/>
                <w:sz w:val="28"/>
                <w:szCs w:val="28"/>
                <w:lang w:val="en-US" w:eastAsia="zh-CN"/>
              </w:rPr>
              <w:t>21</w:t>
            </w:r>
            <w:r>
              <w:rPr>
                <w:rFonts w:hint="eastAsia"/>
                <w:b/>
                <w:color w:val="auto"/>
                <w:sz w:val="28"/>
                <w:szCs w:val="28"/>
              </w:rPr>
              <w:t>年</w:t>
            </w:r>
          </w:p>
        </w:tc>
        <w:tc>
          <w:tcPr>
            <w:tcW w:w="1418" w:type="dxa"/>
            <w:vAlign w:val="top"/>
          </w:tcPr>
          <w:p>
            <w:pPr>
              <w:pStyle w:val="8"/>
              <w:ind w:left="0" w:leftChars="0" w:firstLine="0" w:firstLineChars="0"/>
              <w:jc w:val="both"/>
              <w:rPr>
                <w:rFonts w:hint="eastAsia"/>
                <w:b/>
                <w:color w:val="auto"/>
                <w:sz w:val="28"/>
                <w:szCs w:val="28"/>
              </w:rPr>
            </w:pPr>
            <w:r>
              <w:rPr>
                <w:rFonts w:hint="eastAsia"/>
                <w:b/>
                <w:color w:val="auto"/>
                <w:sz w:val="28"/>
                <w:szCs w:val="28"/>
              </w:rPr>
              <w:t>同比%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11" w:type="dxa"/>
            <w:vAlign w:val="top"/>
          </w:tcPr>
          <w:p>
            <w:pPr>
              <w:pStyle w:val="8"/>
              <w:rPr>
                <w:rFonts w:hint="eastAsia"/>
                <w:color w:val="auto"/>
                <w:sz w:val="28"/>
                <w:szCs w:val="28"/>
              </w:rPr>
            </w:pPr>
            <w:r>
              <w:rPr>
                <w:rFonts w:hint="eastAsia"/>
                <w:color w:val="auto"/>
                <w:sz w:val="28"/>
                <w:szCs w:val="28"/>
              </w:rPr>
              <w:t>因公出国（境）费</w:t>
            </w:r>
          </w:p>
        </w:tc>
        <w:tc>
          <w:tcPr>
            <w:tcW w:w="1701" w:type="dxa"/>
            <w:vAlign w:val="top"/>
          </w:tcPr>
          <w:p>
            <w:pPr>
              <w:pStyle w:val="8"/>
              <w:jc w:val="right"/>
              <w:rPr>
                <w:rFonts w:hint="eastAsia" w:eastAsia="仿宋_GB2312"/>
                <w:color w:val="auto"/>
                <w:sz w:val="28"/>
                <w:szCs w:val="28"/>
                <w:lang w:val="en-US" w:eastAsia="zh-CN"/>
              </w:rPr>
            </w:pPr>
            <w:r>
              <w:rPr>
                <w:rFonts w:hint="eastAsia"/>
                <w:color w:val="auto"/>
                <w:sz w:val="28"/>
                <w:szCs w:val="28"/>
                <w:lang w:val="en-US" w:eastAsia="zh-CN"/>
              </w:rPr>
              <w:t>0</w:t>
            </w:r>
          </w:p>
        </w:tc>
        <w:tc>
          <w:tcPr>
            <w:tcW w:w="1701" w:type="dxa"/>
            <w:vAlign w:val="top"/>
          </w:tcPr>
          <w:p>
            <w:pPr>
              <w:pStyle w:val="8"/>
              <w:jc w:val="right"/>
              <w:rPr>
                <w:rFonts w:hint="eastAsia" w:eastAsia="仿宋_GB2312"/>
                <w:color w:val="auto"/>
                <w:sz w:val="28"/>
                <w:szCs w:val="28"/>
                <w:lang w:val="en-US" w:eastAsia="zh-CN"/>
              </w:rPr>
            </w:pPr>
            <w:r>
              <w:rPr>
                <w:rFonts w:hint="eastAsia"/>
                <w:color w:val="auto"/>
                <w:sz w:val="28"/>
                <w:szCs w:val="28"/>
                <w:lang w:val="en-US" w:eastAsia="zh-CN"/>
              </w:rPr>
              <w:t>0</w:t>
            </w:r>
          </w:p>
        </w:tc>
        <w:tc>
          <w:tcPr>
            <w:tcW w:w="1418" w:type="dxa"/>
            <w:vAlign w:val="top"/>
          </w:tcPr>
          <w:p>
            <w:pPr>
              <w:pStyle w:val="8"/>
              <w:jc w:val="right"/>
              <w:rPr>
                <w:rFonts w:hint="eastAsia"/>
                <w:color w:val="auto"/>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11" w:type="dxa"/>
            <w:vAlign w:val="top"/>
          </w:tcPr>
          <w:p>
            <w:pPr>
              <w:pStyle w:val="8"/>
              <w:rPr>
                <w:rFonts w:hint="eastAsia"/>
                <w:color w:val="auto"/>
                <w:sz w:val="28"/>
                <w:szCs w:val="28"/>
              </w:rPr>
            </w:pPr>
            <w:r>
              <w:rPr>
                <w:rFonts w:hint="eastAsia"/>
                <w:color w:val="auto"/>
                <w:sz w:val="28"/>
                <w:szCs w:val="28"/>
              </w:rPr>
              <w:t>公务接待费</w:t>
            </w:r>
          </w:p>
        </w:tc>
        <w:tc>
          <w:tcPr>
            <w:tcW w:w="1701" w:type="dxa"/>
            <w:vAlign w:val="top"/>
          </w:tcPr>
          <w:p>
            <w:pPr>
              <w:pStyle w:val="8"/>
              <w:jc w:val="right"/>
              <w:rPr>
                <w:rFonts w:hint="eastAsia" w:eastAsia="仿宋_GB2312"/>
                <w:color w:val="auto"/>
                <w:sz w:val="28"/>
                <w:szCs w:val="28"/>
                <w:lang w:val="en-US" w:eastAsia="zh-CN"/>
              </w:rPr>
            </w:pPr>
            <w:r>
              <w:rPr>
                <w:rFonts w:hint="eastAsia"/>
                <w:color w:val="auto"/>
                <w:sz w:val="28"/>
                <w:szCs w:val="28"/>
                <w:lang w:val="en-US" w:eastAsia="zh-CN"/>
              </w:rPr>
              <w:t>0</w:t>
            </w:r>
          </w:p>
        </w:tc>
        <w:tc>
          <w:tcPr>
            <w:tcW w:w="1701" w:type="dxa"/>
            <w:vAlign w:val="top"/>
          </w:tcPr>
          <w:p>
            <w:pPr>
              <w:pStyle w:val="8"/>
              <w:jc w:val="right"/>
              <w:rPr>
                <w:rFonts w:hint="eastAsia" w:eastAsia="仿宋_GB2312"/>
                <w:color w:val="auto"/>
                <w:sz w:val="28"/>
                <w:szCs w:val="28"/>
                <w:lang w:val="en-US" w:eastAsia="zh-CN"/>
              </w:rPr>
            </w:pPr>
            <w:r>
              <w:rPr>
                <w:rFonts w:hint="eastAsia"/>
                <w:color w:val="auto"/>
                <w:sz w:val="28"/>
                <w:szCs w:val="28"/>
                <w:lang w:val="en-US" w:eastAsia="zh-CN"/>
              </w:rPr>
              <w:t>0</w:t>
            </w:r>
          </w:p>
        </w:tc>
        <w:tc>
          <w:tcPr>
            <w:tcW w:w="1418" w:type="dxa"/>
            <w:vAlign w:val="top"/>
          </w:tcPr>
          <w:p>
            <w:pPr>
              <w:pStyle w:val="8"/>
              <w:jc w:val="right"/>
              <w:rPr>
                <w:rFonts w:hint="eastAsia"/>
                <w:color w:val="auto"/>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11" w:type="dxa"/>
            <w:vAlign w:val="top"/>
          </w:tcPr>
          <w:p>
            <w:pPr>
              <w:pStyle w:val="8"/>
              <w:ind w:left="0" w:leftChars="0" w:firstLine="0" w:firstLineChars="0"/>
              <w:rPr>
                <w:rFonts w:hint="eastAsia"/>
                <w:color w:val="auto"/>
                <w:sz w:val="28"/>
                <w:szCs w:val="28"/>
              </w:rPr>
            </w:pPr>
            <w:r>
              <w:rPr>
                <w:rFonts w:hint="eastAsia"/>
                <w:color w:val="auto"/>
                <w:sz w:val="28"/>
                <w:szCs w:val="28"/>
              </w:rPr>
              <w:t>公务用车购置及运行维护费</w:t>
            </w:r>
          </w:p>
        </w:tc>
        <w:tc>
          <w:tcPr>
            <w:tcW w:w="1701" w:type="dxa"/>
            <w:vAlign w:val="top"/>
          </w:tcPr>
          <w:p>
            <w:pPr>
              <w:pStyle w:val="8"/>
              <w:jc w:val="right"/>
              <w:rPr>
                <w:rFonts w:hint="eastAsia" w:eastAsia="宋体"/>
                <w:color w:val="auto"/>
                <w:sz w:val="28"/>
                <w:szCs w:val="28"/>
                <w:lang w:val="en-US" w:eastAsia="zh-CN"/>
              </w:rPr>
            </w:pPr>
            <w:r>
              <w:rPr>
                <w:rFonts w:hint="eastAsia" w:eastAsia="宋体"/>
                <w:color w:val="auto"/>
                <w:sz w:val="28"/>
                <w:szCs w:val="28"/>
                <w:lang w:val="en-US" w:eastAsia="zh-CN"/>
              </w:rPr>
              <w:t>0</w:t>
            </w:r>
          </w:p>
        </w:tc>
        <w:tc>
          <w:tcPr>
            <w:tcW w:w="1701" w:type="dxa"/>
            <w:vAlign w:val="top"/>
          </w:tcPr>
          <w:p>
            <w:pPr>
              <w:pStyle w:val="8"/>
              <w:jc w:val="right"/>
              <w:rPr>
                <w:rFonts w:hint="eastAsia" w:eastAsia="仿宋_GB2312"/>
                <w:color w:val="auto"/>
                <w:sz w:val="28"/>
                <w:szCs w:val="28"/>
                <w:lang w:val="en-US" w:eastAsia="zh-CN"/>
              </w:rPr>
            </w:pPr>
            <w:r>
              <w:rPr>
                <w:rFonts w:hint="eastAsia"/>
                <w:color w:val="auto"/>
                <w:sz w:val="28"/>
                <w:szCs w:val="28"/>
                <w:lang w:val="en-US" w:eastAsia="zh-CN"/>
              </w:rPr>
              <w:t>0</w:t>
            </w:r>
          </w:p>
        </w:tc>
        <w:tc>
          <w:tcPr>
            <w:tcW w:w="1418" w:type="dxa"/>
            <w:vAlign w:val="top"/>
          </w:tcPr>
          <w:p>
            <w:pPr>
              <w:pStyle w:val="8"/>
              <w:jc w:val="right"/>
              <w:rPr>
                <w:rFonts w:hint="eastAsia" w:eastAsia="宋体"/>
                <w:color w:val="auto"/>
                <w:sz w:val="28"/>
                <w:szCs w:val="28"/>
                <w:lang w:val="en-US" w:eastAsia="zh-CN"/>
              </w:rPr>
            </w:pPr>
          </w:p>
        </w:tc>
      </w:tr>
    </w:tbl>
    <w:p>
      <w:pPr>
        <w:pStyle w:val="8"/>
        <w:spacing w:before="0" w:beforeAutospacing="0" w:after="0" w:afterAutospacing="0"/>
        <w:rPr>
          <w:rFonts w:hint="eastAsia"/>
          <w:b/>
          <w:color w:val="auto"/>
          <w:szCs w:val="32"/>
        </w:rPr>
      </w:pPr>
    </w:p>
    <w:p>
      <w:pPr>
        <w:pStyle w:val="3"/>
        <w:rPr>
          <w:rFonts w:hint="eastAsia" w:ascii="仿宋" w:hAnsi="仿宋" w:eastAsia="仿宋" w:cs="仿宋"/>
          <w:b/>
          <w:bCs w:val="0"/>
          <w:color w:val="auto"/>
          <w:lang w:val="en-US" w:eastAsia="zh-CN"/>
        </w:rPr>
      </w:pPr>
      <w:bookmarkStart w:id="25" w:name="_Toc9078"/>
      <w:bookmarkStart w:id="26" w:name="_Toc1792"/>
      <w:r>
        <w:rPr>
          <w:rFonts w:hint="eastAsia" w:ascii="仿宋" w:hAnsi="仿宋" w:eastAsia="仿宋" w:cs="仿宋"/>
          <w:b/>
          <w:bCs w:val="0"/>
          <w:color w:val="auto"/>
          <w:lang w:val="en-US" w:eastAsia="zh-CN"/>
        </w:rPr>
        <w:t>八、其他重要事项情况说明</w:t>
      </w:r>
      <w:bookmarkEnd w:id="25"/>
      <w:bookmarkEnd w:id="26"/>
    </w:p>
    <w:p>
      <w:pPr>
        <w:rPr>
          <w:rFonts w:hint="eastAsia"/>
          <w:b/>
          <w:bCs/>
          <w:color w:val="auto"/>
        </w:rPr>
      </w:pPr>
      <w:bookmarkStart w:id="27" w:name="_Toc23407"/>
      <w:r>
        <w:rPr>
          <w:rFonts w:hint="eastAsia"/>
          <w:b/>
          <w:bCs/>
          <w:color w:val="auto"/>
        </w:rPr>
        <w:t>（一）机关运行经费支出情况说明</w:t>
      </w:r>
      <w:bookmarkEnd w:id="27"/>
    </w:p>
    <w:p>
      <w:pPr>
        <w:spacing w:line="580" w:lineRule="exact"/>
        <w:ind w:firstLine="640"/>
        <w:rPr>
          <w:rFonts w:hint="eastAsia"/>
          <w:b/>
          <w:color w:val="auto"/>
          <w:szCs w:val="32"/>
          <w:lang w:val="en-US"/>
        </w:rPr>
      </w:pPr>
      <w:r>
        <w:rPr>
          <w:rFonts w:hint="eastAsia" w:ascii="仿宋_GB2312" w:hAnsi="宋体"/>
          <w:color w:val="auto"/>
          <w:szCs w:val="32"/>
        </w:rPr>
        <w:t>20</w:t>
      </w:r>
      <w:r>
        <w:rPr>
          <w:rFonts w:hint="eastAsia" w:ascii="仿宋_GB2312" w:hAnsi="宋体"/>
          <w:color w:val="auto"/>
          <w:szCs w:val="32"/>
          <w:lang w:val="en-US" w:eastAsia="zh-CN"/>
        </w:rPr>
        <w:t>21</w:t>
      </w:r>
      <w:r>
        <w:rPr>
          <w:rFonts w:hint="eastAsia" w:ascii="仿宋_GB2312" w:hAnsi="宋体"/>
          <w:color w:val="auto"/>
          <w:szCs w:val="32"/>
        </w:rPr>
        <w:t>年本</w:t>
      </w:r>
      <w:r>
        <w:rPr>
          <w:rFonts w:hint="eastAsia" w:ascii="仿宋_GB2312" w:hAnsi="宋体"/>
          <w:color w:val="auto"/>
          <w:szCs w:val="32"/>
          <w:lang w:val="en-US" w:eastAsia="zh-CN"/>
        </w:rPr>
        <w:t>单位</w:t>
      </w:r>
      <w:r>
        <w:rPr>
          <w:rFonts w:hint="eastAsia" w:ascii="仿宋_GB2312" w:hAnsi="宋体"/>
          <w:color w:val="auto"/>
          <w:szCs w:val="32"/>
        </w:rPr>
        <w:t>机关运行经费支出</w:t>
      </w:r>
      <w:r>
        <w:rPr>
          <w:rFonts w:hint="eastAsia" w:ascii="仿宋_GB2312" w:hAnsi="宋体"/>
          <w:color w:val="auto"/>
          <w:szCs w:val="32"/>
          <w:lang w:val="en-US" w:eastAsia="zh-CN"/>
        </w:rPr>
        <w:t>6.59</w:t>
      </w:r>
      <w:r>
        <w:rPr>
          <w:rFonts w:hint="eastAsia" w:ascii="仿宋_GB2312" w:hAnsi="宋体"/>
          <w:color w:val="auto"/>
          <w:szCs w:val="32"/>
        </w:rPr>
        <w:t>万元，比20</w:t>
      </w:r>
      <w:r>
        <w:rPr>
          <w:rFonts w:hint="eastAsia" w:ascii="仿宋_GB2312" w:hAnsi="宋体"/>
          <w:color w:val="auto"/>
          <w:szCs w:val="32"/>
          <w:lang w:val="en-US" w:eastAsia="zh-CN"/>
        </w:rPr>
        <w:t>21</w:t>
      </w:r>
      <w:r>
        <w:rPr>
          <w:rFonts w:hint="eastAsia" w:ascii="仿宋_GB2312" w:hAnsi="宋体"/>
          <w:color w:val="auto"/>
          <w:szCs w:val="32"/>
        </w:rPr>
        <w:t>年减少</w:t>
      </w:r>
      <w:r>
        <w:rPr>
          <w:rFonts w:hint="eastAsia" w:ascii="仿宋_GB2312" w:hAnsi="宋体"/>
          <w:color w:val="auto"/>
          <w:szCs w:val="32"/>
          <w:lang w:val="en-US" w:eastAsia="zh-CN"/>
        </w:rPr>
        <w:t>4.07</w:t>
      </w:r>
      <w:r>
        <w:rPr>
          <w:rFonts w:hint="eastAsia" w:ascii="仿宋_GB2312" w:hAnsi="宋体"/>
          <w:color w:val="auto"/>
          <w:szCs w:val="32"/>
        </w:rPr>
        <w:t>万元，降低</w:t>
      </w:r>
      <w:r>
        <w:rPr>
          <w:rFonts w:hint="eastAsia" w:ascii="仿宋_GB2312" w:hAnsi="宋体"/>
          <w:color w:val="auto"/>
          <w:szCs w:val="32"/>
          <w:lang w:val="en-US" w:eastAsia="zh-CN"/>
        </w:rPr>
        <w:t>38.18</w:t>
      </w:r>
      <w:r>
        <w:rPr>
          <w:rFonts w:hint="eastAsia" w:ascii="仿宋_GB2312" w:hAnsi="宋体"/>
          <w:color w:val="auto"/>
          <w:szCs w:val="32"/>
        </w:rPr>
        <w:t>%。主要原因是：</w:t>
      </w:r>
      <w:r>
        <w:rPr>
          <w:rFonts w:hint="eastAsia" w:ascii="仿宋_GB2312" w:hAnsi="宋体"/>
          <w:color w:val="auto"/>
          <w:szCs w:val="32"/>
          <w:lang w:val="en-US" w:eastAsia="zh-CN"/>
        </w:rPr>
        <w:t>上年妇女儿童工作经费决算报入基本支出。</w:t>
      </w:r>
    </w:p>
    <w:p>
      <w:pPr>
        <w:rPr>
          <w:rFonts w:hint="eastAsia"/>
          <w:b/>
          <w:bCs/>
          <w:color w:val="auto"/>
        </w:rPr>
      </w:pPr>
      <w:bookmarkStart w:id="28" w:name="_Toc16103"/>
      <w:r>
        <w:rPr>
          <w:rFonts w:hint="eastAsia"/>
          <w:b/>
          <w:bCs/>
          <w:color w:val="auto"/>
        </w:rPr>
        <w:t>（二）政府采购情况说明</w:t>
      </w:r>
      <w:bookmarkEnd w:id="28"/>
    </w:p>
    <w:p>
      <w:pPr>
        <w:spacing w:line="580" w:lineRule="exact"/>
        <w:ind w:firstLine="640"/>
        <w:rPr>
          <w:rFonts w:hint="eastAsia" w:ascii="仿宋_GB2312"/>
          <w:color w:val="auto"/>
          <w:szCs w:val="32"/>
        </w:rPr>
      </w:pPr>
      <w:r>
        <w:rPr>
          <w:rFonts w:hint="eastAsia" w:ascii="仿宋_GB2312"/>
          <w:color w:val="auto"/>
          <w:szCs w:val="32"/>
        </w:rPr>
        <w:t>20</w:t>
      </w:r>
      <w:r>
        <w:rPr>
          <w:rFonts w:hint="eastAsia" w:ascii="仿宋_GB2312"/>
          <w:color w:val="auto"/>
          <w:szCs w:val="32"/>
          <w:lang w:val="en-US" w:eastAsia="zh-CN"/>
        </w:rPr>
        <w:t>21</w:t>
      </w:r>
      <w:r>
        <w:rPr>
          <w:rFonts w:hint="eastAsia" w:ascii="仿宋_GB2312"/>
          <w:color w:val="auto"/>
          <w:szCs w:val="32"/>
        </w:rPr>
        <w:t>年度，政府采购支出总额</w:t>
      </w:r>
      <w:r>
        <w:rPr>
          <w:rFonts w:hint="eastAsia" w:ascii="仿宋_GB2312"/>
          <w:color w:val="auto"/>
          <w:szCs w:val="32"/>
          <w:lang w:val="en-US" w:eastAsia="zh-CN"/>
        </w:rPr>
        <w:t>5.42</w:t>
      </w:r>
      <w:r>
        <w:rPr>
          <w:rFonts w:hint="eastAsia" w:ascii="仿宋_GB2312"/>
          <w:color w:val="auto"/>
          <w:szCs w:val="32"/>
        </w:rPr>
        <w:t>万元，其中：政府采购货物支出</w:t>
      </w:r>
      <w:r>
        <w:rPr>
          <w:rFonts w:hint="eastAsia" w:ascii="仿宋_GB2312"/>
          <w:color w:val="auto"/>
          <w:szCs w:val="32"/>
          <w:lang w:val="en-US" w:eastAsia="zh-CN"/>
        </w:rPr>
        <w:t>3.3</w:t>
      </w:r>
      <w:r>
        <w:rPr>
          <w:rFonts w:hint="eastAsia" w:ascii="仿宋_GB2312"/>
          <w:color w:val="auto"/>
          <w:szCs w:val="32"/>
        </w:rPr>
        <w:t>万元、政府采购工程支出</w:t>
      </w:r>
      <w:r>
        <w:rPr>
          <w:rFonts w:hint="eastAsia" w:ascii="仿宋_GB2312"/>
          <w:color w:val="auto"/>
          <w:szCs w:val="32"/>
          <w:lang w:val="en-US" w:eastAsia="zh-CN"/>
        </w:rPr>
        <w:t>0</w:t>
      </w:r>
      <w:r>
        <w:rPr>
          <w:rFonts w:hint="eastAsia" w:ascii="仿宋_GB2312"/>
          <w:color w:val="auto"/>
          <w:szCs w:val="32"/>
        </w:rPr>
        <w:t>万元、政府采购服务支出</w:t>
      </w:r>
      <w:r>
        <w:rPr>
          <w:rFonts w:hint="eastAsia" w:ascii="仿宋_GB2312"/>
          <w:color w:val="auto"/>
          <w:szCs w:val="32"/>
          <w:lang w:val="en-US" w:eastAsia="zh-CN"/>
        </w:rPr>
        <w:t>2.13</w:t>
      </w:r>
      <w:r>
        <w:rPr>
          <w:rFonts w:hint="eastAsia" w:ascii="仿宋_GB2312"/>
          <w:color w:val="auto"/>
          <w:szCs w:val="32"/>
        </w:rPr>
        <w:t>万元。政府采购授予中小企业合同金额</w:t>
      </w:r>
      <w:r>
        <w:rPr>
          <w:rFonts w:hint="eastAsia" w:ascii="仿宋_GB2312"/>
          <w:color w:val="auto"/>
          <w:szCs w:val="32"/>
          <w:lang w:val="en-US" w:eastAsia="zh-CN"/>
        </w:rPr>
        <w:t>5.42</w:t>
      </w:r>
      <w:r>
        <w:rPr>
          <w:rFonts w:hint="eastAsia" w:ascii="仿宋_GB2312"/>
          <w:color w:val="auto"/>
          <w:szCs w:val="32"/>
        </w:rPr>
        <w:t>万元，占政府采购支出总额的</w:t>
      </w:r>
      <w:r>
        <w:rPr>
          <w:rFonts w:hint="eastAsia" w:ascii="仿宋_GB2312"/>
          <w:color w:val="auto"/>
          <w:szCs w:val="32"/>
          <w:lang w:val="en-US" w:eastAsia="zh-CN"/>
        </w:rPr>
        <w:t>100</w:t>
      </w:r>
      <w:r>
        <w:rPr>
          <w:rFonts w:ascii="仿宋_GB2312"/>
          <w:color w:val="auto"/>
          <w:szCs w:val="32"/>
        </w:rPr>
        <w:t>%</w:t>
      </w:r>
      <w:r>
        <w:rPr>
          <w:rFonts w:hint="eastAsia" w:ascii="仿宋_GB2312"/>
          <w:color w:val="auto"/>
          <w:szCs w:val="32"/>
        </w:rPr>
        <w:t>。其中：授予小微企业合同金额</w:t>
      </w:r>
      <w:r>
        <w:rPr>
          <w:rFonts w:hint="eastAsia" w:ascii="仿宋_GB2312"/>
          <w:color w:val="auto"/>
          <w:szCs w:val="32"/>
          <w:lang w:val="en-US" w:eastAsia="zh-CN"/>
        </w:rPr>
        <w:t>5.42</w:t>
      </w:r>
      <w:r>
        <w:rPr>
          <w:rFonts w:hint="eastAsia" w:ascii="仿宋_GB2312"/>
          <w:color w:val="auto"/>
          <w:szCs w:val="32"/>
        </w:rPr>
        <w:t>万元，占政府采购支出总额的</w:t>
      </w:r>
      <w:r>
        <w:rPr>
          <w:rFonts w:hint="eastAsia" w:ascii="仿宋_GB2312"/>
          <w:color w:val="auto"/>
          <w:szCs w:val="32"/>
          <w:lang w:val="en-US" w:eastAsia="zh-CN"/>
        </w:rPr>
        <w:t>100</w:t>
      </w:r>
      <w:r>
        <w:rPr>
          <w:rFonts w:ascii="仿宋_GB2312"/>
          <w:color w:val="auto"/>
          <w:szCs w:val="32"/>
        </w:rPr>
        <w:t>%</w:t>
      </w:r>
      <w:r>
        <w:rPr>
          <w:rFonts w:hint="eastAsia" w:ascii="仿宋_GB2312"/>
          <w:color w:val="auto"/>
          <w:szCs w:val="32"/>
          <w:lang w:eastAsia="zh-CN"/>
        </w:rPr>
        <w:t>。</w:t>
      </w:r>
    </w:p>
    <w:p>
      <w:pPr>
        <w:rPr>
          <w:rFonts w:hint="eastAsia"/>
          <w:b/>
          <w:bCs/>
          <w:color w:val="auto"/>
        </w:rPr>
      </w:pPr>
      <w:bookmarkStart w:id="29" w:name="_Toc19975"/>
      <w:r>
        <w:rPr>
          <w:rFonts w:hint="eastAsia"/>
          <w:b/>
          <w:bCs/>
          <w:color w:val="auto"/>
        </w:rPr>
        <w:t>（三）国有资产占用情况说明</w:t>
      </w:r>
      <w:bookmarkEnd w:id="29"/>
    </w:p>
    <w:p>
      <w:pPr>
        <w:rPr>
          <w:rFonts w:hint="eastAsia" w:ascii="仿宋_GB2312"/>
          <w:color w:val="auto"/>
          <w:szCs w:val="32"/>
        </w:rPr>
      </w:pPr>
      <w:r>
        <w:rPr>
          <w:rFonts w:hint="eastAsia" w:ascii="仿宋_GB2312"/>
          <w:color w:val="auto"/>
          <w:szCs w:val="32"/>
        </w:rPr>
        <w:t>截至20</w:t>
      </w:r>
      <w:r>
        <w:rPr>
          <w:rFonts w:hint="eastAsia" w:ascii="仿宋_GB2312"/>
          <w:color w:val="auto"/>
          <w:szCs w:val="32"/>
          <w:lang w:val="en-US" w:eastAsia="zh-CN"/>
        </w:rPr>
        <w:t>20</w:t>
      </w:r>
      <w:r>
        <w:rPr>
          <w:rFonts w:hint="eastAsia" w:ascii="仿宋_GB2312"/>
          <w:color w:val="auto"/>
          <w:szCs w:val="32"/>
        </w:rPr>
        <w:t>年12月31日，</w:t>
      </w:r>
      <w:r>
        <w:rPr>
          <w:rFonts w:hint="eastAsia" w:ascii="仿宋" w:hAnsi="仿宋" w:eastAsia="仿宋" w:cs="宋体"/>
          <w:color w:val="auto"/>
          <w:kern w:val="0"/>
          <w:sz w:val="32"/>
          <w:szCs w:val="32"/>
          <w:lang w:val="en-US" w:eastAsia="zh-CN" w:bidi="ar-SA"/>
        </w:rPr>
        <w:t>本单位无国有重点资产占有</w:t>
      </w:r>
      <w:r>
        <w:rPr>
          <w:rFonts w:hint="eastAsia" w:ascii="仿宋_GB2312"/>
          <w:color w:val="auto"/>
          <w:szCs w:val="32"/>
        </w:rPr>
        <w:t>。</w:t>
      </w:r>
      <w:r>
        <w:rPr>
          <w:rFonts w:hint="eastAsia" w:ascii="仿宋_GB2312"/>
          <w:color w:val="auto"/>
          <w:szCs w:val="32"/>
          <w:lang w:val="en-US" w:eastAsia="zh-CN"/>
        </w:rPr>
        <w:t>本单位办公用房资产属机关事务管理中心。</w:t>
      </w:r>
    </w:p>
    <w:p>
      <w:pPr>
        <w:rPr>
          <w:rFonts w:hint="eastAsia"/>
          <w:b/>
          <w:bCs/>
          <w:color w:val="auto"/>
        </w:rPr>
      </w:pPr>
      <w:r>
        <w:rPr>
          <w:rFonts w:hint="eastAsia"/>
          <w:b/>
          <w:bCs/>
          <w:color w:val="auto"/>
          <w:lang w:eastAsia="zh-CN"/>
        </w:rPr>
        <w:t>（</w:t>
      </w:r>
      <w:r>
        <w:rPr>
          <w:rFonts w:hint="eastAsia"/>
          <w:b/>
          <w:bCs/>
          <w:color w:val="auto"/>
          <w:lang w:val="en-US" w:eastAsia="zh-CN"/>
        </w:rPr>
        <w:t>四）</w:t>
      </w:r>
      <w:r>
        <w:rPr>
          <w:rFonts w:hint="eastAsia"/>
          <w:b/>
          <w:bCs/>
          <w:color w:val="auto"/>
        </w:rPr>
        <w:t>重点项目预算的绩效目标情况说明：</w:t>
      </w:r>
    </w:p>
    <w:p>
      <w:pPr>
        <w:numPr>
          <w:ilvl w:val="0"/>
          <w:numId w:val="0"/>
        </w:numPr>
        <w:ind w:firstLine="643" w:firstLineChars="200"/>
        <w:rPr>
          <w:rFonts w:hint="eastAsia" w:ascii="仿宋_GB2312" w:hAnsi="仿宋_GB2312" w:eastAsia="仿宋_GB2312" w:cs="仿宋_GB2312"/>
          <w:color w:val="auto"/>
          <w:sz w:val="32"/>
          <w:szCs w:val="32"/>
          <w:lang w:val="en-US" w:eastAsia="zh-CN"/>
        </w:rPr>
      </w:pPr>
      <w:bookmarkStart w:id="30" w:name="_Toc28108"/>
      <w:bookmarkStart w:id="31" w:name="_Toc8450"/>
      <w:r>
        <w:rPr>
          <w:rFonts w:hint="eastAsia" w:ascii="仿宋_GB2312" w:hAnsi="仿宋_GB2312" w:eastAsia="仿宋_GB2312" w:cs="仿宋_GB2312"/>
          <w:b/>
          <w:bCs/>
          <w:color w:val="auto"/>
          <w:sz w:val="32"/>
          <w:szCs w:val="32"/>
          <w:lang w:val="en-US" w:eastAsia="zh-CN"/>
        </w:rPr>
        <w:t>（1）预算绩效管理工作开展情况。</w:t>
      </w:r>
      <w:r>
        <w:rPr>
          <w:rFonts w:hint="eastAsia" w:ascii="仿宋_GB2312" w:hAnsi="仿宋_GB2312" w:eastAsia="仿宋_GB2312" w:cs="仿宋_GB2312"/>
          <w:color w:val="auto"/>
          <w:sz w:val="32"/>
          <w:szCs w:val="32"/>
          <w:lang w:val="en-US" w:eastAsia="zh-CN"/>
        </w:rPr>
        <w:t>根据预算绩效管理要求，</w:t>
      </w:r>
      <w:r>
        <w:rPr>
          <w:rFonts w:hint="eastAsia" w:ascii="仿宋_GB2312" w:hAnsi="仿宋_GB2312" w:eastAsia="仿宋_GB2312" w:cs="仿宋_GB2312"/>
          <w:color w:val="auto"/>
          <w:sz w:val="32"/>
          <w:szCs w:val="32"/>
          <w:highlight w:val="none"/>
          <w:lang w:val="en-US" w:eastAsia="zh-CN"/>
        </w:rPr>
        <w:t>我</w:t>
      </w:r>
      <w:r>
        <w:rPr>
          <w:rFonts w:hint="eastAsia" w:ascii="仿宋_GB2312" w:hAnsi="仿宋_GB2312" w:cs="仿宋_GB2312"/>
          <w:color w:val="auto"/>
          <w:sz w:val="32"/>
          <w:szCs w:val="32"/>
          <w:highlight w:val="none"/>
          <w:lang w:val="en-US" w:eastAsia="zh-CN"/>
        </w:rPr>
        <w:t>单位</w:t>
      </w:r>
      <w:r>
        <w:rPr>
          <w:rFonts w:hint="eastAsia" w:ascii="仿宋_GB2312" w:hAnsi="仿宋_GB2312" w:eastAsia="仿宋_GB2312" w:cs="仿宋_GB2312"/>
          <w:color w:val="auto"/>
          <w:sz w:val="32"/>
          <w:szCs w:val="32"/>
          <w:highlight w:val="none"/>
          <w:lang w:val="en-US" w:eastAsia="zh-CN"/>
        </w:rPr>
        <w:t>202</w:t>
      </w:r>
      <w:r>
        <w:rPr>
          <w:rFonts w:hint="eastAsia" w:ascii="仿宋_GB2312" w:hAnsi="仿宋_GB2312" w:cs="仿宋_GB2312"/>
          <w:color w:val="auto"/>
          <w:sz w:val="32"/>
          <w:szCs w:val="32"/>
          <w:highlight w:val="none"/>
          <w:lang w:val="en-US" w:eastAsia="zh-CN"/>
        </w:rPr>
        <w:t>1</w:t>
      </w:r>
      <w:r>
        <w:rPr>
          <w:rFonts w:hint="eastAsia" w:ascii="仿宋_GB2312" w:hAnsi="仿宋_GB2312" w:eastAsia="仿宋_GB2312" w:cs="仿宋_GB2312"/>
          <w:color w:val="auto"/>
          <w:sz w:val="32"/>
          <w:szCs w:val="32"/>
          <w:highlight w:val="none"/>
          <w:lang w:val="en-US" w:eastAsia="zh-CN"/>
        </w:rPr>
        <w:t>年度</w:t>
      </w:r>
      <w:r>
        <w:rPr>
          <w:rFonts w:hint="eastAsia" w:ascii="仿宋_GB2312" w:hAnsi="仿宋_GB2312" w:cs="仿宋_GB2312"/>
          <w:color w:val="auto"/>
          <w:sz w:val="32"/>
          <w:szCs w:val="32"/>
          <w:highlight w:val="none"/>
          <w:lang w:val="en-US" w:eastAsia="zh-CN"/>
        </w:rPr>
        <w:t>对本单位2个经费补助类项目在一体化系统中进行自评。</w:t>
      </w:r>
      <w:r>
        <w:rPr>
          <w:rFonts w:hint="eastAsia" w:ascii="仿宋_GB2312" w:hAnsi="仿宋_GB2312" w:eastAsia="仿宋_GB2312" w:cs="仿宋_GB2312"/>
          <w:color w:val="auto"/>
          <w:sz w:val="32"/>
          <w:szCs w:val="32"/>
          <w:lang w:val="en-US" w:eastAsia="zh-CN"/>
        </w:rPr>
        <w:t>我部门202</w:t>
      </w:r>
      <w:r>
        <w:rPr>
          <w:rFonts w:hint="eastAsia" w:ascii="仿宋_GB2312" w:hAnsi="仿宋_GB2312" w:cs="仿宋_GB2312"/>
          <w:color w:val="auto"/>
          <w:sz w:val="32"/>
          <w:szCs w:val="32"/>
          <w:lang w:val="en-US" w:eastAsia="zh-CN"/>
        </w:rPr>
        <w:t>1</w:t>
      </w:r>
      <w:r>
        <w:rPr>
          <w:rFonts w:hint="eastAsia" w:ascii="仿宋_GB2312" w:hAnsi="仿宋_GB2312" w:eastAsia="仿宋_GB2312" w:cs="仿宋_GB2312"/>
          <w:color w:val="auto"/>
          <w:sz w:val="32"/>
          <w:szCs w:val="32"/>
          <w:lang w:val="en-US" w:eastAsia="zh-CN"/>
        </w:rPr>
        <w:t>年度</w:t>
      </w:r>
      <w:r>
        <w:rPr>
          <w:rFonts w:hint="eastAsia" w:ascii="仿宋_GB2312" w:hAnsi="仿宋_GB2312" w:cs="仿宋_GB2312"/>
          <w:color w:val="auto"/>
          <w:sz w:val="32"/>
          <w:szCs w:val="32"/>
          <w:lang w:val="en-US" w:eastAsia="zh-CN"/>
        </w:rPr>
        <w:t>无县</w:t>
      </w:r>
      <w:r>
        <w:rPr>
          <w:rFonts w:hint="eastAsia" w:ascii="仿宋_GB2312" w:hAnsi="仿宋_GB2312" w:eastAsia="仿宋_GB2312" w:cs="仿宋_GB2312"/>
          <w:color w:val="auto"/>
          <w:sz w:val="32"/>
          <w:szCs w:val="32"/>
          <w:lang w:val="en-US" w:eastAsia="zh-CN"/>
        </w:rPr>
        <w:t>级财政预算安排的</w:t>
      </w:r>
      <w:r>
        <w:rPr>
          <w:rFonts w:hint="eastAsia" w:ascii="仿宋_GB2312" w:hAnsi="仿宋_GB2312" w:eastAsia="仿宋_GB2312" w:cs="仿宋_GB2312"/>
          <w:color w:val="auto"/>
          <w:sz w:val="32"/>
          <w:szCs w:val="32"/>
          <w:highlight w:val="none"/>
          <w:lang w:val="en-US" w:eastAsia="zh-CN"/>
        </w:rPr>
        <w:t>专项资金类</w:t>
      </w:r>
      <w:r>
        <w:rPr>
          <w:rFonts w:hint="eastAsia" w:ascii="仿宋_GB2312" w:hAnsi="仿宋_GB2312" w:eastAsia="仿宋_GB2312" w:cs="仿宋_GB2312"/>
          <w:color w:val="auto"/>
          <w:sz w:val="32"/>
          <w:szCs w:val="32"/>
          <w:lang w:val="en-US" w:eastAsia="zh-CN"/>
        </w:rPr>
        <w:t>和</w:t>
      </w:r>
      <w:r>
        <w:rPr>
          <w:rFonts w:hint="eastAsia" w:ascii="仿宋_GB2312" w:hAnsi="仿宋_GB2312" w:cs="仿宋_GB2312"/>
          <w:color w:val="auto"/>
          <w:sz w:val="32"/>
          <w:szCs w:val="32"/>
          <w:lang w:val="en-US" w:eastAsia="zh-CN"/>
        </w:rPr>
        <w:t>2</w:t>
      </w:r>
      <w:r>
        <w:rPr>
          <w:rFonts w:hint="eastAsia" w:ascii="仿宋_GB2312" w:hAnsi="仿宋_GB2312" w:eastAsia="仿宋_GB2312" w:cs="仿宋_GB2312"/>
          <w:color w:val="auto"/>
          <w:sz w:val="32"/>
          <w:szCs w:val="32"/>
          <w:lang w:val="en-US" w:eastAsia="zh-CN"/>
        </w:rPr>
        <w:t>00万元以上的经费补助类</w:t>
      </w:r>
      <w:r>
        <w:rPr>
          <w:rFonts w:hint="eastAsia" w:ascii="仿宋_GB2312" w:hAnsi="仿宋_GB2312" w:cs="仿宋_GB2312"/>
          <w:color w:val="auto"/>
          <w:sz w:val="32"/>
          <w:szCs w:val="32"/>
          <w:lang w:val="en-US" w:eastAsia="zh-CN"/>
        </w:rPr>
        <w:t>重点</w:t>
      </w:r>
      <w:r>
        <w:rPr>
          <w:rFonts w:hint="eastAsia" w:ascii="仿宋_GB2312" w:hAnsi="仿宋_GB2312" w:eastAsia="仿宋_GB2312" w:cs="仿宋_GB2312"/>
          <w:color w:val="auto"/>
          <w:sz w:val="32"/>
          <w:szCs w:val="32"/>
          <w:lang w:val="en-US" w:eastAsia="zh-CN"/>
        </w:rPr>
        <w:t>项目</w:t>
      </w:r>
      <w:r>
        <w:rPr>
          <w:rFonts w:hint="eastAsia" w:ascii="仿宋_GB2312" w:hAnsi="仿宋_GB2312" w:cs="仿宋_GB2312"/>
          <w:color w:val="auto"/>
          <w:sz w:val="32"/>
          <w:szCs w:val="32"/>
          <w:lang w:val="en-US" w:eastAsia="zh-CN"/>
        </w:rPr>
        <w:t>。</w:t>
      </w:r>
    </w:p>
    <w:p>
      <w:pPr>
        <w:numPr>
          <w:ilvl w:val="0"/>
          <w:numId w:val="0"/>
        </w:numPr>
        <w:ind w:firstLine="643" w:firstLineChars="200"/>
        <w:rPr>
          <w:rFonts w:hint="eastAsia" w:ascii="仿宋_GB2312" w:hAnsi="仿宋_GB2312" w:eastAsia="仿宋_GB2312" w:cs="仿宋_GB2312"/>
          <w:b/>
          <w:bCs/>
          <w:color w:val="auto"/>
          <w:sz w:val="32"/>
          <w:szCs w:val="32"/>
          <w:lang w:val="en-US" w:eastAsia="zh-CN"/>
        </w:rPr>
      </w:pPr>
      <w:r>
        <w:rPr>
          <w:rFonts w:hint="eastAsia" w:ascii="仿宋_GB2312" w:hAnsi="仿宋_GB2312" w:eastAsia="仿宋_GB2312" w:cs="仿宋_GB2312"/>
          <w:b/>
          <w:bCs/>
          <w:color w:val="auto"/>
          <w:sz w:val="32"/>
          <w:szCs w:val="32"/>
          <w:lang w:val="en-US" w:eastAsia="zh-CN"/>
        </w:rPr>
        <w:t>（2）部门决算中项目绩效自评结果。</w:t>
      </w:r>
    </w:p>
    <w:p>
      <w:pPr>
        <w:numPr>
          <w:ilvl w:val="0"/>
          <w:numId w:val="0"/>
        </w:numPr>
        <w:ind w:firstLine="640" w:firstLineChars="200"/>
        <w:rPr>
          <w:rFonts w:hint="eastAsia" w:ascii="仿宋_GB2312" w:hAnsi="仿宋_GB2312" w:eastAsia="仿宋_GB2312" w:cs="仿宋_GB2312"/>
          <w:color w:val="auto"/>
          <w:sz w:val="32"/>
          <w:szCs w:val="32"/>
          <w:lang w:val="en-US" w:eastAsia="zh-CN"/>
        </w:rPr>
      </w:pPr>
      <w:r>
        <w:rPr>
          <w:rFonts w:hint="eastAsia" w:ascii="仿宋_GB2312" w:hAnsi="仿宋_GB2312" w:cs="仿宋_GB2312"/>
          <w:color w:val="auto"/>
          <w:sz w:val="32"/>
          <w:szCs w:val="32"/>
          <w:lang w:val="en-US" w:eastAsia="zh-CN"/>
        </w:rPr>
        <w:t>本单位无重点</w:t>
      </w:r>
      <w:r>
        <w:rPr>
          <w:rFonts w:hint="eastAsia" w:ascii="仿宋_GB2312" w:hAnsi="仿宋_GB2312" w:eastAsia="仿宋_GB2312" w:cs="仿宋_GB2312"/>
          <w:color w:val="auto"/>
          <w:sz w:val="32"/>
          <w:szCs w:val="32"/>
          <w:lang w:val="en-US" w:eastAsia="zh-CN"/>
        </w:rPr>
        <w:t>项目向社会公开</w:t>
      </w:r>
      <w:r>
        <w:rPr>
          <w:rFonts w:hint="eastAsia" w:ascii="仿宋_GB2312" w:hAnsi="仿宋_GB2312" w:cs="仿宋_GB2312"/>
          <w:color w:val="auto"/>
          <w:sz w:val="32"/>
          <w:szCs w:val="32"/>
          <w:lang w:val="en-US" w:eastAsia="zh-CN"/>
        </w:rPr>
        <w:t>。</w:t>
      </w:r>
    </w:p>
    <w:p>
      <w:pPr>
        <w:numPr>
          <w:ilvl w:val="0"/>
          <w:numId w:val="2"/>
        </w:numPr>
        <w:ind w:firstLine="643" w:firstLineChars="200"/>
        <w:rPr>
          <w:rFonts w:hint="eastAsia" w:ascii="仿宋_GB2312" w:hAnsi="仿宋_GB2312" w:eastAsia="仿宋_GB2312" w:cs="仿宋_GB2312"/>
          <w:b/>
          <w:bCs/>
          <w:color w:val="auto"/>
          <w:sz w:val="32"/>
          <w:szCs w:val="32"/>
          <w:lang w:val="en-US" w:eastAsia="zh-CN"/>
        </w:rPr>
      </w:pPr>
      <w:r>
        <w:rPr>
          <w:rFonts w:hint="eastAsia" w:ascii="仿宋_GB2312" w:hAnsi="仿宋_GB2312" w:eastAsia="仿宋_GB2312" w:cs="仿宋_GB2312"/>
          <w:b/>
          <w:bCs/>
          <w:color w:val="auto"/>
          <w:sz w:val="32"/>
          <w:szCs w:val="32"/>
          <w:lang w:val="en-US" w:eastAsia="zh-CN"/>
        </w:rPr>
        <w:t>部门评价项目绩效评价结果。</w:t>
      </w:r>
    </w:p>
    <w:p>
      <w:pPr>
        <w:numPr>
          <w:ilvl w:val="0"/>
          <w:numId w:val="0"/>
        </w:numPr>
        <w:ind w:firstLine="640" w:firstLineChars="200"/>
        <w:rPr>
          <w:rFonts w:hint="eastAsia" w:ascii="仿宋" w:hAnsi="仿宋" w:eastAsia="仿宋" w:cs="仿宋"/>
          <w:b/>
          <w:bCs/>
          <w:color w:val="auto"/>
          <w:sz w:val="32"/>
          <w:szCs w:val="32"/>
          <w:lang w:val="en-US" w:eastAsia="zh-CN"/>
        </w:rPr>
      </w:pPr>
      <w:r>
        <w:rPr>
          <w:rFonts w:hint="eastAsia" w:ascii="仿宋_GB2312" w:hAnsi="仿宋_GB2312" w:cs="仿宋_GB2312"/>
          <w:b w:val="0"/>
          <w:bCs w:val="0"/>
          <w:color w:val="auto"/>
          <w:sz w:val="32"/>
          <w:szCs w:val="32"/>
          <w:lang w:val="en-US" w:eastAsia="zh-CN"/>
        </w:rPr>
        <w:t>本单位无重点项目</w:t>
      </w:r>
      <w:r>
        <w:rPr>
          <w:rFonts w:hint="eastAsia" w:ascii="仿宋_GB2312" w:hAnsi="仿宋_GB2312" w:eastAsia="仿宋_GB2312" w:cs="仿宋_GB2312"/>
          <w:color w:val="auto"/>
          <w:sz w:val="32"/>
          <w:szCs w:val="32"/>
          <w:lang w:val="en-US" w:eastAsia="zh-CN"/>
        </w:rPr>
        <w:t>评价报告向社会公开。</w:t>
      </w:r>
    </w:p>
    <w:p>
      <w:pPr>
        <w:keepNext w:val="0"/>
        <w:keepLines w:val="0"/>
        <w:pageBreakBefore w:val="0"/>
        <w:numPr>
          <w:ilvl w:val="0"/>
          <w:numId w:val="0"/>
        </w:numPr>
        <w:kinsoku/>
        <w:wordWrap/>
        <w:overflowPunct/>
        <w:topLinePunct w:val="0"/>
        <w:autoSpaceDE/>
        <w:autoSpaceDN/>
        <w:bidi w:val="0"/>
        <w:adjustRightInd/>
        <w:snapToGrid/>
        <w:ind w:firstLine="643" w:firstLineChars="200"/>
        <w:textAlignment w:val="auto"/>
        <w:rPr>
          <w:rFonts w:hint="eastAsia" w:ascii="仿宋" w:hAnsi="仿宋" w:eastAsia="仿宋" w:cs="仿宋"/>
          <w:b/>
          <w:bCs/>
          <w:color w:val="auto"/>
          <w:sz w:val="32"/>
          <w:szCs w:val="32"/>
          <w:lang w:val="en-US" w:eastAsia="zh-CN"/>
        </w:rPr>
      </w:pPr>
    </w:p>
    <w:p>
      <w:pPr>
        <w:numPr>
          <w:ilvl w:val="0"/>
          <w:numId w:val="3"/>
        </w:numPr>
        <w:spacing w:line="580" w:lineRule="exact"/>
        <w:ind w:firstLine="643" w:firstLineChars="200"/>
        <w:outlineLvl w:val="0"/>
        <w:rPr>
          <w:rFonts w:hint="eastAsia" w:ascii="仿宋_GB2312" w:eastAsia="仿宋_GB2312"/>
          <w:b/>
          <w:color w:val="auto"/>
          <w:szCs w:val="32"/>
          <w:lang w:val="en-US" w:eastAsia="zh-CN"/>
        </w:rPr>
      </w:pPr>
      <w:r>
        <w:rPr>
          <w:rFonts w:hint="eastAsia" w:ascii="仿宋_GB2312"/>
          <w:b/>
          <w:color w:val="auto"/>
          <w:szCs w:val="32"/>
        </w:rPr>
        <w:t>其他需要说明的事项</w:t>
      </w:r>
      <w:bookmarkEnd w:id="30"/>
      <w:bookmarkEnd w:id="31"/>
    </w:p>
    <w:p>
      <w:pPr>
        <w:pStyle w:val="2"/>
        <w:ind w:left="0" w:leftChars="0" w:firstLine="0" w:firstLineChars="0"/>
        <w:jc w:val="center"/>
        <w:rPr>
          <w:rFonts w:hint="eastAsia"/>
          <w:b/>
          <w:color w:val="auto"/>
          <w:sz w:val="36"/>
          <w:szCs w:val="36"/>
          <w:lang w:val="en-US" w:eastAsia="zh-CN"/>
        </w:rPr>
      </w:pPr>
      <w:bookmarkStart w:id="32" w:name="_Toc8545"/>
      <w:r>
        <w:rPr>
          <w:rFonts w:hint="eastAsia"/>
          <w:b/>
          <w:color w:val="auto"/>
          <w:sz w:val="36"/>
          <w:szCs w:val="36"/>
          <w:lang w:val="en-US" w:eastAsia="zh-CN"/>
        </w:rPr>
        <w:t>第四部分  名词解释</w:t>
      </w:r>
      <w:bookmarkEnd w:id="32"/>
    </w:p>
    <w:p>
      <w:pPr>
        <w:spacing w:line="580" w:lineRule="exact"/>
        <w:ind w:firstLine="640"/>
        <w:rPr>
          <w:rFonts w:hint="eastAsia"/>
          <w:color w:val="auto"/>
          <w:szCs w:val="32"/>
        </w:rPr>
      </w:pPr>
      <w:r>
        <w:rPr>
          <w:rFonts w:hint="eastAsia"/>
          <w:color w:val="auto"/>
          <w:szCs w:val="32"/>
        </w:rPr>
        <w:t>部门应当按照部门预算管理要求，对本部门涉及的专业名词进行解释。（以下模板仅供参考，以单位实际为准）</w:t>
      </w:r>
    </w:p>
    <w:p>
      <w:pPr>
        <w:spacing w:line="580" w:lineRule="exact"/>
        <w:ind w:firstLine="520" w:firstLineChars="162"/>
        <w:rPr>
          <w:rFonts w:hint="eastAsia" w:ascii="仿宋_GB2312"/>
          <w:color w:val="auto"/>
          <w:szCs w:val="32"/>
        </w:rPr>
      </w:pPr>
      <w:r>
        <w:rPr>
          <w:rFonts w:hint="eastAsia" w:ascii="仿宋_GB2312"/>
          <w:b/>
          <w:color w:val="auto"/>
          <w:szCs w:val="32"/>
          <w:lang w:val="en-US" w:eastAsia="zh-CN"/>
        </w:rPr>
        <w:t>一、</w:t>
      </w:r>
      <w:r>
        <w:rPr>
          <w:rFonts w:hint="eastAsia" w:ascii="仿宋_GB2312"/>
          <w:b/>
          <w:color w:val="auto"/>
          <w:szCs w:val="32"/>
        </w:rPr>
        <w:t>财政拨款收入：</w:t>
      </w:r>
      <w:r>
        <w:rPr>
          <w:rFonts w:hint="eastAsia" w:ascii="仿宋_GB2312"/>
          <w:color w:val="auto"/>
          <w:szCs w:val="32"/>
        </w:rPr>
        <w:t>指单位从同级财政部门取得的财政预算资金。</w:t>
      </w:r>
    </w:p>
    <w:p>
      <w:pPr>
        <w:spacing w:line="580" w:lineRule="exact"/>
        <w:ind w:firstLine="520" w:firstLineChars="162"/>
        <w:rPr>
          <w:rFonts w:hint="eastAsia" w:ascii="仿宋_GB2312"/>
          <w:color w:val="auto"/>
          <w:szCs w:val="32"/>
        </w:rPr>
      </w:pPr>
      <w:r>
        <w:rPr>
          <w:rFonts w:hint="eastAsia" w:ascii="仿宋_GB2312"/>
          <w:b/>
          <w:color w:val="auto"/>
          <w:szCs w:val="32"/>
          <w:lang w:val="en-US" w:eastAsia="zh-CN"/>
        </w:rPr>
        <w:t>二、</w:t>
      </w:r>
      <w:r>
        <w:rPr>
          <w:rFonts w:hint="eastAsia" w:ascii="仿宋_GB2312"/>
          <w:b/>
          <w:color w:val="auto"/>
          <w:szCs w:val="32"/>
        </w:rPr>
        <w:t>事业收入：</w:t>
      </w:r>
      <w:r>
        <w:rPr>
          <w:rFonts w:hint="eastAsia" w:ascii="仿宋_GB2312"/>
          <w:color w:val="auto"/>
          <w:szCs w:val="32"/>
        </w:rPr>
        <w:t>指事业单位开展专业业务活动及辅助活动取得的收入。</w:t>
      </w:r>
    </w:p>
    <w:p>
      <w:pPr>
        <w:spacing w:line="580" w:lineRule="exact"/>
        <w:ind w:firstLine="520" w:firstLineChars="162"/>
        <w:rPr>
          <w:rFonts w:hint="eastAsia" w:ascii="仿宋_GB2312"/>
          <w:color w:val="auto"/>
          <w:szCs w:val="32"/>
        </w:rPr>
      </w:pPr>
      <w:r>
        <w:rPr>
          <w:rFonts w:hint="eastAsia" w:ascii="仿宋_GB2312"/>
          <w:b/>
          <w:color w:val="auto"/>
          <w:szCs w:val="32"/>
          <w:lang w:val="en-US" w:eastAsia="zh-CN"/>
        </w:rPr>
        <w:t>三、</w:t>
      </w:r>
      <w:r>
        <w:rPr>
          <w:rFonts w:hint="eastAsia" w:ascii="仿宋_GB2312"/>
          <w:b/>
          <w:color w:val="auto"/>
          <w:szCs w:val="32"/>
        </w:rPr>
        <w:t>经营收入：</w:t>
      </w:r>
      <w:r>
        <w:rPr>
          <w:rFonts w:hint="eastAsia" w:ascii="仿宋_GB2312"/>
          <w:color w:val="auto"/>
          <w:szCs w:val="32"/>
        </w:rPr>
        <w:t>指事业单位在专业业务活动及其辅助活动之外开展非独立核算经营活动取得的收入。</w:t>
      </w:r>
    </w:p>
    <w:p>
      <w:pPr>
        <w:spacing w:line="580" w:lineRule="exact"/>
        <w:ind w:firstLine="520" w:firstLineChars="162"/>
        <w:rPr>
          <w:rFonts w:hint="eastAsia" w:ascii="仿宋_GB2312"/>
          <w:color w:val="auto"/>
          <w:szCs w:val="32"/>
        </w:rPr>
      </w:pPr>
      <w:r>
        <w:rPr>
          <w:rFonts w:hint="eastAsia" w:ascii="仿宋_GB2312"/>
          <w:b/>
          <w:color w:val="auto"/>
          <w:szCs w:val="32"/>
          <w:lang w:val="en-US" w:eastAsia="zh-CN"/>
        </w:rPr>
        <w:t>四、</w:t>
      </w:r>
      <w:r>
        <w:rPr>
          <w:rFonts w:hint="eastAsia" w:ascii="仿宋_GB2312"/>
          <w:b/>
          <w:color w:val="auto"/>
          <w:szCs w:val="32"/>
        </w:rPr>
        <w:t>其他收入：</w:t>
      </w:r>
      <w:r>
        <w:rPr>
          <w:rFonts w:hint="eastAsia" w:ascii="仿宋_GB2312"/>
          <w:color w:val="auto"/>
          <w:szCs w:val="32"/>
        </w:rPr>
        <w:t>指单位取得的除上述收入以外的各项收</w:t>
      </w:r>
    </w:p>
    <w:p>
      <w:pPr>
        <w:spacing w:line="580" w:lineRule="exact"/>
        <w:ind w:firstLineChars="0"/>
        <w:rPr>
          <w:rFonts w:hint="eastAsia" w:ascii="仿宋_GB2312"/>
          <w:color w:val="auto"/>
          <w:szCs w:val="32"/>
        </w:rPr>
      </w:pPr>
      <w:r>
        <w:rPr>
          <w:rFonts w:hint="eastAsia" w:ascii="仿宋_GB2312"/>
          <w:color w:val="auto"/>
          <w:szCs w:val="32"/>
        </w:rPr>
        <w:t>入。主要是按规定动用的售房收入、存款利息收入等。</w:t>
      </w:r>
    </w:p>
    <w:p>
      <w:pPr>
        <w:spacing w:line="580" w:lineRule="exact"/>
        <w:ind w:firstLine="520" w:firstLineChars="162"/>
        <w:rPr>
          <w:rFonts w:hint="eastAsia" w:ascii="仿宋_GB2312"/>
          <w:color w:val="auto"/>
          <w:szCs w:val="32"/>
        </w:rPr>
      </w:pPr>
      <w:r>
        <w:rPr>
          <w:rFonts w:hint="eastAsia" w:ascii="仿宋_GB2312"/>
          <w:b/>
          <w:color w:val="auto"/>
          <w:szCs w:val="32"/>
          <w:lang w:val="en-US" w:eastAsia="zh-CN"/>
        </w:rPr>
        <w:t>五、</w:t>
      </w:r>
      <w:r>
        <w:rPr>
          <w:rFonts w:hint="eastAsia" w:ascii="仿宋_GB2312"/>
          <w:b/>
          <w:color w:val="auto"/>
          <w:szCs w:val="32"/>
        </w:rPr>
        <w:t>年初结转和结余：</w:t>
      </w:r>
      <w:r>
        <w:rPr>
          <w:rFonts w:hint="eastAsia" w:ascii="仿宋_GB2312"/>
          <w:color w:val="auto"/>
          <w:szCs w:val="32"/>
        </w:rPr>
        <w:t>指单位以前年度尚未完成、结转到本年按有关规定继续使用的资金。</w:t>
      </w:r>
    </w:p>
    <w:p>
      <w:pPr>
        <w:spacing w:line="580" w:lineRule="exact"/>
        <w:ind w:firstLine="520" w:firstLineChars="162"/>
        <w:rPr>
          <w:rFonts w:ascii="仿宋_GB2312"/>
          <w:b/>
          <w:color w:val="auto"/>
          <w:szCs w:val="32"/>
        </w:rPr>
      </w:pPr>
      <w:r>
        <w:rPr>
          <w:rFonts w:hint="eastAsia" w:ascii="仿宋_GB2312"/>
          <w:b/>
          <w:color w:val="auto"/>
          <w:szCs w:val="32"/>
          <w:lang w:val="en-US" w:eastAsia="zh-CN"/>
        </w:rPr>
        <w:t>六、</w:t>
      </w:r>
      <w:r>
        <w:rPr>
          <w:rFonts w:hint="eastAsia" w:ascii="仿宋_GB2312"/>
          <w:b/>
          <w:color w:val="auto"/>
          <w:szCs w:val="32"/>
        </w:rPr>
        <w:t>基本支出：</w:t>
      </w:r>
      <w:r>
        <w:rPr>
          <w:rFonts w:hint="eastAsia" w:ascii="仿宋_GB2312"/>
          <w:color w:val="auto"/>
          <w:szCs w:val="32"/>
        </w:rPr>
        <w:t>指为保障机构正常运转、完成日常工作任务而发生的人员支出和公用支出。</w:t>
      </w:r>
    </w:p>
    <w:p>
      <w:pPr>
        <w:spacing w:line="580" w:lineRule="exact"/>
        <w:ind w:firstLine="520" w:firstLineChars="162"/>
        <w:rPr>
          <w:rFonts w:ascii="仿宋_GB2312"/>
          <w:color w:val="auto"/>
          <w:szCs w:val="32"/>
        </w:rPr>
      </w:pPr>
      <w:r>
        <w:rPr>
          <w:rFonts w:hint="eastAsia" w:ascii="仿宋_GB2312"/>
          <w:b/>
          <w:color w:val="auto"/>
          <w:szCs w:val="32"/>
        </w:rPr>
        <w:t>七、项目支出：</w:t>
      </w:r>
      <w:r>
        <w:rPr>
          <w:rFonts w:hint="eastAsia" w:ascii="仿宋_GB2312"/>
          <w:color w:val="auto"/>
          <w:szCs w:val="32"/>
        </w:rPr>
        <w:t>指在基本支出之外为完成特定行政任务和事业发展目标所发生的支出。</w:t>
      </w:r>
    </w:p>
    <w:p>
      <w:pPr>
        <w:spacing w:line="580" w:lineRule="exact"/>
        <w:ind w:firstLine="520" w:firstLineChars="162"/>
        <w:rPr>
          <w:rFonts w:ascii="仿宋_GB2312"/>
          <w:color w:val="auto"/>
          <w:szCs w:val="32"/>
        </w:rPr>
      </w:pPr>
      <w:r>
        <w:rPr>
          <w:rFonts w:hint="eastAsia" w:ascii="仿宋_GB2312"/>
          <w:b/>
          <w:color w:val="auto"/>
          <w:szCs w:val="32"/>
        </w:rPr>
        <w:t>八、“三公”经费：</w:t>
      </w:r>
      <w:r>
        <w:rPr>
          <w:rFonts w:hint="eastAsia" w:ascii="仿宋_GB2312"/>
          <w:color w:val="auto"/>
          <w:szCs w:val="32"/>
        </w:rPr>
        <w:t>指省直部门用一般公共预算安排的因公出国（境）费、公务用车购置及运行费和公务接待费。其中，因公出国（境）费反映单位公务出国（境）的国际旅费、国外城市间交通费、住宿费、伙食费、培训费、公杂费等支出；公务用车购置费反映公务用车车辆购置支出（含车辆购置税）；公务用车运行维护费反映单位按规定保留的公务用车燃料费、维修费、过路过桥费、保险费、安全奖励费用等支出；公务接待费反映单位按规定开支的各类公务接待（含外宾接待）支出。</w:t>
      </w:r>
    </w:p>
    <w:p>
      <w:pPr>
        <w:spacing w:line="580" w:lineRule="exact"/>
        <w:ind w:firstLine="520" w:firstLineChars="162"/>
        <w:rPr>
          <w:rFonts w:hint="eastAsia" w:ascii="仿宋_GB2312"/>
          <w:color w:val="auto"/>
          <w:szCs w:val="32"/>
        </w:rPr>
      </w:pPr>
      <w:r>
        <w:rPr>
          <w:rFonts w:hint="eastAsia" w:ascii="仿宋_GB2312"/>
          <w:b/>
          <w:color w:val="auto"/>
          <w:szCs w:val="32"/>
        </w:rPr>
        <w:t>九、机关运行经费：</w:t>
      </w:r>
      <w:r>
        <w:rPr>
          <w:rFonts w:hint="eastAsia" w:ascii="仿宋_GB2312"/>
          <w:color w:val="auto"/>
          <w:szCs w:val="32"/>
        </w:rPr>
        <w:t>指行政单位和参照公务员法管理的事业单位使用一般公共预算安排的基本支出中的日常公用经费支出。</w:t>
      </w:r>
    </w:p>
    <w:p>
      <w:pPr>
        <w:spacing w:line="580" w:lineRule="exact"/>
        <w:ind w:firstLine="518" w:firstLineChars="162"/>
        <w:rPr>
          <w:rFonts w:hint="eastAsia" w:ascii="仿宋_GB2312"/>
          <w:color w:val="auto"/>
          <w:szCs w:val="32"/>
        </w:rPr>
      </w:pPr>
    </w:p>
    <w:p>
      <w:pPr>
        <w:spacing w:line="580" w:lineRule="exact"/>
        <w:ind w:firstLine="518" w:firstLineChars="162"/>
        <w:rPr>
          <w:rFonts w:hint="eastAsia" w:ascii="仿宋_GB2312"/>
          <w:color w:val="auto"/>
          <w:szCs w:val="32"/>
        </w:rPr>
      </w:pPr>
    </w:p>
    <w:p>
      <w:pPr>
        <w:spacing w:line="580" w:lineRule="exact"/>
        <w:ind w:firstLine="518" w:firstLineChars="162"/>
        <w:rPr>
          <w:rFonts w:hint="eastAsia" w:ascii="仿宋_GB2312"/>
          <w:color w:val="auto"/>
          <w:szCs w:val="32"/>
        </w:rPr>
      </w:pPr>
    </w:p>
    <w:p>
      <w:pPr>
        <w:spacing w:line="580" w:lineRule="exact"/>
        <w:ind w:firstLine="518" w:firstLineChars="162"/>
        <w:rPr>
          <w:rFonts w:hint="eastAsia" w:ascii="仿宋_GB2312"/>
          <w:color w:val="auto"/>
          <w:szCs w:val="32"/>
        </w:rPr>
      </w:pPr>
    </w:p>
    <w:p>
      <w:pPr>
        <w:spacing w:line="580" w:lineRule="exact"/>
        <w:ind w:firstLine="640"/>
        <w:rPr>
          <w:rFonts w:hint="eastAsia" w:ascii="仿宋_GB2312" w:eastAsia="仿宋_GB2312"/>
          <w:color w:val="auto"/>
          <w:szCs w:val="32"/>
          <w:lang w:val="en-US" w:eastAsia="zh-CN"/>
        </w:rPr>
      </w:pPr>
      <w:r>
        <w:rPr>
          <w:rFonts w:hint="eastAsia" w:ascii="仿宋_GB2312"/>
          <w:color w:val="auto"/>
          <w:szCs w:val="32"/>
          <w:lang w:val="en-US" w:eastAsia="zh-CN"/>
        </w:rPr>
        <w:t xml:space="preserve">                      单位名称：静乐县妇女联合会</w:t>
      </w:r>
    </w:p>
    <w:p>
      <w:pPr>
        <w:ind w:firstLine="4800" w:firstLineChars="1500"/>
        <w:rPr>
          <w:rFonts w:hint="eastAsia" w:eastAsia="仿宋_GB2312"/>
          <w:color w:val="auto"/>
          <w:lang w:val="en-US" w:eastAsia="zh-CN"/>
        </w:rPr>
      </w:pPr>
      <w:r>
        <w:rPr>
          <w:rFonts w:hint="eastAsia"/>
          <w:color w:val="auto"/>
          <w:lang w:val="en-US" w:eastAsia="zh-CN"/>
        </w:rPr>
        <w:t>二〇二二年六月六日</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楷体">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640"/>
      </w:pPr>
      <w:r>
        <w:separator/>
      </w:r>
    </w:p>
  </w:footnote>
  <w:footnote w:type="continuationSeparator" w:id="1">
    <w:p>
      <w:pPr>
        <w:spacing w:line="240" w:lineRule="auto"/>
        <w:ind w:firstLine="64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0A4CC00"/>
    <w:multiLevelType w:val="singleLevel"/>
    <w:tmpl w:val="60A4CC00"/>
    <w:lvl w:ilvl="0" w:tentative="0">
      <w:start w:val="2"/>
      <w:numFmt w:val="decimal"/>
      <w:suff w:val="nothing"/>
      <w:lvlText w:val="（%1）"/>
      <w:lvlJc w:val="left"/>
    </w:lvl>
  </w:abstractNum>
  <w:abstractNum w:abstractNumId="1">
    <w:nsid w:val="60A4DC26"/>
    <w:multiLevelType w:val="singleLevel"/>
    <w:tmpl w:val="60A4DC26"/>
    <w:lvl w:ilvl="0" w:tentative="0">
      <w:start w:val="4"/>
      <w:numFmt w:val="chineseCounting"/>
      <w:suff w:val="nothing"/>
      <w:lvlText w:val="（%1）"/>
      <w:lvlJc w:val="left"/>
    </w:lvl>
  </w:abstractNum>
  <w:abstractNum w:abstractNumId="2">
    <w:nsid w:val="62AC6D13"/>
    <w:multiLevelType w:val="singleLevel"/>
    <w:tmpl w:val="62AC6D13"/>
    <w:lvl w:ilvl="0" w:tentative="0">
      <w:start w:val="1"/>
      <w:numFmt w:val="chineseCounting"/>
      <w:suff w:val="nothing"/>
      <w:lvlText w:val="%1、"/>
      <w:lvlJc w:val="left"/>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I4YjBhZjc1N2UwNzkyZDE4NTZiMmNmYmZhN2E5NTMifQ=="/>
  </w:docVars>
  <w:rsids>
    <w:rsidRoot w:val="495520D0"/>
    <w:rsid w:val="03696819"/>
    <w:rsid w:val="16654CDD"/>
    <w:rsid w:val="1A4A5C33"/>
    <w:rsid w:val="21B646B4"/>
    <w:rsid w:val="2701594C"/>
    <w:rsid w:val="27426717"/>
    <w:rsid w:val="278E481A"/>
    <w:rsid w:val="2AC41D9E"/>
    <w:rsid w:val="2FEB2FBA"/>
    <w:rsid w:val="37943B50"/>
    <w:rsid w:val="3821117E"/>
    <w:rsid w:val="42AB5554"/>
    <w:rsid w:val="42C12CEC"/>
    <w:rsid w:val="44401A62"/>
    <w:rsid w:val="495520D0"/>
    <w:rsid w:val="4A012068"/>
    <w:rsid w:val="52E579F9"/>
    <w:rsid w:val="53A30631"/>
    <w:rsid w:val="57DA2ED9"/>
    <w:rsid w:val="5EC01F6A"/>
    <w:rsid w:val="63AB51DF"/>
    <w:rsid w:val="649C6DC9"/>
    <w:rsid w:val="6D4741DB"/>
    <w:rsid w:val="715A78E4"/>
    <w:rsid w:val="7761744D"/>
    <w:rsid w:val="7A1348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600" w:lineRule="exact"/>
      <w:ind w:firstLine="200" w:firstLineChars="200"/>
      <w:jc w:val="both"/>
    </w:pPr>
    <w:rPr>
      <w:rFonts w:ascii="Times New Roman" w:hAnsi="Times New Roman" w:eastAsia="仿宋_GB2312" w:cstheme="minorBidi"/>
      <w:kern w:val="2"/>
      <w:sz w:val="32"/>
      <w:szCs w:val="22"/>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3">
    <w:name w:val="heading 2"/>
    <w:basedOn w:val="1"/>
    <w:next w:val="1"/>
    <w:unhideWhenUsed/>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character" w:default="1" w:styleId="10">
    <w:name w:val="Default Paragraph Font"/>
    <w:semiHidden/>
    <w:qFormat/>
    <w:uiPriority w:val="0"/>
  </w:style>
  <w:style w:type="table" w:default="1" w:styleId="9">
    <w:name w:val="Normal Table"/>
    <w:semiHidden/>
    <w:uiPriority w:val="0"/>
    <w:tblPr>
      <w:tblCellMar>
        <w:top w:w="0" w:type="dxa"/>
        <w:left w:w="108" w:type="dxa"/>
        <w:bottom w:w="0" w:type="dxa"/>
        <w:right w:w="108" w:type="dxa"/>
      </w:tblCellMar>
    </w:tblPr>
  </w:style>
  <w:style w:type="paragraph" w:styleId="4">
    <w:name w:val="footer"/>
    <w:basedOn w:val="1"/>
    <w:qFormat/>
    <w:uiPriority w:val="0"/>
    <w:pPr>
      <w:tabs>
        <w:tab w:val="center" w:pos="4153"/>
        <w:tab w:val="right" w:pos="8306"/>
      </w:tabs>
      <w:snapToGrid w:val="0"/>
      <w:spacing w:line="240" w:lineRule="atLeast"/>
      <w:jc w:val="left"/>
    </w:pPr>
    <w:rPr>
      <w:rFonts w:ascii="Times New Roman" w:hAnsi="Times New Roman" w:eastAsia="仿宋_GB2312"/>
      <w:kern w:val="2"/>
      <w:sz w:val="18"/>
      <w:szCs w:val="18"/>
    </w:rPr>
  </w:style>
  <w:style w:type="paragraph" w:styleId="5">
    <w:name w:val="header"/>
    <w:basedOn w:val="1"/>
    <w:qFormat/>
    <w:uiPriority w:val="0"/>
    <w:pPr>
      <w:tabs>
        <w:tab w:val="center" w:pos="4153"/>
        <w:tab w:val="right" w:pos="8306"/>
      </w:tabs>
      <w:snapToGrid w:val="0"/>
      <w:spacing w:line="240" w:lineRule="atLeast"/>
      <w:jc w:val="center"/>
    </w:pPr>
    <w:rPr>
      <w:rFonts w:ascii="Times New Roman" w:hAnsi="Times New Roman" w:eastAsia="仿宋_GB2312"/>
      <w:kern w:val="2"/>
      <w:sz w:val="18"/>
      <w:szCs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Normal (Web)"/>
    <w:basedOn w:val="1"/>
    <w:qFormat/>
    <w:uiPriority w:val="0"/>
    <w:pPr>
      <w:widowControl/>
      <w:spacing w:before="100" w:beforeAutospacing="1" w:after="100" w:afterAutospacing="1"/>
      <w:jc w:val="left"/>
    </w:pPr>
    <w:rPr>
      <w:rFonts w:ascii="宋体" w:hAnsi="宋体" w:cs="宋体"/>
      <w:kern w:val="0"/>
      <w:sz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2696</Words>
  <Characters>3074</Characters>
  <Lines>0</Lines>
  <Paragraphs>0</Paragraphs>
  <TotalTime>50</TotalTime>
  <ScaleCrop>false</ScaleCrop>
  <LinksUpToDate>false</LinksUpToDate>
  <CharactersWithSpaces>3144</CharactersWithSpaces>
  <Application>WPS Office_11.1.0.11830_F1E327BC-269C-435d-A152-05C5408002CA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2021-05-18T11:41:00Z</dcterms:created>
  <dc:creator>lenovo</dc:creator>
  <cp:lastModifiedBy>晴</cp:lastModifiedBy>
  <dcterms:modified xsi:type="dcterms:W3CDTF">2022-08-03T03:45:06Z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2052-11.1.0.11830</vt:lpwstr>
  </property>
  <property fmtid="{D5CDD505-2E9C-101B-9397-08002B2CF9AE}" pid="3" name="ICV">
    <vt:lpwstr>80572804C2214E3D9FEEE9A46A3D6142</vt:lpwstr>
  </property>
</Properties>
</file>