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79210">
      <w:pPr>
        <w:spacing w:line="480" w:lineRule="auto"/>
        <w:ind w:firstLine="0" w:firstLineChars="0"/>
        <w:jc w:val="center"/>
        <w:rPr>
          <w:rFonts w:ascii="Times New Roman" w:hAnsi="Times New Roman" w:eastAsia="黑体" w:cs="Times New Roman"/>
          <w:b/>
          <w:kern w:val="0"/>
          <w:sz w:val="50"/>
          <w:szCs w:val="50"/>
          <w:lang w:bidi="en-US"/>
        </w:rPr>
      </w:pPr>
    </w:p>
    <w:p w14:paraId="697B1ABC">
      <w:pPr>
        <w:spacing w:line="480" w:lineRule="auto"/>
        <w:ind w:firstLine="0" w:firstLineChars="0"/>
        <w:jc w:val="center"/>
        <w:rPr>
          <w:rFonts w:ascii="Times New Roman" w:hAnsi="Times New Roman" w:eastAsia="黑体" w:cs="Times New Roman"/>
          <w:b/>
          <w:kern w:val="0"/>
          <w:sz w:val="50"/>
          <w:szCs w:val="50"/>
          <w:lang w:bidi="en-US"/>
        </w:rPr>
      </w:pPr>
    </w:p>
    <w:p w14:paraId="55691921">
      <w:pPr>
        <w:spacing w:line="480" w:lineRule="auto"/>
        <w:ind w:firstLine="0" w:firstLineChars="0"/>
        <w:jc w:val="center"/>
        <w:rPr>
          <w:rFonts w:ascii="Times New Roman" w:hAnsi="Times New Roman" w:eastAsia="黑体" w:cs="Times New Roman"/>
          <w:b/>
          <w:kern w:val="0"/>
          <w:sz w:val="50"/>
          <w:szCs w:val="50"/>
          <w:lang w:bidi="en-US"/>
        </w:rPr>
      </w:pPr>
    </w:p>
    <w:p w14:paraId="2C5B66E8">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14:paraId="12F0D034">
      <w:pPr>
        <w:spacing w:line="480" w:lineRule="auto"/>
        <w:ind w:firstLine="0" w:firstLineChars="0"/>
        <w:jc w:val="center"/>
        <w:rPr>
          <w:rFonts w:ascii="Times New Roman" w:hAnsi="Times New Roman" w:eastAsia="黑体" w:cs="Times New Roman"/>
          <w:b/>
          <w:kern w:val="0"/>
          <w:sz w:val="50"/>
          <w:szCs w:val="50"/>
          <w:lang w:bidi="en-US"/>
        </w:rPr>
      </w:pPr>
    </w:p>
    <w:p w14:paraId="3B364E6A">
      <w:pPr>
        <w:spacing w:line="480" w:lineRule="auto"/>
        <w:ind w:firstLine="0" w:firstLineChars="0"/>
        <w:jc w:val="center"/>
        <w:rPr>
          <w:rFonts w:ascii="Times New Roman" w:hAnsi="Times New Roman" w:eastAsia="黑体" w:cs="Times New Roman"/>
          <w:b/>
          <w:kern w:val="0"/>
          <w:sz w:val="50"/>
          <w:szCs w:val="50"/>
          <w:lang w:bidi="en-US"/>
        </w:rPr>
      </w:pPr>
    </w:p>
    <w:p w14:paraId="1CBFC4EA">
      <w:pPr>
        <w:spacing w:line="480" w:lineRule="auto"/>
        <w:ind w:firstLine="0" w:firstLineChars="0"/>
        <w:jc w:val="center"/>
        <w:rPr>
          <w:rFonts w:ascii="Times New Roman" w:hAnsi="Times New Roman" w:eastAsia="黑体" w:cs="Times New Roman"/>
          <w:b/>
          <w:kern w:val="0"/>
          <w:sz w:val="50"/>
          <w:szCs w:val="50"/>
          <w:lang w:bidi="en-US"/>
        </w:rPr>
      </w:pPr>
    </w:p>
    <w:p w14:paraId="0670FE83">
      <w:pPr>
        <w:spacing w:line="480" w:lineRule="auto"/>
        <w:ind w:firstLine="0" w:firstLineChars="0"/>
        <w:jc w:val="center"/>
        <w:rPr>
          <w:rFonts w:ascii="Times New Roman" w:hAnsi="Times New Roman" w:eastAsia="黑体" w:cs="Times New Roman"/>
          <w:b/>
          <w:kern w:val="0"/>
          <w:sz w:val="50"/>
          <w:szCs w:val="50"/>
          <w:lang w:bidi="en-US"/>
        </w:rPr>
      </w:pPr>
    </w:p>
    <w:p w14:paraId="0CBAE6A4">
      <w:pPr>
        <w:spacing w:line="480" w:lineRule="auto"/>
        <w:ind w:firstLine="0" w:firstLineChars="0"/>
        <w:jc w:val="center"/>
        <w:rPr>
          <w:rFonts w:ascii="Times New Roman" w:hAnsi="Times New Roman" w:eastAsia="黑体" w:cs="Times New Roman"/>
          <w:b/>
          <w:kern w:val="0"/>
          <w:sz w:val="50"/>
          <w:szCs w:val="50"/>
          <w:lang w:bidi="en-US"/>
        </w:rPr>
      </w:pPr>
    </w:p>
    <w:p w14:paraId="1FB71091">
      <w:pPr>
        <w:spacing w:line="480" w:lineRule="auto"/>
        <w:ind w:firstLine="0" w:firstLineChars="0"/>
        <w:jc w:val="center"/>
        <w:rPr>
          <w:rFonts w:ascii="Times New Roman" w:hAnsi="Times New Roman" w:eastAsia="黑体" w:cs="Times New Roman"/>
          <w:b/>
          <w:kern w:val="0"/>
          <w:sz w:val="50"/>
          <w:szCs w:val="50"/>
          <w:lang w:bidi="en-US"/>
        </w:rPr>
      </w:pPr>
    </w:p>
    <w:p w14:paraId="5567394B">
      <w:pPr>
        <w:spacing w:line="480" w:lineRule="auto"/>
        <w:ind w:firstLine="0" w:firstLineChars="0"/>
        <w:jc w:val="center"/>
        <w:rPr>
          <w:rFonts w:ascii="仿宋_GB2312" w:hAnsi="Times New Roman" w:cs="Times New Roman"/>
          <w:kern w:val="0"/>
          <w:sz w:val="30"/>
          <w:szCs w:val="30"/>
          <w:lang w:bidi="en-US"/>
        </w:rPr>
      </w:pPr>
    </w:p>
    <w:p w14:paraId="21C711A5">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eastAsia="仿宋_GB2312" w:cs="仿宋_GB2312"/>
          <w:color w:val="000000"/>
          <w:sz w:val="32"/>
          <w:u w:val="none"/>
        </w:rPr>
        <w:t>纪委监委办案保障费</w:t>
      </w:r>
    </w:p>
    <w:p w14:paraId="15B01141">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eastAsia="仿宋_GB2312" w:cs="仿宋_GB2312"/>
          <w:color w:val="000000"/>
          <w:sz w:val="32"/>
          <w:u w:val="none"/>
        </w:rPr>
        <w:t>中国共产党静乐县纪律检查委员会</w:t>
      </w:r>
    </w:p>
    <w:p w14:paraId="1335B490">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eastAsia="仿宋_GB2312" w:cs="仿宋_GB2312"/>
          <w:color w:val="000000"/>
          <w:sz w:val="32"/>
          <w:u w:val="none"/>
        </w:rPr>
        <w:t>中国共产党静乐县纪律检查委员会-004</w:t>
      </w:r>
    </w:p>
    <w:p w14:paraId="627B68C9">
      <w:pPr>
        <w:spacing w:line="480" w:lineRule="auto"/>
        <w:ind w:firstLine="0" w:firstLineChars="0"/>
        <w:rPr>
          <w:rFonts w:ascii="黑体" w:hAnsi="Times New Roman" w:eastAsia="黑体" w:cs="Times New Roman"/>
          <w:b/>
          <w:kern w:val="0"/>
          <w:sz w:val="32"/>
          <w:szCs w:val="32"/>
          <w:lang w:bidi="en-US"/>
        </w:rPr>
      </w:pPr>
    </w:p>
    <w:p w14:paraId="56E0937A">
      <w:pPr>
        <w:spacing w:line="480" w:lineRule="auto"/>
        <w:ind w:firstLine="0" w:firstLineChars="0"/>
        <w:rPr>
          <w:rFonts w:ascii="黑体" w:hAnsi="Times New Roman" w:eastAsia="黑体" w:cs="Times New Roman"/>
          <w:b/>
          <w:kern w:val="0"/>
          <w:sz w:val="32"/>
          <w:szCs w:val="32"/>
          <w:lang w:bidi="en-US"/>
        </w:rPr>
      </w:pPr>
    </w:p>
    <w:p w14:paraId="32C85148">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14:paraId="67E20898">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14:paraId="360E3C57">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14:paraId="6900E27D">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14:paraId="344B658D">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14:paraId="1BFCDAB2">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14:paraId="1CB6AC2C">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14:paraId="08C5EEC6">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14:paraId="548D8941">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14:paraId="15967D9C">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14:paraId="01CCC5CA">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14:paraId="0E8D9711">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14:paraId="3CB92D25">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14:paraId="48B37E2D">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14:paraId="2F29FECB">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14:paraId="779B9CCE">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14:paraId="0E5F2A9B">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14:paraId="0525C794">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14:paraId="4209CDC3">
      <w:pPr>
        <w:tabs>
          <w:tab w:val="left" w:pos="620"/>
        </w:tabs>
        <w:ind w:firstLine="0" w:firstLineChars="0"/>
        <w:rPr>
          <w:szCs w:val="44"/>
        </w:rPr>
      </w:pPr>
      <w:r>
        <w:rPr>
          <w:szCs w:val="44"/>
        </w:rPr>
        <w:fldChar w:fldCharType="end"/>
      </w:r>
      <w:r>
        <w:rPr>
          <w:szCs w:val="44"/>
        </w:rPr>
        <w:tab/>
      </w:r>
    </w:p>
    <w:p w14:paraId="61295EF1">
      <w:pPr>
        <w:ind w:firstLine="560"/>
        <w:rPr>
          <w:szCs w:val="44"/>
        </w:rPr>
      </w:pPr>
    </w:p>
    <w:p w14:paraId="649A2EA0">
      <w:pPr>
        <w:ind w:firstLine="560"/>
        <w:rPr>
          <w:szCs w:val="44"/>
        </w:rPr>
      </w:pPr>
    </w:p>
    <w:p w14:paraId="7241C130">
      <w:pPr>
        <w:ind w:firstLine="560"/>
        <w:rPr>
          <w:szCs w:val="44"/>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4F7B1A17">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14:paraId="1D3F1503">
      <w:pPr>
        <w:pStyle w:val="46"/>
        <w:ind w:left="560"/>
        <w:rPr>
          <w:lang w:eastAsia="zh-CN"/>
        </w:rPr>
      </w:pPr>
      <w:bookmarkStart w:id="1" w:name="_Toc61505637"/>
      <w:r>
        <w:rPr>
          <w:rFonts w:hint="eastAsia"/>
        </w:rPr>
        <w:t>（一）项目概况</w:t>
      </w:r>
      <w:bookmarkEnd w:id="1"/>
    </w:p>
    <w:p w14:paraId="17909A56">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保障纪委监委办案费用，近年来，由于监察体制改革，检察机关部分职能以及人员转隶于监委，纪委监委办案力度进一步加大，案件数量年年增长。</w:t>
      </w:r>
    </w:p>
    <w:p w14:paraId="2F5B5E59">
      <w:pPr>
        <w:pStyle w:val="44"/>
        <w:ind w:left="280" w:firstLine="562"/>
        <w:rPr>
          <w:lang w:eastAsia="zh-CN"/>
        </w:rPr>
      </w:pPr>
      <w:r>
        <w:rPr>
          <w:rFonts w:hint="eastAsia"/>
          <w:b/>
          <w:bCs/>
          <w:lang w:val="en-US" w:eastAsia="zh-CN"/>
        </w:rPr>
        <w:t>立项依据：</w:t>
      </w:r>
      <w:r>
        <w:rPr>
          <w:rFonts w:hint="eastAsia"/>
          <w:lang w:eastAsia="zh-CN"/>
        </w:rPr>
        <w:t>依据近三年来办案所需费用金额以及县委</w:t>
      </w:r>
      <w:r>
        <w:rPr>
          <w:rFonts w:hint="eastAsia"/>
          <w:lang w:val="en-US" w:eastAsia="zh-CN"/>
        </w:rPr>
        <w:t>县</w:t>
      </w:r>
      <w:bookmarkStart w:id="17" w:name="_GoBack"/>
      <w:bookmarkEnd w:id="17"/>
      <w:r>
        <w:rPr>
          <w:rFonts w:hint="eastAsia"/>
          <w:lang w:eastAsia="zh-CN"/>
        </w:rPr>
        <w:t>政府批示</w:t>
      </w:r>
    </w:p>
    <w:p w14:paraId="6DB03DFD">
      <w:pPr>
        <w:pStyle w:val="44"/>
        <w:ind w:left="280" w:firstLine="562"/>
        <w:rPr>
          <w:lang w:eastAsia="zh-CN"/>
        </w:rPr>
      </w:pPr>
      <w:r>
        <w:rPr>
          <w:rFonts w:hint="eastAsia"/>
          <w:b/>
          <w:bCs/>
          <w:lang w:val="en-US" w:eastAsia="zh-CN"/>
        </w:rPr>
        <w:t>设立的必要性：</w:t>
      </w:r>
      <w:r>
        <w:rPr>
          <w:rFonts w:hint="eastAsia"/>
          <w:lang w:eastAsia="zh-CN"/>
        </w:rPr>
        <w:t>保障纪委监委办案费用，确保营造风清气正的政治环境。</w:t>
      </w:r>
    </w:p>
    <w:p w14:paraId="7ED69A95">
      <w:pPr>
        <w:pStyle w:val="44"/>
        <w:ind w:left="280" w:firstLine="562"/>
        <w:rPr>
          <w:lang w:eastAsia="zh-CN"/>
        </w:rPr>
      </w:pPr>
      <w:r>
        <w:rPr>
          <w:rFonts w:hint="eastAsia"/>
          <w:b/>
          <w:bCs/>
          <w:lang w:val="en-US" w:eastAsia="zh-CN"/>
        </w:rPr>
        <w:t>保证项目实施的措施与制度：</w:t>
      </w:r>
      <w:r>
        <w:rPr>
          <w:rFonts w:hint="eastAsia"/>
          <w:lang w:eastAsia="zh-CN"/>
        </w:rPr>
        <w:t>忻州市纪委办公厅关于印发《忻州市纪委监委纪律审查专项经费管理办法》的通知，忻纪办发【2018】12号； 中共山西省纪委办公厅关于规范纪委监委机关应急值班和办案等各项补助标准的通知 ，晋纪办发【2017】27号。</w:t>
      </w:r>
    </w:p>
    <w:p w14:paraId="08394D99">
      <w:pPr>
        <w:pStyle w:val="44"/>
        <w:ind w:left="280" w:firstLine="562"/>
        <w:rPr>
          <w:lang w:eastAsia="zh-CN"/>
        </w:rPr>
      </w:pPr>
      <w:r>
        <w:rPr>
          <w:rFonts w:hint="eastAsia"/>
          <w:b/>
          <w:bCs/>
          <w:lang w:val="en-US" w:eastAsia="zh-CN"/>
        </w:rPr>
        <w:t>项目实施计划：</w:t>
      </w:r>
      <w:r>
        <w:rPr>
          <w:rFonts w:hint="eastAsia"/>
          <w:lang w:eastAsia="zh-CN"/>
        </w:rPr>
        <w:t>2021年案件数量以及质量在2020年的基础上增长20%。</w:t>
      </w:r>
    </w:p>
    <w:p w14:paraId="3A0B232C">
      <w:pPr>
        <w:widowControl/>
        <w:ind w:firstLine="0" w:firstLineChars="0"/>
        <w:jc w:val="left"/>
        <w:rPr>
          <w:rFonts w:ascii="Times New Roman" w:hAnsi="Times New Roman" w:cs="Times New Roman"/>
          <w:kern w:val="0"/>
          <w:szCs w:val="28"/>
          <w:lang w:val="zh-CN"/>
        </w:rPr>
      </w:pPr>
      <w:r>
        <w:br w:type="page"/>
      </w:r>
    </w:p>
    <w:p w14:paraId="23457751">
      <w:pPr>
        <w:pStyle w:val="46"/>
        <w:ind w:left="560"/>
      </w:pPr>
      <w:bookmarkStart w:id="2" w:name="_Toc61505638"/>
      <w:r>
        <w:rPr>
          <w:rFonts w:hint="eastAsia"/>
        </w:rPr>
        <w:t>（二）预算执行情况</w:t>
      </w:r>
      <w:bookmarkEnd w:id="2"/>
    </w:p>
    <w:p w14:paraId="493048EE">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14:paraId="0DBEB333">
        <w:tblPrEx>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14:paraId="11002773">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14:paraId="46AA9022">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14:paraId="2FF71089">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14:paraId="310F011D">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14:paraId="0ECBF75E">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14:paraId="794139B2">
            <w:pPr>
              <w:ind w:firstLine="0" w:firstLineChars="0"/>
              <w:jc w:val="center"/>
              <w:rPr>
                <w:rFonts w:ascii="仿宋_GB2312"/>
                <w:b/>
                <w:bCs/>
                <w:kern w:val="0"/>
                <w:sz w:val="24"/>
                <w:szCs w:val="24"/>
              </w:rPr>
            </w:pPr>
            <w:r>
              <w:rPr>
                <w:rFonts w:hint="eastAsia"/>
                <w:b/>
                <w:bCs/>
                <w:kern w:val="0"/>
                <w:sz w:val="21"/>
                <w:szCs w:val="21"/>
              </w:rPr>
              <w:t>其他资金(万元)</w:t>
            </w:r>
          </w:p>
        </w:tc>
      </w:tr>
      <w:tr w14:paraId="476867CB">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14:paraId="090D0D1E">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14:paraId="1457CE5C">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14:paraId="405E4DB7">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14:paraId="22C41D4E">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14:paraId="0D8A1820">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14:paraId="113B26CA">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14:paraId="3569ACD5">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14:paraId="1C4F1163">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14:paraId="444F4FE3">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14:paraId="7A23A334">
            <w:pPr>
              <w:widowControl/>
              <w:ind w:firstLine="0" w:firstLineChars="0"/>
              <w:jc w:val="right"/>
              <w:rPr>
                <w:rFonts w:ascii="仿宋_GB2312"/>
                <w:b/>
                <w:bCs/>
                <w:kern w:val="0"/>
                <w:sz w:val="24"/>
                <w:szCs w:val="24"/>
              </w:rPr>
            </w:pPr>
          </w:p>
        </w:tc>
      </w:tr>
      <w:tr w14:paraId="2764A027">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0AB30819">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13EE9978">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2D8765B4">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090C1D60">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0624BC02">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14:paraId="439F980B">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042F0901">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14:paraId="204A263A">
            <w:pPr>
              <w:ind w:firstLine="0" w:firstLineChars="0"/>
              <w:jc w:val="center"/>
              <w:rPr>
                <w:sz w:val="21"/>
              </w:rPr>
            </w:pPr>
            <w:r>
              <w:rPr>
                <w:rFonts w:hint="eastAsia"/>
                <w:sz w:val="21"/>
              </w:rPr>
              <w:t>160</w:t>
            </w:r>
          </w:p>
        </w:tc>
        <w:tc>
          <w:tcPr>
            <w:tcW w:w="2410" w:type="dxa"/>
            <w:tcBorders>
              <w:top w:val="single" w:color="000000" w:sz="6" w:space="0"/>
              <w:left w:val="single" w:color="000000" w:sz="6" w:space="0"/>
              <w:bottom w:val="single" w:color="000000" w:sz="6" w:space="0"/>
              <w:right w:val="single" w:color="000000" w:sz="6" w:space="0"/>
            </w:tcBorders>
          </w:tcPr>
          <w:p w14:paraId="50107926">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2D72E7CD">
            <w:pPr>
              <w:ind w:firstLine="0" w:firstLineChars="0"/>
              <w:jc w:val="center"/>
              <w:rPr>
                <w:sz w:val="21"/>
              </w:rPr>
            </w:pPr>
          </w:p>
        </w:tc>
      </w:tr>
      <w:tr w14:paraId="6DE34EEE">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3212A4CA">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0D1097B9">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3A70A6A8">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6A58E381">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26483272">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14:paraId="0571564E">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22E8B072">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14:paraId="66161B8D">
            <w:pPr>
              <w:ind w:firstLine="0" w:firstLineChars="0"/>
              <w:jc w:val="center"/>
              <w:rPr>
                <w:sz w:val="21"/>
              </w:rPr>
            </w:pPr>
            <w:r>
              <w:rPr>
                <w:rFonts w:hint="eastAsia"/>
                <w:sz w:val="21"/>
              </w:rPr>
              <w:t>160</w:t>
            </w:r>
          </w:p>
        </w:tc>
        <w:tc>
          <w:tcPr>
            <w:tcW w:w="2410" w:type="dxa"/>
            <w:tcBorders>
              <w:top w:val="single" w:color="000000" w:sz="6" w:space="0"/>
              <w:left w:val="single" w:color="000000" w:sz="6" w:space="0"/>
              <w:bottom w:val="single" w:color="000000" w:sz="6" w:space="0"/>
              <w:right w:val="single" w:color="000000" w:sz="6" w:space="0"/>
            </w:tcBorders>
          </w:tcPr>
          <w:p w14:paraId="60402170">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5BA6EF48">
            <w:pPr>
              <w:ind w:firstLine="0" w:firstLineChars="0"/>
              <w:jc w:val="center"/>
              <w:rPr>
                <w:sz w:val="21"/>
              </w:rPr>
            </w:pPr>
          </w:p>
        </w:tc>
      </w:tr>
      <w:tr w14:paraId="2502D0F8">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1587BF6A">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392B0563">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189D0787">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43410C1C">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230E1D12">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14:paraId="32FBCE41">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3C635F00">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14:paraId="50A9790D">
            <w:pPr>
              <w:ind w:firstLine="0" w:firstLineChars="0"/>
              <w:jc w:val="center"/>
              <w:rPr>
                <w:sz w:val="21"/>
              </w:rPr>
            </w:pPr>
            <w:r>
              <w:rPr>
                <w:rFonts w:hint="eastAsia"/>
                <w:sz w:val="21"/>
              </w:rPr>
              <w:t>9.38</w:t>
            </w:r>
          </w:p>
        </w:tc>
        <w:tc>
          <w:tcPr>
            <w:tcW w:w="2410" w:type="dxa"/>
            <w:tcBorders>
              <w:top w:val="single" w:color="000000" w:sz="6" w:space="0"/>
              <w:left w:val="single" w:color="000000" w:sz="6" w:space="0"/>
              <w:bottom w:val="single" w:color="000000" w:sz="6" w:space="0"/>
              <w:right w:val="single" w:color="000000" w:sz="6" w:space="0"/>
            </w:tcBorders>
          </w:tcPr>
          <w:p w14:paraId="7245F72D">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33BF9FD7">
            <w:pPr>
              <w:ind w:firstLine="0" w:firstLineChars="0"/>
              <w:jc w:val="center"/>
              <w:rPr>
                <w:sz w:val="21"/>
              </w:rPr>
            </w:pPr>
          </w:p>
        </w:tc>
      </w:tr>
      <w:tr w14:paraId="768A118F">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25EA5AFC">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5EFD55EF">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0154ECB1">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64A96BA4">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1A3E76DC">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14:paraId="317FE7AD">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563A4169">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14:paraId="3B071314">
            <w:pPr>
              <w:ind w:firstLine="0" w:firstLineChars="0"/>
              <w:jc w:val="center"/>
              <w:rPr>
                <w:sz w:val="21"/>
              </w:rPr>
            </w:pPr>
            <w:r>
              <w:rPr>
                <w:rFonts w:hint="eastAsia"/>
                <w:sz w:val="21"/>
              </w:rPr>
              <w:t>150.62</w:t>
            </w:r>
          </w:p>
        </w:tc>
        <w:tc>
          <w:tcPr>
            <w:tcW w:w="2410" w:type="dxa"/>
            <w:tcBorders>
              <w:top w:val="single" w:color="000000" w:sz="6" w:space="0"/>
              <w:left w:val="single" w:color="000000" w:sz="6" w:space="0"/>
              <w:bottom w:val="single" w:color="000000" w:sz="6" w:space="0"/>
              <w:right w:val="single" w:color="000000" w:sz="6" w:space="0"/>
            </w:tcBorders>
          </w:tcPr>
          <w:p w14:paraId="04D0592A">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667ADBC0">
            <w:pPr>
              <w:ind w:firstLine="0" w:firstLineChars="0"/>
              <w:jc w:val="center"/>
              <w:rPr>
                <w:sz w:val="21"/>
              </w:rPr>
            </w:pPr>
          </w:p>
        </w:tc>
      </w:tr>
      <w:tr w14:paraId="52325680">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072A7A3D">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48F5ED80">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1246A1CA">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0E089C7C">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14:paraId="6C8BBFC0">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14:paraId="111662CC">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14:paraId="6E5C2EF8">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14:paraId="3221D61B">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14:paraId="5BC37A19">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390F4284">
            <w:pPr>
              <w:ind w:firstLine="0" w:firstLineChars="0"/>
              <w:jc w:val="center"/>
              <w:rPr>
                <w:sz w:val="21"/>
              </w:rPr>
            </w:pPr>
            <w:r>
              <w:rPr>
                <w:rFonts w:hint="eastAsia"/>
                <w:sz w:val="21"/>
              </w:rPr>
              <w:t>0</w:t>
            </w:r>
          </w:p>
        </w:tc>
      </w:tr>
      <w:tr w14:paraId="65831486">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54A60740">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04D4F25C">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44785317">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2A64135B">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14:paraId="517FBBD0">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14:paraId="7D4B84E6">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14:paraId="12536693">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14:paraId="29E4C044">
            <w:pPr>
              <w:ind w:firstLine="0" w:firstLineChars="0"/>
              <w:jc w:val="center"/>
              <w:rPr>
                <w:sz w:val="21"/>
              </w:rPr>
            </w:pPr>
            <w:r>
              <w:rPr>
                <w:rFonts w:hint="eastAsia"/>
                <w:sz w:val="21"/>
              </w:rPr>
              <w:t>5.87</w:t>
            </w:r>
          </w:p>
        </w:tc>
        <w:tc>
          <w:tcPr>
            <w:tcW w:w="2410" w:type="dxa"/>
            <w:tcBorders>
              <w:top w:val="single" w:color="000000" w:sz="6" w:space="0"/>
              <w:left w:val="single" w:color="000000" w:sz="6" w:space="0"/>
              <w:bottom w:val="single" w:color="000000" w:sz="6" w:space="0"/>
              <w:right w:val="single" w:color="000000" w:sz="6" w:space="0"/>
            </w:tcBorders>
          </w:tcPr>
          <w:p w14:paraId="10F0C572">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1DF19913">
            <w:pPr>
              <w:ind w:firstLine="0" w:firstLineChars="0"/>
              <w:jc w:val="center"/>
              <w:rPr>
                <w:sz w:val="21"/>
              </w:rPr>
            </w:pPr>
            <w:r>
              <w:rPr>
                <w:rFonts w:hint="eastAsia"/>
                <w:sz w:val="21"/>
              </w:rPr>
              <w:t>0</w:t>
            </w:r>
          </w:p>
        </w:tc>
      </w:tr>
      <w:tr w14:paraId="453966AF">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728F8464">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4067C027">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7824B85F">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3452F689">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1E3590A9">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14:paraId="1015ADBF">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330D00A5">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14:paraId="6FB14E9E">
            <w:pPr>
              <w:ind w:firstLine="0" w:firstLineChars="0"/>
              <w:jc w:val="center"/>
              <w:rPr>
                <w:sz w:val="21"/>
              </w:rPr>
            </w:pPr>
            <w:r>
              <w:rPr>
                <w:rFonts w:hint="eastAsia"/>
                <w:sz w:val="21"/>
              </w:rPr>
              <w:t>160</w:t>
            </w:r>
          </w:p>
        </w:tc>
        <w:tc>
          <w:tcPr>
            <w:tcW w:w="2410" w:type="dxa"/>
            <w:tcBorders>
              <w:top w:val="single" w:color="000000" w:sz="6" w:space="0"/>
              <w:left w:val="single" w:color="000000" w:sz="6" w:space="0"/>
              <w:bottom w:val="single" w:color="000000" w:sz="6" w:space="0"/>
              <w:right w:val="single" w:color="000000" w:sz="6" w:space="0"/>
            </w:tcBorders>
          </w:tcPr>
          <w:p w14:paraId="4D1FECAF">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17D29BA0">
            <w:pPr>
              <w:ind w:firstLine="0" w:firstLineChars="0"/>
              <w:jc w:val="center"/>
              <w:rPr>
                <w:sz w:val="21"/>
              </w:rPr>
            </w:pPr>
          </w:p>
        </w:tc>
      </w:tr>
    </w:tbl>
    <w:p w14:paraId="696B5E0E">
      <w:pPr>
        <w:pStyle w:val="46"/>
        <w:ind w:left="560"/>
      </w:pPr>
      <w:bookmarkStart w:id="3" w:name="_Toc61505639"/>
      <w:r>
        <w:rPr>
          <w:rFonts w:hint="eastAsia"/>
        </w:rPr>
        <w:t>（三）项目绩效目标</w:t>
      </w:r>
      <w:bookmarkEnd w:id="3"/>
    </w:p>
    <w:p w14:paraId="4953C39B">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14:paraId="5E65C745">
      <w:pPr>
        <w:pStyle w:val="44"/>
        <w:ind w:left="280" w:firstLine="560"/>
        <w:rPr>
          <w:lang w:eastAsia="zh-CN"/>
        </w:rPr>
      </w:pPr>
      <w:r>
        <w:rPr>
          <w:lang w:eastAsia="zh-CN"/>
        </w:rPr>
        <w:t>2020年完成谈话函询680件，初步核实467件，处分270人，处分科级干部29人，留置2人，移送司法3 人，重处分54人。全年案件完结率较2019年有大幅度增长，进一步保障了人民群众的利益，进化了政治生态环境。2021年在2020年的基础上各类案件数量增长10%。</w:t>
      </w:r>
    </w:p>
    <w:p w14:paraId="0CC4A1FC">
      <w:pPr>
        <w:pStyle w:val="44"/>
        <w:ind w:left="280" w:firstLine="560"/>
        <w:rPr>
          <w:lang w:eastAsia="zh-CN"/>
        </w:rPr>
      </w:pPr>
      <w:r>
        <w:rPr>
          <w:rFonts w:hint="eastAsia"/>
          <w:lang w:eastAsia="zh-CN"/>
        </w:rPr>
        <w:tab/>
      </w:r>
    </w:p>
    <w:p w14:paraId="38E8E2BA">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14:paraId="076AE254">
      <w:pPr>
        <w:pStyle w:val="44"/>
        <w:ind w:left="280" w:firstLine="560"/>
        <w:rPr>
          <w:lang w:eastAsia="zh-CN"/>
        </w:rPr>
      </w:pPr>
      <w:r>
        <w:rPr>
          <w:lang w:eastAsia="zh-CN"/>
        </w:rPr>
        <w:t>2020年完成谈话函询680件，初步核实467件，处分270人，处分科级干部29人，留置2人，移送司法3 人，重处分54人。全年案件完结率较2019年有大幅度增长，进一步保障了人民群众的利益，进化了政治生态环境。2021年在2020年的基础上各类案件数量增长10%。</w:t>
      </w:r>
    </w:p>
    <w:p w14:paraId="7EF27867">
      <w:pPr>
        <w:pStyle w:val="44"/>
        <w:ind w:firstLine="560"/>
      </w:pPr>
    </w:p>
    <w:p w14:paraId="59123FF0">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14:paraId="0F0F998F">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000000"/>
          <w:u w:val="none"/>
        </w:rPr>
        <w:t>纪委监委办案保障费</w:t>
      </w:r>
      <w:r>
        <w:rPr>
          <w:rFonts w:hint="eastAsia"/>
          <w:lang w:eastAsia="zh-CN"/>
        </w:rPr>
        <w:t>项目绩效自评价结果为:总得分</w:t>
      </w:r>
      <w:r>
        <w:rPr>
          <w:color w:val="000000"/>
          <w:u w:val="none"/>
        </w:rPr>
        <w:t>90.59</w:t>
      </w:r>
      <w:r>
        <w:rPr>
          <w:rFonts w:hint="eastAsia"/>
          <w:lang w:eastAsia="zh-CN"/>
        </w:rPr>
        <w:t>分，属于"</w:t>
      </w:r>
      <w:r>
        <w:rPr>
          <w:color w:val="000000"/>
          <w:u w:val="none"/>
        </w:rPr>
        <w:t>优秀</w:t>
      </w:r>
      <w:r>
        <w:rPr>
          <w:rFonts w:hint="eastAsia"/>
          <w:lang w:eastAsia="zh-CN"/>
        </w:rPr>
        <w:t>"。</w:t>
      </w:r>
    </w:p>
    <w:p w14:paraId="0B0E4C59">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8830" w:type="dxa"/>
        <w:jc w:val="center"/>
        <w:tblLayout w:type="fixed"/>
        <w:tblCellMar>
          <w:top w:w="0" w:type="dxa"/>
          <w:left w:w="108" w:type="dxa"/>
          <w:bottom w:w="0" w:type="dxa"/>
          <w:right w:w="108" w:type="dxa"/>
        </w:tblCellMar>
      </w:tblPr>
      <w:tblGrid>
        <w:gridCol w:w="1712"/>
        <w:gridCol w:w="1594"/>
        <w:gridCol w:w="1381"/>
        <w:gridCol w:w="1381"/>
        <w:gridCol w:w="1381"/>
        <w:gridCol w:w="1381"/>
      </w:tblGrid>
      <w:tr w14:paraId="50C31800">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14:paraId="05BB7672">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14:paraId="3D870344">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14:paraId="0AA63B5D">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1C3BE381">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6CD6DA24">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407AA5D7">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14:paraId="15196554">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14:paraId="45CC673E">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14:paraId="6384178C">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14:paraId="0CFC39EA">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14:paraId="73C222E5">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14:paraId="37AF6B0C">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5.87%</w:t>
            </w:r>
          </w:p>
        </w:tc>
        <w:tc>
          <w:tcPr>
            <w:tcW w:w="1381" w:type="dxa"/>
            <w:tcBorders>
              <w:top w:val="single" w:color="auto" w:sz="4" w:space="0"/>
              <w:left w:val="single" w:color="auto" w:sz="4" w:space="0"/>
              <w:bottom w:val="single" w:color="auto" w:sz="4" w:space="0"/>
              <w:right w:val="single" w:color="auto" w:sz="4" w:space="0"/>
            </w:tcBorders>
            <w:vAlign w:val="center"/>
          </w:tcPr>
          <w:p w14:paraId="13ECC8E6">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0.59</w:t>
            </w:r>
          </w:p>
        </w:tc>
      </w:tr>
    </w:tbl>
    <w:p w14:paraId="64305E6A">
      <w:pPr>
        <w:ind w:firstLine="0" w:firstLineChars="0"/>
        <w:rPr>
          <w:szCs w:val="44"/>
        </w:rPr>
      </w:pPr>
    </w:p>
    <w:p w14:paraId="7100BADC">
      <w:pPr>
        <w:widowControl/>
        <w:ind w:firstLine="0" w:firstLineChars="0"/>
        <w:jc w:val="left"/>
        <w:rPr>
          <w:szCs w:val="44"/>
        </w:rPr>
      </w:pPr>
      <w:r>
        <w:rPr>
          <w:szCs w:val="44"/>
        </w:rPr>
        <w:br w:type="page"/>
      </w:r>
    </w:p>
    <w:p w14:paraId="496878D8">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8522" w:type="dxa"/>
        <w:jc w:val="center"/>
        <w:tblLayout w:type="fixed"/>
        <w:tblCellMar>
          <w:top w:w="0" w:type="dxa"/>
          <w:left w:w="108" w:type="dxa"/>
          <w:bottom w:w="0" w:type="dxa"/>
          <w:right w:w="108" w:type="dxa"/>
        </w:tblCellMar>
      </w:tblPr>
      <w:tblGrid>
        <w:gridCol w:w="1404"/>
        <w:gridCol w:w="1594"/>
        <w:gridCol w:w="1381"/>
        <w:gridCol w:w="1381"/>
        <w:gridCol w:w="1381"/>
        <w:gridCol w:w="1381"/>
      </w:tblGrid>
      <w:tr w14:paraId="1B429C2E">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14:paraId="720929E6">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14:paraId="37F7B547">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14:paraId="27980D1C">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3A4DC398">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2FC30121">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00EDC7C2">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14:paraId="7829088A">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14:paraId="57C7CDA7">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14:paraId="5F887A27">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案件结案率（%）</w:t>
            </w:r>
          </w:p>
        </w:tc>
        <w:tc>
          <w:tcPr>
            <w:tcW w:w="1381" w:type="dxa"/>
            <w:tcBorders>
              <w:top w:val="single" w:color="000000" w:sz="4" w:space="0"/>
              <w:left w:val="nil"/>
              <w:bottom w:val="single" w:color="000000" w:sz="4" w:space="0"/>
              <w:right w:val="single" w:color="auto" w:sz="4" w:space="0"/>
            </w:tcBorders>
            <w:vAlign w:val="center"/>
          </w:tcPr>
          <w:p w14:paraId="123AF173">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14:paraId="58293A0F">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14:paraId="6C8004E3">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14:paraId="6C4DFFF9">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r w14:paraId="5C8B6478">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14:paraId="3A15EFDB">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14:paraId="139592BA">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立案查处案件数（件）</w:t>
            </w:r>
          </w:p>
        </w:tc>
        <w:tc>
          <w:tcPr>
            <w:tcW w:w="1381" w:type="dxa"/>
            <w:tcBorders>
              <w:top w:val="single" w:color="000000" w:sz="4" w:space="0"/>
              <w:left w:val="nil"/>
              <w:bottom w:val="single" w:color="000000" w:sz="4" w:space="0"/>
              <w:right w:val="single" w:color="auto" w:sz="4" w:space="0"/>
            </w:tcBorders>
            <w:vAlign w:val="center"/>
          </w:tcPr>
          <w:p w14:paraId="0573D45F">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14:paraId="15B9D540">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514</w:t>
            </w:r>
          </w:p>
        </w:tc>
        <w:tc>
          <w:tcPr>
            <w:tcW w:w="1381" w:type="dxa"/>
            <w:tcBorders>
              <w:top w:val="single" w:color="auto" w:sz="4" w:space="0"/>
              <w:left w:val="single" w:color="auto" w:sz="4" w:space="0"/>
              <w:bottom w:val="single" w:color="auto" w:sz="4" w:space="0"/>
              <w:right w:val="single" w:color="auto" w:sz="4" w:space="0"/>
            </w:tcBorders>
            <w:vAlign w:val="center"/>
          </w:tcPr>
          <w:p w14:paraId="31750CFA">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520件</w:t>
            </w:r>
          </w:p>
        </w:tc>
        <w:tc>
          <w:tcPr>
            <w:tcW w:w="1381" w:type="dxa"/>
            <w:tcBorders>
              <w:top w:val="single" w:color="auto" w:sz="4" w:space="0"/>
              <w:left w:val="single" w:color="auto" w:sz="4" w:space="0"/>
              <w:bottom w:val="single" w:color="auto" w:sz="4" w:space="0"/>
              <w:right w:val="single" w:color="auto" w:sz="4" w:space="0"/>
            </w:tcBorders>
            <w:vAlign w:val="center"/>
          </w:tcPr>
          <w:p w14:paraId="6A1B6FDF">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r w14:paraId="3BF7595A">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14:paraId="207F57A2">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14:paraId="1AC6B0DC">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有效投诉案件受理率</w:t>
            </w:r>
          </w:p>
        </w:tc>
        <w:tc>
          <w:tcPr>
            <w:tcW w:w="1381" w:type="dxa"/>
            <w:tcBorders>
              <w:top w:val="single" w:color="000000" w:sz="4" w:space="0"/>
              <w:left w:val="nil"/>
              <w:bottom w:val="single" w:color="000000" w:sz="4" w:space="0"/>
              <w:right w:val="single" w:color="auto" w:sz="4" w:space="0"/>
            </w:tcBorders>
            <w:vAlign w:val="center"/>
          </w:tcPr>
          <w:p w14:paraId="56A5F5F2">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14:paraId="4C1274D4">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14:paraId="6A767B50">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14:paraId="22132D57">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14:paraId="2015AA02">
      <w:pPr>
        <w:ind w:firstLine="0" w:firstLineChars="0"/>
        <w:rPr>
          <w:szCs w:val="44"/>
        </w:rPr>
      </w:pPr>
    </w:p>
    <w:p w14:paraId="302766CB">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8522" w:type="dxa"/>
        <w:jc w:val="center"/>
        <w:tblLayout w:type="fixed"/>
        <w:tblCellMar>
          <w:top w:w="0" w:type="dxa"/>
          <w:left w:w="108" w:type="dxa"/>
          <w:bottom w:w="0" w:type="dxa"/>
          <w:right w:w="108" w:type="dxa"/>
        </w:tblCellMar>
      </w:tblPr>
      <w:tblGrid>
        <w:gridCol w:w="1404"/>
        <w:gridCol w:w="1594"/>
        <w:gridCol w:w="1381"/>
        <w:gridCol w:w="1381"/>
        <w:gridCol w:w="1381"/>
        <w:gridCol w:w="1381"/>
      </w:tblGrid>
      <w:tr w14:paraId="2F9053A9">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14:paraId="60CF4F09">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14:paraId="6D58ADFC">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14:paraId="2CD0D0C6">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57D223A4">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071C1613">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4E19980C">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14:paraId="090DF12B">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14:paraId="6EA2CD7D">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14:paraId="3659EE84">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反腐倡廉政策知晓率（%）</w:t>
            </w:r>
          </w:p>
        </w:tc>
        <w:tc>
          <w:tcPr>
            <w:tcW w:w="1381" w:type="dxa"/>
            <w:tcBorders>
              <w:top w:val="single" w:color="000000" w:sz="4" w:space="0"/>
              <w:left w:val="nil"/>
              <w:bottom w:val="single" w:color="000000" w:sz="4" w:space="0"/>
              <w:right w:val="single" w:color="auto" w:sz="4" w:space="0"/>
            </w:tcBorders>
            <w:vAlign w:val="center"/>
          </w:tcPr>
          <w:p w14:paraId="228A5D81">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14:paraId="1AB5359D">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14:paraId="2ED2AE76">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14:paraId="5FA8CF38">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14:paraId="1DAF816D">
      <w:pPr>
        <w:ind w:firstLine="0" w:firstLineChars="0"/>
        <w:rPr>
          <w:szCs w:val="44"/>
        </w:rPr>
      </w:pPr>
    </w:p>
    <w:p w14:paraId="275CB292">
      <w:pPr>
        <w:widowControl/>
        <w:ind w:firstLine="0" w:firstLineChars="0"/>
        <w:jc w:val="left"/>
        <w:rPr>
          <w:szCs w:val="44"/>
        </w:rPr>
      </w:pPr>
      <w:r>
        <w:rPr>
          <w:szCs w:val="44"/>
        </w:rPr>
        <w:br w:type="page"/>
      </w:r>
    </w:p>
    <w:p w14:paraId="461BE291">
      <w:pPr>
        <w:ind w:firstLine="0" w:firstLineChars="0"/>
        <w:rPr>
          <w:szCs w:val="44"/>
        </w:rPr>
      </w:pPr>
    </w:p>
    <w:p w14:paraId="32B730DB">
      <w:pPr>
        <w:pStyle w:val="46"/>
        <w:ind w:left="560"/>
      </w:pPr>
      <w:bookmarkStart w:id="8" w:name="_Toc61505645"/>
      <w:r>
        <w:rPr>
          <w:rFonts w:hint="eastAsia"/>
        </w:rPr>
        <w:t>（四）项目满意度情况</w:t>
      </w:r>
      <w:bookmarkEnd w:id="8"/>
    </w:p>
    <w:tbl>
      <w:tblPr>
        <w:tblStyle w:val="24"/>
        <w:tblW w:w="8522" w:type="dxa"/>
        <w:jc w:val="center"/>
        <w:tblLayout w:type="fixed"/>
        <w:tblCellMar>
          <w:top w:w="0" w:type="dxa"/>
          <w:left w:w="108" w:type="dxa"/>
          <w:bottom w:w="0" w:type="dxa"/>
          <w:right w:w="108" w:type="dxa"/>
        </w:tblCellMar>
      </w:tblPr>
      <w:tblGrid>
        <w:gridCol w:w="1404"/>
        <w:gridCol w:w="1594"/>
        <w:gridCol w:w="1381"/>
        <w:gridCol w:w="1381"/>
        <w:gridCol w:w="1381"/>
        <w:gridCol w:w="1381"/>
      </w:tblGrid>
      <w:tr w14:paraId="57FF4E84">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14:paraId="44E5C704">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14:paraId="287A6465">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14:paraId="261C829A">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1262DA53">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793D5742">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3D09243C">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14:paraId="18BA46BE">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14:paraId="3A3D31F8">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14:paraId="1E5E9F4B">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14:paraId="3897166F">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14:paraId="41A1E7BC">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14:paraId="75482086">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14:paraId="305F1BB0">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14:paraId="0D22CE17">
      <w:pPr>
        <w:ind w:firstLine="0" w:firstLineChars="0"/>
        <w:rPr>
          <w:szCs w:val="44"/>
        </w:rPr>
      </w:pPr>
    </w:p>
    <w:p w14:paraId="7930A2B2">
      <w:pPr>
        <w:widowControl/>
        <w:ind w:firstLine="0" w:firstLineChars="0"/>
        <w:jc w:val="left"/>
        <w:rPr>
          <w:szCs w:val="44"/>
        </w:rPr>
      </w:pPr>
      <w:r>
        <w:rPr>
          <w:szCs w:val="44"/>
        </w:rPr>
        <w:br w:type="page"/>
      </w:r>
    </w:p>
    <w:p w14:paraId="7AFB1626">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17451"/>
      <w:bookmarkStart w:id="11" w:name="_Toc23655"/>
      <w:r>
        <w:rPr>
          <w:rFonts w:hint="eastAsia" w:ascii="仿宋" w:hAnsi="仿宋" w:eastAsia="仿宋" w:cs="仿宋"/>
          <w:b/>
          <w:bCs w:val="0"/>
          <w:lang w:val="en-US" w:eastAsia="zh-CN"/>
        </w:rPr>
        <w:t>项目绩效分析</w:t>
      </w:r>
      <w:bookmarkEnd w:id="9"/>
      <w:bookmarkEnd w:id="10"/>
      <w:bookmarkEnd w:id="11"/>
    </w:p>
    <w:p w14:paraId="5AA54824">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14:paraId="2756C6F7">
      <w:pPr>
        <w:pStyle w:val="44"/>
        <w:ind w:left="1134" w:leftChars="405" w:firstLine="426" w:firstLineChars="0"/>
        <w:rPr>
          <w:rFonts w:ascii="仿宋_GB2312"/>
          <w:bCs/>
          <w:lang w:val="en-US"/>
        </w:rPr>
      </w:pPr>
      <w:r>
        <w:rPr>
          <w:rFonts w:hint="eastAsia"/>
          <w:lang w:eastAsia="zh-CN"/>
        </w:rPr>
        <w:t>保障纪委监委办案费用，近年来，由于监察体制改革，检察机关部分职能以及人员转隶于监委，纪委监委办案力度进一步加大，案件数量年年增长。</w:t>
      </w:r>
    </w:p>
    <w:p w14:paraId="6A46858D">
      <w:pPr>
        <w:pStyle w:val="44"/>
        <w:ind w:left="700" w:leftChars="250" w:firstLine="0" w:firstLineChars="0"/>
        <w:rPr>
          <w:rFonts w:ascii="仿宋_GB2312"/>
          <w:bCs/>
          <w:lang w:val="en-US"/>
        </w:rPr>
      </w:pPr>
    </w:p>
    <w:p w14:paraId="40EB1185">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14:paraId="1C3B80BC">
      <w:pPr>
        <w:pStyle w:val="44"/>
        <w:ind w:left="1134" w:leftChars="405" w:firstLine="426" w:firstLineChars="0"/>
        <w:rPr>
          <w:rFonts w:ascii="仿宋_GB2312"/>
          <w:bCs/>
          <w:lang w:val="en-US"/>
        </w:rPr>
      </w:pPr>
      <w:r>
        <w:rPr>
          <w:rFonts w:hint="eastAsia"/>
          <w:lang w:eastAsia="zh-CN"/>
        </w:rPr>
        <w:t>2020年完成谈话函询680件，初步核实467件，处分270人，处分科级干部29人，留置2人，移送司法3 人，重处分54人。全年案件完结率较2019年有大幅度增长，进一步保障了人民群众的利益，进化了政治生态环境。2021年在2020年的基础上各类案件数量增长10%，2021完成案件的数量及质量实际增长25%。</w:t>
      </w:r>
    </w:p>
    <w:p w14:paraId="09AAAE24">
      <w:pPr>
        <w:pStyle w:val="44"/>
        <w:ind w:left="1134" w:leftChars="405" w:firstLine="0" w:firstLineChars="0"/>
        <w:rPr>
          <w:rFonts w:ascii="仿宋_GB2312"/>
          <w:bCs/>
          <w:lang w:val="en-US"/>
        </w:rPr>
      </w:pPr>
    </w:p>
    <w:p w14:paraId="5C6E8E01">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14:paraId="28634BB3">
      <w:pPr>
        <w:pStyle w:val="44"/>
        <w:ind w:left="1134" w:leftChars="405" w:firstLine="426" w:firstLineChars="0"/>
        <w:rPr>
          <w:rFonts w:ascii="仿宋_GB2312"/>
          <w:bCs/>
          <w:lang w:val="en-US"/>
        </w:rPr>
      </w:pPr>
      <w:r>
        <w:rPr>
          <w:rFonts w:hint="eastAsia"/>
          <w:lang w:eastAsia="zh-CN"/>
        </w:rPr>
        <w:t>2021年案件办结率为100%；完成数量超过预算的20%，达到25%；全年的任务数全部完成。</w:t>
      </w:r>
    </w:p>
    <w:p w14:paraId="25D57E65">
      <w:pPr>
        <w:pStyle w:val="44"/>
        <w:ind w:left="1134" w:leftChars="405" w:firstLine="0" w:firstLineChars="0"/>
        <w:rPr>
          <w:rFonts w:ascii="仿宋_GB2312"/>
          <w:bCs/>
          <w:lang w:val="en-US"/>
        </w:rPr>
      </w:pPr>
    </w:p>
    <w:p w14:paraId="6EF4466F">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14:paraId="7D305B7B">
      <w:pPr>
        <w:pStyle w:val="44"/>
        <w:ind w:left="991" w:leftChars="354" w:firstLine="569" w:firstLineChars="0"/>
        <w:rPr>
          <w:rFonts w:ascii="仿宋_GB2312"/>
          <w:bCs/>
          <w:lang w:val="en-US"/>
        </w:rPr>
      </w:pPr>
      <w:r>
        <w:rPr>
          <w:rFonts w:hint="eastAsia"/>
          <w:lang w:eastAsia="zh-CN"/>
        </w:rPr>
        <w:t>发放调查问卷124份，满意度达到99%。</w:t>
      </w:r>
    </w:p>
    <w:p w14:paraId="597D1A95">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14:paraId="5CE2093E">
      <w:pPr>
        <w:pStyle w:val="44"/>
        <w:ind w:firstLine="840" w:firstLineChars="300"/>
        <w:rPr>
          <w:lang w:eastAsia="zh-CN"/>
        </w:rPr>
      </w:pPr>
      <w:r>
        <w:rPr>
          <w:rFonts w:hint="eastAsia"/>
          <w:lang w:eastAsia="zh-CN"/>
        </w:rPr>
        <w:t>坚决按照省、市纪委的关于办案费的使用文件要求，做到专款专用，将每一分钱都花在刀刃上。</w:t>
      </w:r>
    </w:p>
    <w:p w14:paraId="10D9D096">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14:paraId="1C56C3C9">
      <w:pPr>
        <w:pStyle w:val="44"/>
        <w:keepNext w:val="0"/>
        <w:keepLines w:val="0"/>
        <w:pageBreakBefore w:val="0"/>
        <w:widowControl w:val="0"/>
        <w:kinsoku/>
        <w:wordWrap/>
        <w:overflowPunct/>
        <w:topLinePunct w:val="0"/>
        <w:autoSpaceDE/>
        <w:autoSpaceDN/>
        <w:bidi w:val="0"/>
        <w:adjustRightInd/>
        <w:snapToGrid/>
        <w:spacing w:line="500" w:lineRule="exact"/>
        <w:ind w:left="560" w:leftChars="200" w:right="0" w:rightChars="0" w:firstLine="0" w:firstLineChars="0"/>
        <w:jc w:val="both"/>
        <w:textAlignment w:val="auto"/>
        <w:outlineLvl w:val="9"/>
        <w:rPr>
          <w:lang w:eastAsia="zh-CN"/>
        </w:rPr>
      </w:pPr>
      <w:r>
        <w:rPr>
          <w:rFonts w:hint="eastAsia"/>
          <w:lang w:eastAsia="zh-CN"/>
        </w:rPr>
        <w:t>1、办案人员的出差过程中，未按照要求使用公务卡结算差旅费。而是使用微信结算，存在一定的漏洞。</w:t>
      </w:r>
      <w:r>
        <w:rPr>
          <w:rFonts w:hint="eastAsia"/>
          <w:lang w:eastAsia="zh-CN"/>
        </w:rPr>
        <w:br w:type="textWrapping"/>
      </w:r>
      <w:r>
        <w:rPr>
          <w:rFonts w:hint="eastAsia"/>
          <w:lang w:eastAsia="zh-CN"/>
        </w:rPr>
        <w:t>2、办案人员去外地取证时，非常辛苦，而且受疫情影响，物价涨幅较大，每日补助的金额不足支付一日三餐的费用。</w:t>
      </w:r>
    </w:p>
    <w:p w14:paraId="4F0603E4">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14:paraId="713FD208">
      <w:pPr>
        <w:pStyle w:val="44"/>
        <w:ind w:firstLine="848" w:firstLineChars="303"/>
        <w:rPr>
          <w:lang w:eastAsia="zh-CN"/>
        </w:rPr>
      </w:pPr>
      <w:r>
        <w:rPr>
          <w:rFonts w:hint="eastAsia"/>
          <w:lang w:eastAsia="zh-CN"/>
        </w:rPr>
        <w:t>下一步在支付差旅时，个人必需附公务卡支付凭证，并在收到办案人员报销凭证后，以最快的时间为大家支付到位。</w:t>
      </w:r>
    </w:p>
    <w:p w14:paraId="6C54E8B3">
      <w:pPr>
        <w:pStyle w:val="44"/>
        <w:ind w:firstLine="560"/>
        <w:rPr>
          <w:lang w:eastAsia="zh-CN"/>
        </w:rPr>
        <w:sectPr>
          <w:footerReference r:id="rId11" w:type="default"/>
          <w:pgSz w:w="16838" w:h="11906" w:orient="landscape"/>
          <w:pgMar w:top="1800" w:right="1440" w:bottom="1800" w:left="1440" w:header="851" w:footer="992" w:gutter="0"/>
          <w:pgNumType w:start="1"/>
          <w:cols w:space="425" w:num="1"/>
          <w:docGrid w:type="lines" w:linePitch="381" w:charSpace="0"/>
        </w:sectPr>
      </w:pPr>
    </w:p>
    <w:p w14:paraId="73775E3E">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14:paraId="42C1DB68">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14:paraId="6F3C8707">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14:paraId="21484C0C">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14:paraId="1F649FF2">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14:paraId="78586CD3">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14:paraId="7BEDF7B1">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50FCF0FA">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39D1944F">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4C230D4B">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14:paraId="1023A0B4">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14:paraId="460266DB">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3C9F16FE">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64840CCD">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14:paraId="16F4A4B2">
        <w:tblPrEx>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14:paraId="21220620">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14:paraId="5246BB92">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1736522C">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64101EBF">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20421137">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14:paraId="141A88EF">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5.87%</w:t>
            </w:r>
          </w:p>
        </w:tc>
        <w:tc>
          <w:tcPr>
            <w:tcW w:w="1328" w:type="dxa"/>
            <w:tcBorders>
              <w:top w:val="single" w:color="auto" w:sz="4" w:space="0"/>
              <w:left w:val="single" w:color="auto" w:sz="4" w:space="0"/>
              <w:bottom w:val="single" w:color="auto" w:sz="4" w:space="0"/>
              <w:right w:val="single" w:color="auto" w:sz="4" w:space="0"/>
            </w:tcBorders>
            <w:vAlign w:val="center"/>
          </w:tcPr>
          <w:p w14:paraId="0EAE6544">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5.87%</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6C90DDC5">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0.59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2CFC97A8">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2020年结余资金较多，当年资金未支付</w:t>
            </w:r>
          </w:p>
        </w:tc>
      </w:tr>
      <w:tr w14:paraId="54A887C5">
        <w:tblPrEx>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14:paraId="0F67D737">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14:paraId="096E09F4">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3F04DFD5">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案件结案率（%）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723195A5">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701574E8">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14:paraId="1BC54B13">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14:paraId="691C2603">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35CCF587">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1D9BBA15">
            <w:pPr>
              <w:widowControl/>
              <w:spacing w:line="240" w:lineRule="atLeast"/>
              <w:ind w:firstLine="0" w:firstLineChars="0"/>
              <w:jc w:val="center"/>
              <w:rPr>
                <w:rFonts w:ascii="仿宋" w:eastAsia="仿宋" w:cs="仿宋" w:hAnsiTheme="minorHAnsi"/>
                <w:color w:val="000000"/>
                <w:kern w:val="0"/>
                <w:sz w:val="24"/>
                <w:szCs w:val="24"/>
                <w:highlight w:val="white"/>
              </w:rPr>
            </w:pPr>
          </w:p>
        </w:tc>
      </w:tr>
      <w:tr w14:paraId="07F74046">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14:paraId="04F4430B">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14:paraId="1188646A">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7952B3CC">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立案查处案件数（件）</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682C6982">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09DD2BDB">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514</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14:paraId="071A6541">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520件</w:t>
            </w:r>
          </w:p>
        </w:tc>
        <w:tc>
          <w:tcPr>
            <w:tcW w:w="1328" w:type="dxa"/>
            <w:tcBorders>
              <w:top w:val="single" w:color="auto" w:sz="4" w:space="0"/>
              <w:left w:val="single" w:color="auto" w:sz="4" w:space="0"/>
              <w:bottom w:val="single" w:color="auto" w:sz="4" w:space="0"/>
              <w:right w:val="single" w:color="auto" w:sz="4" w:space="0"/>
            </w:tcBorders>
            <w:vAlign w:val="center"/>
          </w:tcPr>
          <w:p w14:paraId="5B0F7196">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101.17%</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7B0CBAAD">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43AC55E4">
            <w:pPr>
              <w:widowControl/>
              <w:spacing w:line="240" w:lineRule="atLeast"/>
              <w:ind w:firstLine="0" w:firstLineChars="0"/>
              <w:jc w:val="center"/>
              <w:rPr>
                <w:rFonts w:ascii="仿宋" w:eastAsia="仿宋" w:cs="仿宋" w:hAnsiTheme="minorHAnsi"/>
                <w:color w:val="000000"/>
                <w:kern w:val="0"/>
                <w:sz w:val="24"/>
                <w:szCs w:val="24"/>
                <w:highlight w:val="white"/>
              </w:rPr>
            </w:pPr>
          </w:p>
        </w:tc>
      </w:tr>
      <w:tr w14:paraId="6E8E52D3">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14:paraId="74045C64">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14:paraId="5007F464">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28671F50">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有效投诉案件受理率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30A798B9">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1B75D76A">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14:paraId="24B51D67">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14:paraId="5972B0CF">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101.02%</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16AF7E68">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37A25CA7">
            <w:pPr>
              <w:widowControl/>
              <w:spacing w:line="240" w:lineRule="atLeast"/>
              <w:ind w:firstLine="0" w:firstLineChars="0"/>
              <w:jc w:val="center"/>
              <w:rPr>
                <w:rFonts w:ascii="仿宋" w:eastAsia="仿宋" w:cs="仿宋" w:hAnsiTheme="minorHAnsi"/>
                <w:color w:val="000000"/>
                <w:kern w:val="0"/>
                <w:sz w:val="24"/>
                <w:szCs w:val="24"/>
                <w:highlight w:val="white"/>
              </w:rPr>
            </w:pPr>
          </w:p>
        </w:tc>
      </w:tr>
      <w:tr w14:paraId="3D02F802">
        <w:tblPrEx>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14:paraId="7CF5530E">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14:paraId="6D9A148B">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476EFCF3">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反腐倡廉政策知晓率（%）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563291E9">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55811D42">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14:paraId="593DF6BA">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14:paraId="7D637ACA">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104.21%</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0C5A046B">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796051E4">
            <w:pPr>
              <w:widowControl/>
              <w:spacing w:line="240" w:lineRule="atLeast"/>
              <w:ind w:firstLine="0" w:firstLineChars="0"/>
              <w:jc w:val="center"/>
              <w:rPr>
                <w:rFonts w:ascii="仿宋" w:eastAsia="仿宋" w:cs="仿宋" w:hAnsiTheme="minorHAnsi"/>
                <w:color w:val="000000"/>
                <w:kern w:val="0"/>
                <w:sz w:val="24"/>
                <w:szCs w:val="24"/>
                <w:highlight w:val="white"/>
              </w:rPr>
            </w:pPr>
          </w:p>
        </w:tc>
      </w:tr>
      <w:tr w14:paraId="14A9C8C1">
        <w:tblPrEx>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14:paraId="68632717">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14:paraId="761E4F89">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315E2E1E">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5BEC521F">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61051CA5">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14:paraId="360A0674">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14:paraId="55CDC8A7">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101.02%</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00F432CA">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2F61DD33">
            <w:pPr>
              <w:widowControl/>
              <w:spacing w:line="240" w:lineRule="atLeast"/>
              <w:ind w:firstLine="0" w:firstLineChars="0"/>
              <w:jc w:val="center"/>
              <w:rPr>
                <w:rFonts w:ascii="仿宋" w:eastAsia="仿宋" w:cs="仿宋" w:hAnsiTheme="minorHAnsi"/>
                <w:color w:val="000000"/>
                <w:kern w:val="0"/>
                <w:sz w:val="24"/>
                <w:szCs w:val="24"/>
                <w:highlight w:val="white"/>
              </w:rPr>
            </w:pPr>
          </w:p>
        </w:tc>
      </w:tr>
      <w:tr w14:paraId="36DE2E14">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14:paraId="53261BFD">
            <w:pPr>
              <w:ind w:firstLine="440"/>
              <w:rPr>
                <w:rFonts w:ascii="仿宋_GB2312" w:hAnsi="Arial" w:cs="Arial"/>
                <w:sz w:val="22"/>
              </w:rPr>
            </w:pPr>
          </w:p>
        </w:tc>
        <w:tc>
          <w:tcPr>
            <w:tcW w:w="1843" w:type="dxa"/>
            <w:tcBorders>
              <w:top w:val="single" w:color="auto" w:sz="4" w:space="0"/>
              <w:bottom w:val="single" w:color="000000" w:sz="4" w:space="0"/>
              <w:right w:val="nil"/>
            </w:tcBorders>
          </w:tcPr>
          <w:p w14:paraId="5CD7777E">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14:paraId="685B3875">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14:paraId="1CD93A42">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14:paraId="07E65ADB">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14:paraId="5E6C3CF6">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14:paraId="67B55675">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14:paraId="2196443B">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14:paraId="2561FA7C">
            <w:pPr>
              <w:ind w:firstLine="440"/>
              <w:rPr>
                <w:rFonts w:ascii="仿宋_GB2312" w:hAnsi="Arial" w:cs="Arial"/>
                <w:sz w:val="22"/>
              </w:rPr>
            </w:pPr>
          </w:p>
        </w:tc>
      </w:tr>
      <w:tr w14:paraId="6DF78B88">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tcMar>
              <w:top w:w="15" w:type="dxa"/>
              <w:left w:w="15" w:type="dxa"/>
              <w:bottom w:w="0" w:type="dxa"/>
              <w:right w:w="15" w:type="dxa"/>
            </w:tcMar>
            <w:vAlign w:val="bottom"/>
          </w:tcPr>
          <w:p w14:paraId="46BD2445">
            <w:pPr>
              <w:ind w:firstLine="400"/>
              <w:rPr>
                <w:rFonts w:ascii="Arial" w:hAnsi="Arial" w:cs="Arial"/>
                <w:vanish/>
                <w:sz w:val="20"/>
                <w:szCs w:val="20"/>
              </w:rPr>
            </w:pPr>
          </w:p>
        </w:tc>
        <w:tc>
          <w:tcPr>
            <w:tcW w:w="1843" w:type="dxa"/>
            <w:tcBorders>
              <w:top w:val="nil"/>
              <w:left w:val="nil"/>
              <w:bottom w:val="nil"/>
              <w:right w:val="nil"/>
            </w:tcBorders>
          </w:tcPr>
          <w:p w14:paraId="1873FA95">
            <w:pPr>
              <w:ind w:firstLine="400"/>
              <w:rPr>
                <w:rFonts w:ascii="Arial" w:hAnsi="Arial" w:cs="Arial"/>
                <w:vanish/>
                <w:sz w:val="20"/>
                <w:szCs w:val="20"/>
              </w:rPr>
            </w:pPr>
          </w:p>
        </w:tc>
        <w:tc>
          <w:tcPr>
            <w:tcW w:w="1819" w:type="dxa"/>
            <w:tcBorders>
              <w:top w:val="nil"/>
              <w:left w:val="nil"/>
              <w:bottom w:val="nil"/>
              <w:right w:val="nil"/>
            </w:tcBorders>
            <w:shd w:val="clear" w:color="auto" w:fill="auto"/>
            <w:tcMar>
              <w:top w:w="15" w:type="dxa"/>
              <w:left w:w="15" w:type="dxa"/>
              <w:bottom w:w="0" w:type="dxa"/>
              <w:right w:w="15" w:type="dxa"/>
            </w:tcMar>
            <w:vAlign w:val="bottom"/>
          </w:tcPr>
          <w:p w14:paraId="6CA18DB1">
            <w:pPr>
              <w:ind w:firstLine="400"/>
              <w:rPr>
                <w:rFonts w:ascii="Arial" w:hAnsi="Arial" w:cs="Arial"/>
                <w:vanish/>
                <w:sz w:val="20"/>
                <w:szCs w:val="20"/>
              </w:rPr>
            </w:pPr>
          </w:p>
        </w:tc>
        <w:tc>
          <w:tcPr>
            <w:tcW w:w="840" w:type="dxa"/>
            <w:tcBorders>
              <w:top w:val="nil"/>
              <w:left w:val="nil"/>
              <w:bottom w:val="nil"/>
              <w:right w:val="nil"/>
            </w:tcBorders>
            <w:shd w:val="clear" w:color="auto" w:fill="auto"/>
            <w:tcMar>
              <w:top w:w="15" w:type="dxa"/>
              <w:left w:w="15" w:type="dxa"/>
              <w:bottom w:w="0" w:type="dxa"/>
              <w:right w:w="15" w:type="dxa"/>
            </w:tcMar>
            <w:vAlign w:val="bottom"/>
          </w:tcPr>
          <w:p w14:paraId="4BD65144">
            <w:pPr>
              <w:ind w:firstLine="400"/>
              <w:rPr>
                <w:rFonts w:ascii="Arial" w:hAnsi="Arial" w:cs="Arial"/>
                <w:vanish/>
                <w:sz w:val="20"/>
                <w:szCs w:val="20"/>
              </w:rPr>
            </w:pPr>
          </w:p>
        </w:tc>
        <w:tc>
          <w:tcPr>
            <w:tcW w:w="1188" w:type="dxa"/>
            <w:tcBorders>
              <w:top w:val="nil"/>
              <w:left w:val="nil"/>
              <w:bottom w:val="nil"/>
              <w:right w:val="nil"/>
            </w:tcBorders>
            <w:shd w:val="clear" w:color="auto" w:fill="auto"/>
            <w:tcMar>
              <w:top w:w="15" w:type="dxa"/>
              <w:left w:w="15" w:type="dxa"/>
              <w:bottom w:w="0" w:type="dxa"/>
              <w:right w:w="15" w:type="dxa"/>
            </w:tcMar>
            <w:vAlign w:val="bottom"/>
          </w:tcPr>
          <w:p w14:paraId="6049BE35">
            <w:pPr>
              <w:ind w:firstLine="400"/>
              <w:rPr>
                <w:rFonts w:ascii="Arial" w:hAnsi="Arial" w:cs="Arial"/>
                <w:vanish/>
                <w:sz w:val="20"/>
                <w:szCs w:val="20"/>
              </w:rPr>
            </w:pPr>
          </w:p>
        </w:tc>
        <w:tc>
          <w:tcPr>
            <w:tcW w:w="1487" w:type="dxa"/>
            <w:tcBorders>
              <w:top w:val="nil"/>
              <w:left w:val="nil"/>
              <w:bottom w:val="nil"/>
              <w:right w:val="nil"/>
            </w:tcBorders>
            <w:shd w:val="clear" w:color="auto" w:fill="auto"/>
            <w:tcMar>
              <w:top w:w="15" w:type="dxa"/>
              <w:left w:w="15" w:type="dxa"/>
              <w:bottom w:w="0" w:type="dxa"/>
              <w:right w:w="15" w:type="dxa"/>
            </w:tcMar>
            <w:vAlign w:val="bottom"/>
          </w:tcPr>
          <w:p w14:paraId="55734E75">
            <w:pPr>
              <w:ind w:firstLine="400"/>
              <w:rPr>
                <w:rFonts w:ascii="Arial" w:hAnsi="Arial" w:cs="Arial"/>
                <w:vanish/>
                <w:sz w:val="20"/>
                <w:szCs w:val="20"/>
              </w:rPr>
            </w:pPr>
          </w:p>
        </w:tc>
        <w:tc>
          <w:tcPr>
            <w:tcW w:w="1328" w:type="dxa"/>
            <w:tcBorders>
              <w:top w:val="nil"/>
              <w:left w:val="nil"/>
              <w:bottom w:val="nil"/>
              <w:right w:val="nil"/>
            </w:tcBorders>
          </w:tcPr>
          <w:p w14:paraId="1A609C5A">
            <w:pPr>
              <w:ind w:firstLine="400"/>
              <w:rPr>
                <w:rFonts w:ascii="Arial" w:hAnsi="Arial" w:cs="Arial"/>
                <w:vanish/>
                <w:sz w:val="20"/>
                <w:szCs w:val="20"/>
              </w:rPr>
            </w:pPr>
          </w:p>
        </w:tc>
        <w:tc>
          <w:tcPr>
            <w:tcW w:w="1276" w:type="dxa"/>
            <w:tcBorders>
              <w:top w:val="nil"/>
              <w:left w:val="nil"/>
              <w:bottom w:val="nil"/>
              <w:right w:val="nil"/>
            </w:tcBorders>
            <w:shd w:val="clear" w:color="auto" w:fill="auto"/>
            <w:tcMar>
              <w:top w:w="15" w:type="dxa"/>
              <w:left w:w="15" w:type="dxa"/>
              <w:bottom w:w="0" w:type="dxa"/>
              <w:right w:w="15" w:type="dxa"/>
            </w:tcMar>
            <w:vAlign w:val="bottom"/>
          </w:tcPr>
          <w:p w14:paraId="60749B1E">
            <w:pPr>
              <w:ind w:firstLine="400"/>
              <w:rPr>
                <w:rFonts w:ascii="Arial" w:hAnsi="Arial" w:cs="Arial"/>
                <w:vanish/>
                <w:sz w:val="20"/>
                <w:szCs w:val="20"/>
              </w:rPr>
            </w:pPr>
          </w:p>
        </w:tc>
        <w:tc>
          <w:tcPr>
            <w:tcW w:w="2528" w:type="dxa"/>
            <w:tcBorders>
              <w:top w:val="nil"/>
              <w:left w:val="nil"/>
              <w:bottom w:val="nil"/>
              <w:right w:val="nil"/>
            </w:tcBorders>
            <w:shd w:val="clear" w:color="auto" w:fill="auto"/>
            <w:tcMar>
              <w:top w:w="15" w:type="dxa"/>
              <w:left w:w="15" w:type="dxa"/>
              <w:bottom w:w="0" w:type="dxa"/>
              <w:right w:w="15" w:type="dxa"/>
            </w:tcMar>
            <w:vAlign w:val="bottom"/>
          </w:tcPr>
          <w:p w14:paraId="33D0E15C">
            <w:pPr>
              <w:ind w:firstLine="400"/>
              <w:rPr>
                <w:rFonts w:ascii="Arial" w:hAnsi="Arial" w:cs="Arial"/>
                <w:vanish/>
                <w:sz w:val="20"/>
                <w:szCs w:val="20"/>
              </w:rPr>
            </w:pPr>
          </w:p>
        </w:tc>
      </w:tr>
    </w:tbl>
    <w:p w14:paraId="0EF675E8">
      <w:pPr>
        <w:pStyle w:val="44"/>
        <w:ind w:firstLine="560"/>
        <w:sectPr>
          <w:footerReference r:id="rId12" w:type="default"/>
          <w:pgSz w:w="16838" w:h="11906" w:orient="landscape"/>
          <w:pgMar w:top="1800" w:right="1440" w:bottom="1800" w:left="1440" w:header="851" w:footer="992" w:gutter="0"/>
          <w:pgNumType w:start="1"/>
          <w:cols w:space="425" w:num="1"/>
          <w:docGrid w:type="lines" w:linePitch="381" w:charSpace="0"/>
        </w:sectPr>
      </w:pPr>
    </w:p>
    <w:p w14:paraId="17950BDA">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fixed"/>
        <w:tblCellMar>
          <w:top w:w="0" w:type="dxa"/>
          <w:left w:w="0" w:type="dxa"/>
          <w:bottom w:w="0" w:type="dxa"/>
          <w:right w:w="0" w:type="dxa"/>
        </w:tblCellMar>
      </w:tblPr>
      <w:tblGrid>
        <w:gridCol w:w="12100"/>
      </w:tblGrid>
      <w:tr w14:paraId="5A66912E">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14:paraId="3A43587A">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14:paraId="05A8028E">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4DA920E6">
            <w:pPr>
              <w:ind w:firstLine="562"/>
              <w:jc w:val="center"/>
              <w:rPr>
                <w:rFonts w:ascii="仿宋" w:hAnsi="仿宋" w:eastAsia="仿宋" w:cs="仿宋"/>
                <w:b/>
                <w:bCs/>
                <w:szCs w:val="28"/>
              </w:rPr>
            </w:pPr>
          </w:p>
        </w:tc>
      </w:tr>
    </w:tbl>
    <w:p w14:paraId="223D9AC5">
      <w:pPr>
        <w:ind w:firstLine="0" w:firstLineChars="0"/>
      </w:pPr>
    </w:p>
    <w:sectPr>
      <w:headerReference r:id="rId15" w:type="first"/>
      <w:footerReference r:id="rId18" w:type="first"/>
      <w:headerReference r:id="rId13" w:type="default"/>
      <w:footerReference r:id="rId16" w:type="default"/>
      <w:headerReference r:id="rId14" w:type="even"/>
      <w:footerReference r:id="rId17" w:type="even"/>
      <w:pgSz w:w="16838" w:h="11906" w:orient="landscape"/>
      <w:pgMar w:top="1800" w:right="1440" w:bottom="1800" w:left="144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C7BED">
    <w:pPr>
      <w:pStyle w:val="16"/>
      <w:ind w:firstLine="360"/>
      <w:jc w:val="center"/>
    </w:pPr>
  </w:p>
  <w:p w14:paraId="46959AA6">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B8936">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30CA7">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sdtPr>
    <w:sdtContent>
      <w:p w14:paraId="6016E892">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14:paraId="7AA21361">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2972F">
    <w:pPr>
      <w:pStyle w:val="16"/>
      <w:ind w:firstLine="360"/>
      <w:jc w:val="center"/>
    </w:pPr>
  </w:p>
  <w:p w14:paraId="7F103B4D">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89095">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909E">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ECA7C">
    <w:pPr>
      <w:pStyle w:val="1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D76C7">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4FD56">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4AC3C">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86861">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5FE66">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52D63">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zZWIzMjQ4MThkMmM2ZjQ4NzVjYTEwOTY4NmU1ODkifQ=="/>
  </w:docVars>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52A74DC0"/>
    <w:rsid w:val="63564CF2"/>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unhideWhenUsed/>
    <w:uiPriority w:val="1"/>
  </w:style>
  <w:style w:type="table" w:default="1" w:styleId="24">
    <w:name w:val="Normal Table"/>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unhideWhenUsed/>
    <w:uiPriority w:val="99"/>
    <w:pPr>
      <w:spacing w:after="120"/>
      <w:ind w:left="420" w:leftChars="200"/>
    </w:pPr>
    <w:rPr>
      <w:rFonts w:cs="Times New Roman"/>
      <w:kern w:val="0"/>
      <w:szCs w:val="20"/>
      <w:lang w:val="zh-CN" w:eastAsia="zh-CN"/>
    </w:rPr>
  </w:style>
  <w:style w:type="paragraph" w:customStyle="1"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unhideWhenUsed/>
    <w:uiPriority w:val="99"/>
    <w:rPr>
      <w:rFonts w:ascii="宋体" w:eastAsia="宋体" w:cs="Times New Roman"/>
      <w:kern w:val="0"/>
      <w:sz w:val="18"/>
      <w:szCs w:val="18"/>
      <w:lang w:val="zh-CN" w:eastAsia="zh-CN"/>
    </w:rPr>
  </w:style>
  <w:style w:type="paragraph" w:styleId="11">
    <w:name w:val="annotation text"/>
    <w:basedOn w:val="1"/>
    <w:link w:val="40"/>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customStyle="1"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qFormat/>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qFormat/>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qFormat/>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1971</Words>
  <Characters>2268</Characters>
  <Lines>21</Lines>
  <Paragraphs>5</Paragraphs>
  <TotalTime>0</TotalTime>
  <ScaleCrop>false</ScaleCrop>
  <LinksUpToDate>false</LinksUpToDate>
  <CharactersWithSpaces>2298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刘想风</cp:lastModifiedBy>
  <dcterms:modified xsi:type="dcterms:W3CDTF">2024-10-09T08:40:20Z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E7139A7C46F94CF89ACBC2E38F1B44D0_12</vt:lpwstr>
  </property>
</Properties>
</file>