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762" w:firstLineChars="400"/>
        <w:jc w:val="center"/>
        <w:rPr>
          <w:rFonts w:hint="eastAsia" w:ascii="华文中宋" w:hAnsi="华文中宋" w:eastAsia="华文中宋"/>
          <w:color w:val="auto"/>
          <w:sz w:val="44"/>
          <w:szCs w:val="44"/>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rPr>
        <w:t>静乐县能源局</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rPr>
          <w:rFonts w:hint="eastAsia"/>
          <w:lang w:val="en-US" w:eastAsia="zh-CN"/>
        </w:rPr>
        <w:t>2</w:t>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11</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11</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spacing w:line="640" w:lineRule="exact"/>
        <w:ind w:firstLine="602" w:firstLineChars="200"/>
        <w:rPr>
          <w:rFonts w:hint="eastAsia" w:ascii="仿宋" w:hAnsi="仿宋" w:eastAsia="仿宋" w:cs="仿宋"/>
          <w:sz w:val="30"/>
          <w:szCs w:val="30"/>
        </w:rPr>
      </w:pPr>
      <w:bookmarkStart w:id="7" w:name="_Toc12749"/>
      <w:r>
        <w:rPr>
          <w:rFonts w:hint="eastAsia" w:ascii="仿宋" w:hAnsi="仿宋" w:eastAsia="仿宋" w:cs="仿宋"/>
          <w:b/>
          <w:bCs/>
          <w:color w:val="000000"/>
          <w:sz w:val="30"/>
          <w:szCs w:val="30"/>
        </w:rPr>
        <w:t>单位主要职责</w:t>
      </w:r>
      <w:r>
        <w:rPr>
          <w:rFonts w:hint="eastAsia" w:ascii="仿宋" w:hAnsi="仿宋" w:eastAsia="仿宋" w:cs="仿宋"/>
          <w:color w:val="000000"/>
          <w:sz w:val="30"/>
          <w:szCs w:val="30"/>
        </w:rPr>
        <w:t>：</w:t>
      </w:r>
      <w:r>
        <w:rPr>
          <w:rFonts w:hint="eastAsia" w:ascii="仿宋" w:hAnsi="仿宋" w:eastAsia="仿宋" w:cs="仿宋"/>
          <w:sz w:val="30"/>
          <w:szCs w:val="30"/>
        </w:rPr>
        <w:t>贯彻落实党中央、省委、市委、县委关于能源管理的方针政策和决策部署，在履行职责过程中坚持和加强党对能源管理的集中统一领导。主要职责是：贯彻落实国家、省、市有关能源工作的法律、法规和政策，研究拟订全县能源发展战略、政策和发展规划，起草有关能源规范性文件，推进能源体制改革；负责全县能源行业管理；组织实施全县煤炭、电力、石油、天然气、新能源和可再生能源等能源以及炼油等产业的相关标准；县能源局从煤炭行业管理上承担相关安全监管职责，在项目核准、初步设计、竣工验收、产能调控等方面落实安全监管责任；按照规定权限，负责初审、核准、审核能源固定资产投资项目，并负责组织项目竣工验收；负责能源预测预警，监测全县能源发展状况，发布能源信息，参与能源运行调节和应急保障。承办县委、县人民政府交办的其他任务。</w:t>
      </w:r>
    </w:p>
    <w:p>
      <w:pPr>
        <w:widowControl/>
        <w:spacing w:before="0" w:beforeLines="0" w:beforeAutospacing="0" w:after="0" w:afterLines="0" w:afterAutospacing="0"/>
        <w:ind w:firstLine="643" w:firstLineChars="200"/>
        <w:jc w:val="left"/>
        <w:rPr>
          <w:rFonts w:hint="eastAsia" w:ascii="仿宋" w:hAnsi="仿宋" w:eastAsia="仿宋" w:cs="仿宋"/>
          <w:color w:val="000000"/>
          <w:kern w:val="0"/>
          <w:sz w:val="30"/>
          <w:szCs w:val="30"/>
          <w:lang w:val="en-US" w:eastAsia="zh-CN" w:bidi="ar-SA"/>
        </w:rPr>
      </w:pPr>
      <w:r>
        <w:rPr>
          <w:rFonts w:hint="eastAsia" w:ascii="仿宋" w:hAnsi="仿宋" w:eastAsia="仿宋" w:cs="仿宋"/>
          <w:b/>
          <w:bCs w:val="0"/>
          <w:kern w:val="2"/>
          <w:sz w:val="32"/>
          <w:szCs w:val="22"/>
          <w:lang w:val="en-US" w:eastAsia="zh-CN" w:bidi="ar-SA"/>
        </w:rPr>
        <w:t>二、机构设置情况:</w:t>
      </w:r>
      <w:r>
        <w:rPr>
          <w:rFonts w:hint="eastAsia" w:ascii="仿宋" w:hAnsi="仿宋" w:eastAsia="仿宋" w:cs="仿宋"/>
          <w:b w:val="0"/>
          <w:bCs/>
          <w:kern w:val="2"/>
          <w:sz w:val="32"/>
          <w:szCs w:val="22"/>
          <w:lang w:val="en-US" w:eastAsia="zh-CN" w:bidi="ar-SA"/>
        </w:rPr>
        <w:t xml:space="preserve"> </w:t>
      </w:r>
      <w:r>
        <w:rPr>
          <w:rFonts w:hint="eastAsia" w:ascii="仿宋" w:hAnsi="仿宋" w:eastAsia="仿宋" w:cs="仿宋"/>
          <w:color w:val="000000"/>
          <w:kern w:val="0"/>
          <w:sz w:val="30"/>
          <w:szCs w:val="30"/>
          <w:lang w:val="en-US" w:eastAsia="zh-CN" w:bidi="ar-SA"/>
        </w:rPr>
        <w:t>我局编制6人，实有6人。内设综合办公室和能源业务股。</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lang w:val="en-US" w:eastAsia="zh-CN"/>
        </w:rPr>
      </w:pPr>
      <w:bookmarkStart w:id="9" w:name="_Toc437"/>
      <w:bookmarkStart w:id="10" w:name="_Toc8717"/>
      <w:r>
        <w:rPr>
          <w:rFonts w:hint="eastAsia" w:ascii="仿宋" w:hAnsi="仿宋" w:eastAsia="仿宋" w:cs="仿宋"/>
          <w:b/>
          <w:bCs w:val="0"/>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1315.11</w:t>
      </w:r>
      <w:r>
        <w:rPr>
          <w:rFonts w:hint="eastAsia" w:ascii="仿宋_GB2312"/>
          <w:color w:val="auto"/>
          <w:szCs w:val="32"/>
        </w:rPr>
        <w:t>万元、支出总</w:t>
      </w:r>
      <w:r>
        <w:rPr>
          <w:rFonts w:hint="eastAsia" w:ascii="仿宋_GB2312"/>
          <w:color w:val="auto"/>
          <w:szCs w:val="32"/>
          <w:lang w:val="en-US" w:eastAsia="zh-CN"/>
        </w:rPr>
        <w:t>1315.11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增加435.07</w:t>
      </w:r>
      <w:r>
        <w:rPr>
          <w:rFonts w:hint="eastAsia" w:ascii="仿宋_GB2312"/>
          <w:color w:val="auto"/>
          <w:szCs w:val="32"/>
        </w:rPr>
        <w:t>万元，</w:t>
      </w:r>
      <w:r>
        <w:rPr>
          <w:rFonts w:hint="eastAsia" w:ascii="仿宋_GB2312"/>
          <w:color w:val="auto"/>
          <w:szCs w:val="32"/>
          <w:lang w:val="en-US" w:eastAsia="zh-CN"/>
        </w:rPr>
        <w:t>增长49.44</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增加435.07</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增长49.44</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项目经费增加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1" w:name="_Toc17404"/>
      <w:bookmarkStart w:id="12" w:name="_Toc16754"/>
      <w:r>
        <w:rPr>
          <w:rFonts w:hint="eastAsia" w:ascii="仿宋" w:hAnsi="仿宋" w:eastAsia="仿宋" w:cs="仿宋"/>
          <w:b/>
          <w:bCs w:val="0"/>
          <w:lang w:val="en-US" w:eastAsia="zh-CN"/>
        </w:rPr>
        <w:t>二、收入决算情况说明</w:t>
      </w:r>
      <w:bookmarkEnd w:id="11"/>
      <w:bookmarkEnd w:id="12"/>
    </w:p>
    <w:p>
      <w:pPr>
        <w:spacing w:line="580" w:lineRule="exact"/>
        <w:ind w:firstLine="640"/>
        <w:rPr>
          <w:rFonts w:hint="eastAsia" w:ascii="仿宋_GB2312"/>
          <w:szCs w:val="32"/>
        </w:rPr>
      </w:pPr>
      <w:r>
        <w:rPr>
          <w:rFonts w:hint="eastAsia" w:ascii="仿宋_GB2312"/>
          <w:szCs w:val="32"/>
        </w:rPr>
        <w:t>本年收入合计</w:t>
      </w:r>
      <w:r>
        <w:rPr>
          <w:rFonts w:hint="eastAsia" w:ascii="仿宋_GB2312"/>
          <w:szCs w:val="32"/>
          <w:lang w:val="en-US" w:eastAsia="zh-CN"/>
        </w:rPr>
        <w:t>1315.11</w:t>
      </w:r>
      <w:r>
        <w:rPr>
          <w:rFonts w:hint="eastAsia" w:ascii="仿宋_GB2312"/>
          <w:szCs w:val="32"/>
        </w:rPr>
        <w:t>万元，其中：财政拨款收入</w:t>
      </w:r>
      <w:r>
        <w:rPr>
          <w:rFonts w:hint="eastAsia" w:ascii="仿宋_GB2312"/>
          <w:szCs w:val="32"/>
          <w:lang w:val="en-US" w:eastAsia="zh-CN"/>
        </w:rPr>
        <w:t>1315.11</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3" w:name="_Toc9596"/>
      <w:bookmarkStart w:id="14" w:name="_Toc22098"/>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本年支出合计</w:t>
      </w:r>
      <w:r>
        <w:rPr>
          <w:rFonts w:hint="eastAsia" w:ascii="仿宋_GB2312"/>
          <w:szCs w:val="32"/>
          <w:lang w:val="en-US" w:eastAsia="zh-CN"/>
        </w:rPr>
        <w:t>1315.11</w:t>
      </w:r>
      <w:r>
        <w:rPr>
          <w:rFonts w:hint="eastAsia" w:ascii="仿宋_GB2312"/>
          <w:szCs w:val="32"/>
        </w:rPr>
        <w:t>万元，其中：基本支出</w:t>
      </w:r>
      <w:r>
        <w:rPr>
          <w:rFonts w:hint="eastAsia" w:ascii="仿宋_GB2312"/>
          <w:szCs w:val="32"/>
          <w:lang w:val="en-US" w:eastAsia="zh-CN"/>
        </w:rPr>
        <w:t>71.57</w:t>
      </w:r>
      <w:r>
        <w:rPr>
          <w:rFonts w:hint="eastAsia" w:ascii="仿宋_GB2312"/>
          <w:szCs w:val="32"/>
        </w:rPr>
        <w:t>万元，占比</w:t>
      </w:r>
      <w:r>
        <w:rPr>
          <w:rFonts w:hint="eastAsia" w:ascii="仿宋_GB2312"/>
          <w:szCs w:val="32"/>
          <w:lang w:val="en-US" w:eastAsia="zh-CN"/>
        </w:rPr>
        <w:t>5.45</w:t>
      </w:r>
      <w:r>
        <w:rPr>
          <w:rFonts w:hint="eastAsia" w:ascii="仿宋_GB2312"/>
          <w:szCs w:val="32"/>
        </w:rPr>
        <w:t>%；项目支出</w:t>
      </w:r>
      <w:r>
        <w:rPr>
          <w:rFonts w:hint="eastAsia" w:ascii="仿宋_GB2312"/>
          <w:szCs w:val="32"/>
          <w:lang w:val="en-US" w:eastAsia="zh-CN"/>
        </w:rPr>
        <w:t>1243.54</w:t>
      </w:r>
      <w:r>
        <w:rPr>
          <w:rFonts w:hint="eastAsia" w:ascii="仿宋_GB2312"/>
          <w:szCs w:val="32"/>
        </w:rPr>
        <w:t>万元，占比</w:t>
      </w:r>
      <w:r>
        <w:rPr>
          <w:rFonts w:hint="eastAsia" w:ascii="仿宋_GB2312"/>
          <w:szCs w:val="32"/>
          <w:lang w:val="en-US" w:eastAsia="zh-CN"/>
        </w:rPr>
        <w:t>94.55</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4614"/>
      <w:bookmarkStart w:id="16" w:name="_Toc2142"/>
      <w:r>
        <w:rPr>
          <w:rFonts w:hint="eastAsia" w:ascii="仿宋" w:hAnsi="仿宋" w:eastAsia="仿宋" w:cs="仿宋"/>
          <w:b/>
          <w:bCs w:val="0"/>
          <w:lang w:val="en-US" w:eastAsia="zh-CN"/>
        </w:rPr>
        <w:t>四、财政拨款收入支出决算总体情况说明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1315.11</w:t>
      </w:r>
      <w:r>
        <w:rPr>
          <w:rFonts w:hint="eastAsia" w:ascii="仿宋_GB2312"/>
          <w:color w:val="auto"/>
          <w:szCs w:val="32"/>
        </w:rPr>
        <w:t>万元、支出总计</w:t>
      </w:r>
      <w:r>
        <w:rPr>
          <w:rFonts w:hint="eastAsia" w:ascii="仿宋_GB2312"/>
          <w:color w:val="auto"/>
          <w:szCs w:val="32"/>
          <w:lang w:val="en-US" w:eastAsia="zh-CN"/>
        </w:rPr>
        <w:t>1315.11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增加435.07</w:t>
      </w:r>
      <w:r>
        <w:rPr>
          <w:rFonts w:hint="eastAsia" w:ascii="仿宋_GB2312"/>
          <w:color w:val="auto"/>
          <w:szCs w:val="32"/>
        </w:rPr>
        <w:t>万元，</w:t>
      </w:r>
      <w:r>
        <w:rPr>
          <w:rFonts w:hint="eastAsia" w:ascii="仿宋_GB2312"/>
          <w:color w:val="auto"/>
          <w:szCs w:val="32"/>
          <w:lang w:val="en-US" w:eastAsia="zh-CN"/>
        </w:rPr>
        <w:t>增长49.44</w:t>
      </w:r>
      <w:r>
        <w:rPr>
          <w:rFonts w:hint="eastAsia" w:ascii="仿宋_GB2312"/>
          <w:color w:val="auto"/>
          <w:szCs w:val="32"/>
        </w:rPr>
        <w:t>%，财政拨款支出总计</w:t>
      </w:r>
      <w:r>
        <w:rPr>
          <w:rFonts w:hint="eastAsia" w:ascii="仿宋_GB2312"/>
          <w:color w:val="auto"/>
          <w:szCs w:val="32"/>
          <w:lang w:val="en-US" w:eastAsia="zh-CN"/>
        </w:rPr>
        <w:t>增加435.07</w:t>
      </w:r>
      <w:r>
        <w:rPr>
          <w:rFonts w:hint="eastAsia" w:ascii="仿宋_GB2312"/>
          <w:color w:val="auto"/>
          <w:szCs w:val="32"/>
        </w:rPr>
        <w:t>万元，</w:t>
      </w:r>
      <w:r>
        <w:rPr>
          <w:rFonts w:hint="eastAsia" w:ascii="仿宋_GB2312"/>
          <w:color w:val="auto"/>
          <w:szCs w:val="32"/>
          <w:lang w:val="en-US" w:eastAsia="zh-CN"/>
        </w:rPr>
        <w:t>增长49.44</w:t>
      </w:r>
      <w:r>
        <w:rPr>
          <w:rFonts w:hint="eastAsia" w:ascii="仿宋_GB2312"/>
          <w:color w:val="auto"/>
          <w:szCs w:val="32"/>
        </w:rPr>
        <w:t>%。主要原因是</w:t>
      </w:r>
      <w:r>
        <w:rPr>
          <w:rFonts w:hint="eastAsia" w:ascii="仿宋_GB2312"/>
          <w:color w:val="auto"/>
          <w:szCs w:val="32"/>
          <w:lang w:val="en-US" w:eastAsia="zh-CN"/>
        </w:rPr>
        <w:t>项目经费增加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6501"/>
      <w:bookmarkStart w:id="18" w:name="_Toc934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1315.11</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增加435.07</w:t>
      </w:r>
      <w:r>
        <w:rPr>
          <w:rFonts w:hint="eastAsia" w:ascii="仿宋_GB2312"/>
          <w:color w:val="auto"/>
          <w:szCs w:val="32"/>
        </w:rPr>
        <w:t>万元，</w:t>
      </w:r>
      <w:r>
        <w:rPr>
          <w:rFonts w:hint="eastAsia" w:ascii="仿宋_GB2312"/>
          <w:color w:val="auto"/>
          <w:szCs w:val="32"/>
          <w:lang w:val="en-US" w:eastAsia="zh-CN"/>
        </w:rPr>
        <w:t>增长49.44</w:t>
      </w:r>
      <w:r>
        <w:rPr>
          <w:rFonts w:hint="eastAsia" w:ascii="仿宋_GB2312"/>
          <w:color w:val="auto"/>
          <w:szCs w:val="32"/>
        </w:rPr>
        <w:t>%。主要原因是</w:t>
      </w:r>
      <w:r>
        <w:rPr>
          <w:rFonts w:hint="eastAsia" w:ascii="仿宋_GB2312"/>
          <w:color w:val="auto"/>
          <w:szCs w:val="32"/>
          <w:lang w:val="en-US" w:eastAsia="zh-CN"/>
        </w:rPr>
        <w:t>项目经费支出增加</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1315.11</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节能环保支出</w:t>
      </w:r>
      <w:r>
        <w:rPr>
          <w:rFonts w:hint="eastAsia" w:ascii="仿宋_GB2312"/>
          <w:color w:val="auto"/>
          <w:szCs w:val="32"/>
          <w:lang w:val="en-US" w:eastAsia="zh-CN"/>
        </w:rPr>
        <w:t xml:space="preserve"> 0.5 万元，</w:t>
      </w:r>
      <w:r>
        <w:rPr>
          <w:rFonts w:hint="eastAsia" w:ascii="仿宋_GB2312"/>
          <w:color w:val="auto"/>
          <w:szCs w:val="32"/>
        </w:rPr>
        <w:t>城乡社区支出</w:t>
      </w:r>
      <w:r>
        <w:rPr>
          <w:rFonts w:hint="eastAsia" w:ascii="仿宋_GB2312"/>
          <w:color w:val="auto"/>
          <w:szCs w:val="32"/>
          <w:lang w:val="en-US" w:eastAsia="zh-CN"/>
        </w:rPr>
        <w:t>1314.61万元。</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391.57</w:t>
      </w:r>
      <w:r>
        <w:rPr>
          <w:rFonts w:hint="eastAsia"/>
          <w:szCs w:val="32"/>
        </w:rPr>
        <w:t>万元，支出决算</w:t>
      </w:r>
      <w:r>
        <w:rPr>
          <w:rFonts w:hint="eastAsia"/>
          <w:szCs w:val="32"/>
          <w:lang w:val="en-US" w:eastAsia="zh-CN"/>
        </w:rPr>
        <w:t>1315.11</w:t>
      </w:r>
      <w:r>
        <w:rPr>
          <w:rFonts w:hint="eastAsia"/>
          <w:szCs w:val="32"/>
        </w:rPr>
        <w:t>万元，</w:t>
      </w:r>
      <w:r>
        <w:rPr>
          <w:rFonts w:hint="eastAsia"/>
          <w:szCs w:val="32"/>
          <w:lang w:val="en-US" w:eastAsia="zh-CN"/>
        </w:rPr>
        <w:t>占本年调整</w:t>
      </w:r>
      <w:r>
        <w:rPr>
          <w:rFonts w:hint="eastAsia"/>
          <w:szCs w:val="32"/>
        </w:rPr>
        <w:t>预算</w:t>
      </w:r>
      <w:r>
        <w:rPr>
          <w:rFonts w:hint="eastAsia"/>
          <w:color w:val="auto"/>
          <w:szCs w:val="32"/>
        </w:rPr>
        <w:t>的</w:t>
      </w:r>
      <w:r>
        <w:rPr>
          <w:rFonts w:hint="eastAsia"/>
          <w:color w:val="auto"/>
          <w:szCs w:val="32"/>
          <w:lang w:val="en-US" w:eastAsia="zh-CN"/>
        </w:rPr>
        <w:t>100</w:t>
      </w:r>
      <w:bookmarkStart w:id="31" w:name="_GoBack"/>
      <w:bookmarkEnd w:id="31"/>
      <w:r>
        <w:rPr>
          <w:color w:val="auto"/>
          <w:szCs w:val="32"/>
        </w:rPr>
        <w:t>%</w:t>
      </w:r>
      <w:r>
        <w:rPr>
          <w:rFonts w:hint="eastAsia"/>
          <w:color w:val="auto"/>
          <w:szCs w:val="32"/>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w:t>
            </w:r>
          </w:p>
        </w:tc>
        <w:tc>
          <w:tcPr>
            <w:tcW w:w="2479" w:type="dxa"/>
            <w:vAlign w:val="center"/>
          </w:tcPr>
          <w:p>
            <w:pPr>
              <w:keepNext w:val="0"/>
              <w:keepLines w:val="0"/>
              <w:widowControl/>
              <w:suppressLineNumbers w:val="0"/>
              <w:ind w:firstLine="480" w:firstLineChars="200"/>
              <w:jc w:val="left"/>
              <w:textAlignment w:val="center"/>
              <w:rPr>
                <w:rFonts w:hint="eastAsia" w:ascii="黑体" w:hAnsi="黑体" w:eastAsia="黑体" w:cs="黑体"/>
                <w:color w:val="FF0000"/>
                <w:sz w:val="24"/>
                <w:szCs w:val="24"/>
              </w:rPr>
            </w:pPr>
            <w:r>
              <w:rPr>
                <w:rFonts w:hint="eastAsia" w:ascii="黑体" w:hAnsi="黑体" w:eastAsia="黑体" w:cs="黑体"/>
                <w:i w:val="0"/>
                <w:color w:val="000000"/>
                <w:kern w:val="0"/>
                <w:sz w:val="24"/>
                <w:szCs w:val="24"/>
                <w:u w:val="none"/>
                <w:lang w:val="en-US" w:eastAsia="zh-CN" w:bidi="ar"/>
              </w:rPr>
              <w:t>卫生健康支出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0.5</w:t>
            </w: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21004</w:t>
            </w:r>
          </w:p>
        </w:tc>
        <w:tc>
          <w:tcPr>
            <w:tcW w:w="2479" w:type="dxa"/>
            <w:vAlign w:val="center"/>
          </w:tcPr>
          <w:p>
            <w:pPr>
              <w:keepNext w:val="0"/>
              <w:keepLines w:val="0"/>
              <w:widowControl/>
              <w:suppressLineNumbers w:val="0"/>
              <w:ind w:firstLine="480" w:firstLineChars="200"/>
              <w:jc w:val="left"/>
              <w:textAlignment w:val="center"/>
              <w:rPr>
                <w:rFonts w:hint="eastAsia" w:ascii="黑体" w:hAnsi="黑体" w:eastAsia="黑体" w:cs="黑体"/>
                <w:color w:val="FF0000"/>
                <w:sz w:val="24"/>
                <w:szCs w:val="24"/>
              </w:rPr>
            </w:pPr>
            <w:r>
              <w:rPr>
                <w:rFonts w:hint="eastAsia" w:ascii="黑体" w:hAnsi="黑体" w:eastAsia="黑体" w:cs="黑体"/>
                <w:i w:val="0"/>
                <w:color w:val="000000"/>
                <w:kern w:val="0"/>
                <w:sz w:val="24"/>
                <w:szCs w:val="24"/>
                <w:u w:val="none"/>
                <w:lang w:val="en-US" w:eastAsia="zh-CN" w:bidi="ar"/>
              </w:rPr>
              <w:t>公共卫生</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0.5</w:t>
            </w:r>
          </w:p>
        </w:tc>
        <w:tc>
          <w:tcPr>
            <w:tcW w:w="1393"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2100410</w:t>
            </w:r>
          </w:p>
        </w:tc>
        <w:tc>
          <w:tcPr>
            <w:tcW w:w="2479" w:type="dxa"/>
            <w:vAlign w:val="center"/>
          </w:tcPr>
          <w:p>
            <w:pPr>
              <w:keepNext w:val="0"/>
              <w:keepLines w:val="0"/>
              <w:widowControl/>
              <w:suppressLineNumbers w:val="0"/>
              <w:ind w:left="0" w:leftChars="0" w:firstLine="0" w:firstLineChars="0"/>
              <w:jc w:val="left"/>
              <w:textAlignment w:val="center"/>
              <w:rPr>
                <w:rFonts w:hint="eastAsia" w:ascii="黑体" w:hAnsi="黑体" w:eastAsia="黑体" w:cs="黑体"/>
                <w:color w:val="FF0000"/>
                <w:sz w:val="24"/>
                <w:szCs w:val="24"/>
              </w:rPr>
            </w:pPr>
            <w:r>
              <w:rPr>
                <w:rFonts w:hint="eastAsia" w:ascii="黑体" w:hAnsi="黑体" w:eastAsia="黑体" w:cs="黑体"/>
                <w:i w:val="0"/>
                <w:color w:val="000000"/>
                <w:kern w:val="0"/>
                <w:sz w:val="24"/>
                <w:szCs w:val="24"/>
                <w:u w:val="none"/>
                <w:lang w:val="en-US" w:eastAsia="zh-CN" w:bidi="ar"/>
              </w:rPr>
              <w:t>突发公共卫生事件应急处理</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0.5</w:t>
            </w: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211</w:t>
            </w:r>
          </w:p>
        </w:tc>
        <w:tc>
          <w:tcPr>
            <w:tcW w:w="2479" w:type="dxa"/>
            <w:vAlign w:val="center"/>
          </w:tcPr>
          <w:p>
            <w:pPr>
              <w:keepNext w:val="0"/>
              <w:keepLines w:val="0"/>
              <w:widowControl/>
              <w:suppressLineNumbers w:val="0"/>
              <w:ind w:firstLine="480" w:firstLineChars="200"/>
              <w:jc w:val="left"/>
              <w:textAlignment w:val="center"/>
              <w:rPr>
                <w:rFonts w:hint="eastAsia" w:ascii="黑体" w:hAnsi="黑体" w:eastAsia="黑体" w:cs="黑体"/>
                <w:color w:val="FF0000"/>
                <w:sz w:val="24"/>
                <w:szCs w:val="24"/>
              </w:rPr>
            </w:pPr>
            <w:r>
              <w:rPr>
                <w:rFonts w:hint="eastAsia" w:ascii="黑体" w:hAnsi="黑体" w:eastAsia="黑体" w:cs="黑体"/>
                <w:i w:val="0"/>
                <w:color w:val="000000"/>
                <w:kern w:val="0"/>
                <w:sz w:val="24"/>
                <w:szCs w:val="24"/>
                <w:u w:val="none"/>
                <w:lang w:val="en-US" w:eastAsia="zh-CN" w:bidi="ar"/>
              </w:rPr>
              <w:t>节能环保支出</w:t>
            </w:r>
          </w:p>
        </w:tc>
        <w:tc>
          <w:tcPr>
            <w:tcW w:w="1876" w:type="dxa"/>
            <w:vAlign w:val="center"/>
          </w:tcPr>
          <w:p>
            <w:pPr>
              <w:keepNext w:val="0"/>
              <w:keepLines w:val="0"/>
              <w:widowControl/>
              <w:suppressLineNumbers w:val="0"/>
              <w:spacing w:line="240" w:lineRule="auto"/>
              <w:ind w:firstLine="562" w:firstLineChars="200"/>
              <w:jc w:val="center"/>
              <w:textAlignment w:val="center"/>
              <w:rPr>
                <w:rFonts w:hint="eastAsia" w:ascii="仿宋" w:hAnsi="仿宋" w:eastAsia="仿宋" w:cs="仿宋"/>
                <w:color w:val="000000"/>
                <w:sz w:val="24"/>
                <w:szCs w:val="24"/>
              </w:rPr>
            </w:pPr>
            <w:r>
              <w:rPr>
                <w:rFonts w:hint="eastAsia" w:ascii="仿宋" w:hAnsi="仿宋" w:eastAsia="仿宋" w:cs="仿宋"/>
                <w:b/>
                <w:bCs w:val="0"/>
                <w:kern w:val="2"/>
                <w:sz w:val="28"/>
                <w:szCs w:val="28"/>
                <w:lang w:val="en-US" w:eastAsia="zh-CN" w:bidi="ar-SA"/>
              </w:rPr>
              <w:t>880.04</w:t>
            </w:r>
          </w:p>
        </w:tc>
        <w:tc>
          <w:tcPr>
            <w:tcW w:w="1684"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1314.61</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21103</w:t>
            </w:r>
          </w:p>
        </w:tc>
        <w:tc>
          <w:tcPr>
            <w:tcW w:w="2479" w:type="dxa"/>
            <w:vAlign w:val="center"/>
          </w:tcPr>
          <w:p>
            <w:pPr>
              <w:keepNext w:val="0"/>
              <w:keepLines w:val="0"/>
              <w:widowControl/>
              <w:suppressLineNumbers w:val="0"/>
              <w:ind w:firstLine="480" w:firstLineChars="200"/>
              <w:jc w:val="left"/>
              <w:textAlignment w:val="center"/>
              <w:rPr>
                <w:rFonts w:hint="eastAsia" w:ascii="黑体" w:hAnsi="黑体" w:eastAsia="黑体" w:cs="黑体"/>
                <w:color w:val="FF0000"/>
                <w:sz w:val="24"/>
                <w:szCs w:val="24"/>
                <w:lang w:val="en-US" w:eastAsia="zh-CN"/>
              </w:rPr>
            </w:pPr>
            <w:r>
              <w:rPr>
                <w:rFonts w:hint="eastAsia" w:ascii="黑体" w:hAnsi="黑体" w:eastAsia="黑体" w:cs="黑体"/>
                <w:i w:val="0"/>
                <w:color w:val="000000"/>
                <w:kern w:val="0"/>
                <w:sz w:val="24"/>
                <w:szCs w:val="24"/>
                <w:u w:val="none"/>
                <w:lang w:val="en-US" w:eastAsia="zh-CN" w:bidi="ar"/>
              </w:rPr>
              <w:t>污染防治</w:t>
            </w:r>
          </w:p>
        </w:tc>
        <w:tc>
          <w:tcPr>
            <w:tcW w:w="1876" w:type="dxa"/>
            <w:vAlign w:val="center"/>
          </w:tcPr>
          <w:p>
            <w:pPr>
              <w:keepNext w:val="0"/>
              <w:keepLines w:val="0"/>
              <w:widowControl/>
              <w:suppressLineNumbers w:val="0"/>
              <w:spacing w:line="240" w:lineRule="auto"/>
              <w:ind w:firstLine="480" w:firstLineChars="20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iCs w:val="0"/>
                <w:color w:val="000000"/>
                <w:kern w:val="2"/>
                <w:sz w:val="24"/>
                <w:szCs w:val="24"/>
                <w:u w:val="none"/>
                <w:lang w:val="en-US" w:eastAsia="zh-CN" w:bidi="ar-SA"/>
              </w:rPr>
              <w:t>80.86</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131</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2110301</w:t>
            </w:r>
          </w:p>
        </w:tc>
        <w:tc>
          <w:tcPr>
            <w:tcW w:w="2479" w:type="dxa"/>
            <w:vAlign w:val="center"/>
          </w:tcPr>
          <w:p>
            <w:pPr>
              <w:keepNext w:val="0"/>
              <w:keepLines w:val="0"/>
              <w:widowControl/>
              <w:suppressLineNumbers w:val="0"/>
              <w:ind w:firstLine="480" w:firstLineChars="200"/>
              <w:jc w:val="left"/>
              <w:textAlignment w:val="center"/>
              <w:rPr>
                <w:rFonts w:hint="eastAsia" w:ascii="黑体" w:hAnsi="黑体" w:eastAsia="黑体" w:cs="黑体"/>
                <w:color w:val="FF0000"/>
                <w:sz w:val="24"/>
                <w:szCs w:val="24"/>
                <w:lang w:val="en-US" w:eastAsia="zh-CN"/>
              </w:rPr>
            </w:pPr>
            <w:r>
              <w:rPr>
                <w:rFonts w:hint="eastAsia" w:ascii="黑体" w:hAnsi="黑体" w:eastAsia="黑体" w:cs="黑体"/>
                <w:i w:val="0"/>
                <w:color w:val="000000"/>
                <w:kern w:val="0"/>
                <w:sz w:val="24"/>
                <w:szCs w:val="24"/>
                <w:u w:val="none"/>
                <w:lang w:val="en-US" w:eastAsia="zh-CN" w:bidi="ar"/>
              </w:rPr>
              <w:t xml:space="preserve">  大气</w:t>
            </w:r>
          </w:p>
        </w:tc>
        <w:tc>
          <w:tcPr>
            <w:tcW w:w="1876" w:type="dxa"/>
            <w:vAlign w:val="center"/>
          </w:tcPr>
          <w:p>
            <w:pPr>
              <w:keepNext w:val="0"/>
              <w:keepLines w:val="0"/>
              <w:widowControl/>
              <w:suppressLineNumbers w:val="0"/>
              <w:spacing w:line="240" w:lineRule="auto"/>
              <w:ind w:firstLine="480" w:firstLineChars="20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iCs w:val="0"/>
                <w:color w:val="000000"/>
                <w:kern w:val="2"/>
                <w:sz w:val="24"/>
                <w:szCs w:val="24"/>
                <w:u w:val="none"/>
                <w:lang w:val="en-US" w:eastAsia="zh-CN" w:bidi="ar-SA"/>
              </w:rPr>
              <w:t>80.86</w:t>
            </w:r>
          </w:p>
        </w:tc>
        <w:tc>
          <w:tcPr>
            <w:tcW w:w="1684"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131</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21114</w:t>
            </w:r>
          </w:p>
        </w:tc>
        <w:tc>
          <w:tcPr>
            <w:tcW w:w="2479" w:type="dxa"/>
            <w:vAlign w:val="center"/>
          </w:tcPr>
          <w:p>
            <w:pPr>
              <w:keepNext w:val="0"/>
              <w:keepLines w:val="0"/>
              <w:widowControl/>
              <w:suppressLineNumbers w:val="0"/>
              <w:ind w:firstLine="480" w:firstLineChars="200"/>
              <w:jc w:val="left"/>
              <w:textAlignment w:val="center"/>
              <w:rPr>
                <w:rFonts w:hint="eastAsia" w:ascii="黑体" w:hAnsi="黑体" w:eastAsia="黑体" w:cs="黑体"/>
                <w:color w:val="FF0000"/>
                <w:sz w:val="24"/>
                <w:szCs w:val="24"/>
                <w:lang w:val="en-US" w:eastAsia="zh-CN"/>
              </w:rPr>
            </w:pPr>
            <w:r>
              <w:rPr>
                <w:rFonts w:hint="eastAsia" w:ascii="黑体" w:hAnsi="黑体" w:eastAsia="黑体" w:cs="黑体"/>
                <w:i w:val="0"/>
                <w:color w:val="000000"/>
                <w:kern w:val="0"/>
                <w:sz w:val="24"/>
                <w:szCs w:val="24"/>
                <w:u w:val="none"/>
                <w:lang w:val="en-US" w:eastAsia="zh-CN" w:bidi="ar"/>
              </w:rPr>
              <w:t>能源管理事务</w:t>
            </w:r>
          </w:p>
        </w:tc>
        <w:tc>
          <w:tcPr>
            <w:tcW w:w="1876" w:type="dxa"/>
            <w:vAlign w:val="center"/>
          </w:tcPr>
          <w:p>
            <w:pPr>
              <w:keepNext w:val="0"/>
              <w:keepLines w:val="0"/>
              <w:widowControl/>
              <w:suppressLineNumbers w:val="0"/>
              <w:spacing w:line="240" w:lineRule="auto"/>
              <w:ind w:firstLine="480" w:firstLineChars="200"/>
              <w:jc w:val="center"/>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iCs w:val="0"/>
                <w:color w:val="000000"/>
                <w:kern w:val="2"/>
                <w:sz w:val="24"/>
                <w:szCs w:val="24"/>
                <w:u w:val="none"/>
                <w:lang w:val="en-US" w:eastAsia="zh-CN" w:bidi="ar-SA"/>
              </w:rPr>
              <w:t>117.96</w:t>
            </w:r>
          </w:p>
        </w:tc>
        <w:tc>
          <w:tcPr>
            <w:tcW w:w="1684"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1183.61</w:t>
            </w:r>
          </w:p>
        </w:tc>
        <w:tc>
          <w:tcPr>
            <w:tcW w:w="1393" w:type="dxa"/>
            <w:vAlign w:val="center"/>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913.411.11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2111401</w:t>
            </w:r>
          </w:p>
        </w:tc>
        <w:tc>
          <w:tcPr>
            <w:tcW w:w="2479" w:type="dxa"/>
            <w:vAlign w:val="center"/>
          </w:tcPr>
          <w:p>
            <w:pPr>
              <w:keepNext w:val="0"/>
              <w:keepLines w:val="0"/>
              <w:widowControl/>
              <w:suppressLineNumbers w:val="0"/>
              <w:ind w:firstLine="480" w:firstLineChars="200"/>
              <w:jc w:val="left"/>
              <w:textAlignment w:val="center"/>
              <w:rPr>
                <w:rFonts w:hint="eastAsia" w:ascii="黑体" w:hAnsi="黑体" w:eastAsia="黑体" w:cs="黑体"/>
                <w:color w:val="FF0000"/>
                <w:sz w:val="24"/>
                <w:szCs w:val="24"/>
                <w:lang w:val="en-US" w:eastAsia="zh-CN"/>
              </w:rPr>
            </w:pPr>
            <w:r>
              <w:rPr>
                <w:rFonts w:hint="eastAsia" w:ascii="黑体" w:hAnsi="黑体" w:eastAsia="黑体" w:cs="黑体"/>
                <w:i w:val="0"/>
                <w:color w:val="000000"/>
                <w:kern w:val="0"/>
                <w:sz w:val="24"/>
                <w:szCs w:val="24"/>
                <w:u w:val="none"/>
                <w:lang w:val="en-US" w:eastAsia="zh-CN" w:bidi="ar"/>
              </w:rPr>
              <w:t xml:space="preserve">  行政运行</w:t>
            </w:r>
          </w:p>
        </w:tc>
        <w:tc>
          <w:tcPr>
            <w:tcW w:w="1876" w:type="dxa"/>
            <w:vAlign w:val="center"/>
          </w:tcPr>
          <w:p>
            <w:pPr>
              <w:keepNext w:val="0"/>
              <w:keepLines w:val="0"/>
              <w:widowControl/>
              <w:suppressLineNumbers w:val="0"/>
              <w:spacing w:line="240" w:lineRule="auto"/>
              <w:ind w:firstLine="480" w:firstLineChars="200"/>
              <w:jc w:val="center"/>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2"/>
                <w:sz w:val="24"/>
                <w:szCs w:val="24"/>
                <w:u w:val="none"/>
                <w:lang w:val="en-US" w:eastAsia="zh-CN" w:bidi="ar-SA"/>
              </w:rPr>
              <w:t>74.92</w:t>
            </w:r>
          </w:p>
        </w:tc>
        <w:tc>
          <w:tcPr>
            <w:tcW w:w="1684"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83.34</w:t>
            </w:r>
          </w:p>
        </w:tc>
        <w:tc>
          <w:tcPr>
            <w:tcW w:w="1393" w:type="dxa"/>
            <w:vAlign w:val="center"/>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2111499</w:t>
            </w:r>
          </w:p>
        </w:tc>
        <w:tc>
          <w:tcPr>
            <w:tcW w:w="2479" w:type="dxa"/>
            <w:vAlign w:val="center"/>
          </w:tcPr>
          <w:p>
            <w:pPr>
              <w:keepNext w:val="0"/>
              <w:keepLines w:val="0"/>
              <w:widowControl/>
              <w:suppressLineNumbers w:val="0"/>
              <w:ind w:left="0" w:leftChars="0" w:firstLine="0" w:firstLineChars="0"/>
              <w:jc w:val="left"/>
              <w:textAlignment w:val="center"/>
              <w:rPr>
                <w:rFonts w:hint="eastAsia" w:ascii="黑体" w:hAnsi="黑体" w:eastAsia="黑体" w:cs="黑体"/>
                <w:color w:val="FF0000"/>
                <w:sz w:val="24"/>
                <w:szCs w:val="24"/>
              </w:rPr>
            </w:pPr>
            <w:r>
              <w:rPr>
                <w:rFonts w:hint="eastAsia" w:ascii="黑体" w:hAnsi="黑体" w:eastAsia="黑体" w:cs="黑体"/>
                <w:i w:val="0"/>
                <w:color w:val="000000"/>
                <w:kern w:val="0"/>
                <w:sz w:val="24"/>
                <w:szCs w:val="24"/>
                <w:u w:val="none"/>
                <w:lang w:val="en-US" w:eastAsia="zh-CN" w:bidi="ar"/>
              </w:rPr>
              <w:t>其他能源管理事务支出</w:t>
            </w:r>
          </w:p>
        </w:tc>
        <w:tc>
          <w:tcPr>
            <w:tcW w:w="1876" w:type="dxa"/>
            <w:vAlign w:val="center"/>
          </w:tcPr>
          <w:p>
            <w:pPr>
              <w:keepNext w:val="0"/>
              <w:keepLines w:val="0"/>
              <w:widowControl/>
              <w:suppressLineNumbers w:val="0"/>
              <w:ind w:firstLine="480" w:firstLineChars="200"/>
              <w:jc w:val="center"/>
              <w:textAlignment w:val="center"/>
              <w:rPr>
                <w:rFonts w:hint="default" w:ascii="仿宋" w:hAnsi="仿宋" w:eastAsia="仿宋" w:cs="仿宋"/>
                <w:color w:val="000000"/>
                <w:sz w:val="24"/>
                <w:szCs w:val="24"/>
                <w:lang w:val="en-US"/>
              </w:rPr>
            </w:pPr>
            <w:r>
              <w:rPr>
                <w:rFonts w:hint="eastAsia" w:ascii="仿宋" w:hAnsi="仿宋" w:eastAsia="仿宋" w:cs="仿宋"/>
                <w:i w:val="0"/>
                <w:iCs w:val="0"/>
                <w:color w:val="000000"/>
                <w:kern w:val="0"/>
                <w:sz w:val="24"/>
                <w:szCs w:val="24"/>
                <w:u w:val="none"/>
                <w:lang w:val="en-US" w:eastAsia="zh-CN" w:bidi="ar"/>
              </w:rPr>
              <w:t>43.04</w:t>
            </w:r>
          </w:p>
        </w:tc>
        <w:tc>
          <w:tcPr>
            <w:tcW w:w="1684"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1100.26</w:t>
            </w:r>
          </w:p>
        </w:tc>
        <w:tc>
          <w:tcPr>
            <w:tcW w:w="1393" w:type="dxa"/>
            <w:vAlign w:val="center"/>
          </w:tcPr>
          <w:p>
            <w:pPr>
              <w:ind w:left="0" w:leftChars="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spacing w:line="240" w:lineRule="auto"/>
              <w:ind w:left="0" w:leftChars="0" w:firstLine="0" w:firstLineChars="0"/>
              <w:jc w:val="both"/>
              <w:rPr>
                <w:rFonts w:hint="eastAsia" w:ascii="仿宋" w:hAnsi="仿宋" w:eastAsia="仿宋" w:cs="仿宋"/>
                <w:color w:val="FF0000"/>
                <w:sz w:val="24"/>
                <w:szCs w:val="24"/>
                <w:lang w:val="en-US" w:eastAsia="zh-CN"/>
              </w:rPr>
            </w:pPr>
            <w:r>
              <w:rPr>
                <w:rFonts w:hint="eastAsia" w:ascii="仿宋" w:hAnsi="仿宋" w:eastAsia="仿宋" w:cs="仿宋"/>
                <w:b/>
                <w:bCs/>
                <w:color w:val="000000"/>
                <w:sz w:val="28"/>
                <w:szCs w:val="28"/>
                <w:lang w:val="en-US" w:eastAsia="zh-CN"/>
              </w:rPr>
              <w:t>21199</w:t>
            </w:r>
          </w:p>
        </w:tc>
        <w:tc>
          <w:tcPr>
            <w:tcW w:w="2479" w:type="dxa"/>
            <w:vAlign w:val="center"/>
          </w:tcPr>
          <w:p>
            <w:pPr>
              <w:keepNext w:val="0"/>
              <w:keepLines w:val="0"/>
              <w:widowControl/>
              <w:suppressLineNumbers w:val="0"/>
              <w:spacing w:line="240" w:lineRule="auto"/>
              <w:ind w:left="0" w:leftChars="0" w:firstLine="0" w:firstLineChars="0"/>
              <w:jc w:val="both"/>
              <w:textAlignment w:val="center"/>
              <w:rPr>
                <w:rFonts w:hint="eastAsia" w:ascii="黑体" w:hAnsi="黑体" w:eastAsia="黑体" w:cs="黑体"/>
                <w:color w:val="FF0000"/>
                <w:sz w:val="24"/>
                <w:szCs w:val="24"/>
              </w:rPr>
            </w:pPr>
            <w:r>
              <w:rPr>
                <w:rFonts w:hint="eastAsia" w:ascii="黑体" w:hAnsi="黑体" w:eastAsia="黑体" w:cs="黑体"/>
                <w:i w:val="0"/>
                <w:iCs w:val="0"/>
                <w:color w:val="000000"/>
                <w:kern w:val="0"/>
                <w:sz w:val="24"/>
                <w:szCs w:val="24"/>
                <w:u w:val="none"/>
                <w:lang w:val="en-US" w:eastAsia="zh-CN" w:bidi="ar"/>
              </w:rPr>
              <w:t>其他节能环保支出</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681.22</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center"/>
          </w:tcPr>
          <w:p>
            <w:pPr>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spacing w:line="240" w:lineRule="auto"/>
              <w:ind w:left="0" w:leftChars="0" w:firstLine="0" w:firstLineChars="0"/>
              <w:jc w:val="both"/>
              <w:rPr>
                <w:rFonts w:hint="eastAsia" w:ascii="仿宋" w:hAnsi="仿宋" w:eastAsia="仿宋" w:cs="仿宋"/>
                <w:color w:val="FF0000"/>
                <w:sz w:val="24"/>
                <w:szCs w:val="24"/>
                <w:lang w:val="en-US" w:eastAsia="zh-CN"/>
              </w:rPr>
            </w:pPr>
            <w:r>
              <w:rPr>
                <w:rFonts w:hint="eastAsia" w:ascii="仿宋" w:hAnsi="仿宋" w:eastAsia="仿宋" w:cs="仿宋"/>
                <w:b/>
                <w:bCs/>
                <w:color w:val="000000"/>
                <w:sz w:val="28"/>
                <w:szCs w:val="28"/>
                <w:lang w:val="en-US" w:eastAsia="zh-CN"/>
              </w:rPr>
              <w:t>21199001</w:t>
            </w:r>
          </w:p>
        </w:tc>
        <w:tc>
          <w:tcPr>
            <w:tcW w:w="2479" w:type="dxa"/>
            <w:vAlign w:val="center"/>
          </w:tcPr>
          <w:p>
            <w:pPr>
              <w:keepNext w:val="0"/>
              <w:keepLines w:val="0"/>
              <w:widowControl/>
              <w:suppressLineNumbers w:val="0"/>
              <w:spacing w:line="240" w:lineRule="auto"/>
              <w:ind w:left="0" w:leftChars="0" w:firstLine="0" w:firstLineChars="0"/>
              <w:jc w:val="both"/>
              <w:textAlignment w:val="center"/>
              <w:rPr>
                <w:rFonts w:hint="eastAsia" w:ascii="黑体" w:hAnsi="黑体" w:eastAsia="黑体" w:cs="黑体"/>
                <w:color w:val="FF0000"/>
                <w:sz w:val="24"/>
                <w:szCs w:val="24"/>
              </w:rPr>
            </w:pPr>
            <w:r>
              <w:rPr>
                <w:rFonts w:hint="eastAsia" w:ascii="黑体" w:hAnsi="黑体" w:eastAsia="黑体" w:cs="黑体"/>
                <w:i w:val="0"/>
                <w:iCs w:val="0"/>
                <w:color w:val="000000"/>
                <w:kern w:val="0"/>
                <w:sz w:val="24"/>
                <w:szCs w:val="24"/>
                <w:u w:val="none"/>
                <w:lang w:val="en-US" w:eastAsia="zh-CN" w:bidi="ar"/>
              </w:rPr>
              <w:t>其他节能环保支出</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681.22</w:t>
            </w:r>
          </w:p>
        </w:tc>
        <w:tc>
          <w:tcPr>
            <w:tcW w:w="1684"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393" w:type="dxa"/>
            <w:vAlign w:val="center"/>
          </w:tcPr>
          <w:p>
            <w:pPr>
              <w:jc w:val="right"/>
              <w:rPr>
                <w:rFonts w:hint="eastAsia" w:ascii="仿宋" w:hAnsi="仿宋" w:eastAsia="仿宋" w:cs="仿宋"/>
                <w:color w:val="000000"/>
                <w:sz w:val="24"/>
                <w:szCs w:val="24"/>
              </w:rPr>
            </w:pP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560" w:firstLineChars="20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880.04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1315.11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line="480" w:lineRule="auto"/>
              <w:ind w:firstLine="600" w:firstLineChars="200"/>
              <w:jc w:val="center"/>
              <w:textAlignment w:val="center"/>
              <w:rPr>
                <w:rFonts w:hint="default" w:ascii="仿宋" w:hAnsi="仿宋" w:eastAsia="仿宋" w:cs="仿宋"/>
                <w:color w:val="auto"/>
                <w:kern w:val="0"/>
                <w:sz w:val="28"/>
                <w:szCs w:val="28"/>
                <w:lang w:val="en-US"/>
              </w:rPr>
            </w:pPr>
            <w:r>
              <w:rPr>
                <w:rFonts w:hint="eastAsia" w:ascii="仿宋" w:hAnsi="仿宋" w:eastAsia="仿宋" w:cs="仿宋"/>
                <w:b w:val="0"/>
                <w:bCs w:val="0"/>
                <w:color w:val="auto"/>
                <w:kern w:val="0"/>
                <w:sz w:val="30"/>
                <w:szCs w:val="30"/>
                <w:lang w:val="en-US" w:eastAsia="zh-CN" w:bidi="ar-SA"/>
              </w:rPr>
              <w:t>58.63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63.41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spacing w:line="480" w:lineRule="auto"/>
              <w:ind w:firstLine="600" w:firstLineChars="200"/>
              <w:jc w:val="center"/>
              <w:rPr>
                <w:rFonts w:hint="default" w:ascii="仿宋" w:hAnsi="仿宋" w:eastAsia="仿宋" w:cs="仿宋"/>
                <w:color w:val="auto"/>
                <w:kern w:val="0"/>
                <w:sz w:val="28"/>
                <w:szCs w:val="28"/>
                <w:lang w:val="en-US"/>
              </w:rPr>
            </w:pPr>
            <w:r>
              <w:rPr>
                <w:rFonts w:hint="eastAsia" w:ascii="仿宋" w:hAnsi="仿宋" w:eastAsia="仿宋" w:cs="仿宋"/>
                <w:b w:val="0"/>
                <w:bCs w:val="0"/>
                <w:color w:val="auto"/>
                <w:kern w:val="0"/>
                <w:sz w:val="30"/>
                <w:szCs w:val="30"/>
                <w:lang w:val="en-US" w:eastAsia="zh-CN" w:bidi="ar-SA"/>
              </w:rPr>
              <w:t>29.08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19.93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spacing w:line="480" w:lineRule="auto"/>
              <w:ind w:firstLine="600" w:firstLineChars="200"/>
              <w:jc w:val="center"/>
              <w:rPr>
                <w:rFonts w:hint="default" w:ascii="仿宋" w:hAnsi="仿宋" w:eastAsia="仿宋" w:cs="仿宋"/>
                <w:color w:val="auto"/>
                <w:kern w:val="0"/>
                <w:sz w:val="28"/>
                <w:szCs w:val="28"/>
                <w:lang w:val="en-US"/>
              </w:rPr>
            </w:pPr>
            <w:r>
              <w:rPr>
                <w:rFonts w:hint="eastAsia" w:ascii="仿宋" w:hAnsi="仿宋" w:eastAsia="仿宋" w:cs="仿宋"/>
                <w:b w:val="0"/>
                <w:bCs w:val="0"/>
                <w:color w:val="auto"/>
                <w:kern w:val="0"/>
                <w:sz w:val="30"/>
                <w:szCs w:val="30"/>
                <w:lang w:val="en-US" w:eastAsia="zh-CN" w:bidi="ar-SA"/>
              </w:rPr>
              <w:t>2.73</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0.50</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对企业补助</w:t>
            </w:r>
          </w:p>
        </w:tc>
        <w:tc>
          <w:tcPr>
            <w:tcW w:w="1837" w:type="dxa"/>
            <w:vAlign w:val="center"/>
          </w:tcPr>
          <w:p>
            <w:pPr>
              <w:widowControl/>
              <w:spacing w:line="480" w:lineRule="auto"/>
              <w:ind w:firstLine="560" w:firstLineChars="20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746.56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1231.27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2"/>
                <w:sz w:val="30"/>
                <w:szCs w:val="30"/>
                <w:lang w:val="en-US" w:eastAsia="zh-CN" w:bidi="ar-SA"/>
              </w:rPr>
              <w:t>债务利息及费用支出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43.04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19" w:name="_Toc17728"/>
      <w:bookmarkStart w:id="20" w:name="_Toc841"/>
      <w:r>
        <w:rPr>
          <w:rFonts w:hint="eastAsia" w:ascii="仿宋" w:hAnsi="仿宋" w:eastAsia="仿宋" w:cs="仿宋"/>
          <w:b/>
          <w:bCs w:val="0"/>
          <w:lang w:val="en-US" w:eastAsia="zh-CN"/>
        </w:rPr>
        <w:t>六、一般公共预算财政拨款基本支出决算情况说明</w:t>
      </w:r>
      <w:bookmarkEnd w:id="19"/>
      <w:bookmarkEnd w:id="20"/>
    </w:p>
    <w:p>
      <w:pPr>
        <w:spacing w:line="580" w:lineRule="exact"/>
        <w:ind w:firstLine="640"/>
        <w:rPr>
          <w:rFonts w:hint="default" w:ascii="仿宋_GB2312"/>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71.57</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63.41</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w:t>
      </w:r>
      <w:r>
        <w:rPr>
          <w:rFonts w:hint="eastAsia" w:ascii="仿宋_GB2312"/>
          <w:szCs w:val="32"/>
          <w:lang w:val="en-US" w:eastAsia="zh-CN"/>
        </w:rPr>
        <w:t>括办公费25.95万元</w:t>
      </w:r>
      <w:r>
        <w:rPr>
          <w:rFonts w:ascii="仿宋_GB2312"/>
          <w:szCs w:val="32"/>
        </w:rPr>
        <w:t>；</w:t>
      </w:r>
      <w:r>
        <w:rPr>
          <w:rFonts w:hint="eastAsia" w:ascii="仿宋_GB2312"/>
          <w:szCs w:val="32"/>
        </w:rPr>
        <w:t>津贴补贴</w:t>
      </w:r>
      <w:r>
        <w:rPr>
          <w:rFonts w:hint="eastAsia" w:ascii="仿宋_GB2312"/>
          <w:szCs w:val="32"/>
          <w:lang w:val="en-US" w:eastAsia="zh-CN"/>
        </w:rPr>
        <w:t>20.39万元；奖金2.16万元；机关事业单位基本养老保险缴费7.20万元；职工基本医疗保险缴费2.23万元；其他社会保障缴费1万元；住房公积金4.49万元；</w:t>
      </w:r>
      <w:r>
        <w:rPr>
          <w:rFonts w:hint="eastAsia" w:ascii="仿宋_GB2312"/>
          <w:szCs w:val="32"/>
        </w:rPr>
        <w:t>公用</w:t>
      </w:r>
      <w:r>
        <w:rPr>
          <w:rFonts w:ascii="仿宋_GB2312"/>
          <w:szCs w:val="32"/>
        </w:rPr>
        <w:t>经费</w:t>
      </w:r>
      <w:r>
        <w:rPr>
          <w:rFonts w:hint="eastAsia" w:ascii="仿宋_GB2312"/>
          <w:szCs w:val="32"/>
          <w:lang w:val="en-US" w:eastAsia="zh-CN"/>
        </w:rPr>
        <w:t>8.16</w:t>
      </w:r>
      <w:r>
        <w:rPr>
          <w:rFonts w:hint="eastAsia" w:ascii="仿宋_GB2312"/>
          <w:szCs w:val="32"/>
        </w:rPr>
        <w:t>万元</w:t>
      </w:r>
      <w:r>
        <w:rPr>
          <w:rFonts w:ascii="仿宋_GB2312"/>
          <w:szCs w:val="32"/>
        </w:rPr>
        <w:t>，主要包括</w:t>
      </w:r>
      <w:r>
        <w:rPr>
          <w:rFonts w:hint="eastAsia" w:ascii="仿宋_GB2312"/>
          <w:szCs w:val="32"/>
        </w:rPr>
        <w:t>办公费</w:t>
      </w:r>
      <w:r>
        <w:rPr>
          <w:rFonts w:hint="eastAsia" w:ascii="仿宋_GB2312"/>
          <w:szCs w:val="32"/>
          <w:lang w:val="en-US" w:eastAsia="zh-CN"/>
        </w:rPr>
        <w:t>3.6万元，工会经费0.42万元，其他交通费用4.14万元。</w:t>
      </w:r>
    </w:p>
    <w:p>
      <w:pPr>
        <w:spacing w:line="580" w:lineRule="exact"/>
        <w:ind w:left="0" w:leftChars="0" w:firstLine="640" w:firstLineChars="20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1243.54</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ind w:firstLine="640"/>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b w:val="0"/>
          <w:bCs/>
          <w:color w:val="auto"/>
          <w:szCs w:val="32"/>
        </w:rPr>
        <w:t>本部门无三公经费。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9078"/>
      <w:bookmarkStart w:id="24" w:name="_Toc1792"/>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ind w:firstLine="640" w:firstLineChars="200"/>
        <w:rPr>
          <w:rFonts w:hint="default"/>
          <w:b/>
          <w:bCs/>
          <w:sz w:val="32"/>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8.16</w:t>
      </w:r>
      <w:r>
        <w:rPr>
          <w:rFonts w:hint="eastAsia" w:ascii="仿宋_GB2312" w:hAnsi="宋体"/>
          <w:szCs w:val="32"/>
        </w:rPr>
        <w:t>万元比20</w:t>
      </w:r>
      <w:r>
        <w:rPr>
          <w:rFonts w:hint="eastAsia" w:ascii="仿宋_GB2312" w:hAnsi="宋体"/>
          <w:szCs w:val="32"/>
          <w:lang w:val="en-US" w:eastAsia="zh-CN"/>
        </w:rPr>
        <w:t>20年</w:t>
      </w:r>
      <w:r>
        <w:rPr>
          <w:rFonts w:hint="eastAsia" w:ascii="仿宋_GB2312" w:hAnsi="宋体"/>
          <w:szCs w:val="32"/>
        </w:rPr>
        <w:t>减少</w:t>
      </w:r>
      <w:r>
        <w:rPr>
          <w:rFonts w:hint="eastAsia" w:ascii="仿宋_GB2312" w:hAnsi="宋体"/>
          <w:szCs w:val="32"/>
          <w:lang w:val="en-US" w:eastAsia="zh-CN"/>
        </w:rPr>
        <w:t>8.09</w:t>
      </w:r>
      <w:r>
        <w:rPr>
          <w:rFonts w:hint="eastAsia" w:ascii="仿宋_GB2312" w:hAnsi="宋体"/>
          <w:szCs w:val="32"/>
        </w:rPr>
        <w:t>万元，降低</w:t>
      </w:r>
      <w:r>
        <w:rPr>
          <w:rFonts w:hint="eastAsia" w:ascii="仿宋_GB2312" w:hAnsi="宋体"/>
          <w:szCs w:val="32"/>
          <w:lang w:val="en-US" w:eastAsia="zh-CN"/>
        </w:rPr>
        <w:t>99.15</w:t>
      </w:r>
      <w:r>
        <w:rPr>
          <w:rFonts w:hint="eastAsia" w:ascii="仿宋_GB2312" w:hAnsi="宋体"/>
          <w:szCs w:val="32"/>
        </w:rPr>
        <w:t>%。主要原因是</w:t>
      </w:r>
      <w:r>
        <w:rPr>
          <w:rFonts w:hint="eastAsia" w:ascii="仿宋" w:hAnsi="仿宋" w:eastAsia="仿宋" w:cs="仿宋"/>
          <w:sz w:val="30"/>
          <w:szCs w:val="30"/>
        </w:rPr>
        <w:t>主要为保障本单位运行用于购买办公用品</w:t>
      </w:r>
      <w:r>
        <w:rPr>
          <w:rFonts w:hint="eastAsia" w:ascii="仿宋" w:hAnsi="仿宋" w:eastAsia="仿宋" w:cs="仿宋"/>
          <w:sz w:val="30"/>
          <w:szCs w:val="30"/>
          <w:lang w:eastAsia="zh-CN"/>
        </w:rPr>
        <w:t>、</w:t>
      </w:r>
      <w:r>
        <w:rPr>
          <w:rFonts w:hint="eastAsia" w:ascii="仿宋" w:hAnsi="仿宋" w:eastAsia="仿宋" w:cs="仿宋"/>
          <w:sz w:val="30"/>
          <w:szCs w:val="30"/>
        </w:rPr>
        <w:t>耗材等支出。</w:t>
      </w:r>
    </w:p>
    <w:p>
      <w:pPr>
        <w:spacing w:line="580" w:lineRule="exact"/>
        <w:ind w:firstLine="640"/>
        <w:rPr>
          <w:rFonts w:hint="eastAsia"/>
          <w:b/>
          <w:szCs w:val="32"/>
        </w:rPr>
      </w:pPr>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eastAsia="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w:t>
      </w:r>
      <w:r>
        <w:rPr>
          <w:rFonts w:hint="eastAsia" w:ascii="仿宋_GB2312"/>
          <w:color w:val="auto"/>
          <w:szCs w:val="32"/>
        </w:rPr>
        <w:t>额</w:t>
      </w:r>
      <w:r>
        <w:rPr>
          <w:rFonts w:hint="eastAsia" w:ascii="仿宋_GB2312"/>
          <w:color w:val="auto"/>
          <w:szCs w:val="32"/>
          <w:lang w:val="en-US" w:eastAsia="zh-CN"/>
        </w:rPr>
        <w:t>5.26</w:t>
      </w:r>
      <w:r>
        <w:rPr>
          <w:rFonts w:hint="eastAsia" w:ascii="仿宋_GB2312"/>
          <w:color w:val="auto"/>
          <w:szCs w:val="32"/>
        </w:rPr>
        <w:t>万元，</w:t>
      </w:r>
      <w:r>
        <w:rPr>
          <w:rFonts w:hint="eastAsia" w:ascii="仿宋_GB2312"/>
          <w:szCs w:val="32"/>
        </w:rPr>
        <w:t>其中：政府采购货物支出</w:t>
      </w:r>
      <w:r>
        <w:rPr>
          <w:rFonts w:hint="eastAsia" w:ascii="仿宋_GB2312"/>
          <w:szCs w:val="32"/>
          <w:lang w:val="en-US" w:eastAsia="zh-CN"/>
        </w:rPr>
        <w:t>5.26</w:t>
      </w:r>
      <w:r>
        <w:rPr>
          <w:rFonts w:hint="eastAsia" w:ascii="仿宋_GB2312"/>
          <w:szCs w:val="32"/>
        </w:rPr>
        <w:t>万元</w:t>
      </w:r>
      <w:r>
        <w:rPr>
          <w:rFonts w:hint="eastAsia" w:ascii="仿宋_GB2312"/>
          <w:szCs w:val="32"/>
          <w:lang w:eastAsia="zh-CN"/>
        </w:rPr>
        <w:t>。</w:t>
      </w:r>
      <w:r>
        <w:rPr>
          <w:rFonts w:hint="eastAsia" w:ascii="仿宋_GB2312"/>
          <w:szCs w:val="32"/>
        </w:rPr>
        <w:t>占政府采购支出总额的</w:t>
      </w:r>
      <w:r>
        <w:rPr>
          <w:rFonts w:hint="eastAsia" w:ascii="仿宋_GB2312"/>
          <w:szCs w:val="32"/>
          <w:lang w:val="en-US" w:eastAsia="zh-CN"/>
        </w:rPr>
        <w:t>100</w:t>
      </w:r>
      <w:r>
        <w:rPr>
          <w:rFonts w:ascii="仿宋_GB2312"/>
          <w:szCs w:val="32"/>
        </w:rPr>
        <w:t>%</w:t>
      </w:r>
    </w:p>
    <w:p>
      <w:pPr>
        <w:rPr>
          <w:rFonts w:hint="eastAsia"/>
          <w:b/>
          <w:bCs/>
        </w:rPr>
      </w:pPr>
      <w:bookmarkStart w:id="27" w:name="_Toc19975"/>
      <w:r>
        <w:rPr>
          <w:rFonts w:hint="eastAsia"/>
          <w:b/>
          <w:bCs/>
        </w:rPr>
        <w:t>（三）国有资产占用情况说明</w:t>
      </w:r>
      <w:bookmarkEnd w:id="27"/>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w:t>
      </w:r>
      <w:r>
        <w:rPr>
          <w:rFonts w:hint="eastAsia" w:ascii="仿宋_GB2312"/>
          <w:szCs w:val="32"/>
          <w:lang w:val="en-US" w:eastAsia="zh-CN"/>
        </w:rPr>
        <w:t>无</w:t>
      </w:r>
      <w:r>
        <w:rPr>
          <w:rFonts w:hint="eastAsia" w:ascii="仿宋_GB2312"/>
          <w:szCs w:val="32"/>
        </w:rPr>
        <w:t>车辆</w:t>
      </w:r>
      <w:r>
        <w:rPr>
          <w:rFonts w:hint="eastAsia" w:ascii="仿宋_GB2312"/>
          <w:szCs w:val="32"/>
          <w:lang w:eastAsia="zh-CN"/>
        </w:rPr>
        <w:t>，</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仿宋_GB2312" w:eastAsia="仿宋_GB2312" w:cs="仿宋_GB2312"/>
          <w:sz w:val="32"/>
          <w:szCs w:val="32"/>
          <w:lang w:val="en-US" w:eastAsia="zh-CN"/>
        </w:rPr>
        <w:t>应当按照如下格式说明：根据预算绩效管理要求，我部门组织对202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1285.56</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97.75</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w:t>
      </w:r>
      <w:r>
        <w:rPr>
          <w:rFonts w:ascii="仿宋_GB2312" w:hAnsi="仿宋_GB2312" w:eastAsia="仿宋_GB2312" w:cs="仿宋_GB2312"/>
          <w:color w:val="auto"/>
          <w:sz w:val="32"/>
          <w:u w:val="none"/>
        </w:rPr>
        <w:t>2019年煤改电配套资金</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88.88</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50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50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%。项目绩效目标完成情况：实施冬季清洁取暖“煤改电”热源设备及安装项目，改造县城规划区范围内的集中供热无法送达的区域居民住户，确保采暖期连续稳定供热，保护大气，减少燃煤产生的污染</w:t>
      </w:r>
      <w:r>
        <w:rPr>
          <w:rFonts w:hint="eastAsia" w:ascii="仿宋_GB2312" w:hAnsi="仿宋_GB2312" w:cs="仿宋_GB2312"/>
          <w:sz w:val="32"/>
          <w:szCs w:val="32"/>
          <w:lang w:val="en-US" w:eastAsia="zh-CN"/>
        </w:rPr>
        <w:t>，预算执行率：100%；供热户数：1000；供热温度：16；供暖期：5；节能减排，国家能源改革方向，会持续推广：节能减排</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。下一步改进措施：一是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color w:val="auto"/>
          <w:sz w:val="32"/>
          <w:u w:val="none"/>
        </w:rPr>
        <w:t>2019年煤改电配套资金</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项目绩效自评综述：综合考虑预算执行情况、产出、效益、服务对象满意度各方面因素，通过数据采集及分析，最终评分结果：2019年煤改电配套资金项目绩效自评价结果为:总得分88.88分，属于"良好"。</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color w:val="auto"/>
          <w:sz w:val="32"/>
          <w:u w:val="none"/>
          <w:lang w:val="en-US" w:eastAsia="zh-CN"/>
        </w:rPr>
        <w:t>2、静乐县2021年“煤改电“设备项目</w:t>
      </w:r>
      <w:r>
        <w:rPr>
          <w:rFonts w:hint="eastAsia" w:ascii="仿宋_GB2312" w:hAnsi="仿宋_GB2312" w:eastAsia="仿宋_GB2312" w:cs="仿宋_GB2312"/>
          <w:sz w:val="32"/>
          <w:szCs w:val="32"/>
          <w:lang w:val="en-US" w:eastAsia="zh-CN"/>
        </w:rPr>
        <w:t>绩效自评综述：根据年初设定的绩效目标，项目自评得分为</w:t>
      </w:r>
      <w:r>
        <w:rPr>
          <w:rFonts w:hint="eastAsia" w:ascii="仿宋_GB2312" w:hAnsi="仿宋_GB2312" w:cs="仿宋_GB2312"/>
          <w:sz w:val="32"/>
          <w:szCs w:val="32"/>
          <w:lang w:val="en-US" w:eastAsia="zh-CN"/>
        </w:rPr>
        <w:t>99.21</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852.69</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852.69</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%。项目绩效目标完成情况：3匹70台，5匹91台，6匹34台，8匹23台，16匹37台，25匹31台，50匹28台，共计314台设备安装到位</w:t>
      </w:r>
      <w:r>
        <w:rPr>
          <w:rFonts w:hint="eastAsia" w:ascii="仿宋_GB2312" w:hAnsi="仿宋_GB2312" w:cs="仿宋_GB2312"/>
          <w:sz w:val="32"/>
          <w:szCs w:val="32"/>
          <w:lang w:val="en-US" w:eastAsia="zh-CN"/>
        </w:rPr>
        <w:t>，算执行率：100%；安装设备个数：314；涉及用户：655；设备合格率（%）：95；安装时效：11；设备可持续使用年限：15年。</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。下一步改进措施：一是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静乐县2021年“煤改电“设备项目绩效自评综述：综合考虑预算执行情况、产出、效益、服务对象满意度各方面因素，通过数据采集及分析，最终评分结果：静乐县2021年“煤改电“设备项目项目绩效自评价结果为:总得分99.21分，属于"优秀"。</w:t>
      </w:r>
    </w:p>
    <w:p>
      <w:pPr>
        <w:numPr>
          <w:ilvl w:val="0"/>
          <w:numId w:val="2"/>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color w:val="auto"/>
          <w:sz w:val="32"/>
          <w:u w:val="none"/>
          <w:lang w:val="en-US" w:eastAsia="zh-CN"/>
        </w:rPr>
        <w:t>能源局2020年冬季清洁取暖</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89.69</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251.87</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251.87</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w:t>
      </w:r>
      <w:r>
        <w:rPr>
          <w:lang w:eastAsia="zh-CN"/>
        </w:rPr>
        <w:t>实施冬季清洁取暖“煤改电”热源设备及安装项目，改造县城规划区范围内的集中供热无法送达的区域，确保采暖期连续稳定供热，保护大气，减少燃煤产生的污染</w:t>
      </w:r>
      <w:r>
        <w:rPr>
          <w:rFonts w:hint="eastAsia"/>
          <w:lang w:eastAsia="zh-CN"/>
        </w:rPr>
        <w:t>，供热温度：16；供暖期：5；供热成本：251.87；取暖费用补贴：取暖费用补贴；保障乡镇冬季供暖：保障乡镇冬季供暖=100%；减轻污染，保护大气：减轻污染；节能减排，国家能源改革大方向，会持续推广：节能减排；供暖乡镇：13</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。下一步改进措施：一是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ind w:firstLine="640" w:firstLineChars="200"/>
        <w:rPr>
          <w:lang w:eastAsia="zh-CN"/>
        </w:rPr>
      </w:pPr>
      <w:r>
        <w:rPr>
          <w:rFonts w:hint="eastAsia" w:ascii="仿宋_GB2312" w:hAnsi="仿宋_GB2312" w:eastAsia="仿宋_GB2312" w:cs="仿宋_GB2312"/>
          <w:sz w:val="32"/>
          <w:szCs w:val="32"/>
          <w:lang w:val="en-US" w:eastAsia="zh-CN"/>
        </w:rPr>
        <w:t xml:space="preserve"> 能源局2020年冬季清洁取暖项目绩效自评综述：</w:t>
      </w:r>
      <w:r>
        <w:rPr>
          <w:rFonts w:hint="eastAsia"/>
          <w:lang w:eastAsia="zh-CN"/>
        </w:rPr>
        <w:t>综合考虑预算执行情况、产出、效益、服务对象满意度各方面因素，通过数据采集及分析，最终评分结果：</w:t>
      </w:r>
      <w:r>
        <w:rPr>
          <w:color w:val="auto"/>
          <w:u w:val="none"/>
        </w:rPr>
        <w:t>能源局2020年冬季清洁取暖</w:t>
      </w:r>
      <w:r>
        <w:rPr>
          <w:rFonts w:hint="eastAsia"/>
          <w:lang w:eastAsia="zh-CN"/>
        </w:rPr>
        <w:t>项目绩效自评价结果为:总得分</w:t>
      </w:r>
      <w:r>
        <w:rPr>
          <w:color w:val="auto"/>
          <w:u w:val="none"/>
        </w:rPr>
        <w:t>89.69</w:t>
      </w:r>
      <w:r>
        <w:rPr>
          <w:rFonts w:hint="eastAsia"/>
          <w:lang w:eastAsia="zh-CN"/>
        </w:rPr>
        <w:t>分，属于"</w:t>
      </w:r>
      <w:r>
        <w:rPr>
          <w:color w:val="auto"/>
          <w:u w:val="none"/>
        </w:rPr>
        <w:t>良好</w:t>
      </w:r>
      <w:r>
        <w:rPr>
          <w:rFonts w:hint="eastAsia"/>
          <w:lang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color w:val="auto"/>
          <w:sz w:val="32"/>
          <w:u w:val="none"/>
          <w:lang w:val="en-US" w:eastAsia="zh-CN"/>
        </w:rPr>
        <w:t>4、专款（忻财资环【2021】87号）关于下达2021年冬季清洁取暖第一批补助资金的通知</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99.17</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131</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%。项目绩效目标完成情况：“煤改电”清洁取暖工程设备采购，执行全市统一标准，选用空气源热泵类电采暖设备</w:t>
      </w:r>
      <w:r>
        <w:rPr>
          <w:rFonts w:hint="eastAsia" w:ascii="仿宋_GB2312" w:hAnsi="仿宋_GB2312" w:cs="仿宋_GB2312"/>
          <w:sz w:val="32"/>
          <w:szCs w:val="32"/>
          <w:lang w:val="en-US" w:eastAsia="zh-CN"/>
        </w:rPr>
        <w:t>，质量控制：市级负责设备的统一采购、资金的统一结算；实施期限：9；成本管控：市级负责设备的统一采购、资金的统一结算；经济成本节约：执行全市统一标准；完成户数：655；预算执行率：100%。</w:t>
      </w:r>
      <w:r>
        <w:rPr>
          <w:rFonts w:hint="eastAsia" w:ascii="仿宋_GB2312" w:hAnsi="仿宋_GB2312" w:eastAsia="仿宋_GB2312" w:cs="仿宋_GB2312"/>
          <w:sz w:val="32"/>
          <w:szCs w:val="32"/>
          <w:lang w:val="en-US" w:eastAsia="zh-CN"/>
        </w:rPr>
        <w:t>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。下一步改进措施：一是</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color w:val="auto"/>
          <w:sz w:val="32"/>
          <w:u w:val="none"/>
          <w:lang w:val="en-US" w:eastAsia="zh-CN"/>
        </w:rPr>
        <w:t>专款（忻财资环【2021】87号）关于下达2021年冬季清洁取暖第一批补助资金的通知</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专款（忻财资环【2021】87号）关于下达2021年冬季清洁取暖第一批补助资金的通知项目绩效自评价结果为:总得分99.17分，属于"优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（公开项目对应的绩效自评价评分表以附件形式公开）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28" w:name="_Toc28108"/>
      <w:bookmarkStart w:id="29" w:name="_Toc8450"/>
      <w:r>
        <w:rPr>
          <w:rFonts w:hint="eastAsia" w:ascii="仿宋_GB2312"/>
          <w:b/>
          <w:szCs w:val="32"/>
        </w:rPr>
        <w:t>其他需要说明的事项</w:t>
      </w:r>
      <w:bookmarkEnd w:id="28"/>
      <w:bookmarkEnd w:id="29"/>
    </w:p>
    <w:p>
      <w:pPr>
        <w:pStyle w:val="2"/>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单位名称：静乐县能源局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011D5"/>
    <w:multiLevelType w:val="singleLevel"/>
    <w:tmpl w:val="AF4011D5"/>
    <w:lvl w:ilvl="0" w:tentative="0">
      <w:start w:val="3"/>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02E0278"/>
    <w:rsid w:val="03696819"/>
    <w:rsid w:val="04972B47"/>
    <w:rsid w:val="06A566C2"/>
    <w:rsid w:val="09A06D6C"/>
    <w:rsid w:val="0B4C32EA"/>
    <w:rsid w:val="0D1C2D85"/>
    <w:rsid w:val="10806ECA"/>
    <w:rsid w:val="123F7F5C"/>
    <w:rsid w:val="16654CDD"/>
    <w:rsid w:val="1A441935"/>
    <w:rsid w:val="1A4A5C33"/>
    <w:rsid w:val="21EC24CB"/>
    <w:rsid w:val="22BC3245"/>
    <w:rsid w:val="24343902"/>
    <w:rsid w:val="24E55078"/>
    <w:rsid w:val="25862518"/>
    <w:rsid w:val="25E20BBB"/>
    <w:rsid w:val="26697C4F"/>
    <w:rsid w:val="2701594C"/>
    <w:rsid w:val="27426717"/>
    <w:rsid w:val="28B21086"/>
    <w:rsid w:val="28EA22D9"/>
    <w:rsid w:val="2B7C219B"/>
    <w:rsid w:val="2FD43C93"/>
    <w:rsid w:val="33354588"/>
    <w:rsid w:val="37943B50"/>
    <w:rsid w:val="3821117E"/>
    <w:rsid w:val="382807E5"/>
    <w:rsid w:val="3CCD55DE"/>
    <w:rsid w:val="3D1968B7"/>
    <w:rsid w:val="42C12CEC"/>
    <w:rsid w:val="43551397"/>
    <w:rsid w:val="44401A62"/>
    <w:rsid w:val="464C6A13"/>
    <w:rsid w:val="495520D0"/>
    <w:rsid w:val="4A012068"/>
    <w:rsid w:val="4F8B2438"/>
    <w:rsid w:val="4FF94501"/>
    <w:rsid w:val="520157C8"/>
    <w:rsid w:val="53A30631"/>
    <w:rsid w:val="54EF555C"/>
    <w:rsid w:val="56615A6D"/>
    <w:rsid w:val="5A7A1807"/>
    <w:rsid w:val="5BE106D2"/>
    <w:rsid w:val="5BF114F9"/>
    <w:rsid w:val="5E312BB5"/>
    <w:rsid w:val="5EC01F6A"/>
    <w:rsid w:val="60560DE3"/>
    <w:rsid w:val="63AB51DF"/>
    <w:rsid w:val="649C6DC9"/>
    <w:rsid w:val="697505DA"/>
    <w:rsid w:val="6B6D0CE6"/>
    <w:rsid w:val="6C4235B4"/>
    <w:rsid w:val="6D4A1658"/>
    <w:rsid w:val="6F0168FB"/>
    <w:rsid w:val="6F155EEC"/>
    <w:rsid w:val="715A78E4"/>
    <w:rsid w:val="716351FC"/>
    <w:rsid w:val="725C7A50"/>
    <w:rsid w:val="7439335F"/>
    <w:rsid w:val="77140E5E"/>
    <w:rsid w:val="7761744D"/>
    <w:rsid w:val="7BC0242A"/>
    <w:rsid w:val="7FB86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4348</Words>
  <Characters>5065</Characters>
  <Lines>0</Lines>
  <Paragraphs>0</Paragraphs>
  <TotalTime>9</TotalTime>
  <ScaleCrop>false</ScaleCrop>
  <LinksUpToDate>false</LinksUpToDate>
  <CharactersWithSpaces>5162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2022-07-29T03:52:02Z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CE6DD46DB72F4A0D833232136AD9111D</vt:lpwstr>
  </property>
</Properties>
</file>