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编办2021年、2022年索超媛房屋租赁费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中共静乐县委机构编制委员会办公室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中共静乐县委机构编制委员会办公室-020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为选派”墩苗“干部提供必要的房屋租赁费。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今省委组织部选派到编办的“墩苗"干部索超媛同志根据省委组织部和省财政厅《关于省直机关异地交流任职干部有关福利待遇的通知》（晋财行【2019】173号）文件规定，县要为选派干部提供必要的房屋租金等费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严格按文件、财务制度执行。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根据租房协议分批次发放。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省委组织部选派到编办的“墩苗"干部索超媛同志根据省委组织部和省财政厅《关于省直机关异地交流任职干部有关福利待遇的通知》（晋财行【2019】173号）文件规定，县要为选派干部提供必要的房屋租金等费用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省委组织部选派到编办的“墩苗"干部索超媛同志根据省委组织部和省财政厅《关于省直机关异地交流任职干部有关福利待遇的通知》（晋财行【2019】173号）文件规定，县要为选派干部提供必要的房屋租金等费用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编办2021年、2022年索超媛房屋租赁费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88.81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使用年限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租赁场地面积数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租赁场地条件达标率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租赁场地到位及时性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租赁场地使用率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使用者满意度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对蹲苗干部编办负责人索超瑗房屋租赁补贴项目资金3万元，预算执行率100%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租赁场地面积数80平方米；使用年限2年。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租赁场地到位及时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使用者满意度99%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租赁场地面积数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使用年限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租赁场地条件达标率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96.94%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12.46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租赁场地到位及时性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租赁场地使用率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93.75%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12.05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场地利用率不大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使用者满意度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68236F01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2022-09-15T03:46:39Z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