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静乐县人力资源和社会保障局</w:t>
      </w:r>
    </w:p>
    <w:p>
      <w:pPr>
        <w:pStyle w:val="4"/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2021年政府信息公开年度报告</w:t>
      </w:r>
    </w:p>
    <w:p>
      <w:pPr>
        <w:pStyle w:val="4"/>
        <w:widowControl/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pStyle w:val="4"/>
        <w:widowControl/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国务院办公厅政府信息与政务公开办公室关于印发《中华人民共和国政府信息公开工作年度报告格式》的通知（国办公开办函〔2021〕30号）和忻州市人力资源和社会保障局办公室《关于认真做好政府信息公开工作年报的督办通知》要求，编制静乐县人力资源和社会保障局2021年政府信息公开年度报告。本报告由政府信息公开总体情况、主动公开政府信息情况、收到和处理政府信息公开申请情况、政府信息公开工作被申请行政复议和提起行政诉讼情况、政府信息公开工作存在主要问题及改进情况五部分组成。报告所列数据统计期限自2021年1月1日起至2021年12月31日止。</w:t>
      </w:r>
    </w:p>
    <w:p>
      <w:pPr>
        <w:spacing w:line="6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lang w:bidi="ar"/>
        </w:rPr>
        <w:t>一、总体情况</w:t>
      </w:r>
    </w:p>
    <w:p>
      <w:pPr>
        <w:spacing w:line="6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lang w:bidi="ar"/>
        </w:rPr>
        <w:t>2021年，我局政府信息公开工作在县委、县政府的领导下，突出人力资源社会保障工作主旋律，紧扣关注民生、服务民生这个主题，大力加强组织领导，积极健全管理制度，狠抓工作落实，扎实推进政府信息公开工作，取得一定成效。</w:t>
      </w:r>
    </w:p>
    <w:p>
      <w:pPr>
        <w:spacing w:line="6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lang w:bidi="ar"/>
        </w:rPr>
        <w:t>2021年1月1日至12月31日，我局主动公开政府信息9条，主动公开政府信息主要涉及促进就业、职业培训、社会保障、人才引进、劳动权益等方面政策措施，均已在静乐县人民政府门户网站上公布。</w:t>
      </w:r>
    </w:p>
    <w:p>
      <w:pPr>
        <w:widowControl/>
        <w:spacing w:line="6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lang w:bidi="ar"/>
        </w:rPr>
        <w:t>为做好扩大就业、社会保障、人才队伍建设、人事制度改革、和谐劳动关系、人社扶贫等领域信息公开工作。通过“春风行动”、网络招聘会等招聘活动，同时开展政策宣讲“进校园、进企业”活动，在招聘会和各种活动现场发放宣传材料、宣传短片等多种方式，积极公开宣传推广各项政策。</w:t>
      </w:r>
    </w:p>
    <w:p>
      <w:pPr>
        <w:pStyle w:val="4"/>
        <w:widowControl/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二、主动公开政府信息情况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本年</w:t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现行有效件</w:t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</w:tbl>
    <w:p>
      <w:pPr>
        <w:pStyle w:val="4"/>
        <w:widowControl/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楷体"/>
                <w:kern w:val="0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商业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企业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科研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Calibri" w:hAnsi="Calibri" w:eastAsia="仿宋" w:cs="Calibri"/>
                <w:szCs w:val="21"/>
              </w:rPr>
              <w:t> 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Calibri" w:hAnsi="Calibri" w:eastAsia="仿宋" w:cs="Calibri"/>
                <w:szCs w:val="21"/>
              </w:rPr>
              <w:t> 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Calibri" w:hAnsi="Calibri" w:eastAsia="仿宋" w:cs="Calibri"/>
                <w:szCs w:val="21"/>
              </w:rPr>
              <w:t> 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Calibri" w:hAnsi="Calibri" w:eastAsia="仿宋" w:cs="Calibri"/>
                <w:szCs w:val="21"/>
              </w:rPr>
              <w:t> 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ascii="Calibri" w:hAnsi="Calibri" w:eastAsia="仿宋" w:cs="Calibri"/>
                <w:szCs w:val="21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Calibri" w:hAnsi="Calibri" w:eastAsia="仿宋" w:cs="Calibri"/>
                <w:szCs w:val="21"/>
              </w:rPr>
              <w:t> 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Calibri" w:hAnsi="Calibri" w:eastAsia="仿宋" w:cs="Calibri"/>
                <w:szCs w:val="21"/>
              </w:rPr>
              <w:t> 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Calibri" w:hAnsi="Calibri" w:eastAsia="仿宋" w:cs="Calibri"/>
                <w:szCs w:val="21"/>
              </w:rPr>
              <w:t> 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（二）部分公开</w:t>
            </w:r>
            <w:r>
              <w:rPr>
                <w:rFonts w:hint="eastAsia" w:ascii="仿宋" w:hAnsi="仿宋" w:eastAsia="仿宋" w:cs="楷体"/>
                <w:kern w:val="0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Calibri" w:hAnsi="Calibri" w:eastAsia="仿宋" w:cs="Calibri"/>
                <w:szCs w:val="21"/>
              </w:rPr>
              <w:t> 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Calibri" w:hAnsi="Calibri" w:eastAsia="仿宋" w:cs="Calibri"/>
                <w:szCs w:val="21"/>
              </w:rPr>
              <w:t> 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2.重复申请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Calibri" w:hAnsi="Calibri" w:eastAsia="仿宋" w:cs="Calibri"/>
                <w:szCs w:val="21"/>
              </w:rPr>
              <w:t> 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Calibri" w:hAnsi="Calibri" w:eastAsia="仿宋" w:cs="Calibri"/>
                <w:szCs w:val="21"/>
              </w:rPr>
              <w:t> 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Calibri" w:hAnsi="Calibri" w:eastAsia="仿宋" w:cs="Calibri"/>
                <w:szCs w:val="21"/>
              </w:rPr>
              <w:t> 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Calibri" w:hAnsi="Calibri" w:eastAsia="仿宋" w:cs="Calibri"/>
                <w:szCs w:val="21"/>
              </w:rPr>
              <w:t> 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3.其他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Calibri" w:hAnsi="Calibri" w:eastAsia="仿宋" w:cs="Calibri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</w:tbl>
    <w:p>
      <w:pPr>
        <w:pStyle w:val="4"/>
        <w:widowControl/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Calibri"/>
                <w:kern w:val="0"/>
                <w:szCs w:val="21"/>
                <w:lang w:bidi="ar"/>
              </w:rPr>
            </w:pPr>
            <w:r>
              <w:rPr>
                <w:rFonts w:ascii="Calibri" w:hAnsi="Calibri" w:eastAsia="仿宋" w:cs="Calibri"/>
                <w:kern w:val="0"/>
                <w:szCs w:val="21"/>
                <w:lang w:bidi="ar"/>
              </w:rPr>
              <w:t> </w:t>
            </w:r>
            <w:r>
              <w:rPr>
                <w:rFonts w:ascii="仿宋" w:hAnsi="仿宋" w:eastAsia="仿宋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Calibri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Calibri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Calibri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Calibri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Calibri"/>
                <w:kern w:val="0"/>
                <w:szCs w:val="21"/>
                <w:lang w:bidi="ar"/>
              </w:rPr>
            </w:pPr>
            <w:r>
              <w:rPr>
                <w:rFonts w:ascii="Calibri" w:hAnsi="Calibri" w:eastAsia="仿宋" w:cs="Calibri"/>
                <w:kern w:val="0"/>
                <w:szCs w:val="21"/>
                <w:lang w:bidi="ar"/>
              </w:rPr>
              <w:t> </w:t>
            </w:r>
            <w:r>
              <w:rPr>
                <w:rFonts w:ascii="仿宋" w:hAnsi="仿宋" w:eastAsia="仿宋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Calibri"/>
                <w:kern w:val="0"/>
                <w:szCs w:val="21"/>
                <w:lang w:bidi="ar"/>
              </w:rPr>
            </w:pPr>
            <w:r>
              <w:rPr>
                <w:rFonts w:ascii="Calibri" w:hAnsi="Calibri" w:eastAsia="仿宋" w:cs="Calibri"/>
                <w:kern w:val="0"/>
                <w:szCs w:val="21"/>
                <w:lang w:bidi="ar"/>
              </w:rPr>
              <w:t> </w:t>
            </w:r>
            <w:r>
              <w:rPr>
                <w:rFonts w:ascii="仿宋" w:hAnsi="仿宋" w:eastAsia="仿宋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Calibri"/>
                <w:kern w:val="0"/>
                <w:szCs w:val="21"/>
                <w:lang w:bidi="ar"/>
              </w:rPr>
            </w:pPr>
            <w:r>
              <w:rPr>
                <w:rFonts w:ascii="Calibri" w:hAnsi="Calibri" w:eastAsia="仿宋" w:cs="Calibri"/>
                <w:kern w:val="0"/>
                <w:szCs w:val="21"/>
                <w:lang w:bidi="ar"/>
              </w:rPr>
              <w:t> </w:t>
            </w:r>
            <w:r>
              <w:rPr>
                <w:rFonts w:ascii="仿宋" w:hAnsi="仿宋" w:eastAsia="仿宋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Calibri"/>
                <w:kern w:val="0"/>
                <w:szCs w:val="21"/>
                <w:lang w:bidi="ar"/>
              </w:rPr>
            </w:pPr>
            <w:r>
              <w:rPr>
                <w:rFonts w:ascii="Calibri" w:hAnsi="Calibri" w:eastAsia="仿宋" w:cs="Calibri"/>
                <w:kern w:val="0"/>
                <w:szCs w:val="21"/>
                <w:lang w:bidi="ar"/>
              </w:rPr>
              <w:t> </w:t>
            </w:r>
            <w:r>
              <w:rPr>
                <w:rFonts w:ascii="仿宋" w:hAnsi="仿宋" w:eastAsia="仿宋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Calibri"/>
                <w:kern w:val="0"/>
                <w:szCs w:val="21"/>
                <w:lang w:bidi="ar"/>
              </w:rPr>
            </w:pPr>
            <w:r>
              <w:rPr>
                <w:rFonts w:ascii="Calibri" w:hAnsi="Calibri" w:eastAsia="仿宋" w:cs="Calibri"/>
                <w:kern w:val="0"/>
                <w:szCs w:val="21"/>
                <w:lang w:bidi="ar"/>
              </w:rPr>
              <w:t> </w:t>
            </w:r>
            <w:r>
              <w:rPr>
                <w:rFonts w:ascii="仿宋" w:hAnsi="仿宋" w:eastAsia="仿宋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Calibri"/>
                <w:kern w:val="0"/>
                <w:szCs w:val="21"/>
                <w:lang w:bidi="ar"/>
              </w:rPr>
            </w:pPr>
            <w:r>
              <w:rPr>
                <w:rFonts w:ascii="Calibri" w:hAnsi="Calibri" w:eastAsia="仿宋" w:cs="Calibri"/>
                <w:kern w:val="0"/>
                <w:szCs w:val="21"/>
                <w:lang w:bidi="ar"/>
              </w:rPr>
              <w:t> </w:t>
            </w:r>
            <w:r>
              <w:rPr>
                <w:rFonts w:ascii="仿宋" w:hAnsi="仿宋" w:eastAsia="仿宋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Calibri"/>
                <w:kern w:val="0"/>
                <w:szCs w:val="21"/>
                <w:lang w:bidi="ar"/>
              </w:rPr>
            </w:pPr>
            <w:r>
              <w:rPr>
                <w:rFonts w:ascii="Calibri" w:hAnsi="Calibri" w:eastAsia="仿宋" w:cs="Calibri"/>
                <w:kern w:val="0"/>
                <w:szCs w:val="21"/>
                <w:lang w:bidi="ar"/>
              </w:rPr>
              <w:t> </w:t>
            </w:r>
            <w:r>
              <w:rPr>
                <w:rFonts w:ascii="仿宋" w:hAnsi="仿宋" w:eastAsia="仿宋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Calibri"/>
                <w:kern w:val="0"/>
                <w:szCs w:val="21"/>
                <w:lang w:bidi="ar"/>
              </w:rPr>
            </w:pPr>
            <w:r>
              <w:rPr>
                <w:rFonts w:ascii="Calibri" w:hAnsi="Calibri" w:eastAsia="仿宋" w:cs="Calibri"/>
                <w:kern w:val="0"/>
                <w:szCs w:val="21"/>
                <w:lang w:bidi="ar"/>
              </w:rPr>
              <w:t> </w:t>
            </w:r>
            <w:r>
              <w:rPr>
                <w:rFonts w:ascii="仿宋" w:hAnsi="仿宋" w:eastAsia="仿宋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Calibri"/>
                <w:kern w:val="0"/>
                <w:szCs w:val="21"/>
                <w:lang w:bidi="ar"/>
              </w:rPr>
            </w:pPr>
            <w:r>
              <w:rPr>
                <w:rFonts w:ascii="Calibri" w:hAnsi="Calibri" w:eastAsia="仿宋" w:cs="Calibri"/>
                <w:kern w:val="0"/>
                <w:szCs w:val="21"/>
                <w:lang w:bidi="ar"/>
              </w:rPr>
              <w:t> </w:t>
            </w:r>
            <w:r>
              <w:rPr>
                <w:rFonts w:ascii="仿宋" w:hAnsi="仿宋" w:eastAsia="仿宋" w:cs="Calibri"/>
                <w:kern w:val="0"/>
                <w:szCs w:val="21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Calibri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lang w:bidi="ar"/>
              </w:rPr>
              <w:t>0</w:t>
            </w:r>
          </w:p>
        </w:tc>
      </w:tr>
    </w:tbl>
    <w:p>
      <w:pPr>
        <w:pStyle w:val="4"/>
        <w:widowControl/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五、政府信息公开工作存在的主要问题及改进情况</w:t>
      </w:r>
    </w:p>
    <w:p>
      <w:pPr>
        <w:pStyle w:val="4"/>
        <w:widowControl/>
        <w:wordWrap w:val="0"/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shd w:val="clear" w:color="auto" w:fill="FFFFFF"/>
        </w:rPr>
        <w:t>在今后的工作</w:t>
      </w:r>
      <w:r>
        <w:rPr>
          <w:rFonts w:ascii="仿宋" w:hAnsi="仿宋" w:eastAsia="仿宋" w:cs="仿宋_GB2312"/>
          <w:color w:val="333333"/>
          <w:sz w:val="30"/>
          <w:szCs w:val="30"/>
          <w:shd w:val="clear" w:color="auto" w:fill="FFFFFF"/>
        </w:rPr>
        <w:t>我局政府信息公开</w:t>
      </w:r>
      <w:bookmarkStart w:id="0" w:name="_GoBack"/>
      <w:bookmarkEnd w:id="0"/>
      <w:r>
        <w:rPr>
          <w:rFonts w:ascii="仿宋" w:hAnsi="仿宋" w:eastAsia="仿宋" w:cs="仿宋_GB2312"/>
          <w:color w:val="333333"/>
          <w:sz w:val="30"/>
          <w:szCs w:val="30"/>
          <w:shd w:val="clear" w:color="auto" w:fill="FFFFFF"/>
        </w:rPr>
        <w:t>工作中还存在薄弱环节和不足之处：一是公开内容需要进一步深化。主动公开的政务信息与公众的需求还存在一些距离</w:t>
      </w:r>
      <w:r>
        <w:rPr>
          <w:rFonts w:hint="eastAsia" w:ascii="仿宋" w:hAnsi="仿宋" w:eastAsia="仿宋" w:cs="仿宋_GB2312"/>
          <w:color w:val="333333"/>
          <w:sz w:val="30"/>
          <w:szCs w:val="30"/>
          <w:shd w:val="clear" w:color="auto" w:fill="FFFFFF"/>
        </w:rPr>
        <w:t>;二是公开形式的便民性需要进一步提高。我局虽在网站公开政府信息方面已取得一定进展，但公开形式还不够丰富，不能完全适应广大人民群众需要;三是宣传和引导工作需要进一步加强。</w:t>
      </w:r>
    </w:p>
    <w:p>
      <w:pPr>
        <w:pStyle w:val="4"/>
        <w:widowControl/>
        <w:wordWrap w:val="0"/>
        <w:spacing w:line="600" w:lineRule="exact"/>
        <w:ind w:firstLine="6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color w:val="333333"/>
          <w:sz w:val="30"/>
          <w:szCs w:val="30"/>
          <w:shd w:val="clear" w:color="auto" w:fill="FFFFFF"/>
        </w:rPr>
        <w:t>在今后的工作中要进一步深化政府信息公开内容，拓宽信息公开平台，保证政府信息网上公开等媒体渠道畅通。同时丰富公开形式，提高政务微博、微信、小程序等新媒体的利用率。</w:t>
      </w:r>
    </w:p>
    <w:p>
      <w:pPr>
        <w:pStyle w:val="4"/>
        <w:widowControl/>
        <w:spacing w:line="600" w:lineRule="exact"/>
        <w:rPr>
          <w:rFonts w:ascii="仿宋" w:hAnsi="仿宋" w:eastAsia="仿宋" w:cs="仿宋"/>
          <w:sz w:val="30"/>
          <w:szCs w:val="30"/>
        </w:rPr>
      </w:pPr>
    </w:p>
    <w:p>
      <w:pPr>
        <w:pStyle w:val="4"/>
        <w:widowControl/>
        <w:spacing w:line="600" w:lineRule="exact"/>
        <w:jc w:val="both"/>
        <w:rPr>
          <w:rFonts w:ascii="仿宋" w:hAnsi="仿宋" w:eastAsia="仿宋" w:cs="仿宋"/>
          <w:sz w:val="30"/>
          <w:szCs w:val="30"/>
        </w:rPr>
      </w:pPr>
    </w:p>
    <w:p>
      <w:pPr>
        <w:pStyle w:val="4"/>
        <w:widowControl/>
        <w:spacing w:line="600" w:lineRule="exact"/>
        <w:ind w:firstLine="3600" w:firstLineChars="12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静乐县人力资源和社会保障局</w:t>
      </w:r>
    </w:p>
    <w:p>
      <w:pPr>
        <w:pStyle w:val="4"/>
        <w:widowControl/>
        <w:spacing w:line="600" w:lineRule="exact"/>
        <w:ind w:firstLine="4200" w:firstLineChars="14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2022年1月27日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D055482-8CD1-4A4C-92C0-D6CB15E499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A6DA60-2AC2-44EE-8B28-3327F06319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D9D1CCB-7929-46CF-8E28-963687C8564A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F71447FB-D9D1-4692-85CE-E97399F0A91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74922C1-CFCE-46E0-80CF-DE53193D21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82"/>
    <w:rsid w:val="004B4359"/>
    <w:rsid w:val="00761311"/>
    <w:rsid w:val="00895E82"/>
    <w:rsid w:val="009773EE"/>
    <w:rsid w:val="00B71474"/>
    <w:rsid w:val="00CC5189"/>
    <w:rsid w:val="00D53147"/>
    <w:rsid w:val="00FE750B"/>
    <w:rsid w:val="183D49D4"/>
    <w:rsid w:val="1E27629D"/>
    <w:rsid w:val="1F2428D9"/>
    <w:rsid w:val="23CD253E"/>
    <w:rsid w:val="26FF2F64"/>
    <w:rsid w:val="270C0791"/>
    <w:rsid w:val="3304641E"/>
    <w:rsid w:val="3E183576"/>
    <w:rsid w:val="3F7869B6"/>
    <w:rsid w:val="629F32EE"/>
    <w:rsid w:val="6B1837B3"/>
    <w:rsid w:val="6E051E09"/>
    <w:rsid w:val="747340A2"/>
    <w:rsid w:val="7FB4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iPriority w:val="0"/>
    <w:rPr>
      <w:color w:val="333333"/>
      <w:u w:val="none"/>
    </w:rPr>
  </w:style>
  <w:style w:type="character" w:customStyle="1" w:styleId="10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icon07"/>
    <w:basedOn w:val="6"/>
    <w:uiPriority w:val="0"/>
  </w:style>
  <w:style w:type="character" w:customStyle="1" w:styleId="13">
    <w:name w:val="icon06"/>
    <w:basedOn w:val="6"/>
    <w:uiPriority w:val="0"/>
  </w:style>
  <w:style w:type="character" w:customStyle="1" w:styleId="14">
    <w:name w:val="act"/>
    <w:basedOn w:val="6"/>
    <w:uiPriority w:val="0"/>
    <w:rPr>
      <w:color w:val="FFFFFF"/>
      <w:shd w:val="clear" w:color="auto" w:fill="C31606"/>
    </w:rPr>
  </w:style>
  <w:style w:type="character" w:customStyle="1" w:styleId="15">
    <w:name w:val="icon01"/>
    <w:basedOn w:val="6"/>
    <w:uiPriority w:val="0"/>
    <w:rPr>
      <w:color w:val="777777"/>
      <w:sz w:val="27"/>
      <w:szCs w:val="27"/>
    </w:rPr>
  </w:style>
  <w:style w:type="character" w:customStyle="1" w:styleId="16">
    <w:name w:val="icon011"/>
    <w:basedOn w:val="6"/>
    <w:uiPriority w:val="0"/>
  </w:style>
  <w:style w:type="character" w:customStyle="1" w:styleId="17">
    <w:name w:val="icon02"/>
    <w:basedOn w:val="6"/>
    <w:uiPriority w:val="0"/>
    <w:rPr>
      <w:color w:val="777777"/>
    </w:rPr>
  </w:style>
  <w:style w:type="character" w:customStyle="1" w:styleId="18">
    <w:name w:val="icon021"/>
    <w:basedOn w:val="6"/>
    <w:uiPriority w:val="0"/>
  </w:style>
  <w:style w:type="character" w:customStyle="1" w:styleId="19">
    <w:name w:val="hover7"/>
    <w:basedOn w:val="6"/>
    <w:uiPriority w:val="0"/>
    <w:rPr>
      <w:color w:val="FFFFFF"/>
      <w:shd w:val="clear" w:color="auto" w:fill="C31606"/>
    </w:rPr>
  </w:style>
  <w:style w:type="character" w:customStyle="1" w:styleId="20">
    <w:name w:val="icon05"/>
    <w:basedOn w:val="6"/>
    <w:uiPriority w:val="0"/>
  </w:style>
  <w:style w:type="character" w:customStyle="1" w:styleId="21">
    <w:name w:val="icon03"/>
    <w:basedOn w:val="6"/>
    <w:uiPriority w:val="0"/>
  </w:style>
  <w:style w:type="character" w:customStyle="1" w:styleId="22">
    <w:name w:val="icon04"/>
    <w:basedOn w:val="6"/>
    <w:uiPriority w:val="0"/>
  </w:style>
  <w:style w:type="character" w:customStyle="1" w:styleId="23">
    <w:name w:val="bshare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335</Words>
  <Characters>1911</Characters>
  <Lines>15</Lines>
  <Paragraphs>4</Paragraphs>
  <TotalTime>5</TotalTime>
  <ScaleCrop>false</ScaleCrop>
  <LinksUpToDate>false</LinksUpToDate>
  <CharactersWithSpaces>2242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2022-01-27T04:57:00Z</dcterms:created>
  <dc:creator>Y</dc:creator>
  <cp:lastModifiedBy>xixihaha</cp:lastModifiedBy>
  <cp:lastPrinted>2022-01-18T08:44:00Z</cp:lastPrinted>
  <dcterms:modified xsi:type="dcterms:W3CDTF">2022-04-28T11:07:30Z</dcterms:modified>
  <dc:title>静乐县2021年政府信息公开年度报告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F217A521634448B5B5498D99A009972D</vt:lpwstr>
  </property>
</Properties>
</file>