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2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静乐县人民政府办公室</w:t>
      </w:r>
    </w:p>
    <w:p>
      <w:pPr>
        <w:pStyle w:val="4"/>
        <w:widowControl/>
        <w:spacing w:line="2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2021年政府信息公开年度报告</w:t>
      </w:r>
    </w:p>
    <w:p>
      <w:pPr>
        <w:pStyle w:val="4"/>
        <w:widowControl/>
        <w:spacing w:line="20" w:lineRule="atLeast"/>
        <w:jc w:val="center"/>
        <w:rPr>
          <w:rFonts w:asciiTheme="majorEastAsia" w:hAnsiTheme="majorEastAsia" w:eastAsiaTheme="majorEastAsia" w:cstheme="majorEastAsia"/>
          <w:b/>
          <w:bCs/>
          <w:sz w:val="44"/>
          <w:szCs w:val="44"/>
        </w:rPr>
      </w:pPr>
    </w:p>
    <w:p>
      <w:pPr>
        <w:pStyle w:val="4"/>
        <w:widowControl/>
        <w:spacing w:line="20" w:lineRule="atLeast"/>
        <w:rPr>
          <w:rFonts w:ascii="仿宋" w:hAnsi="仿宋" w:eastAsia="仿宋" w:cs="仿宋"/>
          <w:sz w:val="32"/>
          <w:szCs w:val="32"/>
        </w:rPr>
      </w:pPr>
      <w:r>
        <w:rPr>
          <w:rFonts w:hint="eastAsia" w:ascii="仿宋" w:hAnsi="仿宋" w:eastAsia="仿宋" w:cs="仿宋"/>
          <w:sz w:val="32"/>
          <w:szCs w:val="32"/>
        </w:rPr>
        <w:t>　　根据国务院办公厅政府信息与政务公开办公室关于印发《中华人民共和国政府信息公开工作年度报告格式》的通知（国办公开办函〔2021〕30号）和忻州市人民政府办公室《关于认真做好政府信息公开工作年报的督办通知》要求，编制静乐县人民政府2021年政府信息公开年度报告。本报告所列数据统计期限自2021年1月1日起至2021年12月31日止。</w:t>
      </w:r>
    </w:p>
    <w:p>
      <w:pPr>
        <w:pStyle w:val="4"/>
        <w:widowControl/>
        <w:spacing w:line="20" w:lineRule="atLeast"/>
        <w:rPr>
          <w:rFonts w:ascii="仿宋" w:hAnsi="仿宋" w:eastAsia="仿宋" w:cs="仿宋"/>
          <w:sz w:val="32"/>
          <w:szCs w:val="32"/>
        </w:rPr>
      </w:pPr>
      <w:r>
        <w:rPr>
          <w:rFonts w:hint="eastAsia" w:ascii="仿宋" w:hAnsi="仿宋" w:eastAsia="仿宋" w:cs="仿宋"/>
          <w:sz w:val="32"/>
          <w:szCs w:val="32"/>
        </w:rPr>
        <w:t>　　一、政府信息公开总体情况</w:t>
      </w:r>
    </w:p>
    <w:p>
      <w:pPr>
        <w:pStyle w:val="4"/>
        <w:widowControl/>
        <w:spacing w:line="20" w:lineRule="atLeast"/>
        <w:rPr>
          <w:rFonts w:ascii="仿宋" w:hAnsi="仿宋" w:eastAsia="仿宋" w:cs="仿宋"/>
          <w:sz w:val="32"/>
          <w:szCs w:val="32"/>
        </w:rPr>
      </w:pPr>
      <w:r>
        <w:rPr>
          <w:rFonts w:hint="eastAsia" w:ascii="仿宋" w:hAnsi="仿宋" w:eastAsia="仿宋" w:cs="仿宋"/>
          <w:sz w:val="32"/>
          <w:szCs w:val="32"/>
        </w:rPr>
        <w:t>　　2021年，静乐县人民政府办公室贯彻落实忻州市人民政府办公室《关于印发忻州市2021年政务公开工作实施方案的通知》（忻政办发〔2021〕55号）文件的决策部署，有效推进政府信息公开工作规范发展。进一步健全政府信息公开机制，提升政府信息公开质量，强化政策解读回应，深化重点领域信息公开，为优化营商环境，加快静乐乡村振兴和经济发展发挥了积极作用。</w:t>
      </w:r>
    </w:p>
    <w:p>
      <w:pPr>
        <w:pStyle w:val="4"/>
        <w:widowControl/>
        <w:spacing w:line="20" w:lineRule="atLeas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一是加强政府信息公开组织领导，不断优化政府信息公开工作机制。</w:t>
      </w:r>
      <w:r>
        <w:rPr>
          <w:rFonts w:hint="eastAsia" w:ascii="仿宋" w:hAnsi="仿宋" w:eastAsia="仿宋" w:cs="仿宋"/>
          <w:sz w:val="32"/>
          <w:szCs w:val="32"/>
        </w:rPr>
        <w:t>确定政府办公室统筹政府信息公开工作，明确分管领导负责政府信息公开工作管理，履行政府信息公开工作领导职责。强化信息公开业务能力培训，积极参加省市政府信息公开培训，全面提升政府信息公开业务能力水平。持续强化政府信息公开规范性文件学习，逐步完善了政府门户网站栏目的开办，充实了专题专栏内容，不断提升政府信息公开规范化水平。全年主动公开政府信息7</w:t>
      </w:r>
      <w:r>
        <w:rPr>
          <w:rFonts w:ascii="仿宋" w:hAnsi="仿宋" w:eastAsia="仿宋" w:cs="仿宋"/>
          <w:sz w:val="32"/>
          <w:szCs w:val="32"/>
        </w:rPr>
        <w:t>015</w:t>
      </w:r>
      <w:r>
        <w:rPr>
          <w:rFonts w:hint="eastAsia" w:ascii="仿宋" w:hAnsi="仿宋" w:eastAsia="仿宋" w:cs="仿宋"/>
          <w:sz w:val="32"/>
          <w:szCs w:val="32"/>
        </w:rPr>
        <w:t>条，通过政府门户网站公开政府信息2079条，政务微博公开4306条。</w:t>
      </w:r>
    </w:p>
    <w:p>
      <w:pPr>
        <w:pStyle w:val="4"/>
        <w:widowControl/>
        <w:spacing w:line="20" w:lineRule="atLeas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二是继续加大对涉及群众切身利益和政府权力运行相关信息的公开力度，主动公开信息质量得到了提升。</w:t>
      </w:r>
      <w:r>
        <w:rPr>
          <w:rFonts w:hint="eastAsia" w:ascii="仿宋" w:hAnsi="仿宋" w:eastAsia="仿宋" w:cs="仿宋"/>
          <w:sz w:val="32"/>
          <w:szCs w:val="32"/>
        </w:rPr>
        <w:t>及时更新责任范围内的政府门户网站信息内容，坚决杜绝空白栏目、预警信息等问题的出现，提高政府门户网站服务水平，保障群众通过网络平台获取信息的权力。认真做好政务微博、微信公众号等政务新媒体的管理工作，确保政府信息公开工作能够有序开展，全方位提升信息公开受众群体以及舆论引导能力，方便群众和企业办事，提高群众满意度。</w:t>
      </w:r>
    </w:p>
    <w:p>
      <w:pPr>
        <w:pStyle w:val="4"/>
        <w:widowControl/>
        <w:spacing w:line="20" w:lineRule="atLeas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三是深化重点领域信息公开，加大政策解读回应力度。</w:t>
      </w:r>
      <w:r>
        <w:rPr>
          <w:rFonts w:hint="eastAsia" w:ascii="仿宋" w:hAnsi="仿宋" w:eastAsia="仿宋" w:cs="仿宋"/>
          <w:sz w:val="32"/>
          <w:szCs w:val="32"/>
        </w:rPr>
        <w:t>2021年，全县公开政府文件、应急管理、人事信息、生态环境、财政信息、政府数据、食品药品、安全生产、扶贫信息、公共服务等重点领域信息217条，发布政策解读稿件69篇次，答复政民互动信息113条，回应民生热点问题8次，政务热线12345全年回复1429件，完成率100%。</w:t>
      </w:r>
    </w:p>
    <w:p>
      <w:pPr>
        <w:pStyle w:val="4"/>
        <w:widowControl/>
        <w:spacing w:line="20" w:lineRule="atLeast"/>
        <w:rPr>
          <w:rFonts w:ascii="仿宋" w:hAnsi="仿宋" w:eastAsia="仿宋" w:cs="仿宋"/>
          <w:sz w:val="32"/>
          <w:szCs w:val="32"/>
        </w:rPr>
      </w:pPr>
      <w:r>
        <w:rPr>
          <w:rFonts w:hint="eastAsia" w:ascii="仿宋" w:hAnsi="仿宋" w:eastAsia="仿宋" w:cs="仿宋"/>
          <w:sz w:val="32"/>
          <w:szCs w:val="32"/>
        </w:rPr>
        <w:t>　　二、主动公开政府信息情况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19</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19</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105</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105</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Cs w:val="21"/>
              </w:rPr>
            </w:pPr>
            <w:r>
              <w:rPr>
                <w:rFonts w:ascii="宋体"/>
                <w:szCs w:val="21"/>
              </w:rPr>
              <w:t>0</w:t>
            </w:r>
          </w:p>
        </w:tc>
      </w:tr>
    </w:tbl>
    <w:p>
      <w:pPr>
        <w:pStyle w:val="4"/>
        <w:widowControl/>
        <w:spacing w:line="20" w:lineRule="atLeast"/>
        <w:rPr>
          <w:rFonts w:ascii="仿宋" w:hAnsi="仿宋" w:eastAsia="仿宋" w:cs="仿宋"/>
          <w:sz w:val="32"/>
          <w:szCs w:val="32"/>
        </w:rPr>
      </w:pPr>
      <w:r>
        <w:rPr>
          <w:rFonts w:hint="eastAsia" w:ascii="仿宋" w:hAnsi="仿宋" w:eastAsia="仿宋" w:cs="仿宋"/>
          <w:sz w:val="32"/>
          <w:szCs w:val="32"/>
        </w:rPr>
        <w:t>　三、收到和处理政府信息公开申请情况</w:t>
      </w:r>
    </w:p>
    <w:tbl>
      <w:tblPr>
        <w:tblStyle w:val="5"/>
        <w:tblW w:w="97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31" w:type="dxa"/>
            <w:gridSpan w:val="3"/>
            <w:vMerge w:val="restart"/>
            <w:tcBorders>
              <w:tl2br w:val="nil"/>
              <w:tr2bl w:val="nil"/>
            </w:tcBorders>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7" w:type="dxa"/>
            <w:gridSpan w:val="7"/>
            <w:tcBorders>
              <w:tl2br w:val="nil"/>
              <w:tr2bl w:val="nil"/>
            </w:tcBorders>
            <w:tcMar>
              <w:left w:w="57" w:type="dxa"/>
              <w:right w:w="57" w:type="dxa"/>
            </w:tcMar>
            <w:vAlign w:val="center"/>
          </w:tcPr>
          <w:p>
            <w:pPr>
              <w:widowControl/>
              <w:jc w:val="center"/>
            </w:pPr>
            <w:r>
              <w:rPr>
                <w:rFonts w:hint="eastAsia" w:ascii="宋体" w:hAnsi="宋体" w:eastAsia="宋体" w:cs="宋体"/>
                <w:kern w:val="0"/>
                <w:sz w:val="20"/>
                <w:szCs w:val="20"/>
                <w:lang w:bidi="ar"/>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31" w:type="dxa"/>
            <w:gridSpan w:val="3"/>
            <w:vMerge w:val="continue"/>
            <w:tcBorders>
              <w:tl2br w:val="nil"/>
              <w:tr2bl w:val="nil"/>
            </w:tcBorders>
            <w:tcMar>
              <w:left w:w="108" w:type="dxa"/>
              <w:right w:w="108" w:type="dxa"/>
            </w:tcMar>
            <w:vAlign w:val="center"/>
          </w:tcPr>
          <w:p>
            <w:pPr>
              <w:rPr>
                <w:rFonts w:ascii="宋体"/>
                <w:sz w:val="24"/>
              </w:rPr>
            </w:pPr>
          </w:p>
        </w:tc>
        <w:tc>
          <w:tcPr>
            <w:tcW w:w="688" w:type="dxa"/>
            <w:vMerge w:val="restart"/>
            <w:tcBorders>
              <w:tl2br w:val="nil"/>
              <w:tr2bl w:val="nil"/>
            </w:tcBorders>
            <w:tcMar>
              <w:left w:w="57" w:type="dxa"/>
              <w:right w:w="57" w:type="dxa"/>
            </w:tcMar>
            <w:vAlign w:val="center"/>
          </w:tcPr>
          <w:p>
            <w:pPr>
              <w:widowControl/>
              <w:jc w:val="center"/>
            </w:pPr>
            <w:r>
              <w:rPr>
                <w:rFonts w:hint="eastAsia" w:ascii="宋体" w:hAnsi="宋体" w:eastAsia="宋体" w:cs="宋体"/>
                <w:kern w:val="0"/>
                <w:sz w:val="20"/>
                <w:szCs w:val="20"/>
                <w:lang w:bidi="ar"/>
              </w:rPr>
              <w:t>自然人</w:t>
            </w:r>
          </w:p>
        </w:tc>
        <w:tc>
          <w:tcPr>
            <w:tcW w:w="3440" w:type="dxa"/>
            <w:gridSpan w:val="5"/>
            <w:tcBorders>
              <w:tl2br w:val="nil"/>
              <w:tr2bl w:val="nil"/>
            </w:tcBorders>
            <w:tcMar>
              <w:left w:w="57" w:type="dxa"/>
              <w:right w:w="57" w:type="dxa"/>
            </w:tcMar>
            <w:vAlign w:val="center"/>
          </w:tcPr>
          <w:p>
            <w:pPr>
              <w:widowControl/>
              <w:jc w:val="center"/>
            </w:pPr>
            <w:r>
              <w:rPr>
                <w:rFonts w:hint="eastAsia" w:ascii="宋体" w:hAnsi="宋体" w:eastAsia="宋体" w:cs="宋体"/>
                <w:kern w:val="0"/>
                <w:sz w:val="20"/>
                <w:szCs w:val="20"/>
                <w:lang w:bidi="ar"/>
              </w:rPr>
              <w:t>法人或其他组织</w:t>
            </w:r>
          </w:p>
        </w:tc>
        <w:tc>
          <w:tcPr>
            <w:tcW w:w="689" w:type="dxa"/>
            <w:vMerge w:val="restart"/>
            <w:tcBorders>
              <w:tl2br w:val="nil"/>
              <w:tr2bl w:val="nil"/>
            </w:tcBorders>
            <w:tcMar>
              <w:left w:w="57" w:type="dxa"/>
              <w:right w:w="57" w:type="dxa"/>
            </w:tcMar>
            <w:vAlign w:val="center"/>
          </w:tcPr>
          <w:p>
            <w:pPr>
              <w:widowControl/>
              <w:jc w:val="center"/>
            </w:pPr>
            <w:r>
              <w:rPr>
                <w:rFonts w:hint="eastAsia" w:ascii="宋体" w:hAnsi="宋体" w:eastAsia="宋体" w:cs="宋体"/>
                <w:kern w:val="0"/>
                <w:sz w:val="20"/>
                <w:szCs w:val="20"/>
                <w:lang w:bidi="ar"/>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31" w:type="dxa"/>
            <w:gridSpan w:val="3"/>
            <w:vMerge w:val="continue"/>
            <w:tcBorders>
              <w:tl2br w:val="nil"/>
              <w:tr2bl w:val="nil"/>
            </w:tcBorders>
            <w:tcMar>
              <w:left w:w="108" w:type="dxa"/>
              <w:right w:w="108" w:type="dxa"/>
            </w:tcMar>
            <w:vAlign w:val="center"/>
          </w:tcPr>
          <w:p>
            <w:pPr>
              <w:rPr>
                <w:rFonts w:ascii="宋体"/>
                <w:sz w:val="24"/>
              </w:rPr>
            </w:pPr>
          </w:p>
        </w:tc>
        <w:tc>
          <w:tcPr>
            <w:tcW w:w="688" w:type="dxa"/>
            <w:vMerge w:val="continue"/>
            <w:tcBorders>
              <w:tl2br w:val="nil"/>
              <w:tr2bl w:val="nil"/>
            </w:tcBorders>
            <w:tcMar>
              <w:left w:w="57" w:type="dxa"/>
              <w:right w:w="57" w:type="dxa"/>
            </w:tcMar>
            <w:vAlign w:val="center"/>
          </w:tcPr>
          <w:p>
            <w:pPr>
              <w:rPr>
                <w:rFonts w:ascii="宋体"/>
                <w:sz w:val="24"/>
              </w:rPr>
            </w:pPr>
          </w:p>
        </w:tc>
        <w:tc>
          <w:tcPr>
            <w:tcW w:w="688" w:type="dxa"/>
            <w:tcBorders>
              <w:tl2br w:val="nil"/>
              <w:tr2bl w:val="nil"/>
            </w:tcBorders>
            <w:tcMar>
              <w:left w:w="57" w:type="dxa"/>
              <w:right w:w="57" w:type="dxa"/>
            </w:tcMar>
            <w:vAlign w:val="center"/>
          </w:tcPr>
          <w:p>
            <w:pPr>
              <w:widowControl/>
              <w:jc w:val="center"/>
            </w:pPr>
            <w:r>
              <w:rPr>
                <w:rFonts w:hint="eastAsia" w:ascii="宋体" w:hAnsi="宋体" w:eastAsia="宋体" w:cs="宋体"/>
                <w:kern w:val="0"/>
                <w:sz w:val="20"/>
                <w:szCs w:val="20"/>
                <w:lang w:bidi="ar"/>
              </w:rPr>
              <w:t>商业</w:t>
            </w:r>
          </w:p>
          <w:p>
            <w:pPr>
              <w:widowControl/>
              <w:jc w:val="center"/>
            </w:pPr>
            <w:r>
              <w:rPr>
                <w:rFonts w:hint="eastAsia" w:ascii="宋体" w:hAnsi="宋体" w:eastAsia="宋体" w:cs="宋体"/>
                <w:kern w:val="0"/>
                <w:sz w:val="20"/>
                <w:szCs w:val="20"/>
                <w:lang w:bidi="ar"/>
              </w:rPr>
              <w:t>企业</w:t>
            </w:r>
          </w:p>
        </w:tc>
        <w:tc>
          <w:tcPr>
            <w:tcW w:w="688" w:type="dxa"/>
            <w:tcBorders>
              <w:tl2br w:val="nil"/>
              <w:tr2bl w:val="nil"/>
            </w:tcBorders>
            <w:tcMar>
              <w:left w:w="57" w:type="dxa"/>
              <w:right w:w="57" w:type="dxa"/>
            </w:tcMar>
            <w:vAlign w:val="center"/>
          </w:tcPr>
          <w:p>
            <w:pPr>
              <w:widowControl/>
              <w:jc w:val="center"/>
            </w:pPr>
            <w:r>
              <w:rPr>
                <w:rFonts w:hint="eastAsia" w:ascii="宋体" w:hAnsi="宋体" w:eastAsia="宋体" w:cs="宋体"/>
                <w:kern w:val="0"/>
                <w:sz w:val="20"/>
                <w:szCs w:val="20"/>
                <w:lang w:bidi="ar"/>
              </w:rPr>
              <w:t>科研</w:t>
            </w:r>
          </w:p>
          <w:p>
            <w:pPr>
              <w:widowControl/>
              <w:jc w:val="center"/>
            </w:pPr>
            <w:r>
              <w:rPr>
                <w:rFonts w:hint="eastAsia" w:ascii="宋体" w:hAnsi="宋体" w:eastAsia="宋体" w:cs="宋体"/>
                <w:kern w:val="0"/>
                <w:sz w:val="20"/>
                <w:szCs w:val="20"/>
                <w:lang w:bidi="ar"/>
              </w:rPr>
              <w:t>机构</w:t>
            </w:r>
          </w:p>
        </w:tc>
        <w:tc>
          <w:tcPr>
            <w:tcW w:w="688" w:type="dxa"/>
            <w:tcBorders>
              <w:tl2br w:val="nil"/>
              <w:tr2bl w:val="nil"/>
            </w:tcBorders>
            <w:tcMar>
              <w:left w:w="57" w:type="dxa"/>
              <w:right w:w="57" w:type="dxa"/>
            </w:tcMar>
            <w:vAlign w:val="center"/>
          </w:tcPr>
          <w:p>
            <w:pPr>
              <w:widowControl/>
              <w:jc w:val="center"/>
            </w:pPr>
            <w:r>
              <w:rPr>
                <w:rFonts w:hint="eastAsia" w:ascii="宋体" w:hAnsi="宋体" w:eastAsia="宋体" w:cs="宋体"/>
                <w:kern w:val="0"/>
                <w:sz w:val="20"/>
                <w:szCs w:val="20"/>
                <w:lang w:bidi="ar"/>
              </w:rPr>
              <w:t>社会公益组织</w:t>
            </w:r>
          </w:p>
        </w:tc>
        <w:tc>
          <w:tcPr>
            <w:tcW w:w="688" w:type="dxa"/>
            <w:tcBorders>
              <w:tl2br w:val="nil"/>
              <w:tr2bl w:val="nil"/>
            </w:tcBorders>
            <w:tcMar>
              <w:left w:w="57" w:type="dxa"/>
              <w:right w:w="57" w:type="dxa"/>
            </w:tcMar>
            <w:vAlign w:val="center"/>
          </w:tcPr>
          <w:p>
            <w:pPr>
              <w:widowControl/>
              <w:jc w:val="center"/>
            </w:pPr>
            <w:r>
              <w:rPr>
                <w:rFonts w:hint="eastAsia" w:ascii="宋体" w:hAnsi="宋体" w:eastAsia="宋体" w:cs="宋体"/>
                <w:kern w:val="0"/>
                <w:sz w:val="20"/>
                <w:szCs w:val="20"/>
                <w:lang w:bidi="ar"/>
              </w:rPr>
              <w:t>法律服务机构</w:t>
            </w:r>
          </w:p>
        </w:tc>
        <w:tc>
          <w:tcPr>
            <w:tcW w:w="688" w:type="dxa"/>
            <w:tcBorders>
              <w:tl2br w:val="nil"/>
              <w:tr2bl w:val="nil"/>
            </w:tcBorders>
            <w:tcMar>
              <w:left w:w="57" w:type="dxa"/>
              <w:right w:w="57" w:type="dxa"/>
            </w:tcMar>
            <w:vAlign w:val="center"/>
          </w:tcPr>
          <w:p>
            <w:pPr>
              <w:widowControl/>
              <w:jc w:val="center"/>
            </w:pPr>
            <w:r>
              <w:rPr>
                <w:rFonts w:hint="eastAsia" w:ascii="宋体" w:hAnsi="宋体" w:eastAsia="宋体" w:cs="宋体"/>
                <w:kern w:val="0"/>
                <w:sz w:val="20"/>
                <w:szCs w:val="20"/>
                <w:lang w:bidi="ar"/>
              </w:rPr>
              <w:t>其他</w:t>
            </w:r>
          </w:p>
        </w:tc>
        <w:tc>
          <w:tcPr>
            <w:tcW w:w="689" w:type="dxa"/>
            <w:vMerge w:val="continue"/>
            <w:tcBorders>
              <w:tl2br w:val="nil"/>
              <w:tr2bl w:val="nil"/>
            </w:tcBorders>
            <w:tcMar>
              <w:left w:w="57" w:type="dxa"/>
              <w:right w:w="57" w:type="dxa"/>
            </w:tcMar>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31" w:type="dxa"/>
            <w:gridSpan w:val="3"/>
            <w:tcBorders>
              <w:tl2br w:val="nil"/>
              <w:tr2bl w:val="nil"/>
            </w:tcBorders>
            <w:tcMar>
              <w:left w:w="57" w:type="dxa"/>
              <w:right w:w="57" w:type="dxa"/>
            </w:tcMar>
            <w:vAlign w:val="center"/>
          </w:tcPr>
          <w:p>
            <w:pPr>
              <w:widowControl/>
              <w:jc w:val="left"/>
            </w:pPr>
            <w:r>
              <w:rPr>
                <w:rFonts w:hint="eastAsia" w:ascii="宋体" w:hAnsi="宋体" w:eastAsia="宋体" w:cs="宋体"/>
                <w:kern w:val="0"/>
                <w:sz w:val="20"/>
                <w:szCs w:val="20"/>
                <w:lang w:bidi="ar"/>
              </w:rPr>
              <w:t>一、本年新收政府信息公开申请数量</w:t>
            </w:r>
          </w:p>
        </w:tc>
        <w:tc>
          <w:tcPr>
            <w:tcW w:w="688" w:type="dxa"/>
            <w:tcBorders>
              <w:tl2br w:val="nil"/>
              <w:tr2bl w:val="nil"/>
            </w:tcBorders>
            <w:tcMar>
              <w:left w:w="57" w:type="dxa"/>
              <w:right w:w="57" w:type="dxa"/>
            </w:tcMar>
            <w:vAlign w:val="center"/>
          </w:tcPr>
          <w:p>
            <w:pPr>
              <w:widowControl/>
              <w:jc w:val="center"/>
            </w:pPr>
            <w:r>
              <w:rPr>
                <w:rFonts w:hint="eastAsia"/>
              </w:rPr>
              <w:t>6</w:t>
            </w: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9" w:type="dxa"/>
            <w:tcBorders>
              <w:tl2br w:val="nil"/>
              <w:tr2bl w:val="nil"/>
            </w:tcBorders>
            <w:tcMar>
              <w:left w:w="57" w:type="dxa"/>
              <w:right w:w="57" w:type="dxa"/>
            </w:tcMar>
          </w:tcPr>
          <w:p>
            <w:pPr>
              <w:widowControl/>
              <w:jc w:val="center"/>
            </w:pPr>
            <w:r>
              <w:rPr>
                <w:rFonts w:hint="eastAsia"/>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31" w:type="dxa"/>
            <w:gridSpan w:val="3"/>
            <w:tcBorders>
              <w:tl2br w:val="nil"/>
              <w:tr2bl w:val="nil"/>
            </w:tcBorders>
            <w:tcMar>
              <w:left w:w="57" w:type="dxa"/>
              <w:right w:w="57" w:type="dxa"/>
            </w:tcMar>
            <w:vAlign w:val="center"/>
          </w:tcPr>
          <w:p>
            <w:pPr>
              <w:widowControl/>
              <w:jc w:val="left"/>
            </w:pPr>
            <w:r>
              <w:rPr>
                <w:rFonts w:hint="eastAsia" w:ascii="宋体" w:hAnsi="宋体" w:eastAsia="宋体" w:cs="宋体"/>
                <w:kern w:val="0"/>
                <w:sz w:val="20"/>
                <w:szCs w:val="20"/>
                <w:lang w:bidi="ar"/>
              </w:rPr>
              <w:t>二、上年结转政府信息公开申请数量</w:t>
            </w: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9" w:type="dxa"/>
            <w:tcBorders>
              <w:tl2br w:val="nil"/>
              <w:tr2bl w:val="nil"/>
            </w:tcBorders>
            <w:tcMar>
              <w:left w:w="57" w:type="dxa"/>
              <w:right w:w="57" w:type="dxa"/>
            </w:tcMar>
          </w:tcPr>
          <w:p>
            <w:pPr>
              <w:widowControl/>
              <w:jc w:val="center"/>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restart"/>
            <w:tcBorders>
              <w:tl2br w:val="nil"/>
              <w:tr2bl w:val="nil"/>
            </w:tcBorders>
            <w:tcMar>
              <w:left w:w="57" w:type="dxa"/>
              <w:right w:w="57" w:type="dxa"/>
            </w:tcMar>
            <w:vAlign w:val="center"/>
          </w:tcPr>
          <w:p>
            <w:pPr>
              <w:widowControl/>
              <w:jc w:val="left"/>
            </w:pPr>
            <w:r>
              <w:rPr>
                <w:rFonts w:hint="eastAsia" w:ascii="宋体" w:hAnsi="宋体" w:eastAsia="宋体" w:cs="宋体"/>
                <w:kern w:val="0"/>
                <w:sz w:val="20"/>
                <w:szCs w:val="20"/>
                <w:lang w:bidi="ar"/>
              </w:rPr>
              <w:t>三、本年度办理结果</w:t>
            </w:r>
          </w:p>
        </w:tc>
        <w:tc>
          <w:tcPr>
            <w:tcW w:w="4163" w:type="dxa"/>
            <w:gridSpan w:val="2"/>
            <w:tcBorders>
              <w:tl2br w:val="nil"/>
              <w:tr2bl w:val="nil"/>
            </w:tcBorders>
            <w:tcMar>
              <w:left w:w="57" w:type="dxa"/>
              <w:right w:w="57" w:type="dxa"/>
            </w:tcMar>
            <w:vAlign w:val="center"/>
          </w:tcPr>
          <w:p>
            <w:pPr>
              <w:widowControl/>
              <w:jc w:val="left"/>
            </w:pPr>
            <w:r>
              <w:rPr>
                <w:rFonts w:hint="eastAsia" w:ascii="宋体" w:hAnsi="宋体" w:eastAsia="宋体" w:cs="宋体"/>
                <w:kern w:val="0"/>
                <w:sz w:val="20"/>
                <w:szCs w:val="20"/>
                <w:lang w:bidi="ar"/>
              </w:rPr>
              <w:t>（一）予以公开</w:t>
            </w:r>
          </w:p>
        </w:tc>
        <w:tc>
          <w:tcPr>
            <w:tcW w:w="688" w:type="dxa"/>
            <w:tcBorders>
              <w:tl2br w:val="nil"/>
              <w:tr2bl w:val="nil"/>
            </w:tcBorders>
            <w:tcMar>
              <w:left w:w="57" w:type="dxa"/>
              <w:right w:w="57" w:type="dxa"/>
            </w:tcMar>
            <w:vAlign w:val="center"/>
          </w:tcPr>
          <w:p>
            <w:pPr>
              <w:widowControl/>
              <w:jc w:val="center"/>
            </w:pPr>
            <w:r>
              <w:t>3</w:t>
            </w: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9" w:type="dxa"/>
            <w:tcBorders>
              <w:tl2br w:val="nil"/>
              <w:tr2bl w:val="nil"/>
            </w:tcBorders>
            <w:tcMar>
              <w:left w:w="57" w:type="dxa"/>
              <w:right w:w="57" w:type="dxa"/>
            </w:tcMar>
          </w:tcPr>
          <w:p>
            <w:pPr>
              <w:widowControl/>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4163" w:type="dxa"/>
            <w:gridSpan w:val="2"/>
            <w:tcBorders>
              <w:tl2br w:val="nil"/>
              <w:tr2bl w:val="nil"/>
            </w:tcBorders>
            <w:tcMar>
              <w:left w:w="57" w:type="dxa"/>
              <w:right w:w="57" w:type="dxa"/>
            </w:tcMar>
            <w:vAlign w:val="center"/>
          </w:tcPr>
          <w:p>
            <w:pPr>
              <w:widowControl/>
              <w:jc w:val="left"/>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l2br w:val="nil"/>
              <w:tr2bl w:val="nil"/>
            </w:tcBorders>
            <w:tcMar>
              <w:left w:w="57" w:type="dxa"/>
              <w:right w:w="57" w:type="dxa"/>
            </w:tcMar>
            <w:vAlign w:val="center"/>
          </w:tcPr>
          <w:p>
            <w:pPr>
              <w:widowControl/>
              <w:jc w:val="center"/>
            </w:pPr>
            <w:r>
              <w:t>2</w:t>
            </w: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9" w:type="dxa"/>
            <w:tcBorders>
              <w:tl2br w:val="nil"/>
              <w:tr2bl w:val="nil"/>
            </w:tcBorders>
            <w:tcMar>
              <w:left w:w="57" w:type="dxa"/>
              <w:right w:w="57" w:type="dxa"/>
            </w:tcMar>
            <w:vAlign w:val="center"/>
          </w:tcPr>
          <w:p>
            <w:pPr>
              <w:widowControl/>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restart"/>
            <w:tcBorders>
              <w:tl2br w:val="nil"/>
              <w:tr2bl w:val="nil"/>
            </w:tcBorders>
            <w:tcMar>
              <w:left w:w="57" w:type="dxa"/>
              <w:right w:w="57" w:type="dxa"/>
            </w:tcMar>
            <w:vAlign w:val="center"/>
          </w:tcPr>
          <w:p>
            <w:pPr>
              <w:widowControl/>
              <w:jc w:val="left"/>
            </w:pPr>
            <w:r>
              <w:rPr>
                <w:rFonts w:hint="eastAsia" w:ascii="宋体" w:hAnsi="宋体" w:eastAsia="宋体" w:cs="宋体"/>
                <w:kern w:val="0"/>
                <w:sz w:val="20"/>
                <w:szCs w:val="20"/>
                <w:lang w:bidi="ar"/>
              </w:rPr>
              <w:t>（三）不予公开</w:t>
            </w: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1.属于国家秘密</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2.其他法律行政法规禁止公开</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3.危及“三安全一稳定”</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4.保护第三方合法权益</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5.属于三类内部事务信息</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6.属于四类过程性信息</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7.属于行政执法案卷</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8.属于行政查询事项</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restart"/>
            <w:tcBorders>
              <w:tl2br w:val="nil"/>
              <w:tr2bl w:val="nil"/>
            </w:tcBorders>
            <w:tcMar>
              <w:left w:w="57" w:type="dxa"/>
              <w:right w:w="57" w:type="dxa"/>
            </w:tcMar>
            <w:vAlign w:val="center"/>
          </w:tcPr>
          <w:p>
            <w:pPr>
              <w:widowControl/>
              <w:jc w:val="left"/>
            </w:pPr>
            <w:r>
              <w:rPr>
                <w:rFonts w:hint="eastAsia" w:ascii="宋体" w:hAnsi="宋体" w:eastAsia="宋体" w:cs="宋体"/>
                <w:kern w:val="0"/>
                <w:sz w:val="20"/>
                <w:szCs w:val="20"/>
                <w:lang w:bidi="ar"/>
              </w:rPr>
              <w:t>（四）无法提供</w:t>
            </w: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1.本机关不掌握相关政府信息</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2.没有现成信息需要另行制作</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3.补正后申请内容仍不明确</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restart"/>
            <w:tcBorders>
              <w:tl2br w:val="nil"/>
              <w:tr2bl w:val="nil"/>
            </w:tcBorders>
            <w:tcMar>
              <w:left w:w="57" w:type="dxa"/>
              <w:right w:w="57" w:type="dxa"/>
            </w:tcMar>
            <w:vAlign w:val="center"/>
          </w:tcPr>
          <w:p>
            <w:pPr>
              <w:widowControl/>
              <w:jc w:val="left"/>
            </w:pPr>
            <w:r>
              <w:rPr>
                <w:rFonts w:hint="eastAsia" w:ascii="宋体" w:hAnsi="宋体" w:eastAsia="宋体" w:cs="宋体"/>
                <w:kern w:val="0"/>
                <w:sz w:val="20"/>
                <w:szCs w:val="20"/>
                <w:lang w:bidi="ar"/>
              </w:rPr>
              <w:t>（五）不予处理</w:t>
            </w: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1.信访举报投诉类申请</w:t>
            </w:r>
          </w:p>
        </w:tc>
        <w:tc>
          <w:tcPr>
            <w:tcW w:w="688" w:type="dxa"/>
            <w:tcBorders>
              <w:tl2br w:val="nil"/>
              <w:tr2bl w:val="nil"/>
            </w:tcBorders>
            <w:tcMar>
              <w:left w:w="57" w:type="dxa"/>
              <w:right w:w="57" w:type="dxa"/>
            </w:tcMar>
          </w:tcPr>
          <w:p>
            <w:pPr>
              <w:widowControl/>
              <w:jc w:val="center"/>
            </w:pPr>
            <w:r>
              <w:rPr>
                <w:rFonts w:hint="eastAsia"/>
              </w:rPr>
              <w:t>1</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2.重复申请</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3.要求提供公开出版物</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tcPr>
          <w:p>
            <w:pPr>
              <w:widowControl/>
              <w:jc w:val="left"/>
            </w:pPr>
            <w:r>
              <w:rPr>
                <w:rFonts w:hint="eastAsia" w:ascii="宋体" w:hAnsi="宋体" w:eastAsia="宋体" w:cs="宋体"/>
                <w:kern w:val="0"/>
                <w:sz w:val="20"/>
                <w:szCs w:val="20"/>
                <w:lang w:bidi="ar"/>
              </w:rPr>
              <w:t>4.无正当理由大量反复申请</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9" w:hRule="atLeast"/>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vAlign w:val="center"/>
          </w:tcPr>
          <w:p>
            <w:pPr>
              <w:widowControl/>
            </w:pPr>
            <w:r>
              <w:rPr>
                <w:rFonts w:hint="eastAsia" w:ascii="宋体" w:hAnsi="宋体" w:eastAsia="宋体" w:cs="宋体"/>
                <w:kern w:val="0"/>
                <w:sz w:val="20"/>
                <w:szCs w:val="20"/>
                <w:lang w:bidi="ar"/>
              </w:rPr>
              <w:t>5.要求行政机关确认或重新出具已获取信息</w:t>
            </w: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8" w:type="dxa"/>
            <w:tcBorders>
              <w:tl2br w:val="nil"/>
              <w:tr2bl w:val="nil"/>
            </w:tcBorders>
            <w:tcMar>
              <w:left w:w="57" w:type="dxa"/>
              <w:right w:w="57" w:type="dxa"/>
            </w:tcMar>
          </w:tcPr>
          <w:p>
            <w:pPr>
              <w:widowControl/>
              <w:jc w:val="center"/>
            </w:pPr>
          </w:p>
        </w:tc>
        <w:tc>
          <w:tcPr>
            <w:tcW w:w="689" w:type="dxa"/>
            <w:tcBorders>
              <w:tl2br w:val="nil"/>
              <w:tr2bl w:val="nil"/>
            </w:tcBorders>
            <w:tcMar>
              <w:left w:w="57" w:type="dxa"/>
              <w:right w:w="57" w:type="dxa"/>
            </w:tcMar>
          </w:tcPr>
          <w:p>
            <w:pPr>
              <w:widowControl/>
              <w:jc w:val="center"/>
            </w:pPr>
            <w: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restart"/>
            <w:tcBorders>
              <w:tl2br w:val="nil"/>
              <w:tr2bl w:val="nil"/>
            </w:tcBorders>
            <w:tcMar>
              <w:left w:w="57" w:type="dxa"/>
              <w:right w:w="57" w:type="dxa"/>
            </w:tcMar>
            <w:vAlign w:val="center"/>
          </w:tcPr>
          <w:p>
            <w:pPr>
              <w:widowControl/>
              <w:jc w:val="left"/>
            </w:pPr>
            <w:r>
              <w:rPr>
                <w:rFonts w:hint="eastAsia" w:ascii="宋体" w:hAnsi="宋体" w:eastAsia="宋体" w:cs="宋体"/>
                <w:kern w:val="0"/>
                <w:sz w:val="20"/>
                <w:szCs w:val="20"/>
                <w:lang w:bidi="ar"/>
              </w:rPr>
              <w:t>（六）其他处理</w:t>
            </w:r>
          </w:p>
        </w:tc>
        <w:tc>
          <w:tcPr>
            <w:tcW w:w="3220" w:type="dxa"/>
            <w:tcBorders>
              <w:tl2br w:val="nil"/>
              <w:tr2bl w:val="nil"/>
            </w:tcBorders>
            <w:tcMar>
              <w:left w:w="57" w:type="dxa"/>
              <w:right w:w="57" w:type="dxa"/>
            </w:tcMar>
            <w:vAlign w:val="center"/>
          </w:tcPr>
          <w:p>
            <w:pPr>
              <w:widowControl/>
            </w:pPr>
            <w:r>
              <w:rPr>
                <w:rFonts w:hint="eastAsia" w:ascii="宋体" w:hAnsi="宋体" w:eastAsia="宋体" w:cs="宋体"/>
                <w:kern w:val="0"/>
                <w:sz w:val="20"/>
                <w:szCs w:val="20"/>
                <w:lang w:bidi="ar"/>
              </w:rPr>
              <w:t>1.申请人无正当理由逾期不补正、行政机关不再处理其政府信息公开申请</w:t>
            </w: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9" w:type="dxa"/>
            <w:tcBorders>
              <w:tl2br w:val="nil"/>
              <w:tr2bl w:val="nil"/>
            </w:tcBorders>
            <w:tcMar>
              <w:left w:w="57" w:type="dxa"/>
              <w:right w:w="57" w:type="dxa"/>
            </w:tcMar>
            <w:vAlign w:val="center"/>
          </w:tcPr>
          <w:p>
            <w:pPr>
              <w:widowControl/>
              <w:jc w:val="center"/>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vAlign w:val="center"/>
          </w:tcPr>
          <w:p>
            <w:pPr>
              <w:widowControl/>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943" w:type="dxa"/>
            <w:vMerge w:val="continue"/>
            <w:tcBorders>
              <w:tl2br w:val="nil"/>
              <w:tr2bl w:val="nil"/>
            </w:tcBorders>
            <w:tcMar>
              <w:left w:w="57" w:type="dxa"/>
              <w:right w:w="57" w:type="dxa"/>
            </w:tcMar>
            <w:vAlign w:val="center"/>
          </w:tcPr>
          <w:p>
            <w:pPr>
              <w:rPr>
                <w:rFonts w:ascii="宋体"/>
                <w:sz w:val="24"/>
              </w:rPr>
            </w:pPr>
          </w:p>
        </w:tc>
        <w:tc>
          <w:tcPr>
            <w:tcW w:w="3220" w:type="dxa"/>
            <w:tcBorders>
              <w:tl2br w:val="nil"/>
              <w:tr2bl w:val="nil"/>
            </w:tcBorders>
            <w:tcMar>
              <w:left w:w="57" w:type="dxa"/>
              <w:right w:w="57" w:type="dxa"/>
            </w:tcMar>
            <w:vAlign w:val="center"/>
          </w:tcPr>
          <w:p>
            <w:pPr>
              <w:widowControl/>
              <w:jc w:val="left"/>
            </w:pPr>
            <w:r>
              <w:rPr>
                <w:rFonts w:hint="eastAsia" w:ascii="宋体" w:hAnsi="宋体" w:eastAsia="宋体" w:cs="宋体"/>
                <w:kern w:val="0"/>
                <w:sz w:val="20"/>
                <w:szCs w:val="20"/>
                <w:lang w:bidi="ar"/>
              </w:rPr>
              <w:t>3.其他</w:t>
            </w: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9" w:type="dxa"/>
            <w:tcBorders>
              <w:tl2br w:val="nil"/>
              <w:tr2bl w:val="nil"/>
            </w:tcBorders>
            <w:tcMar>
              <w:left w:w="57" w:type="dxa"/>
              <w:right w:w="57" w:type="dxa"/>
            </w:tcMar>
          </w:tcPr>
          <w:p>
            <w:pPr>
              <w:widowControl/>
              <w:jc w:val="center"/>
            </w:pPr>
            <w: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vMerge w:val="continue"/>
            <w:tcBorders>
              <w:tl2br w:val="nil"/>
              <w:tr2bl w:val="nil"/>
            </w:tcBorders>
            <w:tcMar>
              <w:left w:w="57" w:type="dxa"/>
              <w:right w:w="57" w:type="dxa"/>
            </w:tcMar>
            <w:vAlign w:val="center"/>
          </w:tcPr>
          <w:p>
            <w:pPr>
              <w:rPr>
                <w:rFonts w:ascii="宋体"/>
                <w:sz w:val="24"/>
              </w:rPr>
            </w:pPr>
          </w:p>
        </w:tc>
        <w:tc>
          <w:tcPr>
            <w:tcW w:w="4163" w:type="dxa"/>
            <w:gridSpan w:val="2"/>
            <w:tcBorders>
              <w:tl2br w:val="nil"/>
              <w:tr2bl w:val="nil"/>
            </w:tcBorders>
            <w:tcMar>
              <w:left w:w="57" w:type="dxa"/>
              <w:right w:w="57" w:type="dxa"/>
            </w:tcMar>
            <w:vAlign w:val="center"/>
          </w:tcPr>
          <w:p>
            <w:pPr>
              <w:widowControl/>
              <w:jc w:val="left"/>
            </w:pPr>
            <w:r>
              <w:rPr>
                <w:rFonts w:hint="eastAsia" w:ascii="宋体" w:hAnsi="宋体" w:eastAsia="宋体" w:cs="宋体"/>
                <w:kern w:val="0"/>
                <w:sz w:val="20"/>
                <w:szCs w:val="20"/>
                <w:lang w:bidi="ar"/>
              </w:rPr>
              <w:t>（七）总计</w:t>
            </w:r>
          </w:p>
        </w:tc>
        <w:tc>
          <w:tcPr>
            <w:tcW w:w="688" w:type="dxa"/>
            <w:tcBorders>
              <w:tl2br w:val="nil"/>
              <w:tr2bl w:val="nil"/>
            </w:tcBorders>
            <w:tcMar>
              <w:left w:w="57" w:type="dxa"/>
              <w:right w:w="57" w:type="dxa"/>
            </w:tcMar>
            <w:vAlign w:val="center"/>
          </w:tcPr>
          <w:p>
            <w:pPr>
              <w:widowControl/>
              <w:jc w:val="center"/>
            </w:pPr>
            <w:r>
              <w:t> </w:t>
            </w:r>
            <w:r>
              <w:rPr>
                <w:rFonts w:hint="eastAsia"/>
              </w:rPr>
              <w:t>6</w:t>
            </w: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9" w:type="dxa"/>
            <w:tcBorders>
              <w:tl2br w:val="nil"/>
              <w:tr2bl w:val="nil"/>
            </w:tcBorders>
            <w:tcMar>
              <w:left w:w="57" w:type="dxa"/>
              <w:right w:w="57" w:type="dxa"/>
            </w:tcMar>
          </w:tcPr>
          <w:p>
            <w:pPr>
              <w:widowControl/>
              <w:jc w:val="center"/>
            </w:pPr>
            <w:r>
              <w:rPr>
                <w:rFonts w:hint="eastAsia"/>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931" w:type="dxa"/>
            <w:gridSpan w:val="3"/>
            <w:tcBorders>
              <w:tl2br w:val="nil"/>
              <w:tr2bl w:val="nil"/>
            </w:tcBorders>
            <w:tcMar>
              <w:left w:w="57" w:type="dxa"/>
              <w:right w:w="57" w:type="dxa"/>
            </w:tcMar>
            <w:vAlign w:val="center"/>
          </w:tcPr>
          <w:p>
            <w:pPr>
              <w:widowControl/>
              <w:jc w:val="left"/>
            </w:pPr>
            <w:r>
              <w:rPr>
                <w:rFonts w:hint="eastAsia" w:ascii="宋体" w:hAnsi="宋体" w:eastAsia="宋体" w:cs="宋体"/>
                <w:kern w:val="0"/>
                <w:sz w:val="20"/>
                <w:szCs w:val="20"/>
                <w:lang w:bidi="ar"/>
              </w:rPr>
              <w:t>四、结转下年度继续办理</w:t>
            </w: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8" w:type="dxa"/>
            <w:tcBorders>
              <w:tl2br w:val="nil"/>
              <w:tr2bl w:val="nil"/>
            </w:tcBorders>
            <w:tcMar>
              <w:left w:w="57" w:type="dxa"/>
              <w:right w:w="57" w:type="dxa"/>
            </w:tcMar>
            <w:vAlign w:val="center"/>
          </w:tcPr>
          <w:p>
            <w:pPr>
              <w:widowControl/>
              <w:jc w:val="center"/>
            </w:pPr>
          </w:p>
        </w:tc>
        <w:tc>
          <w:tcPr>
            <w:tcW w:w="689" w:type="dxa"/>
            <w:tcBorders>
              <w:tl2br w:val="nil"/>
              <w:tr2bl w:val="nil"/>
            </w:tcBorders>
            <w:tcMar>
              <w:left w:w="57" w:type="dxa"/>
              <w:right w:w="57" w:type="dxa"/>
            </w:tcMar>
            <w:vAlign w:val="center"/>
          </w:tcPr>
          <w:p>
            <w:pPr>
              <w:widowControl/>
              <w:jc w:val="center"/>
            </w:pPr>
            <w:r>
              <w:rPr>
                <w:rFonts w:hint="eastAsia"/>
              </w:rPr>
              <w:t>0</w:t>
            </w:r>
          </w:p>
        </w:tc>
      </w:tr>
    </w:tbl>
    <w:p>
      <w:pPr>
        <w:pStyle w:val="4"/>
        <w:widowControl/>
        <w:spacing w:line="20" w:lineRule="atLeast"/>
        <w:rPr>
          <w:rFonts w:ascii="仿宋" w:hAnsi="仿宋" w:eastAsia="仿宋" w:cs="仿宋"/>
          <w:sz w:val="32"/>
          <w:szCs w:val="32"/>
        </w:rPr>
      </w:pPr>
      <w:r>
        <w:rPr>
          <w:rFonts w:hint="eastAsia" w:ascii="仿宋" w:hAnsi="仿宋" w:eastAsia="仿宋" w:cs="仿宋"/>
          <w:sz w:val="32"/>
          <w:szCs w:val="32"/>
        </w:rPr>
        <w:t>　　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其他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r>
              <w:rPr>
                <w:rFonts w:hint="eastAsia" w:ascii="Calibri" w:hAnsi="Calibri" w:eastAsia="宋体" w:cs="Calibri"/>
                <w:kern w:val="0"/>
                <w:sz w:val="20"/>
                <w:szCs w:val="20"/>
                <w:lang w:bidi="ar"/>
              </w:rPr>
              <w:t>4</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r>
              <w:rPr>
                <w:rFonts w:hint="eastAsia" w:ascii="Calibri" w:hAnsi="Calibri" w:eastAsia="宋体" w:cs="Calibri"/>
                <w:kern w:val="0"/>
                <w:sz w:val="20"/>
                <w:szCs w:val="20"/>
                <w:lang w:bidi="ar"/>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r>
              <w:rPr>
                <w:rFonts w:hint="eastAsia" w:ascii="Calibri" w:hAnsi="Calibri" w:eastAsia="宋体" w:cs="Calibri"/>
                <w:kern w:val="0"/>
                <w:sz w:val="20"/>
                <w:szCs w:val="20"/>
                <w:lang w:bidi="ar"/>
              </w:rPr>
              <w:t>6</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r>
              <w:rPr>
                <w:rFonts w:hint="eastAsia" w:ascii="Calibri" w:hAnsi="Calibri" w:eastAsia="宋体" w:cs="Calibri"/>
                <w:kern w:val="0"/>
                <w:sz w:val="20"/>
                <w:szCs w:val="20"/>
                <w:lang w:bidi="ar"/>
              </w:rPr>
              <w:t> </w:t>
            </w:r>
            <w:r>
              <w:rPr>
                <w:rFonts w:ascii="Calibri" w:hAnsi="Calibri" w:eastAsia="宋体" w:cs="Calibri"/>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Calibri" w:hAnsi="Calibri" w:eastAsia="宋体" w:cs="Calibri"/>
                <w:kern w:val="0"/>
                <w:sz w:val="20"/>
                <w:szCs w:val="20"/>
                <w:lang w:bidi="ar"/>
              </w:rPr>
            </w:pPr>
            <w:r>
              <w:rPr>
                <w:rFonts w:hint="eastAsia" w:ascii="Calibri" w:hAnsi="Calibri" w:eastAsia="宋体" w:cs="Calibri"/>
                <w:kern w:val="0"/>
                <w:sz w:val="20"/>
                <w:szCs w:val="20"/>
                <w:lang w:bidi="ar"/>
              </w:rPr>
              <w:t>0</w:t>
            </w:r>
          </w:p>
        </w:tc>
      </w:tr>
    </w:tbl>
    <w:p>
      <w:pPr>
        <w:pStyle w:val="4"/>
        <w:widowControl/>
        <w:spacing w:line="20" w:lineRule="atLeast"/>
        <w:rPr>
          <w:rFonts w:ascii="仿宋" w:hAnsi="仿宋" w:eastAsia="仿宋" w:cs="仿宋"/>
          <w:sz w:val="32"/>
          <w:szCs w:val="32"/>
        </w:rPr>
      </w:pPr>
      <w:r>
        <w:rPr>
          <w:rFonts w:hint="eastAsia" w:ascii="仿宋" w:hAnsi="仿宋" w:eastAsia="仿宋" w:cs="仿宋"/>
          <w:sz w:val="32"/>
          <w:szCs w:val="32"/>
        </w:rPr>
        <w:t>　　五、政府信息公开工作存在的主要问题及改进情况</w:t>
      </w:r>
    </w:p>
    <w:p>
      <w:pPr>
        <w:pStyle w:val="4"/>
        <w:widowControl/>
        <w:spacing w:line="20" w:lineRule="atLeast"/>
        <w:rPr>
          <w:rFonts w:ascii="仿宋" w:hAnsi="仿宋" w:eastAsia="仿宋" w:cs="仿宋"/>
          <w:sz w:val="32"/>
          <w:szCs w:val="32"/>
        </w:rPr>
      </w:pPr>
      <w:r>
        <w:rPr>
          <w:rFonts w:hint="eastAsia" w:ascii="仿宋" w:hAnsi="仿宋" w:eastAsia="仿宋" w:cs="仿宋"/>
          <w:sz w:val="32"/>
          <w:szCs w:val="32"/>
        </w:rPr>
        <w:t>　　静乐县政府信息公开工作在县委、县政府的指导下，2021年取得了一些进步，但是离上级的要求和群众的需求还有一定差距。主要表现为主动公开政府文件不及时，相关联的政策解读比例较低，文件解读的内容不够多样化。</w:t>
      </w:r>
    </w:p>
    <w:p>
      <w:pPr>
        <w:pStyle w:val="4"/>
        <w:widowControl/>
        <w:spacing w:line="20" w:lineRule="atLeast"/>
        <w:rPr>
          <w:rFonts w:ascii="仿宋" w:hAnsi="仿宋" w:eastAsia="仿宋" w:cs="仿宋"/>
          <w:sz w:val="32"/>
          <w:szCs w:val="32"/>
        </w:rPr>
      </w:pPr>
      <w:r>
        <w:rPr>
          <w:rFonts w:hint="eastAsia" w:ascii="仿宋" w:hAnsi="仿宋" w:eastAsia="仿宋" w:cs="仿宋"/>
          <w:sz w:val="32"/>
          <w:szCs w:val="32"/>
        </w:rPr>
        <w:t>　　在今后的工作中，</w:t>
      </w:r>
      <w:r>
        <w:rPr>
          <w:rFonts w:hint="eastAsia" w:ascii="仿宋" w:hAnsi="仿宋" w:eastAsia="仿宋" w:cs="仿宋"/>
          <w:b/>
          <w:bCs/>
          <w:sz w:val="32"/>
          <w:szCs w:val="32"/>
        </w:rPr>
        <w:t>一是要推进政府门户网站和政务新媒体安全管理工作。</w:t>
      </w:r>
      <w:r>
        <w:rPr>
          <w:rFonts w:hint="eastAsia" w:ascii="仿宋" w:hAnsi="仿宋" w:eastAsia="仿宋" w:cs="仿宋"/>
          <w:sz w:val="32"/>
          <w:szCs w:val="32"/>
        </w:rPr>
        <w:t>要坚决落实网络意识形态工作责任制和网络安全责任制。严格执行信息先审后发制度，全面排查和整改信息发布过程中的薄弱环节和安全隐患，坚决杜绝因信息内容不当和网络安全事件等引发负面情况。要认真落实等级保护有关要求，强化安全防护措施，做好值班值守，加强监测预警和应急处</w:t>
      </w:r>
      <w:bookmarkStart w:id="0" w:name="_GoBack"/>
      <w:bookmarkEnd w:id="0"/>
      <w:r>
        <w:rPr>
          <w:rFonts w:hint="eastAsia" w:ascii="仿宋" w:hAnsi="仿宋" w:eastAsia="仿宋" w:cs="仿宋"/>
          <w:sz w:val="32"/>
          <w:szCs w:val="32"/>
        </w:rPr>
        <w:t>置，确保政府门户网站和政务新</w:t>
      </w:r>
      <w:r>
        <w:rPr>
          <w:rFonts w:hint="eastAsia" w:ascii="仿宋" w:hAnsi="仿宋" w:eastAsia="仿宋" w:cs="仿宋"/>
          <w:sz w:val="32"/>
          <w:szCs w:val="32"/>
          <w:lang w:val="en-US" w:eastAsia="zh-CN"/>
        </w:rPr>
        <w:t>媒体</w:t>
      </w:r>
      <w:r>
        <w:rPr>
          <w:rFonts w:hint="eastAsia" w:ascii="仿宋" w:hAnsi="仿宋" w:eastAsia="仿宋" w:cs="仿宋"/>
          <w:sz w:val="32"/>
          <w:szCs w:val="32"/>
        </w:rPr>
        <w:t>安全平稳运行。</w:t>
      </w:r>
      <w:r>
        <w:rPr>
          <w:rFonts w:hint="eastAsia" w:ascii="仿宋" w:hAnsi="仿宋" w:eastAsia="仿宋" w:cs="仿宋"/>
          <w:b/>
          <w:bCs/>
          <w:sz w:val="32"/>
          <w:szCs w:val="32"/>
        </w:rPr>
        <w:t>二是要继续深化政府门户网站信息公开内容。</w:t>
      </w:r>
      <w:r>
        <w:rPr>
          <w:rFonts w:hint="eastAsia" w:ascii="仿宋" w:hAnsi="仿宋" w:eastAsia="仿宋" w:cs="仿宋"/>
          <w:sz w:val="32"/>
          <w:szCs w:val="32"/>
        </w:rPr>
        <w:t>及时公开政策性文件，加强政策解读，聚焦公众关注，丰富解读形式，实现多样化政策解读，</w:t>
      </w:r>
      <w:r>
        <w:rPr>
          <w:rFonts w:hint="eastAsia" w:ascii="华文仿宋" w:hAnsi="华文仿宋" w:eastAsia="华文仿宋"/>
          <w:sz w:val="30"/>
          <w:szCs w:val="30"/>
        </w:rPr>
        <w:t>强化解读与文件的双向关联</w:t>
      </w:r>
      <w:r>
        <w:rPr>
          <w:rFonts w:hint="eastAsia" w:ascii="仿宋" w:hAnsi="仿宋" w:eastAsia="仿宋" w:cs="仿宋"/>
          <w:sz w:val="32"/>
          <w:szCs w:val="32"/>
        </w:rPr>
        <w:t>。</w:t>
      </w:r>
      <w:r>
        <w:rPr>
          <w:rFonts w:hint="eastAsia" w:ascii="仿宋" w:hAnsi="仿宋" w:eastAsia="仿宋" w:cs="仿宋"/>
          <w:b/>
          <w:bCs/>
          <w:sz w:val="32"/>
          <w:szCs w:val="32"/>
        </w:rPr>
        <w:t>三是要加强和规范管理。</w:t>
      </w:r>
      <w:r>
        <w:rPr>
          <w:rFonts w:hint="eastAsia" w:ascii="仿宋" w:hAnsi="仿宋" w:eastAsia="仿宋" w:cs="仿宋"/>
          <w:sz w:val="32"/>
          <w:szCs w:val="32"/>
        </w:rPr>
        <w:t>结合深化“放管服”的新形势，强化工作人员业务培训，继续完善和严格执行各项规章制度，进一步优化各项工作流程，充分发挥信息公开工作的作用，加大公开力度，丰富公开形式，提高办事效率，为社会经济发展作出应有的贡献。</w:t>
      </w:r>
    </w:p>
    <w:p>
      <w:pPr>
        <w:pStyle w:val="4"/>
        <w:widowControl/>
        <w:spacing w:line="20" w:lineRule="atLeast"/>
        <w:jc w:val="both"/>
        <w:rPr>
          <w:rFonts w:ascii="仿宋" w:hAnsi="仿宋" w:eastAsia="仿宋" w:cs="仿宋"/>
          <w:sz w:val="32"/>
          <w:szCs w:val="32"/>
        </w:rPr>
      </w:pPr>
    </w:p>
    <w:p>
      <w:pPr>
        <w:pStyle w:val="4"/>
        <w:widowControl/>
        <w:spacing w:line="20" w:lineRule="atLeast"/>
        <w:ind w:firstLine="4160" w:firstLineChars="1300"/>
        <w:jc w:val="both"/>
        <w:rPr>
          <w:rFonts w:ascii="仿宋" w:hAnsi="仿宋" w:eastAsia="仿宋" w:cs="仿宋"/>
          <w:sz w:val="32"/>
          <w:szCs w:val="32"/>
        </w:rPr>
      </w:pPr>
      <w:r>
        <w:rPr>
          <w:rFonts w:hint="eastAsia" w:ascii="仿宋" w:hAnsi="仿宋" w:eastAsia="仿宋" w:cs="仿宋"/>
          <w:sz w:val="32"/>
          <w:szCs w:val="32"/>
        </w:rPr>
        <w:t>静乐县人民政府办公室</w:t>
      </w:r>
    </w:p>
    <w:p>
      <w:pPr>
        <w:pStyle w:val="4"/>
        <w:widowControl/>
        <w:spacing w:line="20" w:lineRule="atLeast"/>
        <w:ind w:firstLine="4480" w:firstLineChars="1400"/>
        <w:jc w:val="both"/>
        <w:rPr>
          <w:rFonts w:ascii="仿宋" w:hAnsi="仿宋" w:eastAsia="仿宋" w:cs="仿宋"/>
          <w:sz w:val="32"/>
          <w:szCs w:val="32"/>
        </w:rPr>
      </w:pPr>
      <w:r>
        <w:rPr>
          <w:rFonts w:hint="eastAsia" w:ascii="仿宋" w:hAnsi="仿宋" w:eastAsia="仿宋" w:cs="仿宋"/>
          <w:sz w:val="32"/>
          <w:szCs w:val="32"/>
        </w:rPr>
        <w:t>2022年1月12日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82"/>
    <w:rsid w:val="001D562F"/>
    <w:rsid w:val="002041A5"/>
    <w:rsid w:val="00367D8C"/>
    <w:rsid w:val="004B4359"/>
    <w:rsid w:val="00761311"/>
    <w:rsid w:val="00895E82"/>
    <w:rsid w:val="009773EE"/>
    <w:rsid w:val="00A23FC1"/>
    <w:rsid w:val="00B71474"/>
    <w:rsid w:val="00CA2125"/>
    <w:rsid w:val="00D53147"/>
    <w:rsid w:val="080077B7"/>
    <w:rsid w:val="183D49D4"/>
    <w:rsid w:val="23CD253E"/>
    <w:rsid w:val="26FF2F64"/>
    <w:rsid w:val="270C0791"/>
    <w:rsid w:val="3304641E"/>
    <w:rsid w:val="3E183576"/>
    <w:rsid w:val="3F7869B6"/>
    <w:rsid w:val="629F32EE"/>
    <w:rsid w:val="6B1837B3"/>
    <w:rsid w:val="6E051E09"/>
    <w:rsid w:val="747340A2"/>
    <w:rsid w:val="7FB47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398</Words>
  <Characters>2272</Characters>
  <Lines>18</Lines>
  <Paragraphs>5</Paragraphs>
  <TotalTime>29</TotalTime>
  <ScaleCrop>false</ScaleCrop>
  <LinksUpToDate>false</LinksUpToDate>
  <CharactersWithSpaces>2665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2022-01-27T04:57:00Z</dcterms:created>
  <dc:creator>Y</dc:creator>
  <cp:lastModifiedBy>Y</cp:lastModifiedBy>
  <cp:lastPrinted>2022-01-18T08:44:00Z</cp:lastPrinted>
  <dcterms:modified xsi:type="dcterms:W3CDTF">2022-03-30T13:11:31Z</dcterms:modified>
  <dc:title>静乐县2021年政府信息公开年度报告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7F3FD726CD7B4B389CC32E346FA7E4FD</vt:lpwstr>
  </property>
</Properties>
</file>