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娑婆乡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2021年政府信息公开年度报告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国务院办公厅政府信息与政务公开办公室关于印发《中华人民共和国政府信息公开工作年度报告格式》的通知(国办公开办函(2021)30号)和忻州市人民政府办公室《关于认真做好政府信息公开工作年报的督办通知》要求，并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实际情况，特向社会公开静乐县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娑婆乡</w:t>
      </w:r>
      <w:r>
        <w:rPr>
          <w:rFonts w:hint="eastAsia" w:ascii="仿宋" w:hAnsi="仿宋" w:eastAsia="仿宋" w:cs="仿宋"/>
          <w:sz w:val="32"/>
          <w:szCs w:val="32"/>
        </w:rPr>
        <w:t>2021年度政府信息公开工作情况，本报告包括本年度政府信息公开工作基本情况、主动公开政府信息情况、依申请公开政府信息和不予公开政府信息的情况等。报告所列数据统计期限自2021年1月1日起至2021年12月31日止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一、政府信息公开总体情况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(一)政府信息公开制度完成情况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娑婆乡</w:t>
      </w:r>
      <w:r>
        <w:rPr>
          <w:rFonts w:hint="eastAsia" w:ascii="仿宋" w:hAnsi="仿宋" w:eastAsia="仿宋" w:cs="仿宋"/>
          <w:sz w:val="32"/>
          <w:szCs w:val="32"/>
        </w:rPr>
        <w:t>建立健全政府信息主动公开工作机制和政府信息公开申请受理机制，规范和完善工作流程，明确责任、程序、公开方式和时限要求，理清申请受理、审查、处理、答复等各个环节，严格落实一次性告知制度、首问负责制，限时办结制、责任追究制等制度，认真抓好政府信息公开协调考核、追责机制建设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娑婆乡便民服务中心</w:t>
      </w:r>
      <w:r>
        <w:rPr>
          <w:rFonts w:hint="eastAsia" w:ascii="仿宋" w:hAnsi="仿宋" w:eastAsia="仿宋" w:cs="仿宋"/>
          <w:sz w:val="32"/>
          <w:szCs w:val="32"/>
        </w:rPr>
        <w:t>公开，确保政府信息公开工作顺利、平稳、有序开展。在日常工作中，坚持把关系国计民生、社会救助等涉及到人民群众切身利益的息作为公开的重点，依照上级有关要求全面、及时地公开、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"/>
          <w:sz w:val="32"/>
          <w:szCs w:val="32"/>
        </w:rPr>
        <w:t>新信息。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(二)政府信息公开目录、公开指南的编制、更新情况政府信息公开目录和指南是政府信息公开的基础，是做好政府信息公开工作，方便群众依法获取政府信息公开的关键。为此，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娑婆乡</w:t>
      </w:r>
      <w:r>
        <w:rPr>
          <w:rFonts w:hint="eastAsia" w:ascii="仿宋" w:hAnsi="仿宋" w:eastAsia="仿宋" w:cs="仿宋"/>
          <w:sz w:val="32"/>
          <w:szCs w:val="32"/>
        </w:rPr>
        <w:t>对涉及人民群众切身利益的政府信息进行进步梳理，及时认领事项目录清单，规范化更新了原编制的政府信息公开目录和指南，使人民群众更好的行使参与权、监督权和知情权。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二、主动公开政府信息情况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tbl>
      <w:tblPr>
        <w:tblStyle w:val="4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三、收到和处理政府信息公开申请情况</w:t>
      </w: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175" w:tblpY="50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2" w:firstLineChars="20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存在的主要问题及改进情况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（一）政府信息公开工作存在的主要问题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1、工作人员对信息公开平台的操作流程熟悉度不够，相关工作要求和规定的学习有待进一步加强。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2、公开内容需要进一步深化。政府主动公开的政府信息与公众的需求还存在一些距离，各个窗口的办事项目与群众的需求存在一定差距，需要进一步完善。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(二)针对不足，本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 w:cs="仿宋"/>
          <w:sz w:val="30"/>
          <w:szCs w:val="30"/>
        </w:rPr>
        <w:t>通过采取以下措施进行改进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1、加强工作人员的政府信息公开工作的业务培训，提高工作人员的系统操作能力，进一步提高报送信息的主动性，保证公开信息的及时、准确和全面。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2、进一步完善政府信息公开工作机制，建立稳定的信息公开激励机制，完善信息公开审查制度。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娑婆乡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ind w:firstLine="5400" w:firstLineChars="18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2022年1月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3A1B5"/>
    <w:multiLevelType w:val="singleLevel"/>
    <w:tmpl w:val="61F3A1B5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43590"/>
    <w:rsid w:val="02373E2A"/>
    <w:rsid w:val="08107FE4"/>
    <w:rsid w:val="0E0378DF"/>
    <w:rsid w:val="1EAA34DD"/>
    <w:rsid w:val="707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2022-01-24T03:37:00Z</dcterms:created>
  <dc:creator>Administrator</dc:creator>
  <cp:lastModifiedBy>Administrator</cp:lastModifiedBy>
  <cp:lastPrinted>2022-01-24T04:53:00Z</cp:lastPrinted>
  <dcterms:modified xsi:type="dcterms:W3CDTF">2022-01-28T07:55:40Z</dcterms:modified>
  <dc:title>娑婆乡2021年政府信息公开年度报告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6487C95A2EC843C1AC0FAA83FA3E1CF2</vt:lpwstr>
  </property>
</Properties>
</file>