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76C" w:rsidRPr="0040676C" w:rsidRDefault="0040676C" w:rsidP="0040676C">
      <w:pPr>
        <w:shd w:val="clear" w:color="auto" w:fill="FFFFFF"/>
        <w:adjustRightInd/>
        <w:snapToGrid/>
        <w:spacing w:after="0" w:line="700" w:lineRule="atLeast"/>
        <w:ind w:firstLine="880"/>
        <w:jc w:val="center"/>
        <w:rPr>
          <w:rFonts w:ascii="微软雅黑" w:hAnsi="微软雅黑" w:cs="宋体"/>
          <w:color w:val="333333"/>
          <w:sz w:val="24"/>
          <w:szCs w:val="24"/>
        </w:rPr>
      </w:pPr>
      <w:r w:rsidRPr="0040676C">
        <w:rPr>
          <w:rFonts w:ascii="方正小标宋简体" w:eastAsia="方正小标宋简体" w:hAnsi="微软雅黑" w:cs="宋体" w:hint="eastAsia"/>
          <w:color w:val="333333"/>
          <w:sz w:val="44"/>
          <w:szCs w:val="44"/>
          <w:bdr w:val="none" w:sz="0" w:space="0" w:color="auto" w:frame="1"/>
        </w:rPr>
        <w:t>忻州市2022年国民经济和社会发展统计公报</w:t>
      </w:r>
    </w:p>
    <w:p w:rsidR="0040676C" w:rsidRPr="0040676C" w:rsidRDefault="0040676C" w:rsidP="0040676C">
      <w:pPr>
        <w:shd w:val="clear" w:color="auto" w:fill="FFFFFF"/>
        <w:adjustRightInd/>
        <w:snapToGrid/>
        <w:spacing w:after="0" w:line="504" w:lineRule="atLeast"/>
        <w:ind w:firstLine="420"/>
        <w:jc w:val="center"/>
        <w:rPr>
          <w:rFonts w:ascii="微软雅黑" w:hAnsi="微软雅黑" w:cs="宋体"/>
          <w:color w:val="333333"/>
          <w:sz w:val="24"/>
          <w:szCs w:val="24"/>
        </w:rPr>
      </w:pPr>
      <w:r w:rsidRPr="0040676C">
        <w:rPr>
          <w:rFonts w:ascii="微软雅黑" w:hAnsi="微软雅黑" w:cs="宋体" w:hint="eastAsia"/>
          <w:color w:val="333333"/>
          <w:sz w:val="21"/>
          <w:szCs w:val="21"/>
          <w:bdr w:val="none" w:sz="0" w:space="0" w:color="auto" w:frame="1"/>
        </w:rPr>
        <w:t> </w:t>
      </w:r>
    </w:p>
    <w:p w:rsidR="0040676C" w:rsidRPr="0040676C" w:rsidRDefault="0040676C" w:rsidP="0040676C">
      <w:pPr>
        <w:shd w:val="clear" w:color="auto" w:fill="FFFFFF"/>
        <w:adjustRightInd/>
        <w:snapToGrid/>
        <w:spacing w:after="0" w:line="504" w:lineRule="atLeast"/>
        <w:ind w:firstLine="640"/>
        <w:jc w:val="center"/>
        <w:rPr>
          <w:rFonts w:ascii="微软雅黑" w:hAnsi="微软雅黑" w:cs="宋体"/>
          <w:color w:val="333333"/>
          <w:sz w:val="24"/>
          <w:szCs w:val="24"/>
        </w:rPr>
      </w:pPr>
      <w:r w:rsidRPr="0040676C">
        <w:rPr>
          <w:rFonts w:ascii="楷体_GB2312" w:eastAsia="楷体_GB2312" w:hAnsi="微软雅黑" w:cs="宋体" w:hint="eastAsia"/>
          <w:color w:val="333333"/>
          <w:sz w:val="32"/>
          <w:szCs w:val="32"/>
          <w:bdr w:val="none" w:sz="0" w:space="0" w:color="auto" w:frame="1"/>
        </w:rPr>
        <w:t>忻</w:t>
      </w:r>
      <w:r w:rsidRPr="0040676C">
        <w:rPr>
          <w:rFonts w:ascii="楷体_GB2312" w:eastAsia="楷体_GB2312" w:hAnsi="微软雅黑" w:cs="宋体" w:hint="eastAsia"/>
          <w:color w:val="333333"/>
          <w:sz w:val="32"/>
          <w:szCs w:val="32"/>
          <w:bdr w:val="none" w:sz="0" w:space="0" w:color="auto" w:frame="1"/>
        </w:rPr>
        <w:t> </w:t>
      </w:r>
      <w:r w:rsidRPr="0040676C">
        <w:rPr>
          <w:rFonts w:ascii="楷体_GB2312" w:eastAsia="楷体_GB2312" w:hAnsi="微软雅黑" w:cs="宋体" w:hint="eastAsia"/>
          <w:color w:val="333333"/>
          <w:sz w:val="32"/>
          <w:szCs w:val="32"/>
          <w:bdr w:val="none" w:sz="0" w:space="0" w:color="auto" w:frame="1"/>
        </w:rPr>
        <w:t>州</w:t>
      </w:r>
      <w:r w:rsidRPr="0040676C">
        <w:rPr>
          <w:rFonts w:ascii="楷体_GB2312" w:eastAsia="楷体_GB2312" w:hAnsi="微软雅黑" w:cs="宋体" w:hint="eastAsia"/>
          <w:color w:val="333333"/>
          <w:sz w:val="32"/>
          <w:szCs w:val="32"/>
          <w:bdr w:val="none" w:sz="0" w:space="0" w:color="auto" w:frame="1"/>
        </w:rPr>
        <w:t> </w:t>
      </w:r>
      <w:r w:rsidRPr="0040676C">
        <w:rPr>
          <w:rFonts w:ascii="楷体_GB2312" w:eastAsia="楷体_GB2312" w:hAnsi="微软雅黑" w:cs="宋体" w:hint="eastAsia"/>
          <w:color w:val="333333"/>
          <w:sz w:val="32"/>
          <w:szCs w:val="32"/>
          <w:bdr w:val="none" w:sz="0" w:space="0" w:color="auto" w:frame="1"/>
        </w:rPr>
        <w:t>市</w:t>
      </w:r>
      <w:r w:rsidRPr="0040676C">
        <w:rPr>
          <w:rFonts w:ascii="楷体_GB2312" w:eastAsia="楷体_GB2312" w:hAnsi="微软雅黑" w:cs="宋体" w:hint="eastAsia"/>
          <w:color w:val="333333"/>
          <w:sz w:val="32"/>
          <w:szCs w:val="32"/>
          <w:bdr w:val="none" w:sz="0" w:space="0" w:color="auto" w:frame="1"/>
        </w:rPr>
        <w:t> </w:t>
      </w:r>
      <w:r w:rsidRPr="0040676C">
        <w:rPr>
          <w:rFonts w:ascii="楷体_GB2312" w:eastAsia="楷体_GB2312" w:hAnsi="微软雅黑" w:cs="宋体" w:hint="eastAsia"/>
          <w:color w:val="333333"/>
          <w:sz w:val="32"/>
          <w:szCs w:val="32"/>
          <w:bdr w:val="none" w:sz="0" w:space="0" w:color="auto" w:frame="1"/>
        </w:rPr>
        <w:t>统</w:t>
      </w:r>
      <w:r w:rsidRPr="0040676C">
        <w:rPr>
          <w:rFonts w:ascii="楷体_GB2312" w:eastAsia="楷体_GB2312" w:hAnsi="微软雅黑" w:cs="宋体" w:hint="eastAsia"/>
          <w:color w:val="333333"/>
          <w:sz w:val="32"/>
          <w:szCs w:val="32"/>
          <w:bdr w:val="none" w:sz="0" w:space="0" w:color="auto" w:frame="1"/>
        </w:rPr>
        <w:t> </w:t>
      </w:r>
      <w:r w:rsidRPr="0040676C">
        <w:rPr>
          <w:rFonts w:ascii="楷体_GB2312" w:eastAsia="楷体_GB2312" w:hAnsi="微软雅黑" w:cs="宋体" w:hint="eastAsia"/>
          <w:color w:val="333333"/>
          <w:sz w:val="32"/>
          <w:szCs w:val="32"/>
          <w:bdr w:val="none" w:sz="0" w:space="0" w:color="auto" w:frame="1"/>
        </w:rPr>
        <w:t>计</w:t>
      </w:r>
      <w:r w:rsidRPr="0040676C">
        <w:rPr>
          <w:rFonts w:ascii="楷体_GB2312" w:eastAsia="楷体_GB2312" w:hAnsi="微软雅黑" w:cs="宋体" w:hint="eastAsia"/>
          <w:color w:val="333333"/>
          <w:sz w:val="32"/>
          <w:szCs w:val="32"/>
          <w:bdr w:val="none" w:sz="0" w:space="0" w:color="auto" w:frame="1"/>
        </w:rPr>
        <w:t> </w:t>
      </w:r>
      <w:r w:rsidRPr="0040676C">
        <w:rPr>
          <w:rFonts w:ascii="楷体_GB2312" w:eastAsia="楷体_GB2312" w:hAnsi="微软雅黑" w:cs="宋体" w:hint="eastAsia"/>
          <w:color w:val="333333"/>
          <w:sz w:val="32"/>
          <w:szCs w:val="32"/>
          <w:bdr w:val="none" w:sz="0" w:space="0" w:color="auto" w:frame="1"/>
        </w:rPr>
        <w:t>局</w:t>
      </w:r>
    </w:p>
    <w:p w:rsidR="0040676C" w:rsidRPr="0040676C" w:rsidRDefault="0040676C" w:rsidP="0040676C">
      <w:pPr>
        <w:shd w:val="clear" w:color="auto" w:fill="FFFFFF"/>
        <w:adjustRightInd/>
        <w:snapToGrid/>
        <w:spacing w:after="0" w:line="504" w:lineRule="atLeast"/>
        <w:ind w:firstLine="640"/>
        <w:jc w:val="center"/>
        <w:rPr>
          <w:rFonts w:ascii="微软雅黑" w:hAnsi="微软雅黑" w:cs="宋体"/>
          <w:color w:val="333333"/>
          <w:sz w:val="24"/>
          <w:szCs w:val="24"/>
        </w:rPr>
      </w:pPr>
      <w:r w:rsidRPr="0040676C">
        <w:rPr>
          <w:rFonts w:ascii="楷体_GB2312" w:eastAsia="楷体_GB2312" w:hAnsi="微软雅黑" w:cs="宋体" w:hint="eastAsia"/>
          <w:color w:val="333333"/>
          <w:sz w:val="32"/>
          <w:szCs w:val="32"/>
          <w:bdr w:val="none" w:sz="0" w:space="0" w:color="auto" w:frame="1"/>
        </w:rPr>
        <w:t>国家统计局忻州调查队</w:t>
      </w:r>
    </w:p>
    <w:p w:rsidR="0040676C" w:rsidRPr="0040676C" w:rsidRDefault="0040676C" w:rsidP="0040676C">
      <w:pPr>
        <w:shd w:val="clear" w:color="auto" w:fill="FFFFFF"/>
        <w:adjustRightInd/>
        <w:snapToGrid/>
        <w:spacing w:after="0" w:line="240" w:lineRule="atLeast"/>
        <w:ind w:firstLine="640"/>
        <w:rPr>
          <w:rFonts w:ascii="微软雅黑" w:hAnsi="微软雅黑" w:cs="宋体"/>
          <w:color w:val="333333"/>
          <w:sz w:val="24"/>
          <w:szCs w:val="24"/>
        </w:rPr>
      </w:pPr>
      <w:r w:rsidRPr="0040676C">
        <w:rPr>
          <w:rFonts w:ascii="微软雅黑" w:hAnsi="微软雅黑" w:cs="宋体" w:hint="eastAsia"/>
          <w:color w:val="333333"/>
          <w:sz w:val="32"/>
          <w:szCs w:val="32"/>
          <w:bdr w:val="none" w:sz="0" w:space="0" w:color="auto" w:frame="1"/>
        </w:rPr>
        <w:t> </w:t>
      </w:r>
    </w:p>
    <w:p w:rsidR="0040676C" w:rsidRPr="0040676C" w:rsidRDefault="0040676C" w:rsidP="0040676C">
      <w:pPr>
        <w:shd w:val="clear" w:color="auto" w:fill="FFFFFF"/>
        <w:adjustRightInd/>
        <w:snapToGrid/>
        <w:spacing w:after="0" w:line="504" w:lineRule="atLeast"/>
        <w:ind w:firstLine="640"/>
        <w:jc w:val="center"/>
        <w:rPr>
          <w:rFonts w:ascii="微软雅黑" w:hAnsi="微软雅黑" w:cs="宋体"/>
          <w:color w:val="333333"/>
          <w:sz w:val="24"/>
          <w:szCs w:val="24"/>
        </w:rPr>
      </w:pPr>
      <w:r w:rsidRPr="0040676C">
        <w:rPr>
          <w:rFonts w:ascii="楷体_GB2312" w:eastAsia="楷体_GB2312" w:hAnsi="微软雅黑" w:cs="宋体" w:hint="eastAsia"/>
          <w:color w:val="333333"/>
          <w:sz w:val="32"/>
          <w:szCs w:val="32"/>
          <w:bdr w:val="none" w:sz="0" w:space="0" w:color="auto" w:frame="1"/>
        </w:rPr>
        <w:t>2023年4月7日</w:t>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楷体_GB2312" w:eastAsia="楷体_GB2312" w:hAnsi="微软雅黑" w:cs="宋体" w:hint="eastAsia"/>
          <w:color w:val="333333"/>
          <w:sz w:val="32"/>
          <w:szCs w:val="32"/>
          <w:bdr w:val="none" w:sz="0" w:space="0" w:color="auto" w:frame="1"/>
        </w:rPr>
        <w:t> </w:t>
      </w:r>
    </w:p>
    <w:p w:rsidR="0040676C" w:rsidRPr="0040676C" w:rsidRDefault="0040676C" w:rsidP="0040676C">
      <w:pPr>
        <w:shd w:val="clear" w:color="auto" w:fill="FFFFFF"/>
        <w:adjustRightInd/>
        <w:snapToGrid/>
        <w:spacing w:after="0" w:line="504" w:lineRule="atLeast"/>
        <w:ind w:firstLine="420"/>
        <w:rPr>
          <w:rFonts w:ascii="微软雅黑" w:hAnsi="微软雅黑" w:cs="宋体"/>
          <w:color w:val="333333"/>
          <w:sz w:val="24"/>
          <w:szCs w:val="24"/>
        </w:rPr>
      </w:pPr>
      <w:r w:rsidRPr="0040676C">
        <w:rPr>
          <w:rFonts w:ascii="微软雅黑" w:hAnsi="微软雅黑" w:cs="宋体" w:hint="eastAsia"/>
          <w:color w:val="333333"/>
          <w:sz w:val="21"/>
          <w:szCs w:val="21"/>
          <w:bdr w:val="none" w:sz="0" w:space="0" w:color="auto" w:frame="1"/>
        </w:rPr>
        <w:t> </w:t>
      </w:r>
    </w:p>
    <w:p w:rsidR="0040676C" w:rsidRPr="0040676C" w:rsidRDefault="0040676C" w:rsidP="0040676C">
      <w:pPr>
        <w:shd w:val="clear" w:color="auto" w:fill="FFFFFF"/>
        <w:adjustRightInd/>
        <w:snapToGrid/>
        <w:spacing w:after="0" w:line="504" w:lineRule="atLeast"/>
        <w:ind w:firstLine="640"/>
        <w:jc w:val="both"/>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2022年，在市委、市政府的坚强领导下，全市上下</w:t>
      </w:r>
      <w:r w:rsidRPr="0040676C">
        <w:rPr>
          <w:rFonts w:ascii="仿宋_GB2312" w:eastAsia="仿宋_GB2312" w:hAnsi="微软雅黑" w:cs="宋体" w:hint="eastAsia"/>
          <w:color w:val="333333"/>
          <w:spacing w:val="7"/>
          <w:sz w:val="32"/>
          <w:szCs w:val="32"/>
          <w:bdr w:val="none" w:sz="0" w:space="0" w:color="auto" w:frame="1"/>
        </w:rPr>
        <w:t>深入学习贯彻党的二十大精神和习近平总书记考察调研山西重要讲话重要指示精神，</w:t>
      </w:r>
      <w:r w:rsidRPr="0040676C">
        <w:rPr>
          <w:rFonts w:ascii="仿宋_GB2312" w:eastAsia="仿宋_GB2312" w:hAnsi="微软雅黑" w:cs="宋体" w:hint="eastAsia"/>
          <w:color w:val="333333"/>
          <w:sz w:val="32"/>
          <w:szCs w:val="32"/>
          <w:bdr w:val="none" w:sz="0" w:space="0" w:color="auto" w:frame="1"/>
        </w:rPr>
        <w:t>认真落实中央及省委、市委经济工作会议精神，深入贯彻落实“疫情要防住、经济要稳住、发展要安全”重要要求。按照高质量发展目标要求，坚持稳中求进工作总基调，扎实做好“六稳”“六保”工作，有效实施稳经济一揽子政策措施，全市经济持续稳中加固、稳中向好，转型发展稳中有进，民生福祉不断增进，社会事业全面进步，高质量发展态势强劲。</w:t>
      </w:r>
    </w:p>
    <w:p w:rsidR="0040676C" w:rsidRPr="0040676C" w:rsidRDefault="0040676C" w:rsidP="0040676C">
      <w:pPr>
        <w:shd w:val="clear" w:color="auto" w:fill="FFFFFF"/>
        <w:adjustRightInd/>
        <w:snapToGrid/>
        <w:spacing w:after="0" w:line="504"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一、综</w:t>
      </w:r>
      <w:r w:rsidRPr="0040676C">
        <w:rPr>
          <w:rFonts w:ascii="黑体" w:eastAsia="黑体" w:hAnsi="微软雅黑" w:cs="宋体" w:hint="eastAsia"/>
          <w:color w:val="333333"/>
          <w:sz w:val="32"/>
          <w:szCs w:val="32"/>
          <w:bdr w:val="none" w:sz="0" w:space="0" w:color="auto" w:frame="1"/>
        </w:rPr>
        <w:t>  </w:t>
      </w:r>
      <w:r w:rsidRPr="0040676C">
        <w:rPr>
          <w:rFonts w:ascii="黑体" w:eastAsia="黑体" w:hAnsi="微软雅黑" w:cs="宋体" w:hint="eastAsia"/>
          <w:color w:val="333333"/>
          <w:sz w:val="32"/>
          <w:szCs w:val="32"/>
          <w:bdr w:val="none" w:sz="0" w:space="0" w:color="auto" w:frame="1"/>
        </w:rPr>
        <w:t>合</w:t>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初步核算，2022年全年实现地区生产总值1500.6亿元，按不变价格计算，比上年增长3.8%。其中，第一产业增加值122.8亿元，增长5.6%，占地区生产总值比重为8.2%；第二产业增加值794.5亿元，增长3.6%，占地区生产总值比重为52.9%；第三产业增加值583.3亿元，增长3.6%，占地区生产总值比重为38.9%。人均地区生产总值56426元，按2022年平均汇率计算为8389美元。</w:t>
      </w:r>
      <w:r w:rsidRPr="0040676C">
        <w:rPr>
          <w:rFonts w:ascii="仿宋_GB2312" w:eastAsia="仿宋_GB2312" w:hAnsi="微软雅黑" w:cs="宋体" w:hint="eastAsia"/>
          <w:color w:val="333333"/>
          <w:sz w:val="32"/>
          <w:szCs w:val="32"/>
          <w:bdr w:val="none" w:sz="0" w:space="0" w:color="auto" w:frame="1"/>
        </w:rPr>
        <w:t> </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图1  2018-2022年全市地区生产总值及其增长速度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 </w:t>
      </w:r>
      <w:r>
        <w:rPr>
          <w:rFonts w:ascii="仿宋_GB2312" w:eastAsia="仿宋_GB2312" w:hAnsi="微软雅黑" w:cs="宋体"/>
          <w:noProof/>
          <w:color w:val="333333"/>
          <w:sz w:val="32"/>
          <w:szCs w:val="32"/>
          <w:bdr w:val="none" w:sz="0" w:space="0" w:color="auto" w:frame="1"/>
        </w:rPr>
        <w:drawing>
          <wp:inline distT="0" distB="0" distL="0" distR="0">
            <wp:extent cx="6934200" cy="3143250"/>
            <wp:effectExtent l="0" t="0" r="0" b="0"/>
            <wp:docPr id="1" name="图片 1" descr="https://tjj.sxxz.gov.cn/tjsj/tjgb1/202304/W020230413415429485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jj.sxxz.gov.cn/tjsj/tjgb1/202304/W020230413415429485106.png"/>
                    <pic:cNvPicPr>
                      <a:picLocks noChangeAspect="1" noChangeArrowheads="1"/>
                    </pic:cNvPicPr>
                  </pic:nvPicPr>
                  <pic:blipFill>
                    <a:blip r:embed="rId6" cstate="print"/>
                    <a:srcRect/>
                    <a:stretch>
                      <a:fillRect/>
                    </a:stretch>
                  </pic:blipFill>
                  <pic:spPr bwMode="auto">
                    <a:xfrm>
                      <a:off x="0" y="0"/>
                      <a:ext cx="6934200" cy="31432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8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常住人口265.56万人，比上年末减少0.76万人。其中，城镇常住人口146.96万人，占常住人口比重为55.34%，比上年末提高0.60个百分点。全年全市出生人口1.70万人，出生率为6.38‰；死亡人口2.24万人，死亡率为8.44‰；自然增长率为-2.06‰。</w:t>
      </w:r>
    </w:p>
    <w:p w:rsidR="0040676C" w:rsidRPr="0040676C" w:rsidRDefault="0040676C" w:rsidP="0040676C">
      <w:pPr>
        <w:shd w:val="clear" w:color="auto" w:fill="FFFFFF"/>
        <w:adjustRightInd/>
        <w:snapToGrid/>
        <w:spacing w:after="0" w:line="58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全年全市城镇新增就业3.8万人。转移农村劳动力4.1万人。</w:t>
      </w:r>
      <w:r w:rsidRPr="0040676C">
        <w:rPr>
          <w:rFonts w:ascii="仿宋_GB2312" w:eastAsia="仿宋_GB2312" w:hAnsi="微软雅黑" w:cs="宋体" w:hint="eastAsia"/>
          <w:color w:val="0000FF"/>
          <w:sz w:val="32"/>
          <w:szCs w:val="32"/>
          <w:bdr w:val="none" w:sz="0" w:space="0" w:color="auto" w:frame="1"/>
        </w:rPr>
        <w:t> </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表1   2022年年末全市常住人口数及其构成</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734175" cy="2114550"/>
            <wp:effectExtent l="19050" t="0" r="9525" b="0"/>
            <wp:docPr id="2" name="图片 2" descr="https://tjj.sxxz.gov.cn/tjsj/tjgb1/202304/W020230413415429492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jj.sxxz.gov.cn/tjsj/tjgb1/202304/W020230413415429492857.png"/>
                    <pic:cNvPicPr>
                      <a:picLocks noChangeAspect="1" noChangeArrowheads="1"/>
                    </pic:cNvPicPr>
                  </pic:nvPicPr>
                  <pic:blipFill>
                    <a:blip r:embed="rId7" cstate="print"/>
                    <a:srcRect/>
                    <a:stretch>
                      <a:fillRect/>
                    </a:stretch>
                  </pic:blipFill>
                  <pic:spPr bwMode="auto">
                    <a:xfrm>
                      <a:off x="0" y="0"/>
                      <a:ext cx="6734175" cy="21145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全市居民消费价格比上年上涨1.6%。</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表2  2022年全市居民消费价格比上年涨跌幅度</w:t>
      </w:r>
    </w:p>
    <w:p w:rsidR="0040676C" w:rsidRPr="0040676C" w:rsidRDefault="0040676C" w:rsidP="0040676C">
      <w:pPr>
        <w:shd w:val="clear" w:color="auto" w:fill="FFFFFF"/>
        <w:adjustRightInd/>
        <w:snapToGrid/>
        <w:spacing w:after="0" w:line="504" w:lineRule="atLeast"/>
        <w:rPr>
          <w:rFonts w:ascii="微软雅黑" w:hAnsi="微软雅黑" w:cs="宋体"/>
          <w:color w:val="333333"/>
          <w:sz w:val="24"/>
          <w:szCs w:val="24"/>
        </w:rPr>
      </w:pP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sidRPr="0040676C">
        <w:rPr>
          <w:rFonts w:ascii="黑体" w:eastAsia="黑体" w:hAnsi="微软雅黑" w:cs="宋体" w:hint="eastAsia"/>
          <w:color w:val="333333"/>
          <w:bdr w:val="none" w:sz="0" w:space="0" w:color="auto" w:frame="1"/>
        </w:rPr>
        <w:t xml:space="preserve"> </w:t>
      </w:r>
      <w:r w:rsidRPr="0040676C">
        <w:rPr>
          <w:rFonts w:ascii="黑体" w:eastAsia="黑体" w:hAnsi="微软雅黑" w:cs="宋体" w:hint="eastAsia"/>
          <w:color w:val="333333"/>
          <w:bdr w:val="none" w:sz="0" w:space="0" w:color="auto" w:frame="1"/>
        </w:rPr>
        <w:t> </w:t>
      </w:r>
      <w:r>
        <w:rPr>
          <w:rFonts w:ascii="黑体" w:eastAsia="黑体" w:hAnsi="微软雅黑" w:cs="宋体"/>
          <w:noProof/>
          <w:color w:val="333333"/>
          <w:bdr w:val="none" w:sz="0" w:space="0" w:color="auto" w:frame="1"/>
        </w:rPr>
        <w:drawing>
          <wp:inline distT="0" distB="0" distL="0" distR="0">
            <wp:extent cx="6772275" cy="3619500"/>
            <wp:effectExtent l="19050" t="0" r="9525" b="0"/>
            <wp:docPr id="3" name="图片 3" descr="https://tjj.sxxz.gov.cn/tjsj/tjgb1/202304/W020230413415429497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jj.sxxz.gov.cn/tjsj/tjgb1/202304/W020230413415429497565.png"/>
                    <pic:cNvPicPr>
                      <a:picLocks noChangeAspect="1" noChangeArrowheads="1"/>
                    </pic:cNvPicPr>
                  </pic:nvPicPr>
                  <pic:blipFill>
                    <a:blip r:embed="rId8" cstate="print"/>
                    <a:srcRect/>
                    <a:stretch>
                      <a:fillRect/>
                    </a:stretch>
                  </pic:blipFill>
                  <pic:spPr bwMode="auto">
                    <a:xfrm>
                      <a:off x="0" y="0"/>
                      <a:ext cx="6772275" cy="36195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全年全市规模以上工业中，装备制造业增加值比上年下降3.0%；工业战略性新兴产业下降17.3%。其中节能环保产业下降30.5%，新能源产业下降34.0%，新材料产业增长4.3%。</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二、农</w:t>
      </w:r>
      <w:r w:rsidRPr="0040676C">
        <w:rPr>
          <w:rFonts w:ascii="黑体" w:eastAsia="黑体" w:hAnsi="微软雅黑" w:cs="宋体" w:hint="eastAsia"/>
          <w:color w:val="333333"/>
          <w:sz w:val="32"/>
          <w:szCs w:val="32"/>
          <w:bdr w:val="none" w:sz="0" w:space="0" w:color="auto" w:frame="1"/>
        </w:rPr>
        <w:t>  </w:t>
      </w:r>
      <w:r w:rsidRPr="0040676C">
        <w:rPr>
          <w:rFonts w:ascii="黑体" w:eastAsia="黑体" w:hAnsi="微软雅黑" w:cs="宋体" w:hint="eastAsia"/>
          <w:color w:val="333333"/>
          <w:sz w:val="32"/>
          <w:szCs w:val="32"/>
          <w:bdr w:val="none" w:sz="0" w:space="0" w:color="auto" w:frame="1"/>
        </w:rPr>
        <w:t>业</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农作物种植面积477.8千公顷，比上年增加0.9千公顷。其中，粮食种植面积429.9千公顷，增加1.0千公顷；油料种植面积15.2千公顷，增加1.7千公顷；中草药材收获面积5.0千公顷，减少1.6千公顷；蔬菜种植面积20.3千公顷，增加0.7千公顷。在粮食种植面积中，玉米种植面积224.7千公顷，增加10.0千公顷；小麦种植面积0.2千公顷，减少0.02千公顷。果园面积15.1千公顷，减少0.5千公顷。</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lastRenderedPageBreak/>
        <w:t>表3   2022年全市主要农产品产量及其增长速度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 </w:t>
      </w:r>
      <w:r>
        <w:rPr>
          <w:rFonts w:ascii="微软雅黑" w:hAnsi="微软雅黑" w:cs="宋体"/>
          <w:b/>
          <w:bCs/>
          <w:noProof/>
          <w:color w:val="333333"/>
          <w:sz w:val="24"/>
          <w:szCs w:val="24"/>
          <w:bdr w:val="none" w:sz="0" w:space="0" w:color="auto" w:frame="1"/>
        </w:rPr>
        <w:drawing>
          <wp:inline distT="0" distB="0" distL="0" distR="0">
            <wp:extent cx="6924675" cy="4248150"/>
            <wp:effectExtent l="19050" t="0" r="9525" b="0"/>
            <wp:docPr id="4" name="图片 4" descr="https://tjj.sxxz.gov.cn/tjsj/tjgb1/202304/W020230413415429506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jj.sxxz.gov.cn/tjsj/tjgb1/202304/W020230413415429506590.png"/>
                    <pic:cNvPicPr>
                      <a:picLocks noChangeAspect="1" noChangeArrowheads="1"/>
                    </pic:cNvPicPr>
                  </pic:nvPicPr>
                  <pic:blipFill>
                    <a:blip r:embed="rId9" cstate="print"/>
                    <a:srcRect/>
                    <a:stretch>
                      <a:fillRect/>
                    </a:stretch>
                  </pic:blipFill>
                  <pic:spPr bwMode="auto">
                    <a:xfrm>
                      <a:off x="0" y="0"/>
                      <a:ext cx="6924675" cy="42481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图2   2018-2022年全市粮食产量</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2505075"/>
            <wp:effectExtent l="19050" t="0" r="0" b="0"/>
            <wp:docPr id="5" name="图片 5" descr="https://tjj.sxxz.gov.cn/tjsj/tjgb1/202304/W020230413415429505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jj.sxxz.gov.cn/tjsj/tjgb1/202304/W020230413415429505577.png"/>
                    <pic:cNvPicPr>
                      <a:picLocks noChangeAspect="1" noChangeArrowheads="1"/>
                    </pic:cNvPicPr>
                  </pic:nvPicPr>
                  <pic:blipFill>
                    <a:blip r:embed="rId10" cstate="print"/>
                    <a:srcRect/>
                    <a:stretch>
                      <a:fillRect/>
                    </a:stretch>
                  </pic:blipFill>
                  <pic:spPr bwMode="auto">
                    <a:xfrm>
                      <a:off x="0" y="0"/>
                      <a:ext cx="6934200" cy="250507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全年全市粮食产量201.7万吨，比上年增加5.7万吨，增长2.9%。其中，夏粮0.1万吨，下降10.7%；秋粮201.6万吨，增长2.9%。</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全年全市完成造林面积47.6千公顷，比上年增长5.9%。</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猪牛羊禽肉产量11.9万吨，比上年增长8.0%。其中，猪肉产量7.6万吨，增长4.8%；牛肉产量1.1万吨，增长1.3%；羊肉产量2.2万吨，增长6.8%；禽肉产量0.9万吨，增长21.2%。禽蛋产量8.5万吨，增长3.8%。牛奶产量8.3万吨，增长7.2%。水产品产量0.3万吨，与去年同期持平。年末生猪存栏66.7万头，增长11.0%；生猪出栏98.7万头，增长4.8%。</w:t>
      </w:r>
    </w:p>
    <w:p w:rsidR="0040676C" w:rsidRPr="0040676C" w:rsidRDefault="0040676C" w:rsidP="0040676C">
      <w:pPr>
        <w:shd w:val="clear" w:color="auto" w:fill="FFFFFF"/>
        <w:adjustRightInd/>
        <w:snapToGrid/>
        <w:spacing w:after="0" w:line="60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三、工业和建筑业</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全年全市全部工业增加值758.2亿元，按不变价格计算，比上年增长4.0%。</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规模以上工业增加值增长5.9%。在规模以上工业中，分门类看，采矿业增长9.5%，制造业下降2.8%，电力、热力、燃气及水生产和供应业下降0.1%；分煤与非煤看，煤炭工业增长10.7%，非煤工业下降1.4%。</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全年全市规模以上工业企业实现营业收入1604.1亿元，比上年增长11.7%。分门类看，采矿业846.1亿元，增长18.9%；制造业538.4亿元，与上年持平；电力、热力、燃气及水生产</w:t>
      </w:r>
      <w:r w:rsidRPr="0040676C">
        <w:rPr>
          <w:rFonts w:ascii="仿宋_GB2312" w:eastAsia="仿宋_GB2312" w:hAnsi="微软雅黑" w:cs="宋体" w:hint="eastAsia"/>
          <w:color w:val="333333"/>
          <w:sz w:val="32"/>
          <w:szCs w:val="32"/>
          <w:bdr w:val="none" w:sz="0" w:space="0" w:color="auto" w:frame="1"/>
        </w:rPr>
        <w:lastRenderedPageBreak/>
        <w:t>和供应业219.6亿元，增长17.7%。规模以上工业企业实现利润总额235.6亿元，增长2.9%。</w:t>
      </w:r>
      <w:r w:rsidRPr="0040676C">
        <w:rPr>
          <w:rFonts w:ascii="微软雅黑" w:hAnsi="微软雅黑" w:cs="宋体" w:hint="eastAsia"/>
          <w:b/>
          <w:bCs/>
          <w:color w:val="333333"/>
          <w:sz w:val="24"/>
          <w:szCs w:val="24"/>
          <w:bdr w:val="none" w:sz="0" w:space="0" w:color="auto" w:frame="1"/>
        </w:rPr>
        <w:t>                          </w:t>
      </w:r>
    </w:p>
    <w:p w:rsidR="0040676C" w:rsidRPr="0040676C" w:rsidRDefault="0040676C" w:rsidP="0040676C">
      <w:pPr>
        <w:shd w:val="clear" w:color="auto" w:fill="FFFFFF"/>
        <w:adjustRightInd/>
        <w:snapToGrid/>
        <w:spacing w:after="0" w:line="620" w:lineRule="atLeast"/>
        <w:ind w:firstLine="640"/>
        <w:jc w:val="right"/>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表4  2022年全市规模以上工业增加值增长速度</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r w:rsidRPr="0040676C">
        <w:rPr>
          <w:rFonts w:ascii="仿宋_GB2312" w:eastAsia="仿宋_GB2312" w:hAnsi="微软雅黑" w:cs="宋体" w:hint="eastAsia"/>
          <w:color w:val="0000FF"/>
          <w:sz w:val="24"/>
          <w:szCs w:val="24"/>
          <w:bdr w:val="none" w:sz="0" w:space="0" w:color="auto" w:frame="1"/>
        </w:rPr>
        <w:t xml:space="preserve"> </w:t>
      </w:r>
      <w:r w:rsidRPr="0040676C">
        <w:rPr>
          <w:rFonts w:ascii="仿宋_GB2312" w:eastAsia="仿宋_GB2312" w:hAnsi="微软雅黑" w:cs="宋体" w:hint="eastAsia"/>
          <w:color w:val="0000FF"/>
          <w:sz w:val="24"/>
          <w:szCs w:val="24"/>
          <w:bdr w:val="none" w:sz="0" w:space="0" w:color="auto" w:frame="1"/>
        </w:rPr>
        <w:t> </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5076825"/>
            <wp:effectExtent l="19050" t="0" r="0" b="0"/>
            <wp:docPr id="6" name="图片 6" descr="https://tjj.sxxz.gov.cn/tjsj/tjgb1/202304/W02023041341542951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jj.sxxz.gov.cn/tjsj/tjgb1/202304/W020230413415429513123.png"/>
                    <pic:cNvPicPr>
                      <a:picLocks noChangeAspect="1" noChangeArrowheads="1"/>
                    </pic:cNvPicPr>
                  </pic:nvPicPr>
                  <pic:blipFill>
                    <a:blip r:embed="rId11" cstate="print"/>
                    <a:srcRect/>
                    <a:stretch>
                      <a:fillRect/>
                    </a:stretch>
                  </pic:blipFill>
                  <pic:spPr bwMode="auto">
                    <a:xfrm>
                      <a:off x="0" y="0"/>
                      <a:ext cx="6934200" cy="507682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全年全市规模以上工业企业每百元营业收入中的成本为70.9元，比上年增加0.8元；营业收入利润率为14.7%，比上年下降1.3个百分点；年末资产负债率为65.4%，比上年末下降3.8个百分点。</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lastRenderedPageBreak/>
        <w:t>表5   2022年全市规模以上工业主要产品产量及其增长速度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2895600"/>
            <wp:effectExtent l="19050" t="0" r="0" b="0"/>
            <wp:docPr id="7" name="图片 7" descr="https://tjj.sxxz.gov.cn/tjsj/tjgb1/202304/W020230413415429511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jj.sxxz.gov.cn/tjsj/tjgb1/202304/W020230413415429511272.png"/>
                    <pic:cNvPicPr>
                      <a:picLocks noChangeAspect="1" noChangeArrowheads="1"/>
                    </pic:cNvPicPr>
                  </pic:nvPicPr>
                  <pic:blipFill>
                    <a:blip r:embed="rId12" cstate="print"/>
                    <a:srcRect/>
                    <a:stretch>
                      <a:fillRect/>
                    </a:stretch>
                  </pic:blipFill>
                  <pic:spPr bwMode="auto">
                    <a:xfrm>
                      <a:off x="0" y="0"/>
                      <a:ext cx="6934200" cy="28956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建筑业增加值36.3亿元，按不变价格计算，比上年下降1.9%。全市具有总承包和专业承包资质的建筑业企业共签订合同额176.0亿元，增长1.4%；完成总产值119.5亿元，下降3.2%；房屋施工面积335.3万平方米，与上年持平。</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四、能</w:t>
      </w:r>
      <w:r w:rsidRPr="0040676C">
        <w:rPr>
          <w:rFonts w:ascii="黑体" w:eastAsia="黑体" w:hAnsi="微软雅黑" w:cs="宋体" w:hint="eastAsia"/>
          <w:color w:val="333333"/>
          <w:sz w:val="32"/>
          <w:szCs w:val="32"/>
          <w:bdr w:val="none" w:sz="0" w:space="0" w:color="auto" w:frame="1"/>
        </w:rPr>
        <w:t>  </w:t>
      </w:r>
      <w:r w:rsidRPr="0040676C">
        <w:rPr>
          <w:rFonts w:ascii="黑体" w:eastAsia="黑体" w:hAnsi="微软雅黑" w:cs="宋体" w:hint="eastAsia"/>
          <w:color w:val="333333"/>
          <w:sz w:val="32"/>
          <w:szCs w:val="32"/>
          <w:bdr w:val="none" w:sz="0" w:space="0" w:color="auto" w:frame="1"/>
        </w:rPr>
        <w:t>源</w:t>
      </w:r>
    </w:p>
    <w:p w:rsidR="0040676C" w:rsidRPr="0040676C" w:rsidRDefault="0040676C" w:rsidP="0040676C">
      <w:pPr>
        <w:shd w:val="clear" w:color="auto" w:fill="FFFFFF"/>
        <w:adjustRightInd/>
        <w:snapToGrid/>
        <w:spacing w:after="0" w:line="504" w:lineRule="atLeast"/>
        <w:ind w:firstLine="640"/>
        <w:jc w:val="both"/>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全年全市规模以上工业企业原煤产量13078.1万吨，比上年增长21.4%；焦炭产量336.0万吨，增长2.3%；发电量502.3亿千瓦时，增长2.2%。</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图3  2018-2022年全市规模以上原煤产量</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方正仿宋简体" w:eastAsia="方正仿宋简体" w:hAnsi="微软雅黑" w:cs="宋体" w:hint="eastAsia"/>
          <w:color w:val="0000FF"/>
          <w:sz w:val="32"/>
          <w:szCs w:val="32"/>
          <w:bdr w:val="none" w:sz="0" w:space="0" w:color="auto" w:frame="1"/>
        </w:rPr>
        <w:lastRenderedPageBreak/>
        <w:t> </w:t>
      </w:r>
      <w:r>
        <w:rPr>
          <w:rFonts w:ascii="方正仿宋简体" w:eastAsia="方正仿宋简体" w:hAnsi="微软雅黑" w:cs="宋体"/>
          <w:noProof/>
          <w:color w:val="0000FF"/>
          <w:sz w:val="32"/>
          <w:szCs w:val="32"/>
          <w:bdr w:val="none" w:sz="0" w:space="0" w:color="auto" w:frame="1"/>
        </w:rPr>
        <w:drawing>
          <wp:inline distT="0" distB="0" distL="0" distR="0">
            <wp:extent cx="6934200" cy="2028825"/>
            <wp:effectExtent l="19050" t="0" r="0" b="0"/>
            <wp:docPr id="8" name="图片 8" descr="https://tjj.sxxz.gov.cn/tjsj/tjgb1/202304/W020230413415429511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jj.sxxz.gov.cn/tjsj/tjgb1/202304/W020230413415429511289.png"/>
                    <pic:cNvPicPr>
                      <a:picLocks noChangeAspect="1" noChangeArrowheads="1"/>
                    </pic:cNvPicPr>
                  </pic:nvPicPr>
                  <pic:blipFill>
                    <a:blip r:embed="rId13" cstate="print"/>
                    <a:srcRect/>
                    <a:stretch>
                      <a:fillRect/>
                    </a:stretch>
                  </pic:blipFill>
                  <pic:spPr bwMode="auto">
                    <a:xfrm>
                      <a:off x="0" y="0"/>
                      <a:ext cx="6934200" cy="202882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全年全市一次能源生产折标准煤9947.1万吨，增长21.9%；二次能源生产折标准煤3248.2万吨，增长27.6%。</w:t>
      </w:r>
    </w:p>
    <w:p w:rsidR="0040676C" w:rsidRPr="0040676C" w:rsidRDefault="0040676C" w:rsidP="0040676C">
      <w:pPr>
        <w:shd w:val="clear" w:color="auto" w:fill="FFFFFF"/>
        <w:adjustRightInd/>
        <w:snapToGrid/>
        <w:spacing w:after="0" w:line="504" w:lineRule="atLeast"/>
        <w:ind w:firstLine="640"/>
        <w:jc w:val="both"/>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社会用电量155.6亿千瓦时，增长2.2%。其中，第一产业用电2.1亿千瓦时，增长11.0%；第二产业用电98.6亿千瓦时，下降2.8%，其中工业用电96.1亿千瓦时，下降3.1%；第三产业用电36.7亿千瓦时，增长10.0%；城乡居民生活用电18.2亿千瓦时，增长17.3%。</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图4  2018-2022年全市全社会发电量</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b/>
          <w:bCs/>
          <w:color w:val="333333"/>
          <w:sz w:val="32"/>
          <w:szCs w:val="32"/>
          <w:bdr w:val="none" w:sz="0" w:space="0" w:color="auto" w:frame="1"/>
        </w:rPr>
        <w:t> </w:t>
      </w:r>
      <w:r>
        <w:rPr>
          <w:rFonts w:ascii="仿宋_GB2312" w:eastAsia="仿宋_GB2312" w:hAnsi="微软雅黑" w:cs="宋体"/>
          <w:b/>
          <w:bCs/>
          <w:noProof/>
          <w:color w:val="333333"/>
          <w:sz w:val="32"/>
          <w:szCs w:val="32"/>
          <w:bdr w:val="none" w:sz="0" w:space="0" w:color="auto" w:frame="1"/>
        </w:rPr>
        <w:drawing>
          <wp:inline distT="0" distB="0" distL="0" distR="0">
            <wp:extent cx="6877050" cy="2771775"/>
            <wp:effectExtent l="19050" t="0" r="0" b="0"/>
            <wp:docPr id="9" name="图片 9" descr="https://tjj.sxxz.gov.cn/tjsj/tjgb1/202304/W0202304134154295227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jj.sxxz.gov.cn/tjsj/tjgb1/202304/W020230413415429522797.png"/>
                    <pic:cNvPicPr>
                      <a:picLocks noChangeAspect="1" noChangeArrowheads="1"/>
                    </pic:cNvPicPr>
                  </pic:nvPicPr>
                  <pic:blipFill>
                    <a:blip r:embed="rId14" cstate="print"/>
                    <a:srcRect/>
                    <a:stretch>
                      <a:fillRect/>
                    </a:stretch>
                  </pic:blipFill>
                  <pic:spPr bwMode="auto">
                    <a:xfrm>
                      <a:off x="0" y="0"/>
                      <a:ext cx="6877050" cy="277177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五、服务业</w:t>
      </w:r>
    </w:p>
    <w:p w:rsidR="0040676C" w:rsidRPr="0040676C" w:rsidRDefault="0040676C" w:rsidP="0040676C">
      <w:pPr>
        <w:shd w:val="clear" w:color="auto" w:fill="FFFFFF"/>
        <w:adjustRightInd/>
        <w:snapToGrid/>
        <w:spacing w:after="0" w:line="504" w:lineRule="atLeast"/>
        <w:ind w:firstLine="640"/>
        <w:jc w:val="both"/>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年全市服务业增加值583.3亿元，按不变价格计算，比上年增长3.6%。其中，批发和零售业增加值69.0亿元，增长4.1%；交通运输、仓储和邮政业增加值67.7亿元，下降3.4%；住宿和餐饮业增加值13.1亿元，下降3.6%；金融业增加值74.3亿元，增长7.4%；房地产业增加值61.4亿元，下降1.3%；其他服务业增加值291.2亿元，增长5.7%。全年规模以上服务业企业营业收入增长12.0%。</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图5  2018-2022年全市服务业增加值及其增长速度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0000FF"/>
          <w:sz w:val="32"/>
          <w:szCs w:val="32"/>
          <w:bdr w:val="none" w:sz="0" w:space="0" w:color="auto" w:frame="1"/>
        </w:rPr>
        <w:t> </w:t>
      </w:r>
      <w:r>
        <w:rPr>
          <w:rFonts w:ascii="仿宋_GB2312" w:eastAsia="仿宋_GB2312" w:hAnsi="微软雅黑" w:cs="宋体"/>
          <w:noProof/>
          <w:color w:val="0000FF"/>
          <w:sz w:val="32"/>
          <w:szCs w:val="32"/>
          <w:bdr w:val="none" w:sz="0" w:space="0" w:color="auto" w:frame="1"/>
        </w:rPr>
        <w:drawing>
          <wp:inline distT="0" distB="0" distL="0" distR="0">
            <wp:extent cx="6934200" cy="2428875"/>
            <wp:effectExtent l="0" t="0" r="0" b="0"/>
            <wp:docPr id="10" name="图片 10" descr="https://tjj.sxxz.gov.cn/tjsj/tjgb1/202304/W0202304134154295277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jj.sxxz.gov.cn/tjsj/tjgb1/202304/W020230413415429527769.png"/>
                    <pic:cNvPicPr>
                      <a:picLocks noChangeAspect="1" noChangeArrowheads="1"/>
                    </pic:cNvPicPr>
                  </pic:nvPicPr>
                  <pic:blipFill>
                    <a:blip r:embed="rId15" cstate="print"/>
                    <a:srcRect/>
                    <a:stretch>
                      <a:fillRect/>
                    </a:stretch>
                  </pic:blipFill>
                  <pic:spPr bwMode="auto">
                    <a:xfrm>
                      <a:off x="0" y="0"/>
                      <a:ext cx="6934200" cy="242887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年末全市公路通车里程17485.6公里，其中高速公路898.9公里。</w:t>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全年全市有机场1个、民用航空航线25条、通航城市22个，民航旅客吞吐量16.6万人，比上年减少44.1%；货邮吞吐量11.34吨，下降93.2%。</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全年全市完成邮政行业业务总量8.0亿元，下降1.3%；全年全市电信业务总量19.6亿元，增长6.5%。年末移动电话用户313.0万户，其中5G移动电话用户156.8万户。全市宽带接入用户100.0万户，增长5.8%。</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lastRenderedPageBreak/>
        <w:t>六、国内贸易</w:t>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社会消费品零售总额438.5亿元，比上年下降0.8%。按经营地统计，城镇消费品零售额299.5亿元，下降1.2%；乡村消费品零售额139.1亿元，下降0.1%。按消费类型统计，商品零售额409.8亿元，下降0.6%；餐饮收入28.7亿元，下降3.6%。全年全市限额以上单位消费品零售额103.9亿元，增长4.8%。</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图6   2018-2022年全市社会消费品零售总额</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0000FF"/>
          <w:sz w:val="32"/>
          <w:szCs w:val="32"/>
          <w:bdr w:val="none" w:sz="0" w:space="0" w:color="auto" w:frame="1"/>
        </w:rPr>
        <w:t> </w:t>
      </w:r>
      <w:r>
        <w:rPr>
          <w:rFonts w:ascii="仿宋_GB2312" w:eastAsia="仿宋_GB2312" w:hAnsi="微软雅黑" w:cs="宋体"/>
          <w:noProof/>
          <w:color w:val="0000FF"/>
          <w:sz w:val="32"/>
          <w:szCs w:val="32"/>
          <w:bdr w:val="none" w:sz="0" w:space="0" w:color="auto" w:frame="1"/>
        </w:rPr>
        <w:drawing>
          <wp:inline distT="0" distB="0" distL="0" distR="0">
            <wp:extent cx="6457950" cy="2781300"/>
            <wp:effectExtent l="19050" t="0" r="0" b="0"/>
            <wp:docPr id="11" name="图片 11" descr="https://tjj.sxxz.gov.cn/tjsj/tjgb1/202304/W0202304134154295307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jj.sxxz.gov.cn/tjsj/tjgb1/202304/W020230413415429530783.png"/>
                    <pic:cNvPicPr>
                      <a:picLocks noChangeAspect="1" noChangeArrowheads="1"/>
                    </pic:cNvPicPr>
                  </pic:nvPicPr>
                  <pic:blipFill>
                    <a:blip r:embed="rId16" cstate="print"/>
                    <a:srcRect/>
                    <a:stretch>
                      <a:fillRect/>
                    </a:stretch>
                  </pic:blipFill>
                  <pic:spPr bwMode="auto">
                    <a:xfrm>
                      <a:off x="0" y="0"/>
                      <a:ext cx="6457950" cy="27813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表6  2022年全市限额以上单位商品零售额及其增长速度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 </w:t>
      </w:r>
      <w:r>
        <w:rPr>
          <w:rFonts w:ascii="仿宋_GB2312" w:eastAsia="仿宋_GB2312" w:hAnsi="微软雅黑" w:cs="宋体"/>
          <w:noProof/>
          <w:color w:val="333333"/>
          <w:sz w:val="32"/>
          <w:szCs w:val="32"/>
          <w:bdr w:val="none" w:sz="0" w:space="0" w:color="auto" w:frame="1"/>
        </w:rPr>
        <w:drawing>
          <wp:inline distT="0" distB="0" distL="0" distR="0">
            <wp:extent cx="6800850" cy="4076700"/>
            <wp:effectExtent l="19050" t="0" r="0" b="0"/>
            <wp:docPr id="12" name="图片 12" descr="https://tjj.sxxz.gov.cn/tjsj/tjgb1/202304/W0202304134154295370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jj.sxxz.gov.cn/tjsj/tjgb1/202304/W020230413415429537087.png"/>
                    <pic:cNvPicPr>
                      <a:picLocks noChangeAspect="1" noChangeArrowheads="1"/>
                    </pic:cNvPicPr>
                  </pic:nvPicPr>
                  <pic:blipFill>
                    <a:blip r:embed="rId17" cstate="print"/>
                    <a:srcRect/>
                    <a:stretch>
                      <a:fillRect/>
                    </a:stretch>
                  </pic:blipFill>
                  <pic:spPr bwMode="auto">
                    <a:xfrm>
                      <a:off x="0" y="0"/>
                      <a:ext cx="6800850" cy="40767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全年新登记市场主体7.1万户，年末市场主体总数达28.0万户。</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七、固定资产投资</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固定资产投资（不含跨市、农户）比上年增长7.0%。分经济类型看，国有及国有控股投资增长19.2%，民间投资下降1.3%。分登记注册类型看，内资企业投资增长7.3%，外商及港澳台商企业投资下降6.0%。分构成看，建筑安装工程投资下降0.2%，设备工器具购置投资增长28.1%，其他投资增长77.9%。</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在固定资产投资中，第一产业投资下降13.9%；第二产业投资下降1.4%，其中工业投资下降1.5%；第三产业投资增长</w:t>
      </w:r>
      <w:r w:rsidRPr="0040676C">
        <w:rPr>
          <w:rFonts w:ascii="仿宋_GB2312" w:eastAsia="仿宋_GB2312" w:hAnsi="微软雅黑" w:cs="宋体" w:hint="eastAsia"/>
          <w:color w:val="333333"/>
          <w:sz w:val="32"/>
          <w:szCs w:val="32"/>
          <w:bdr w:val="none" w:sz="0" w:space="0" w:color="auto" w:frame="1"/>
        </w:rPr>
        <w:lastRenderedPageBreak/>
        <w:t>29.3%，其中基础设施投资增长40.5%。工业投资中，制造业投资下降5.3%。</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全年全市房地产开发投资59.1亿元，增长21.1%。其中，住宅投资46.1亿元，增长15.9%；商业营业用房投资5.7亿元，增长73.4%。</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全年全市在建固定资产投资项目（不含房地产开发项目）1724个。其中，亿元以上项目512个，亿元以上项目完成投资下降2.5%。</w:t>
      </w:r>
      <w:r w:rsidRPr="0040676C">
        <w:rPr>
          <w:rFonts w:ascii="仿宋_GB2312" w:eastAsia="仿宋_GB2312" w:hAnsi="微软雅黑" w:cs="宋体" w:hint="eastAsia"/>
          <w:color w:val="333333"/>
          <w:sz w:val="32"/>
          <w:szCs w:val="32"/>
          <w:bdr w:val="none" w:sz="0" w:space="0" w:color="auto" w:frame="1"/>
        </w:rPr>
        <w:t> </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p>
    <w:p w:rsidR="0040676C" w:rsidRPr="0040676C" w:rsidRDefault="0040676C" w:rsidP="0040676C">
      <w:pPr>
        <w:shd w:val="clear" w:color="auto" w:fill="FFFFFF"/>
        <w:adjustRightInd/>
        <w:snapToGrid/>
        <w:spacing w:after="0" w:line="620"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表7   2022</w:t>
      </w:r>
      <w:r w:rsidR="00217AD3">
        <w:rPr>
          <w:rFonts w:ascii="微软雅黑" w:hAnsi="微软雅黑" w:cs="宋体" w:hint="eastAsia"/>
          <w:b/>
          <w:bCs/>
          <w:color w:val="333333"/>
          <w:sz w:val="24"/>
          <w:szCs w:val="24"/>
          <w:bdr w:val="none" w:sz="0" w:space="0" w:color="auto" w:frame="1"/>
        </w:rPr>
        <w:t>年份</w:t>
      </w:r>
      <w:r w:rsidRPr="0040676C">
        <w:rPr>
          <w:rFonts w:ascii="微软雅黑" w:hAnsi="微软雅黑" w:cs="宋体" w:hint="eastAsia"/>
          <w:b/>
          <w:bCs/>
          <w:color w:val="333333"/>
          <w:sz w:val="24"/>
          <w:szCs w:val="24"/>
          <w:bdr w:val="none" w:sz="0" w:space="0" w:color="auto" w:frame="1"/>
        </w:rPr>
        <w:t>行业固定资产投资（不含跨市、农户）增长速度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 </w:t>
      </w:r>
      <w:r>
        <w:rPr>
          <w:rFonts w:ascii="微软雅黑" w:hAnsi="微软雅黑" w:cs="宋体"/>
          <w:b/>
          <w:bCs/>
          <w:noProof/>
          <w:color w:val="333333"/>
          <w:sz w:val="24"/>
          <w:szCs w:val="24"/>
          <w:bdr w:val="none" w:sz="0" w:space="0" w:color="auto" w:frame="1"/>
        </w:rPr>
        <w:drawing>
          <wp:inline distT="0" distB="0" distL="0" distR="0">
            <wp:extent cx="6934200" cy="3562350"/>
            <wp:effectExtent l="19050" t="0" r="0" b="0"/>
            <wp:docPr id="13" name="图片 13" descr="https://tjj.sxxz.gov.cn/tjsj/tjgb1/202304/W020230413415429534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jj.sxxz.gov.cn/tjsj/tjgb1/202304/W020230413415429534380.png"/>
                    <pic:cNvPicPr>
                      <a:picLocks noChangeAspect="1" noChangeArrowheads="1"/>
                    </pic:cNvPicPr>
                  </pic:nvPicPr>
                  <pic:blipFill>
                    <a:blip r:embed="rId18" cstate="print"/>
                    <a:srcRect/>
                    <a:stretch>
                      <a:fillRect/>
                    </a:stretch>
                  </pic:blipFill>
                  <pic:spPr bwMode="auto">
                    <a:xfrm>
                      <a:off x="0" y="0"/>
                      <a:ext cx="6934200" cy="35623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表8   2022年全市房地产开发和销售情况</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lastRenderedPageBreak/>
        <w:t> </w:t>
      </w:r>
      <w:r>
        <w:rPr>
          <w:rFonts w:ascii="微软雅黑" w:hAnsi="微软雅黑" w:cs="宋体"/>
          <w:b/>
          <w:bCs/>
          <w:noProof/>
          <w:color w:val="333333"/>
          <w:sz w:val="24"/>
          <w:szCs w:val="24"/>
          <w:bdr w:val="none" w:sz="0" w:space="0" w:color="auto" w:frame="1"/>
        </w:rPr>
        <w:drawing>
          <wp:inline distT="0" distB="0" distL="0" distR="0">
            <wp:extent cx="6924675" cy="4095750"/>
            <wp:effectExtent l="19050" t="0" r="9525" b="0"/>
            <wp:docPr id="14" name="图片 14" descr="https://tjj.sxxz.gov.cn/tjsj/tjgb1/202304/W020230413415429542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jj.sxxz.gov.cn/tjsj/tjgb1/202304/W020230413415429542049.png"/>
                    <pic:cNvPicPr>
                      <a:picLocks noChangeAspect="1" noChangeArrowheads="1"/>
                    </pic:cNvPicPr>
                  </pic:nvPicPr>
                  <pic:blipFill>
                    <a:blip r:embed="rId19" cstate="print"/>
                    <a:srcRect/>
                    <a:stretch>
                      <a:fillRect/>
                    </a:stretch>
                  </pic:blipFill>
                  <pic:spPr bwMode="auto">
                    <a:xfrm>
                      <a:off x="0" y="0"/>
                      <a:ext cx="6924675" cy="40957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八、对外开放</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全年全市进出口总额23.6亿元，比上年增长31.4%。其中，进口额5.9亿元，增长25.5%；出口额17.7亿元，增长33.5%。</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图7   2018-2022年全市进出口总额</w:t>
      </w:r>
    </w:p>
    <w:p w:rsidR="0040676C" w:rsidRPr="0040676C" w:rsidRDefault="0040676C" w:rsidP="0040676C">
      <w:pPr>
        <w:shd w:val="clear" w:color="auto" w:fill="FFFFFF"/>
        <w:adjustRightInd/>
        <w:snapToGrid/>
        <w:spacing w:after="0" w:line="504" w:lineRule="atLeast"/>
        <w:ind w:firstLine="420"/>
        <w:jc w:val="center"/>
        <w:rPr>
          <w:rFonts w:ascii="微软雅黑" w:hAnsi="微软雅黑" w:cs="宋体"/>
          <w:color w:val="333333"/>
          <w:sz w:val="24"/>
          <w:szCs w:val="24"/>
        </w:rPr>
      </w:pPr>
      <w:r w:rsidRPr="0040676C">
        <w:rPr>
          <w:rFonts w:ascii="微软雅黑" w:hAnsi="微软雅黑" w:cs="宋体" w:hint="eastAsia"/>
          <w:b/>
          <w:bCs/>
          <w:color w:val="0000FF"/>
          <w:sz w:val="24"/>
          <w:szCs w:val="24"/>
          <w:bdr w:val="none" w:sz="0" w:space="0" w:color="auto" w:frame="1"/>
        </w:rPr>
        <w:lastRenderedPageBreak/>
        <w:t> </w:t>
      </w:r>
      <w:r>
        <w:rPr>
          <w:rFonts w:ascii="微软雅黑" w:hAnsi="微软雅黑" w:cs="宋体"/>
          <w:b/>
          <w:bCs/>
          <w:noProof/>
          <w:color w:val="0000FF"/>
          <w:sz w:val="24"/>
          <w:szCs w:val="24"/>
          <w:bdr w:val="none" w:sz="0" w:space="0" w:color="auto" w:frame="1"/>
        </w:rPr>
        <w:drawing>
          <wp:inline distT="0" distB="0" distL="0" distR="0">
            <wp:extent cx="6934200" cy="2962275"/>
            <wp:effectExtent l="19050" t="0" r="0" b="0"/>
            <wp:docPr id="15" name="图片 15" descr="https://tjj.sxxz.gov.cn/tjsj/tjgb1/202304/W02023041341542954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jj.sxxz.gov.cn/tjsj/tjgb1/202304/W020230413415429541121.png"/>
                    <pic:cNvPicPr>
                      <a:picLocks noChangeAspect="1" noChangeArrowheads="1"/>
                    </pic:cNvPicPr>
                  </pic:nvPicPr>
                  <pic:blipFill>
                    <a:blip r:embed="rId20" cstate="print"/>
                    <a:srcRect/>
                    <a:stretch>
                      <a:fillRect/>
                    </a:stretch>
                  </pic:blipFill>
                  <pic:spPr bwMode="auto">
                    <a:xfrm>
                      <a:off x="0" y="0"/>
                      <a:ext cx="6934200" cy="296227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表9   2022年全市进出口总额及其增长速度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7172325" cy="4381500"/>
            <wp:effectExtent l="19050" t="0" r="9525" b="0"/>
            <wp:docPr id="16" name="图片 16" descr="https://tjj.sxxz.gov.cn/tjsj/tjgb1/202304/W02023041341542954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jj.sxxz.gov.cn/tjsj/tjgb1/202304/W020230413415429541969.png"/>
                    <pic:cNvPicPr>
                      <a:picLocks noChangeAspect="1" noChangeArrowheads="1"/>
                    </pic:cNvPicPr>
                  </pic:nvPicPr>
                  <pic:blipFill>
                    <a:blip r:embed="rId21" cstate="print"/>
                    <a:srcRect/>
                    <a:stretch>
                      <a:fillRect/>
                    </a:stretch>
                  </pic:blipFill>
                  <pic:spPr bwMode="auto">
                    <a:xfrm>
                      <a:off x="0" y="0"/>
                      <a:ext cx="7172325" cy="43815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全年出口镁及其制品391吨，下降64.9%；出口钢材6.4万吨，增长17.4%；出口机电产品0.7亿元，增长8.7%；出口高新技术产品643万元，下降47.9%。</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全年进口机电产品51万元，增长5.3%。</w:t>
      </w:r>
    </w:p>
    <w:p w:rsidR="0040676C" w:rsidRPr="0040676C" w:rsidRDefault="0040676C" w:rsidP="0040676C">
      <w:pPr>
        <w:shd w:val="clear" w:color="auto" w:fill="FFFFFF"/>
        <w:adjustRightInd/>
        <w:snapToGrid/>
        <w:spacing w:after="0" w:line="504" w:lineRule="atLeast"/>
        <w:ind w:right="210"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表10   2022年与忻州有贸易往来的主要国家和地区进出口情况</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6419850"/>
            <wp:effectExtent l="19050" t="0" r="0" b="0"/>
            <wp:docPr id="17" name="图片 17" descr="https://tjj.sxxz.gov.cn/tjsj/tjgb1/202304/W020230413415429555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jj.sxxz.gov.cn/tjsj/tjgb1/202304/W020230413415429555975.png"/>
                    <pic:cNvPicPr>
                      <a:picLocks noChangeAspect="1" noChangeArrowheads="1"/>
                    </pic:cNvPicPr>
                  </pic:nvPicPr>
                  <pic:blipFill>
                    <a:blip r:embed="rId22" cstate="print"/>
                    <a:srcRect/>
                    <a:stretch>
                      <a:fillRect/>
                    </a:stretch>
                  </pic:blipFill>
                  <pic:spPr bwMode="auto">
                    <a:xfrm>
                      <a:off x="0" y="0"/>
                      <a:ext cx="6934200" cy="641985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全年全市新设立外商直接投资企业2家；按全口径统计实际使用外商直接投资金额1905.3万美元，下降57.3%。</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九、财政金融</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一般公共预算收入完成151.3亿元，比上年增长28.3%，其中税收收入完成122.0亿元，增长46.8%。税收收入中，国内增值税、企业所得税、个人所得税、资源税和城市维护建设税共计完成税收107.2亿元，增长58.6%。</w:t>
      </w:r>
    </w:p>
    <w:p w:rsidR="0040676C" w:rsidRPr="0040676C" w:rsidRDefault="0040676C" w:rsidP="0040676C">
      <w:pPr>
        <w:shd w:val="clear" w:color="auto" w:fill="FFFFFF"/>
        <w:adjustRightInd/>
        <w:snapToGrid/>
        <w:spacing w:after="0" w:line="620"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图8   2018-2022年全市一般公共预算收入</w:t>
      </w:r>
    </w:p>
    <w:p w:rsidR="0040676C" w:rsidRPr="0040676C" w:rsidRDefault="0040676C" w:rsidP="0040676C">
      <w:pPr>
        <w:shd w:val="clear" w:color="auto" w:fill="FFFFFF"/>
        <w:adjustRightInd/>
        <w:snapToGrid/>
        <w:spacing w:after="0" w:line="504" w:lineRule="atLeast"/>
        <w:ind w:firstLine="420"/>
        <w:jc w:val="center"/>
        <w:rPr>
          <w:rFonts w:ascii="微软雅黑" w:hAnsi="微软雅黑" w:cs="宋体"/>
          <w:color w:val="333333"/>
          <w:sz w:val="24"/>
          <w:szCs w:val="24"/>
        </w:rPr>
      </w:pPr>
      <w:r w:rsidRPr="0040676C">
        <w:rPr>
          <w:rFonts w:ascii="仿宋_GB2312" w:eastAsia="仿宋_GB2312" w:hAnsi="微软雅黑" w:cs="宋体" w:hint="eastAsia"/>
          <w:color w:val="0000FF"/>
          <w:sz w:val="32"/>
          <w:szCs w:val="32"/>
          <w:bdr w:val="none" w:sz="0" w:space="0" w:color="auto" w:frame="1"/>
        </w:rPr>
        <w:t> </w:t>
      </w:r>
      <w:r>
        <w:rPr>
          <w:rFonts w:ascii="仿宋_GB2312" w:eastAsia="仿宋_GB2312" w:hAnsi="微软雅黑" w:cs="宋体"/>
          <w:noProof/>
          <w:color w:val="0000FF"/>
          <w:sz w:val="32"/>
          <w:szCs w:val="32"/>
          <w:bdr w:val="none" w:sz="0" w:space="0" w:color="auto" w:frame="1"/>
        </w:rPr>
        <w:drawing>
          <wp:inline distT="0" distB="0" distL="0" distR="0">
            <wp:extent cx="6296025" cy="2438400"/>
            <wp:effectExtent l="19050" t="0" r="9525" b="0"/>
            <wp:docPr id="18" name="图片 18" descr="https://tjj.sxxz.gov.cn/tjsj/tjgb1/202304/W020230413415429558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jj.sxxz.gov.cn/tjsj/tjgb1/202304/W020230413415429558491.png"/>
                    <pic:cNvPicPr>
                      <a:picLocks noChangeAspect="1" noChangeArrowheads="1"/>
                    </pic:cNvPicPr>
                  </pic:nvPicPr>
                  <pic:blipFill>
                    <a:blip r:embed="rId23" cstate="print"/>
                    <a:srcRect/>
                    <a:stretch>
                      <a:fillRect/>
                    </a:stretch>
                  </pic:blipFill>
                  <pic:spPr bwMode="auto">
                    <a:xfrm>
                      <a:off x="0" y="0"/>
                      <a:ext cx="6296025" cy="24384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全年全市一般公共预算支出433.6亿元，比上年增长10.2%。其中，教育、卫生健康、社会保障和就业、住房保障、交通运输、节能环保、城乡社区等民生支出355.3亿元，增长10.0%。</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年末全市金融机构本外币各项存款余额3342.7亿元，比上年末增长14.5%，比年初增加423.8亿元。各项贷款余额1420.3亿元，比上年末增长14.3%，比年初增加177.2亿元。</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年末全市农村金融合作机构（农村信用社、农村商业银行）人民币存款余额1024.0亿元，比上年末增长12.2%，比年初增加110.9亿元；人民币贷款余额649.4亿元，比上年末增长12.1%，比年初增加70.1亿元。</w:t>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表11   2022年年末全市金融机构本外币存贷款余额及其增长速度</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2676525"/>
            <wp:effectExtent l="19050" t="0" r="0" b="0"/>
            <wp:docPr id="19" name="图片 19" descr="https://tjj.sxxz.gov.cn/tjsj/tjgb1/202304/W020230413415429568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jj.sxxz.gov.cn/tjsj/tjgb1/202304/W020230413415429568624.png"/>
                    <pic:cNvPicPr>
                      <a:picLocks noChangeAspect="1" noChangeArrowheads="1"/>
                    </pic:cNvPicPr>
                  </pic:nvPicPr>
                  <pic:blipFill>
                    <a:blip r:embed="rId24" cstate="print"/>
                    <a:srcRect/>
                    <a:stretch>
                      <a:fillRect/>
                    </a:stretch>
                  </pic:blipFill>
                  <pic:spPr bwMode="auto">
                    <a:xfrm>
                      <a:off x="0" y="0"/>
                      <a:ext cx="6934200" cy="2676525"/>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保费收入52.4亿元，增长3.9%。其中，寿险业务保费收入29.5亿元，增长13.5%；健康险业务保费收入7.0亿元，下降21.1%；意外险业务保费收入1.1亿元，下降6.1%；财产险业务保费收入14.8亿元，增长2.9%。全年支付各类赔款及给付16.8亿元，下降29.5%。</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十、教育和科学技术</w:t>
      </w:r>
    </w:p>
    <w:p w:rsidR="0040676C" w:rsidRPr="0040676C" w:rsidRDefault="0040676C" w:rsidP="0040676C">
      <w:pPr>
        <w:shd w:val="clear" w:color="auto" w:fill="FFFFFF"/>
        <w:adjustRightInd/>
        <w:snapToGrid/>
        <w:spacing w:after="0" w:line="620" w:lineRule="atLeast"/>
        <w:ind w:firstLine="640"/>
        <w:jc w:val="both"/>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普通本科招生0.6万人，在校生1.9万人，毕业生0.5万人。职业本专科在校生1.0万人，毕业生0.4万人。中等职业教育招生0.8万人，在校生2.3万人，毕业生0.6万人。普通高中招生1.8万人，在校生5.4万人，毕业生1.7万人。</w:t>
      </w:r>
      <w:r w:rsidRPr="0040676C">
        <w:rPr>
          <w:rFonts w:ascii="仿宋_GB2312" w:eastAsia="仿宋_GB2312" w:hAnsi="微软雅黑" w:cs="宋体" w:hint="eastAsia"/>
          <w:color w:val="333333"/>
          <w:sz w:val="32"/>
          <w:szCs w:val="32"/>
          <w:bdr w:val="none" w:sz="0" w:space="0" w:color="auto" w:frame="1"/>
        </w:rPr>
        <w:lastRenderedPageBreak/>
        <w:t>初中招生3.0万人，在校生8.5万人，毕业生3.1万人。小学招生2.2万人，在校生16.6万人，毕业生3.0万人。特殊教育招生62人，在校生454人，毕业生87人。学前教育在园幼儿6.9万人。</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全年全市专利授权量1121件，有效发明专利拥有量364件。其中，发明专利授权量92件，增长70.4%。</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年末全市有气象台站16个，全市气象系统开展人工影响天气业务的单位15个，防雹、增雨累计受益面积为全市域内，增雨量2.4亿立方米。</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年末全市有专业综合地震台站7个，市级地震台网中心1个，全年全市发生M3.0级以上地震3次，最大震级为M3.2级。</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十一、文化旅游、卫生健康和体育</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年末全市共有文化馆15个,</w:t>
      </w:r>
      <w:r w:rsidRPr="0040676C">
        <w:rPr>
          <w:rFonts w:ascii="仿宋_GB2312" w:eastAsia="仿宋_GB2312" w:hAnsi="微软雅黑" w:cs="宋体" w:hint="eastAsia"/>
          <w:color w:val="333333"/>
          <w:sz w:val="32"/>
          <w:szCs w:val="32"/>
          <w:bdr w:val="none" w:sz="0" w:space="0" w:color="auto" w:frame="1"/>
        </w:rPr>
        <w:t> </w:t>
      </w:r>
      <w:r w:rsidRPr="0040676C">
        <w:rPr>
          <w:rFonts w:ascii="仿宋_GB2312" w:eastAsia="仿宋_GB2312" w:hAnsi="微软雅黑" w:cs="宋体" w:hint="eastAsia"/>
          <w:color w:val="333333"/>
          <w:sz w:val="32"/>
          <w:szCs w:val="32"/>
          <w:bdr w:val="none" w:sz="0" w:space="0" w:color="auto" w:frame="1"/>
        </w:rPr>
        <w:t>文化站165个，公共图书馆15个。出版报纸1种（不含高校校报）、1209.6万份,出版杂志1种、3.6万册。广播电视台15座，调频、电视转播发射台15座，一百瓦以上调频、电视转播发射台27座。</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全年全市重点监测景区接待游客1074.4万人次，比上年下降25.9%；门票收入2.7亿元，下降30.5%；经营收入18.1亿元，下降41.2%。</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年末全市共有卫生机构（含诊所、村卫生室）4098个，床位15164张。专业公共卫生机构49个，妇幼保健院（所、站）15个。全市卫生机构共有卫生技术人员18332人，其中：卫生</w:t>
      </w:r>
      <w:r w:rsidRPr="0040676C">
        <w:rPr>
          <w:rFonts w:ascii="仿宋_GB2312" w:eastAsia="仿宋_GB2312" w:hAnsi="微软雅黑" w:cs="宋体" w:hint="eastAsia"/>
          <w:color w:val="333333"/>
          <w:sz w:val="32"/>
          <w:szCs w:val="32"/>
          <w:bdr w:val="none" w:sz="0" w:space="0" w:color="auto" w:frame="1"/>
        </w:rPr>
        <w:lastRenderedPageBreak/>
        <w:t>院卫生技术人员2518人、社区卫生服务中心（站）卫生技术人员447人、专业公共卫生机构技术人员1657人、妇幼保健（所、站）卫生技术人员881人。</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有体育场地面积686.6万平方米；体育场地12276个，基础大项场地数量为332个，球类运动场地7097个，体育健身场地4548个，大型体育场馆4个。全年全市运动员在山西省各项目冠军赛、锦标赛中获金牌6枚。全年全市经常参加体育锻炼人数103万人，开展全民健身项目21项。全年全市销售中国体育彩票1.76亿元。</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十二、居民收入消费和社会保障</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居民人均可支配收入23091元，比上年增长6.7%；居民人均消费支出13434元，增长1.2%。按常住地分，城镇居民人均可支配收入36467元，增长5.5%，城镇居民人均消费支出18434元，下降1.4%；农村居民人均可支配收入11810元，增长6.8%，农村居民人均消费支出9882元，增长5.5%。</w:t>
      </w:r>
    </w:p>
    <w:p w:rsidR="0040676C" w:rsidRPr="0040676C" w:rsidRDefault="0040676C" w:rsidP="0040676C">
      <w:pPr>
        <w:shd w:val="clear" w:color="auto" w:fill="FFFFFF"/>
        <w:adjustRightInd/>
        <w:snapToGrid/>
        <w:spacing w:after="0" w:line="504" w:lineRule="atLeast"/>
        <w:ind w:left="-92"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 图9  2018-2022年全市城乡居民人均可支配收入</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 </w:t>
      </w:r>
      <w:r>
        <w:rPr>
          <w:rFonts w:ascii="仿宋_GB2312" w:eastAsia="仿宋_GB2312" w:hAnsi="微软雅黑" w:cs="宋体"/>
          <w:noProof/>
          <w:color w:val="333333"/>
          <w:sz w:val="32"/>
          <w:szCs w:val="32"/>
          <w:bdr w:val="none" w:sz="0" w:space="0" w:color="auto" w:frame="1"/>
        </w:rPr>
        <w:drawing>
          <wp:inline distT="0" distB="0" distL="0" distR="0">
            <wp:extent cx="6934200" cy="3009900"/>
            <wp:effectExtent l="19050" t="0" r="0" b="0"/>
            <wp:docPr id="20" name="图片 20" descr="https://tjj.sxxz.gov.cn/tjsj/tjgb1/202304/W020230413415429571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jj.sxxz.gov.cn/tjsj/tjgb1/202304/W020230413415429571835.png"/>
                    <pic:cNvPicPr>
                      <a:picLocks noChangeAspect="1" noChangeArrowheads="1"/>
                    </pic:cNvPicPr>
                  </pic:nvPicPr>
                  <pic:blipFill>
                    <a:blip r:embed="rId25" cstate="print"/>
                    <a:srcRect/>
                    <a:stretch>
                      <a:fillRect/>
                    </a:stretch>
                  </pic:blipFill>
                  <pic:spPr bwMode="auto">
                    <a:xfrm>
                      <a:off x="0" y="0"/>
                      <a:ext cx="6934200" cy="30099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480"/>
        <w:jc w:val="center"/>
        <w:rPr>
          <w:rFonts w:ascii="微软雅黑" w:hAnsi="微软雅黑" w:cs="宋体"/>
          <w:color w:val="333333"/>
          <w:sz w:val="24"/>
          <w:szCs w:val="24"/>
        </w:rPr>
      </w:pPr>
      <w:r w:rsidRPr="0040676C">
        <w:rPr>
          <w:rFonts w:ascii="微软雅黑" w:hAnsi="微软雅黑" w:cs="宋体" w:hint="eastAsia"/>
          <w:b/>
          <w:bCs/>
          <w:color w:val="333333"/>
          <w:sz w:val="24"/>
          <w:szCs w:val="24"/>
          <w:bdr w:val="none" w:sz="0" w:space="0" w:color="auto" w:frame="1"/>
        </w:rPr>
        <w:t>表12   2022年全市城乡居民人均可支配收入</w:t>
      </w:r>
    </w:p>
    <w:p w:rsidR="0040676C" w:rsidRPr="0040676C" w:rsidRDefault="0040676C" w:rsidP="0040676C">
      <w:pPr>
        <w:shd w:val="clear" w:color="auto" w:fill="FFFFFF"/>
        <w:adjustRightInd/>
        <w:snapToGrid/>
        <w:spacing w:after="0" w:line="504" w:lineRule="atLeast"/>
        <w:jc w:val="center"/>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 </w:t>
      </w:r>
      <w:r>
        <w:rPr>
          <w:rFonts w:ascii="仿宋_GB2312" w:eastAsia="仿宋_GB2312" w:hAnsi="微软雅黑" w:cs="宋体"/>
          <w:noProof/>
          <w:color w:val="333333"/>
          <w:sz w:val="32"/>
          <w:szCs w:val="32"/>
          <w:bdr w:val="none" w:sz="0" w:space="0" w:color="auto" w:frame="1"/>
        </w:rPr>
        <w:drawing>
          <wp:inline distT="0" distB="0" distL="0" distR="0">
            <wp:extent cx="6934200" cy="3543300"/>
            <wp:effectExtent l="19050" t="0" r="0" b="0"/>
            <wp:docPr id="21" name="图片 21" descr="https://tjj.sxxz.gov.cn/tjsj/tjgb1/202304/W02023041341542957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jj.sxxz.gov.cn/tjsj/tjgb1/202304/W020230413415429571741.png"/>
                    <pic:cNvPicPr>
                      <a:picLocks noChangeAspect="1" noChangeArrowheads="1"/>
                    </pic:cNvPicPr>
                  </pic:nvPicPr>
                  <pic:blipFill>
                    <a:blip r:embed="rId26" cstate="print"/>
                    <a:srcRect/>
                    <a:stretch>
                      <a:fillRect/>
                    </a:stretch>
                  </pic:blipFill>
                  <pic:spPr bwMode="auto">
                    <a:xfrm>
                      <a:off x="0" y="0"/>
                      <a:ext cx="6934200" cy="3543300"/>
                    </a:xfrm>
                    <a:prstGeom prst="rect">
                      <a:avLst/>
                    </a:prstGeom>
                    <a:noFill/>
                    <a:ln w="9525">
                      <a:noFill/>
                      <a:miter lim="800000"/>
                      <a:headEnd/>
                      <a:tailEnd/>
                    </a:ln>
                  </pic:spPr>
                </pic:pic>
              </a:graphicData>
            </a:graphic>
          </wp:inline>
        </w:drawing>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参加城镇职工基本养老保险55.0万人，比上年末增加2.1万人；参加城乡居民基本养老保险169.6万人，减少9946人；参加城镇职工基本医疗保险42.1万人，减少0.2万人；参加城乡居民基本医疗保险223.4万人，减少3.9万人；</w:t>
      </w:r>
      <w:r w:rsidRPr="0040676C">
        <w:rPr>
          <w:rFonts w:ascii="仿宋_GB2312" w:eastAsia="仿宋_GB2312" w:hAnsi="微软雅黑" w:cs="宋体" w:hint="eastAsia"/>
          <w:color w:val="333333"/>
          <w:sz w:val="32"/>
          <w:szCs w:val="32"/>
          <w:bdr w:val="none" w:sz="0" w:space="0" w:color="auto" w:frame="1"/>
        </w:rPr>
        <w:lastRenderedPageBreak/>
        <w:t>参加失业保险25.9万人，增加2.3万人；参加工伤保险29.9万人，增加4.2万人；参加生育保险22.1万人，减少0.2万人。</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全年得到城市最低生活保障救济人数3.5万人，全年共发放城市最低生活保障资金2.1亿元。年末全市农村五保供养2.3万人。</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年末全市城镇有各种社区服务设施184个，其中综合性社区服务中心24个。各类收养性单位床位数18360张，收养人数2972人。全年销售福利彩票1.4亿元，筹集社会福利资金0.4亿元，接受社会捐赠款335.7万元。</w:t>
      </w:r>
    </w:p>
    <w:p w:rsidR="0040676C" w:rsidRPr="0040676C" w:rsidRDefault="0040676C" w:rsidP="0040676C">
      <w:pPr>
        <w:shd w:val="clear" w:color="auto" w:fill="FFFFFF"/>
        <w:adjustRightInd/>
        <w:snapToGrid/>
        <w:spacing w:after="0" w:line="620" w:lineRule="atLeast"/>
        <w:ind w:firstLine="640"/>
        <w:jc w:val="center"/>
        <w:rPr>
          <w:rFonts w:ascii="微软雅黑" w:hAnsi="微软雅黑" w:cs="宋体"/>
          <w:color w:val="333333"/>
          <w:sz w:val="24"/>
          <w:szCs w:val="24"/>
        </w:rPr>
      </w:pPr>
      <w:r w:rsidRPr="0040676C">
        <w:rPr>
          <w:rFonts w:ascii="黑体" w:eastAsia="黑体" w:hAnsi="微软雅黑" w:cs="宋体" w:hint="eastAsia"/>
          <w:color w:val="333333"/>
          <w:sz w:val="32"/>
          <w:szCs w:val="32"/>
          <w:bdr w:val="none" w:sz="0" w:space="0" w:color="auto" w:frame="1"/>
        </w:rPr>
        <w:t>十三、资源、环境和安全生产</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初步核算，全年全市万元地区生产总值能耗比上年下降2.8%。</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年末全市中型水库蓄水量2524.5万立方米。</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按《环境空气质量指数（AQI）技术规定（试行）（HJ633-2012）》评价，全市环境空气质量综合指数为4.21，空气质量优良天数为286天。全年PM</w:t>
      </w:r>
      <w:r w:rsidRPr="0040676C">
        <w:rPr>
          <w:rFonts w:ascii="仿宋_GB2312" w:eastAsia="仿宋_GB2312" w:hAnsi="微软雅黑" w:cs="宋体" w:hint="eastAsia"/>
          <w:color w:val="333333"/>
          <w:sz w:val="32"/>
          <w:szCs w:val="32"/>
          <w:bdr w:val="none" w:sz="0" w:space="0" w:color="auto" w:frame="1"/>
          <w:vertAlign w:val="subscript"/>
        </w:rPr>
        <w:t>2.5</w:t>
      </w:r>
      <w:r w:rsidRPr="0040676C">
        <w:rPr>
          <w:rFonts w:ascii="仿宋_GB2312" w:eastAsia="仿宋_GB2312" w:hAnsi="微软雅黑" w:cs="宋体" w:hint="eastAsia"/>
          <w:color w:val="333333"/>
          <w:sz w:val="32"/>
          <w:szCs w:val="32"/>
          <w:bdr w:val="none" w:sz="0" w:space="0" w:color="auto" w:frame="1"/>
        </w:rPr>
        <w:t>平均浓度36μg/m</w:t>
      </w:r>
      <w:r w:rsidRPr="0040676C">
        <w:rPr>
          <w:rFonts w:ascii="仿宋_GB2312" w:eastAsia="仿宋_GB2312" w:hAnsi="微软雅黑" w:cs="宋体" w:hint="eastAsia"/>
          <w:color w:val="333333"/>
          <w:sz w:val="32"/>
          <w:szCs w:val="32"/>
          <w:bdr w:val="none" w:sz="0" w:space="0" w:color="auto" w:frame="1"/>
          <w:vertAlign w:val="superscript"/>
        </w:rPr>
        <w:t>3</w:t>
      </w:r>
      <w:r w:rsidRPr="0040676C">
        <w:rPr>
          <w:rFonts w:ascii="仿宋_GB2312" w:eastAsia="仿宋_GB2312" w:hAnsi="微软雅黑" w:cs="宋体" w:hint="eastAsia"/>
          <w:color w:val="333333"/>
          <w:sz w:val="32"/>
          <w:szCs w:val="32"/>
          <w:bdr w:val="none" w:sz="0" w:space="0" w:color="auto" w:frame="1"/>
        </w:rPr>
        <w:t>，优良天数比例达到78.4%。</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黄河、海河流域忻州段共监测21个国、省考核断面，达到Ⅲ类以上（包括Ⅰ、Ⅱ、Ⅲ类）水质标准的断面18个，占总数的85.7%；达到Ⅳ类水质标准的断面2个，占总数的9.5%。</w:t>
      </w:r>
    </w:p>
    <w:p w:rsidR="0040676C" w:rsidRPr="0040676C" w:rsidRDefault="0040676C" w:rsidP="0040676C">
      <w:pPr>
        <w:shd w:val="clear" w:color="auto" w:fill="FFFFFF"/>
        <w:adjustRightInd/>
        <w:snapToGrid/>
        <w:spacing w:after="0" w:line="620"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lastRenderedPageBreak/>
        <w:t>全年全市各类自然灾害造成直接经济损失4.2亿元，较上年同比下降78.1%；农作物受灾面积3.8万公顷，较上年同比下降82.2%，其中绝收面积2551.4公顷，较上年基本持平。</w:t>
      </w:r>
    </w:p>
    <w:p w:rsidR="0040676C" w:rsidRPr="0040676C" w:rsidRDefault="0040676C" w:rsidP="0040676C">
      <w:pPr>
        <w:shd w:val="clear" w:color="auto" w:fill="FFFFFF"/>
        <w:adjustRightInd/>
        <w:snapToGrid/>
        <w:spacing w:after="0" w:line="504" w:lineRule="atLeast"/>
        <w:ind w:firstLine="640"/>
        <w:rPr>
          <w:rFonts w:ascii="微软雅黑" w:hAnsi="微软雅黑" w:cs="宋体"/>
          <w:color w:val="333333"/>
          <w:sz w:val="24"/>
          <w:szCs w:val="24"/>
        </w:rPr>
      </w:pPr>
      <w:r w:rsidRPr="0040676C">
        <w:rPr>
          <w:rFonts w:ascii="仿宋_GB2312" w:eastAsia="仿宋_GB2312" w:hAnsi="微软雅黑" w:cs="宋体" w:hint="eastAsia"/>
          <w:color w:val="333333"/>
          <w:sz w:val="32"/>
          <w:szCs w:val="32"/>
          <w:bdr w:val="none" w:sz="0" w:space="0" w:color="auto" w:frame="1"/>
        </w:rPr>
        <w:t>全年全市共发生各类生产安全亡人事故42起，下降8.7%；死亡46人，下降16.4%。全年全市煤炭百万吨死亡率为0。</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注释：</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[1]本公报部分数据为初步统计数据，除注明外，所有增长或下降速度均为同上年相比较。部分数据因四舍五入的原因，存在总计与分项合计不等的情况。</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[2]本公报部分数据由相关部门提供。</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[3]地区生产总值、各产业增加值绝对数按现价计算，增长速度按不变价格计算。</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[4]根据《人力资源和社会保障统计调查制度》，城镇登记失业率指标自2022年起不再开展统计调查。</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[5]邮政行业业务总量按2020年价格计算，电信业务总量按上年不变价计算。</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[6]2022年7月起，实际使用外资金额使用商务部口径数据。</w:t>
      </w:r>
    </w:p>
    <w:p w:rsidR="0040676C" w:rsidRPr="0040676C" w:rsidRDefault="0040676C" w:rsidP="0040676C">
      <w:pPr>
        <w:shd w:val="clear" w:color="auto" w:fill="FFFFFF"/>
        <w:adjustRightInd/>
        <w:snapToGrid/>
        <w:spacing w:after="0" w:line="504" w:lineRule="atLeast"/>
        <w:ind w:firstLine="480"/>
        <w:jc w:val="both"/>
        <w:rPr>
          <w:rFonts w:ascii="微软雅黑" w:hAnsi="微软雅黑" w:cs="宋体"/>
          <w:color w:val="333333"/>
          <w:sz w:val="24"/>
          <w:szCs w:val="24"/>
        </w:rPr>
      </w:pPr>
      <w:r w:rsidRPr="0040676C">
        <w:rPr>
          <w:rFonts w:ascii="仿宋_GB2312" w:eastAsia="仿宋_GB2312" w:hAnsi="微软雅黑" w:cs="宋体" w:hint="eastAsia"/>
          <w:color w:val="333333"/>
          <w:spacing w:val="7"/>
          <w:sz w:val="24"/>
          <w:szCs w:val="24"/>
          <w:bdr w:val="none" w:sz="0" w:space="0" w:color="auto" w:frame="1"/>
        </w:rPr>
        <w:t>[7]万元地区生产总值能耗按2020年价格计算。</w:t>
      </w:r>
    </w:p>
    <w:p w:rsidR="0040676C" w:rsidRPr="0040676C" w:rsidRDefault="0040676C" w:rsidP="0040676C">
      <w:pPr>
        <w:shd w:val="clear" w:color="auto" w:fill="FFFFFF"/>
        <w:adjustRightInd/>
        <w:snapToGrid/>
        <w:spacing w:after="0" w:line="504" w:lineRule="atLeast"/>
        <w:rPr>
          <w:rFonts w:ascii="微软雅黑" w:hAnsi="微软雅黑" w:cs="宋体"/>
          <w:color w:val="333333"/>
          <w:sz w:val="24"/>
          <w:szCs w:val="24"/>
        </w:rPr>
      </w:pPr>
      <w:r w:rsidRPr="0040676C">
        <w:rPr>
          <w:rFonts w:ascii="宋体" w:eastAsia="宋体" w:hAnsi="宋体" w:cs="宋体" w:hint="eastAsia"/>
          <w:color w:val="333333"/>
          <w:sz w:val="28"/>
          <w:szCs w:val="28"/>
          <w:bdr w:val="none" w:sz="0" w:space="0" w:color="auto" w:frame="1"/>
        </w:rPr>
        <w:t> </w:t>
      </w:r>
      <w:r w:rsidRPr="0040676C">
        <w:rPr>
          <w:rFonts w:ascii="楷体" w:eastAsia="楷体" w:hAnsi="楷体" w:cs="楷体" w:hint="eastAsia"/>
          <w:color w:val="333333"/>
          <w:sz w:val="28"/>
          <w:szCs w:val="28"/>
          <w:bdr w:val="none" w:sz="0" w:space="0" w:color="auto" w:frame="1"/>
        </w:rPr>
        <w:t xml:space="preserve"> </w:t>
      </w:r>
      <w:r w:rsidRPr="0040676C">
        <w:rPr>
          <w:rFonts w:ascii="宋体" w:eastAsia="宋体" w:hAnsi="宋体" w:cs="宋体" w:hint="eastAsia"/>
          <w:color w:val="333333"/>
          <w:sz w:val="28"/>
          <w:szCs w:val="28"/>
          <w:bdr w:val="none" w:sz="0" w:space="0" w:color="auto" w:frame="1"/>
        </w:rPr>
        <w:t> </w:t>
      </w:r>
      <w:r w:rsidRPr="0040676C">
        <w:rPr>
          <w:rFonts w:ascii="楷体" w:eastAsia="楷体" w:hAnsi="楷体" w:cs="楷体" w:hint="eastAsia"/>
          <w:color w:val="333333"/>
          <w:sz w:val="28"/>
          <w:szCs w:val="28"/>
          <w:bdr w:val="none" w:sz="0" w:space="0" w:color="auto" w:frame="1"/>
        </w:rPr>
        <w:t xml:space="preserve"> </w:t>
      </w:r>
      <w:r w:rsidRPr="0040676C">
        <w:rPr>
          <w:rFonts w:ascii="楷体" w:eastAsia="楷体" w:hAnsi="楷体" w:cs="宋体" w:hint="eastAsia"/>
          <w:color w:val="333333"/>
          <w:sz w:val="28"/>
          <w:szCs w:val="28"/>
          <w:bdr w:val="none" w:sz="0" w:space="0" w:color="auto" w:frame="1"/>
        </w:rPr>
        <w:t>资料来源：本公报中城镇新增就业、社会保障数据来自市人力资源和社会保障局；医疗保险数据来自市医疗保险服务中心；财政数据来自市财政局；林业数据来自市规划和自然资源局；水资源数据来自市水利局；公路建设数据来自市交通运输局；邮政业务数据来自市邮政管理局；电信业务数据来自联通、电信和移动；对外经济数据来自市商务局；民航数据来自五台山机场有限责任公司；旅游、文化数据来自市文化和旅游局；金融数据来自中国人民银行忻州市中心支行；保险业数据来自市保险行业协会；高等院校教育数据来自忻州师范学院、忻州职业技术学院、忻州市工业学校、忻州市原平农业学校等，其他教育数据来自市教育局；市场主体数据来自市行政审批局；科技专利数据来自市市场监督管理局；气象数据来自市气象局；地震数据来自市防震减灾中心；体</w:t>
      </w:r>
      <w:r w:rsidRPr="0040676C">
        <w:rPr>
          <w:rFonts w:ascii="楷体" w:eastAsia="楷体" w:hAnsi="楷体" w:cs="宋体" w:hint="eastAsia"/>
          <w:color w:val="333333"/>
          <w:sz w:val="28"/>
          <w:szCs w:val="28"/>
          <w:bdr w:val="none" w:sz="0" w:space="0" w:color="auto" w:frame="1"/>
        </w:rPr>
        <w:lastRenderedPageBreak/>
        <w:t>育数据来自市体育局；卫生数据来自市卫生健康委员会；社会服务、低保和特困供养数据来自市民政局；环境数据来自市生态环境局；安全生产数据来自市应急管理局。</w:t>
      </w:r>
    </w:p>
    <w:p w:rsidR="0040676C" w:rsidRPr="0040676C" w:rsidRDefault="00F11C90" w:rsidP="0040676C">
      <w:pPr>
        <w:shd w:val="clear" w:color="auto" w:fill="FFFFFF"/>
        <w:adjustRightInd/>
        <w:snapToGrid/>
        <w:spacing w:after="0"/>
        <w:rPr>
          <w:rFonts w:ascii="微软雅黑" w:hAnsi="微软雅黑" w:cs="宋体"/>
          <w:color w:val="FFFFFF"/>
          <w:sz w:val="21"/>
          <w:szCs w:val="21"/>
        </w:rPr>
      </w:pPr>
      <w:hyperlink r:id="rId27" w:history="1">
        <w:r w:rsidR="0040676C" w:rsidRPr="0040676C">
          <w:rPr>
            <w:rFonts w:ascii="微软雅黑" w:hAnsi="微软雅黑" w:cs="宋体" w:hint="eastAsia"/>
            <w:color w:val="FFFFFF"/>
            <w:sz w:val="23"/>
            <w:u w:val="single"/>
          </w:rPr>
          <w:t>关闭本页</w:t>
        </w:r>
      </w:hyperlink>
    </w:p>
    <w:p w:rsidR="004358AB" w:rsidRDefault="004358AB" w:rsidP="00D31D50">
      <w:pPr>
        <w:spacing w:line="220" w:lineRule="atLeast"/>
      </w:pPr>
    </w:p>
    <w:sectPr w:rsidR="004358AB" w:rsidSect="0040676C">
      <w:pgSz w:w="11906" w:h="16838"/>
      <w:pgMar w:top="1440" w:right="1274"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6ABA" w:rsidRDefault="00416ABA" w:rsidP="0040676C">
      <w:pPr>
        <w:spacing w:after="0"/>
      </w:pPr>
      <w:r>
        <w:separator/>
      </w:r>
    </w:p>
  </w:endnote>
  <w:endnote w:type="continuationSeparator" w:id="0">
    <w:p w:rsidR="00416ABA" w:rsidRDefault="00416ABA" w:rsidP="004067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楷体_GB2312">
    <w:altName w:val="宋体"/>
    <w:panose1 w:val="00000000000000000000"/>
    <w:charset w:val="86"/>
    <w:family w:val="roman"/>
    <w:notTrueType/>
    <w:pitch w:val="default"/>
    <w:sig w:usb0="00000001" w:usb1="080E0000" w:usb2="00000010" w:usb3="00000000" w:csb0="00040000" w:csb1="00000000"/>
  </w:font>
  <w:font w:name="仿宋_GB2312">
    <w:altName w:val="宋体"/>
    <w:panose1 w:val="00000000000000000000"/>
    <w:charset w:val="86"/>
    <w:family w:val="roman"/>
    <w:notTrueType/>
    <w:pitch w:val="default"/>
    <w:sig w:usb0="00000001" w:usb1="080E0000" w:usb2="00000010" w:usb3="00000000" w:csb0="00040000" w:csb1="00000000"/>
  </w:font>
  <w:font w:name="黑体">
    <w:altName w:val="微软雅黑"/>
    <w:panose1 w:val="02010600030101010101"/>
    <w:charset w:val="86"/>
    <w:family w:val="modern"/>
    <w:notTrueType/>
    <w:pitch w:val="fixed"/>
    <w:sig w:usb0="00000000" w:usb1="080E0000" w:usb2="00000010" w:usb3="00000000" w:csb0="00040000" w:csb1="00000000"/>
  </w:font>
  <w:font w:name="方正仿宋简体">
    <w:altName w:val="宋体"/>
    <w:panose1 w:val="00000000000000000000"/>
    <w:charset w:val="86"/>
    <w:family w:val="roma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6ABA" w:rsidRDefault="00416ABA" w:rsidP="0040676C">
      <w:pPr>
        <w:spacing w:after="0"/>
      </w:pPr>
      <w:r>
        <w:separator/>
      </w:r>
    </w:p>
  </w:footnote>
  <w:footnote w:type="continuationSeparator" w:id="0">
    <w:p w:rsidR="00416ABA" w:rsidRDefault="00416ABA" w:rsidP="0040676C">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9218"/>
  </w:hdrShapeDefaults>
  <w:footnotePr>
    <w:footnote w:id="-1"/>
    <w:footnote w:id="0"/>
  </w:footnotePr>
  <w:endnotePr>
    <w:endnote w:id="-1"/>
    <w:endnote w:id="0"/>
  </w:endnotePr>
  <w:compat>
    <w:useFELayout/>
  </w:compat>
  <w:rsids>
    <w:rsidRoot w:val="00D31D50"/>
    <w:rsid w:val="00217AD3"/>
    <w:rsid w:val="00323B43"/>
    <w:rsid w:val="003D37D8"/>
    <w:rsid w:val="0040676C"/>
    <w:rsid w:val="00416ABA"/>
    <w:rsid w:val="00426133"/>
    <w:rsid w:val="004358AB"/>
    <w:rsid w:val="007A64E6"/>
    <w:rsid w:val="008B7726"/>
    <w:rsid w:val="00D31D50"/>
    <w:rsid w:val="00DD0176"/>
    <w:rsid w:val="00F11C9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0676C"/>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40676C"/>
    <w:rPr>
      <w:rFonts w:ascii="Tahoma" w:hAnsi="Tahoma"/>
      <w:sz w:val="18"/>
      <w:szCs w:val="18"/>
    </w:rPr>
  </w:style>
  <w:style w:type="paragraph" w:styleId="a4">
    <w:name w:val="footer"/>
    <w:basedOn w:val="a"/>
    <w:link w:val="Char0"/>
    <w:uiPriority w:val="99"/>
    <w:semiHidden/>
    <w:unhideWhenUsed/>
    <w:rsid w:val="0040676C"/>
    <w:pPr>
      <w:tabs>
        <w:tab w:val="center" w:pos="4153"/>
        <w:tab w:val="right" w:pos="8306"/>
      </w:tabs>
    </w:pPr>
    <w:rPr>
      <w:sz w:val="18"/>
      <w:szCs w:val="18"/>
    </w:rPr>
  </w:style>
  <w:style w:type="character" w:customStyle="1" w:styleId="Char0">
    <w:name w:val="页脚 Char"/>
    <w:basedOn w:val="a0"/>
    <w:link w:val="a4"/>
    <w:uiPriority w:val="99"/>
    <w:semiHidden/>
    <w:rsid w:val="0040676C"/>
    <w:rPr>
      <w:rFonts w:ascii="Tahoma" w:hAnsi="Tahoma"/>
      <w:sz w:val="18"/>
      <w:szCs w:val="18"/>
    </w:rPr>
  </w:style>
  <w:style w:type="paragraph" w:customStyle="1" w:styleId="p0">
    <w:name w:val="p0"/>
    <w:basedOn w:val="a"/>
    <w:rsid w:val="0040676C"/>
    <w:pPr>
      <w:adjustRightInd/>
      <w:snapToGrid/>
      <w:spacing w:before="100" w:beforeAutospacing="1" w:after="100" w:afterAutospacing="1"/>
    </w:pPr>
    <w:rPr>
      <w:rFonts w:ascii="宋体" w:eastAsia="宋体" w:hAnsi="宋体" w:cs="宋体"/>
      <w:sz w:val="24"/>
      <w:szCs w:val="24"/>
    </w:rPr>
  </w:style>
  <w:style w:type="paragraph" w:customStyle="1" w:styleId="p16">
    <w:name w:val="p16"/>
    <w:basedOn w:val="a"/>
    <w:rsid w:val="0040676C"/>
    <w:pPr>
      <w:adjustRightInd/>
      <w:snapToGrid/>
      <w:spacing w:before="100" w:beforeAutospacing="1" w:after="100" w:afterAutospacing="1"/>
    </w:pPr>
    <w:rPr>
      <w:rFonts w:ascii="宋体" w:eastAsia="宋体" w:hAnsi="宋体" w:cs="宋体"/>
      <w:sz w:val="24"/>
      <w:szCs w:val="24"/>
    </w:rPr>
  </w:style>
  <w:style w:type="character" w:styleId="a5">
    <w:name w:val="Hyperlink"/>
    <w:basedOn w:val="a0"/>
    <w:uiPriority w:val="99"/>
    <w:semiHidden/>
    <w:unhideWhenUsed/>
    <w:rsid w:val="0040676C"/>
    <w:rPr>
      <w:color w:val="0000FF"/>
      <w:u w:val="single"/>
    </w:rPr>
  </w:style>
  <w:style w:type="paragraph" w:styleId="a6">
    <w:name w:val="Balloon Text"/>
    <w:basedOn w:val="a"/>
    <w:link w:val="Char1"/>
    <w:uiPriority w:val="99"/>
    <w:semiHidden/>
    <w:unhideWhenUsed/>
    <w:rsid w:val="0040676C"/>
    <w:pPr>
      <w:spacing w:after="0"/>
    </w:pPr>
    <w:rPr>
      <w:sz w:val="18"/>
      <w:szCs w:val="18"/>
    </w:rPr>
  </w:style>
  <w:style w:type="character" w:customStyle="1" w:styleId="Char1">
    <w:name w:val="批注框文本 Char"/>
    <w:basedOn w:val="a0"/>
    <w:link w:val="a6"/>
    <w:uiPriority w:val="99"/>
    <w:semiHidden/>
    <w:rsid w:val="0040676C"/>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84755575">
      <w:bodyDiv w:val="1"/>
      <w:marLeft w:val="0"/>
      <w:marRight w:val="0"/>
      <w:marTop w:val="0"/>
      <w:marBottom w:val="0"/>
      <w:divBdr>
        <w:top w:val="none" w:sz="0" w:space="0" w:color="auto"/>
        <w:left w:val="none" w:sz="0" w:space="0" w:color="auto"/>
        <w:bottom w:val="none" w:sz="0" w:space="0" w:color="auto"/>
        <w:right w:val="none" w:sz="0" w:space="0" w:color="auto"/>
      </w:divBdr>
      <w:divsChild>
        <w:div w:id="1749886190">
          <w:marLeft w:val="0"/>
          <w:marRight w:val="0"/>
          <w:marTop w:val="0"/>
          <w:marBottom w:val="0"/>
          <w:divBdr>
            <w:top w:val="none" w:sz="0" w:space="0" w:color="auto"/>
            <w:left w:val="none" w:sz="0" w:space="0" w:color="auto"/>
            <w:bottom w:val="none" w:sz="0" w:space="0" w:color="auto"/>
            <w:right w:val="none" w:sz="0" w:space="0" w:color="auto"/>
          </w:divBdr>
          <w:divsChild>
            <w:div w:id="65613483">
              <w:marLeft w:val="0"/>
              <w:marRight w:val="0"/>
              <w:marTop w:val="0"/>
              <w:marBottom w:val="0"/>
              <w:divBdr>
                <w:top w:val="none" w:sz="0" w:space="0" w:color="auto"/>
                <w:left w:val="none" w:sz="0" w:space="0" w:color="auto"/>
                <w:bottom w:val="none" w:sz="0" w:space="0" w:color="auto"/>
                <w:right w:val="none" w:sz="0" w:space="0" w:color="auto"/>
              </w:divBdr>
              <w:divsChild>
                <w:div w:id="588077519">
                  <w:marLeft w:val="0"/>
                  <w:marRight w:val="0"/>
                  <w:marTop w:val="0"/>
                  <w:marBottom w:val="0"/>
                  <w:divBdr>
                    <w:top w:val="none" w:sz="0" w:space="0" w:color="auto"/>
                    <w:left w:val="none" w:sz="0" w:space="0" w:color="auto"/>
                    <w:bottom w:val="none" w:sz="0" w:space="0" w:color="auto"/>
                    <w:right w:val="none" w:sz="0" w:space="0" w:color="auto"/>
                  </w:divBdr>
                  <w:divsChild>
                    <w:div w:id="449515132">
                      <w:marLeft w:val="0"/>
                      <w:marRight w:val="0"/>
                      <w:marTop w:val="0"/>
                      <w:marBottom w:val="0"/>
                      <w:divBdr>
                        <w:top w:val="none" w:sz="0" w:space="0" w:color="auto"/>
                        <w:left w:val="none" w:sz="0" w:space="0" w:color="auto"/>
                        <w:bottom w:val="none" w:sz="0" w:space="0" w:color="auto"/>
                        <w:right w:val="none" w:sz="0" w:space="0" w:color="auto"/>
                      </w:divBdr>
                      <w:divsChild>
                        <w:div w:id="930312004">
                          <w:marLeft w:val="0"/>
                          <w:marRight w:val="0"/>
                          <w:marTop w:val="0"/>
                          <w:marBottom w:val="0"/>
                          <w:divBdr>
                            <w:top w:val="none" w:sz="0" w:space="0" w:color="auto"/>
                            <w:left w:val="none" w:sz="0" w:space="0" w:color="auto"/>
                            <w:bottom w:val="none" w:sz="0" w:space="0" w:color="auto"/>
                            <w:right w:val="none" w:sz="0" w:space="0" w:color="auto"/>
                          </w:divBdr>
                        </w:div>
                      </w:divsChild>
                    </w:div>
                    <w:div w:id="1045176567">
                      <w:marLeft w:val="0"/>
                      <w:marRight w:val="0"/>
                      <w:marTop w:val="0"/>
                      <w:marBottom w:val="0"/>
                      <w:divBdr>
                        <w:top w:val="dashed" w:sz="6" w:space="11" w:color="EFEFEF"/>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javascript:window.opener=null;%20window.open('','_self');%20window.clos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1082</Words>
  <Characters>6170</Characters>
  <Application>Microsoft Office Word</Application>
  <DocSecurity>0</DocSecurity>
  <Lines>51</Lines>
  <Paragraphs>14</Paragraphs>
  <ScaleCrop>false</ScaleCrop>
  <Company/>
  <LinksUpToDate>false</LinksUpToDate>
  <CharactersWithSpaces>7238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3</cp:revision>
  <dcterms:created xsi:type="dcterms:W3CDTF">2008-09-11T17:20:00Z</dcterms:created>
  <dcterms:modified xsi:type="dcterms:W3CDTF">2023-07-13T01:06:00Z</dcterms:modified>
</cp:coreProperties>
</file>